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F657" w14:textId="77777777" w:rsidR="007B28D5" w:rsidRPr="00175F85" w:rsidRDefault="007B28D5" w:rsidP="00175F85">
      <w:pPr>
        <w:pStyle w:val="DocumentTitle1"/>
        <w:spacing w:after="100" w:afterAutospacing="1" w:line="240" w:lineRule="auto"/>
        <w:rPr>
          <w:sz w:val="56"/>
          <w:szCs w:val="56"/>
        </w:rPr>
      </w:pPr>
      <w:r w:rsidRPr="00175F85">
        <w:rPr>
          <w:sz w:val="56"/>
          <w:szCs w:val="56"/>
        </w:rPr>
        <w:t>2022 Graduate Outcomes Survey (GOS)</w:t>
      </w:r>
    </w:p>
    <w:p w14:paraId="6CE028B7" w14:textId="77777777" w:rsidR="007B28D5" w:rsidRPr="008A0B6A" w:rsidRDefault="007B28D5" w:rsidP="007B28D5">
      <w:pPr>
        <w:pStyle w:val="DocumentTitle2"/>
        <w:spacing w:before="360"/>
        <w:rPr>
          <w:rFonts w:ascii="Arial" w:hAnsi="Arial" w:cs="Arial"/>
          <w:b/>
          <w:bCs w:val="0"/>
          <w:color w:val="auto"/>
          <w:sz w:val="56"/>
          <w:szCs w:val="56"/>
        </w:rPr>
      </w:pPr>
      <w:r w:rsidRPr="008A0B6A">
        <w:rPr>
          <w:rFonts w:ascii="Arial" w:hAnsi="Arial" w:cs="Arial"/>
          <w:b/>
          <w:bCs w:val="0"/>
          <w:color w:val="auto"/>
          <w:sz w:val="56"/>
          <w:szCs w:val="56"/>
        </w:rPr>
        <w:t>National Report</w:t>
      </w:r>
    </w:p>
    <w:p w14:paraId="6E86EEC3" w14:textId="3DC8CA50" w:rsidR="007B28D5" w:rsidRDefault="00C07434" w:rsidP="007B28D5">
      <w:pPr>
        <w:pStyle w:val="DocumentTitle3"/>
        <w:spacing w:before="360" w:line="720" w:lineRule="auto"/>
        <w:rPr>
          <w:rFonts w:ascii="Arial" w:hAnsi="Arial" w:cs="Arial"/>
          <w:b/>
          <w:bCs/>
          <w:color w:val="auto"/>
          <w:sz w:val="44"/>
          <w:szCs w:val="44"/>
        </w:rPr>
      </w:pPr>
      <w:r>
        <w:rPr>
          <w:rFonts w:ascii="Arial" w:hAnsi="Arial" w:cs="Arial"/>
          <w:b/>
          <w:bCs/>
          <w:caps w:val="0"/>
          <w:color w:val="auto"/>
          <w:sz w:val="44"/>
          <w:szCs w:val="44"/>
        </w:rPr>
        <w:t>February</w:t>
      </w:r>
      <w:r w:rsidR="007B28D5" w:rsidRPr="008A0B6A">
        <w:rPr>
          <w:rFonts w:ascii="Arial" w:hAnsi="Arial" w:cs="Arial"/>
          <w:b/>
          <w:bCs/>
          <w:color w:val="auto"/>
          <w:sz w:val="44"/>
          <w:szCs w:val="44"/>
        </w:rPr>
        <w:t xml:space="preserve"> 202</w:t>
      </w:r>
      <w:r w:rsidR="008E4BEF">
        <w:rPr>
          <w:rFonts w:ascii="Arial" w:hAnsi="Arial" w:cs="Arial"/>
          <w:b/>
          <w:bCs/>
          <w:color w:val="auto"/>
          <w:sz w:val="44"/>
          <w:szCs w:val="44"/>
        </w:rPr>
        <w:t>3</w:t>
      </w:r>
    </w:p>
    <w:p w14:paraId="554F733B" w14:textId="359AE23D" w:rsidR="00E07C58" w:rsidRPr="00EE2429" w:rsidRDefault="0067537F" w:rsidP="00A02B95">
      <w:pPr>
        <w:pStyle w:val="Body"/>
        <w:spacing w:before="7800" w:after="0" w:line="240" w:lineRule="auto"/>
        <w:ind w:left="-284"/>
        <w:rPr>
          <w:b/>
          <w:color w:val="1F698E" w:themeColor="accent1"/>
          <w:sz w:val="40"/>
        </w:rPr>
      </w:pPr>
      <w:sdt>
        <w:sdtPr>
          <w:id w:val="-2048589223"/>
          <w:lock w:val="sdtContentLocked"/>
          <w:showingPlcHdr/>
          <w:picture/>
        </w:sdtPr>
        <w:sdtEndPr/>
        <w:sdtContent/>
      </w:sdt>
      <w:r w:rsidR="00964651">
        <w:rPr>
          <w:noProof/>
        </w:rPr>
        <w:drawing>
          <wp:inline distT="0" distB="0" distL="0" distR="0" wp14:anchorId="6124B6D9" wp14:editId="52AA5F64">
            <wp:extent cx="2143424" cy="819264"/>
            <wp:effectExtent l="0" t="0" r="9525" b="0"/>
            <wp:docPr id="8" name="Picture 8" descr="Social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ocial Research Centre"/>
                    <pic:cNvPicPr/>
                  </pic:nvPicPr>
                  <pic:blipFill>
                    <a:blip r:embed="rId12">
                      <a:extLst>
                        <a:ext uri="{28A0092B-C50C-407E-A947-70E740481C1C}">
                          <a14:useLocalDpi xmlns:a14="http://schemas.microsoft.com/office/drawing/2010/main" val="0"/>
                        </a:ext>
                      </a:extLst>
                    </a:blip>
                    <a:stretch>
                      <a:fillRect/>
                    </a:stretch>
                  </pic:blipFill>
                  <pic:spPr>
                    <a:xfrm>
                      <a:off x="0" y="0"/>
                      <a:ext cx="2143424" cy="819264"/>
                    </a:xfrm>
                    <a:prstGeom prst="rect">
                      <a:avLst/>
                    </a:prstGeom>
                  </pic:spPr>
                </pic:pic>
              </a:graphicData>
            </a:graphic>
          </wp:inline>
        </w:drawing>
      </w:r>
      <w:r w:rsidR="00DF4C24">
        <w:br w:type="page"/>
      </w:r>
      <w:r w:rsidR="00E07C58" w:rsidRPr="00562FFC">
        <w:rPr>
          <w:b/>
          <w:sz w:val="40"/>
        </w:rPr>
        <w:lastRenderedPageBreak/>
        <w:t>Contents</w:t>
      </w:r>
    </w:p>
    <w:p w14:paraId="55F1D9DF" w14:textId="51199B81" w:rsidR="00562FFC" w:rsidRDefault="00A55E0E">
      <w:pPr>
        <w:pStyle w:val="TOC1"/>
        <w:rPr>
          <w:rFonts w:asciiTheme="minorHAnsi" w:eastAsiaTheme="minorEastAsia" w:hAnsiTheme="minorHAnsi" w:cstheme="minorBidi"/>
          <w:b w:val="0"/>
          <w:color w:val="auto"/>
          <w:sz w:val="22"/>
          <w:szCs w:val="22"/>
          <w:lang w:eastAsia="en-AU"/>
        </w:rPr>
      </w:pPr>
      <w:r>
        <w:rPr>
          <w:b w:val="0"/>
        </w:rPr>
        <w:fldChar w:fldCharType="begin"/>
      </w:r>
      <w:r>
        <w:rPr>
          <w:b w:val="0"/>
        </w:rPr>
        <w:instrText xml:space="preserve"> TOC \o "1-3" \h \z \u </w:instrText>
      </w:r>
      <w:r>
        <w:rPr>
          <w:b w:val="0"/>
        </w:rPr>
        <w:fldChar w:fldCharType="separate"/>
      </w:r>
      <w:hyperlink w:anchor="_Toc116039890" w:history="1">
        <w:r w:rsidR="00562FFC" w:rsidRPr="00CC65C3">
          <w:rPr>
            <w:rStyle w:val="Hyperlink"/>
          </w:rPr>
          <w:t>Acknowledgements</w:t>
        </w:r>
        <w:r w:rsidR="00562FFC">
          <w:rPr>
            <w:webHidden/>
          </w:rPr>
          <w:tab/>
        </w:r>
        <w:r w:rsidR="00562FFC">
          <w:rPr>
            <w:webHidden/>
          </w:rPr>
          <w:fldChar w:fldCharType="begin"/>
        </w:r>
        <w:r w:rsidR="00562FFC">
          <w:rPr>
            <w:webHidden/>
          </w:rPr>
          <w:instrText xml:space="preserve"> PAGEREF _Toc116039890 \h </w:instrText>
        </w:r>
        <w:r w:rsidR="00562FFC">
          <w:rPr>
            <w:webHidden/>
          </w:rPr>
        </w:r>
        <w:r w:rsidR="00562FFC">
          <w:rPr>
            <w:webHidden/>
          </w:rPr>
          <w:fldChar w:fldCharType="separate"/>
        </w:r>
        <w:r w:rsidR="00562FFC">
          <w:rPr>
            <w:webHidden/>
          </w:rPr>
          <w:t>vi</w:t>
        </w:r>
        <w:r w:rsidR="00562FFC">
          <w:rPr>
            <w:webHidden/>
          </w:rPr>
          <w:fldChar w:fldCharType="end"/>
        </w:r>
      </w:hyperlink>
    </w:p>
    <w:p w14:paraId="3A4016DB" w14:textId="598B2654" w:rsidR="00562FFC" w:rsidRDefault="0067537F">
      <w:pPr>
        <w:pStyle w:val="TOC2"/>
        <w:rPr>
          <w:rFonts w:asciiTheme="minorHAnsi" w:eastAsiaTheme="minorEastAsia" w:hAnsiTheme="minorHAnsi" w:cstheme="minorBidi"/>
          <w:noProof/>
          <w:color w:val="auto"/>
          <w:sz w:val="22"/>
          <w:szCs w:val="22"/>
          <w:lang w:eastAsia="en-AU"/>
        </w:rPr>
      </w:pPr>
      <w:hyperlink w:anchor="_Toc116039891" w:history="1">
        <w:r w:rsidR="00562FFC" w:rsidRPr="00CC65C3">
          <w:rPr>
            <w:rStyle w:val="Hyperlink"/>
            <w:noProof/>
          </w:rPr>
          <w:t>1. Introduction</w:t>
        </w:r>
        <w:r w:rsidR="00562FFC">
          <w:rPr>
            <w:noProof/>
            <w:webHidden/>
          </w:rPr>
          <w:tab/>
        </w:r>
        <w:r w:rsidR="00562FFC">
          <w:rPr>
            <w:noProof/>
            <w:webHidden/>
          </w:rPr>
          <w:fldChar w:fldCharType="begin"/>
        </w:r>
        <w:r w:rsidR="00562FFC">
          <w:rPr>
            <w:noProof/>
            <w:webHidden/>
          </w:rPr>
          <w:instrText xml:space="preserve"> PAGEREF _Toc116039891 \h </w:instrText>
        </w:r>
        <w:r w:rsidR="00562FFC">
          <w:rPr>
            <w:noProof/>
            <w:webHidden/>
          </w:rPr>
        </w:r>
        <w:r w:rsidR="00562FFC">
          <w:rPr>
            <w:noProof/>
            <w:webHidden/>
          </w:rPr>
          <w:fldChar w:fldCharType="separate"/>
        </w:r>
        <w:r w:rsidR="00562FFC">
          <w:rPr>
            <w:noProof/>
            <w:webHidden/>
          </w:rPr>
          <w:t>7</w:t>
        </w:r>
        <w:r w:rsidR="00562FFC">
          <w:rPr>
            <w:noProof/>
            <w:webHidden/>
          </w:rPr>
          <w:fldChar w:fldCharType="end"/>
        </w:r>
      </w:hyperlink>
    </w:p>
    <w:p w14:paraId="47B9970A" w14:textId="357BE4EF" w:rsidR="00562FFC" w:rsidRDefault="0067537F">
      <w:pPr>
        <w:pStyle w:val="TOC2"/>
        <w:rPr>
          <w:rFonts w:asciiTheme="minorHAnsi" w:eastAsiaTheme="minorEastAsia" w:hAnsiTheme="minorHAnsi" w:cstheme="minorBidi"/>
          <w:noProof/>
          <w:color w:val="auto"/>
          <w:sz w:val="22"/>
          <w:szCs w:val="22"/>
          <w:lang w:eastAsia="en-AU"/>
        </w:rPr>
      </w:pPr>
      <w:hyperlink w:anchor="_Toc116039892" w:history="1">
        <w:r w:rsidR="00562FFC" w:rsidRPr="00CC65C3">
          <w:rPr>
            <w:rStyle w:val="Hyperlink"/>
            <w:noProof/>
          </w:rPr>
          <w:t>2. Labour market outcomes</w:t>
        </w:r>
        <w:r w:rsidR="00562FFC">
          <w:rPr>
            <w:noProof/>
            <w:webHidden/>
          </w:rPr>
          <w:tab/>
        </w:r>
        <w:r w:rsidR="00562FFC">
          <w:rPr>
            <w:noProof/>
            <w:webHidden/>
          </w:rPr>
          <w:fldChar w:fldCharType="begin"/>
        </w:r>
        <w:r w:rsidR="00562FFC">
          <w:rPr>
            <w:noProof/>
            <w:webHidden/>
          </w:rPr>
          <w:instrText xml:space="preserve"> PAGEREF _Toc116039892 \h </w:instrText>
        </w:r>
        <w:r w:rsidR="00562FFC">
          <w:rPr>
            <w:noProof/>
            <w:webHidden/>
          </w:rPr>
        </w:r>
        <w:r w:rsidR="00562FFC">
          <w:rPr>
            <w:noProof/>
            <w:webHidden/>
          </w:rPr>
          <w:fldChar w:fldCharType="separate"/>
        </w:r>
        <w:r w:rsidR="00562FFC">
          <w:rPr>
            <w:noProof/>
            <w:webHidden/>
          </w:rPr>
          <w:t>7</w:t>
        </w:r>
        <w:r w:rsidR="00562FFC">
          <w:rPr>
            <w:noProof/>
            <w:webHidden/>
          </w:rPr>
          <w:fldChar w:fldCharType="end"/>
        </w:r>
      </w:hyperlink>
    </w:p>
    <w:p w14:paraId="35E43F6A" w14:textId="53F0CCAC" w:rsidR="00562FFC" w:rsidRDefault="0067537F">
      <w:pPr>
        <w:pStyle w:val="TOC3"/>
        <w:rPr>
          <w:rFonts w:asciiTheme="minorHAnsi" w:eastAsiaTheme="minorEastAsia" w:hAnsiTheme="minorHAnsi" w:cstheme="minorBidi"/>
          <w:color w:val="auto"/>
          <w:sz w:val="22"/>
          <w:szCs w:val="22"/>
          <w:lang w:eastAsia="en-AU"/>
        </w:rPr>
      </w:pPr>
      <w:hyperlink w:anchor="_Toc116039893" w:history="1">
        <w:r w:rsidR="00562FFC" w:rsidRPr="00CC65C3">
          <w:rPr>
            <w:rStyle w:val="Hyperlink"/>
          </w:rPr>
          <w:t xml:space="preserve">2.1 </w:t>
        </w:r>
        <w:r w:rsidR="00562FFC">
          <w:rPr>
            <w:rFonts w:asciiTheme="minorHAnsi" w:eastAsiaTheme="minorEastAsia" w:hAnsiTheme="minorHAnsi" w:cstheme="minorBidi"/>
            <w:color w:val="auto"/>
            <w:sz w:val="22"/>
            <w:szCs w:val="22"/>
            <w:lang w:eastAsia="en-AU"/>
          </w:rPr>
          <w:tab/>
        </w:r>
        <w:r w:rsidR="00562FFC" w:rsidRPr="00CC65C3">
          <w:rPr>
            <w:rStyle w:val="Hyperlink"/>
          </w:rPr>
          <w:t>Undergraduate employment</w:t>
        </w:r>
        <w:r w:rsidR="00562FFC">
          <w:rPr>
            <w:webHidden/>
          </w:rPr>
          <w:tab/>
        </w:r>
        <w:r w:rsidR="00562FFC">
          <w:rPr>
            <w:webHidden/>
          </w:rPr>
          <w:fldChar w:fldCharType="begin"/>
        </w:r>
        <w:r w:rsidR="00562FFC">
          <w:rPr>
            <w:webHidden/>
          </w:rPr>
          <w:instrText xml:space="preserve"> PAGEREF _Toc116039893 \h </w:instrText>
        </w:r>
        <w:r w:rsidR="00562FFC">
          <w:rPr>
            <w:webHidden/>
          </w:rPr>
        </w:r>
        <w:r w:rsidR="00562FFC">
          <w:rPr>
            <w:webHidden/>
          </w:rPr>
          <w:fldChar w:fldCharType="separate"/>
        </w:r>
        <w:r w:rsidR="00562FFC">
          <w:rPr>
            <w:webHidden/>
          </w:rPr>
          <w:t>7</w:t>
        </w:r>
        <w:r w:rsidR="00562FFC">
          <w:rPr>
            <w:webHidden/>
          </w:rPr>
          <w:fldChar w:fldCharType="end"/>
        </w:r>
      </w:hyperlink>
    </w:p>
    <w:p w14:paraId="106184C0" w14:textId="7189B8C1" w:rsidR="00562FFC" w:rsidRDefault="0067537F">
      <w:pPr>
        <w:pStyle w:val="TOC3"/>
        <w:rPr>
          <w:rFonts w:asciiTheme="minorHAnsi" w:eastAsiaTheme="minorEastAsia" w:hAnsiTheme="minorHAnsi" w:cstheme="minorBidi"/>
          <w:color w:val="auto"/>
          <w:sz w:val="22"/>
          <w:szCs w:val="22"/>
          <w:lang w:eastAsia="en-AU"/>
        </w:rPr>
      </w:pPr>
      <w:hyperlink w:anchor="_Toc116039894" w:history="1">
        <w:r w:rsidR="00562FFC" w:rsidRPr="00CC65C3">
          <w:rPr>
            <w:rStyle w:val="Hyperlink"/>
          </w:rPr>
          <w:t xml:space="preserve">2.2 </w:t>
        </w:r>
        <w:r w:rsidR="00562FFC">
          <w:rPr>
            <w:rFonts w:asciiTheme="minorHAnsi" w:eastAsiaTheme="minorEastAsia" w:hAnsiTheme="minorHAnsi" w:cstheme="minorBidi"/>
            <w:color w:val="auto"/>
            <w:sz w:val="22"/>
            <w:szCs w:val="22"/>
            <w:lang w:eastAsia="en-AU"/>
          </w:rPr>
          <w:tab/>
        </w:r>
        <w:r w:rsidR="00562FFC" w:rsidRPr="00CC65C3">
          <w:rPr>
            <w:rStyle w:val="Hyperlink"/>
          </w:rPr>
          <w:t>Study level</w:t>
        </w:r>
        <w:r w:rsidR="00562FFC">
          <w:rPr>
            <w:webHidden/>
          </w:rPr>
          <w:tab/>
        </w:r>
        <w:r w:rsidR="00562FFC">
          <w:rPr>
            <w:webHidden/>
          </w:rPr>
          <w:fldChar w:fldCharType="begin"/>
        </w:r>
        <w:r w:rsidR="00562FFC">
          <w:rPr>
            <w:webHidden/>
          </w:rPr>
          <w:instrText xml:space="preserve"> PAGEREF _Toc116039894 \h </w:instrText>
        </w:r>
        <w:r w:rsidR="00562FFC">
          <w:rPr>
            <w:webHidden/>
          </w:rPr>
        </w:r>
        <w:r w:rsidR="00562FFC">
          <w:rPr>
            <w:webHidden/>
          </w:rPr>
          <w:fldChar w:fldCharType="separate"/>
        </w:r>
        <w:r w:rsidR="00562FFC">
          <w:rPr>
            <w:webHidden/>
          </w:rPr>
          <w:t>9</w:t>
        </w:r>
        <w:r w:rsidR="00562FFC">
          <w:rPr>
            <w:webHidden/>
          </w:rPr>
          <w:fldChar w:fldCharType="end"/>
        </w:r>
      </w:hyperlink>
    </w:p>
    <w:p w14:paraId="082E78EB" w14:textId="0E011ACD" w:rsidR="00562FFC" w:rsidRDefault="0067537F">
      <w:pPr>
        <w:pStyle w:val="TOC3"/>
        <w:rPr>
          <w:rFonts w:asciiTheme="minorHAnsi" w:eastAsiaTheme="minorEastAsia" w:hAnsiTheme="minorHAnsi" w:cstheme="minorBidi"/>
          <w:color w:val="auto"/>
          <w:sz w:val="22"/>
          <w:szCs w:val="22"/>
          <w:lang w:eastAsia="en-AU"/>
        </w:rPr>
      </w:pPr>
      <w:hyperlink w:anchor="_Toc116039895" w:history="1">
        <w:r w:rsidR="00562FFC" w:rsidRPr="00CC65C3">
          <w:rPr>
            <w:rStyle w:val="Hyperlink"/>
          </w:rPr>
          <w:t xml:space="preserve">2.3 </w:t>
        </w:r>
        <w:r w:rsidR="00562FFC">
          <w:rPr>
            <w:rFonts w:asciiTheme="minorHAnsi" w:eastAsiaTheme="minorEastAsia" w:hAnsiTheme="minorHAnsi" w:cstheme="minorBidi"/>
            <w:color w:val="auto"/>
            <w:sz w:val="22"/>
            <w:szCs w:val="22"/>
            <w:lang w:eastAsia="en-AU"/>
          </w:rPr>
          <w:tab/>
        </w:r>
        <w:r w:rsidR="00562FFC" w:rsidRPr="00CC65C3">
          <w:rPr>
            <w:rStyle w:val="Hyperlink"/>
          </w:rPr>
          <w:t>Time series</w:t>
        </w:r>
        <w:r w:rsidR="00562FFC">
          <w:rPr>
            <w:webHidden/>
          </w:rPr>
          <w:tab/>
        </w:r>
        <w:r w:rsidR="00562FFC">
          <w:rPr>
            <w:webHidden/>
          </w:rPr>
          <w:fldChar w:fldCharType="begin"/>
        </w:r>
        <w:r w:rsidR="00562FFC">
          <w:rPr>
            <w:webHidden/>
          </w:rPr>
          <w:instrText xml:space="preserve"> PAGEREF _Toc116039895 \h </w:instrText>
        </w:r>
        <w:r w:rsidR="00562FFC">
          <w:rPr>
            <w:webHidden/>
          </w:rPr>
        </w:r>
        <w:r w:rsidR="00562FFC">
          <w:rPr>
            <w:webHidden/>
          </w:rPr>
          <w:fldChar w:fldCharType="separate"/>
        </w:r>
        <w:r w:rsidR="00562FFC">
          <w:rPr>
            <w:webHidden/>
          </w:rPr>
          <w:t>10</w:t>
        </w:r>
        <w:r w:rsidR="00562FFC">
          <w:rPr>
            <w:webHidden/>
          </w:rPr>
          <w:fldChar w:fldCharType="end"/>
        </w:r>
      </w:hyperlink>
    </w:p>
    <w:p w14:paraId="79E18790" w14:textId="7C71B841" w:rsidR="00562FFC" w:rsidRDefault="0067537F">
      <w:pPr>
        <w:pStyle w:val="TOC3"/>
        <w:rPr>
          <w:rFonts w:asciiTheme="minorHAnsi" w:eastAsiaTheme="minorEastAsia" w:hAnsiTheme="minorHAnsi" w:cstheme="minorBidi"/>
          <w:color w:val="auto"/>
          <w:sz w:val="22"/>
          <w:szCs w:val="22"/>
          <w:lang w:eastAsia="en-AU"/>
        </w:rPr>
      </w:pPr>
      <w:hyperlink w:anchor="_Toc116039896" w:history="1">
        <w:r w:rsidR="00562FFC" w:rsidRPr="00CC65C3">
          <w:rPr>
            <w:rStyle w:val="Hyperlink"/>
          </w:rPr>
          <w:t xml:space="preserve">2.4 </w:t>
        </w:r>
        <w:r w:rsidR="00562FFC">
          <w:rPr>
            <w:rFonts w:asciiTheme="minorHAnsi" w:eastAsiaTheme="minorEastAsia" w:hAnsiTheme="minorHAnsi" w:cstheme="minorBidi"/>
            <w:color w:val="auto"/>
            <w:sz w:val="22"/>
            <w:szCs w:val="22"/>
            <w:lang w:eastAsia="en-AU"/>
          </w:rPr>
          <w:tab/>
        </w:r>
        <w:r w:rsidR="00562FFC" w:rsidRPr="00CC65C3">
          <w:rPr>
            <w:rStyle w:val="Hyperlink"/>
          </w:rPr>
          <w:t>Underemployment</w:t>
        </w:r>
        <w:r w:rsidR="00562FFC">
          <w:rPr>
            <w:webHidden/>
          </w:rPr>
          <w:tab/>
        </w:r>
        <w:r w:rsidR="00562FFC">
          <w:rPr>
            <w:webHidden/>
          </w:rPr>
          <w:fldChar w:fldCharType="begin"/>
        </w:r>
        <w:r w:rsidR="00562FFC">
          <w:rPr>
            <w:webHidden/>
          </w:rPr>
          <w:instrText xml:space="preserve"> PAGEREF _Toc116039896 \h </w:instrText>
        </w:r>
        <w:r w:rsidR="00562FFC">
          <w:rPr>
            <w:webHidden/>
          </w:rPr>
        </w:r>
        <w:r w:rsidR="00562FFC">
          <w:rPr>
            <w:webHidden/>
          </w:rPr>
          <w:fldChar w:fldCharType="separate"/>
        </w:r>
        <w:r w:rsidR="00562FFC">
          <w:rPr>
            <w:webHidden/>
          </w:rPr>
          <w:t>11</w:t>
        </w:r>
        <w:r w:rsidR="00562FFC">
          <w:rPr>
            <w:webHidden/>
          </w:rPr>
          <w:fldChar w:fldCharType="end"/>
        </w:r>
      </w:hyperlink>
    </w:p>
    <w:p w14:paraId="5C1AA85B" w14:textId="1703FB31" w:rsidR="00562FFC" w:rsidRDefault="0067537F">
      <w:pPr>
        <w:pStyle w:val="TOC3"/>
        <w:rPr>
          <w:rFonts w:asciiTheme="minorHAnsi" w:eastAsiaTheme="minorEastAsia" w:hAnsiTheme="minorHAnsi" w:cstheme="minorBidi"/>
          <w:color w:val="auto"/>
          <w:sz w:val="22"/>
          <w:szCs w:val="22"/>
          <w:lang w:eastAsia="en-AU"/>
        </w:rPr>
      </w:pPr>
      <w:hyperlink w:anchor="_Toc116039897" w:history="1">
        <w:r w:rsidR="00562FFC" w:rsidRPr="00CC65C3">
          <w:rPr>
            <w:rStyle w:val="Hyperlink"/>
          </w:rPr>
          <w:t xml:space="preserve">2.5 </w:t>
        </w:r>
        <w:r w:rsidR="00562FFC">
          <w:rPr>
            <w:rFonts w:asciiTheme="minorHAnsi" w:eastAsiaTheme="minorEastAsia" w:hAnsiTheme="minorHAnsi" w:cstheme="minorBidi"/>
            <w:color w:val="auto"/>
            <w:sz w:val="22"/>
            <w:szCs w:val="22"/>
            <w:lang w:eastAsia="en-AU"/>
          </w:rPr>
          <w:tab/>
        </w:r>
        <w:r w:rsidR="00562FFC" w:rsidRPr="00CC65C3">
          <w:rPr>
            <w:rStyle w:val="Hyperlink"/>
          </w:rPr>
          <w:t>Demographic group</w:t>
        </w:r>
        <w:r w:rsidR="00562FFC">
          <w:rPr>
            <w:webHidden/>
          </w:rPr>
          <w:tab/>
        </w:r>
        <w:r w:rsidR="00562FFC">
          <w:rPr>
            <w:webHidden/>
          </w:rPr>
          <w:fldChar w:fldCharType="begin"/>
        </w:r>
        <w:r w:rsidR="00562FFC">
          <w:rPr>
            <w:webHidden/>
          </w:rPr>
          <w:instrText xml:space="preserve"> PAGEREF _Toc116039897 \h </w:instrText>
        </w:r>
        <w:r w:rsidR="00562FFC">
          <w:rPr>
            <w:webHidden/>
          </w:rPr>
        </w:r>
        <w:r w:rsidR="00562FFC">
          <w:rPr>
            <w:webHidden/>
          </w:rPr>
          <w:fldChar w:fldCharType="separate"/>
        </w:r>
        <w:r w:rsidR="00562FFC">
          <w:rPr>
            <w:webHidden/>
          </w:rPr>
          <w:t>12</w:t>
        </w:r>
        <w:r w:rsidR="00562FFC">
          <w:rPr>
            <w:webHidden/>
          </w:rPr>
          <w:fldChar w:fldCharType="end"/>
        </w:r>
      </w:hyperlink>
    </w:p>
    <w:p w14:paraId="05B98D71" w14:textId="55C268AE" w:rsidR="00562FFC" w:rsidRDefault="0067537F">
      <w:pPr>
        <w:pStyle w:val="TOC3"/>
        <w:rPr>
          <w:rFonts w:asciiTheme="minorHAnsi" w:eastAsiaTheme="minorEastAsia" w:hAnsiTheme="minorHAnsi" w:cstheme="minorBidi"/>
          <w:color w:val="auto"/>
          <w:sz w:val="22"/>
          <w:szCs w:val="22"/>
          <w:lang w:eastAsia="en-AU"/>
        </w:rPr>
      </w:pPr>
      <w:hyperlink w:anchor="_Toc116039898" w:history="1">
        <w:r w:rsidR="00562FFC" w:rsidRPr="00CC65C3">
          <w:rPr>
            <w:rStyle w:val="Hyperlink"/>
          </w:rPr>
          <w:t xml:space="preserve">2.6 </w:t>
        </w:r>
        <w:r w:rsidR="00562FFC">
          <w:rPr>
            <w:rFonts w:asciiTheme="minorHAnsi" w:eastAsiaTheme="minorEastAsia" w:hAnsiTheme="minorHAnsi" w:cstheme="minorBidi"/>
            <w:color w:val="auto"/>
            <w:sz w:val="22"/>
            <w:szCs w:val="22"/>
            <w:lang w:eastAsia="en-AU"/>
          </w:rPr>
          <w:tab/>
        </w:r>
        <w:r w:rsidR="00562FFC" w:rsidRPr="00CC65C3">
          <w:rPr>
            <w:rStyle w:val="Hyperlink"/>
          </w:rPr>
          <w:t>Study area</w:t>
        </w:r>
        <w:r w:rsidR="00562FFC">
          <w:rPr>
            <w:webHidden/>
          </w:rPr>
          <w:tab/>
        </w:r>
        <w:r w:rsidR="00562FFC">
          <w:rPr>
            <w:webHidden/>
          </w:rPr>
          <w:fldChar w:fldCharType="begin"/>
        </w:r>
        <w:r w:rsidR="00562FFC">
          <w:rPr>
            <w:webHidden/>
          </w:rPr>
          <w:instrText xml:space="preserve"> PAGEREF _Toc116039898 \h </w:instrText>
        </w:r>
        <w:r w:rsidR="00562FFC">
          <w:rPr>
            <w:webHidden/>
          </w:rPr>
        </w:r>
        <w:r w:rsidR="00562FFC">
          <w:rPr>
            <w:webHidden/>
          </w:rPr>
          <w:fldChar w:fldCharType="separate"/>
        </w:r>
        <w:r w:rsidR="00562FFC">
          <w:rPr>
            <w:webHidden/>
          </w:rPr>
          <w:t>14</w:t>
        </w:r>
        <w:r w:rsidR="00562FFC">
          <w:rPr>
            <w:webHidden/>
          </w:rPr>
          <w:fldChar w:fldCharType="end"/>
        </w:r>
      </w:hyperlink>
    </w:p>
    <w:p w14:paraId="3A73EE7C" w14:textId="1617C040" w:rsidR="00562FFC" w:rsidRDefault="0067537F">
      <w:pPr>
        <w:pStyle w:val="TOC3"/>
        <w:rPr>
          <w:rFonts w:asciiTheme="minorHAnsi" w:eastAsiaTheme="minorEastAsia" w:hAnsiTheme="minorHAnsi" w:cstheme="minorBidi"/>
          <w:color w:val="auto"/>
          <w:sz w:val="22"/>
          <w:szCs w:val="22"/>
          <w:lang w:eastAsia="en-AU"/>
        </w:rPr>
      </w:pPr>
      <w:hyperlink w:anchor="_Toc116039899" w:history="1">
        <w:r w:rsidR="00562FFC" w:rsidRPr="00CC65C3">
          <w:rPr>
            <w:rStyle w:val="Hyperlink"/>
          </w:rPr>
          <w:t xml:space="preserve">2.7 </w:t>
        </w:r>
        <w:r w:rsidR="00562FFC">
          <w:rPr>
            <w:rFonts w:asciiTheme="minorHAnsi" w:eastAsiaTheme="minorEastAsia" w:hAnsiTheme="minorHAnsi" w:cstheme="minorBidi"/>
            <w:color w:val="auto"/>
            <w:sz w:val="22"/>
            <w:szCs w:val="22"/>
            <w:lang w:eastAsia="en-AU"/>
          </w:rPr>
          <w:tab/>
        </w:r>
        <w:r w:rsidR="00562FFC" w:rsidRPr="00CC65C3">
          <w:rPr>
            <w:rStyle w:val="Hyperlink"/>
          </w:rPr>
          <w:t>Institution</w:t>
        </w:r>
        <w:r w:rsidR="00562FFC">
          <w:rPr>
            <w:webHidden/>
          </w:rPr>
          <w:tab/>
        </w:r>
        <w:r w:rsidR="00562FFC">
          <w:rPr>
            <w:webHidden/>
          </w:rPr>
          <w:fldChar w:fldCharType="begin"/>
        </w:r>
        <w:r w:rsidR="00562FFC">
          <w:rPr>
            <w:webHidden/>
          </w:rPr>
          <w:instrText xml:space="preserve"> PAGEREF _Toc116039899 \h </w:instrText>
        </w:r>
        <w:r w:rsidR="00562FFC">
          <w:rPr>
            <w:webHidden/>
          </w:rPr>
        </w:r>
        <w:r w:rsidR="00562FFC">
          <w:rPr>
            <w:webHidden/>
          </w:rPr>
          <w:fldChar w:fldCharType="separate"/>
        </w:r>
        <w:r w:rsidR="00562FFC">
          <w:rPr>
            <w:webHidden/>
          </w:rPr>
          <w:t>17</w:t>
        </w:r>
        <w:r w:rsidR="00562FFC">
          <w:rPr>
            <w:webHidden/>
          </w:rPr>
          <w:fldChar w:fldCharType="end"/>
        </w:r>
      </w:hyperlink>
    </w:p>
    <w:p w14:paraId="0C90DB00" w14:textId="169F0EF0" w:rsidR="00562FFC" w:rsidRDefault="0067537F">
      <w:pPr>
        <w:pStyle w:val="TOC3"/>
        <w:rPr>
          <w:rFonts w:asciiTheme="minorHAnsi" w:eastAsiaTheme="minorEastAsia" w:hAnsiTheme="minorHAnsi" w:cstheme="minorBidi"/>
          <w:color w:val="auto"/>
          <w:sz w:val="22"/>
          <w:szCs w:val="22"/>
          <w:lang w:eastAsia="en-AU"/>
        </w:rPr>
      </w:pPr>
      <w:hyperlink w:anchor="_Toc116039900" w:history="1">
        <w:r w:rsidR="00562FFC" w:rsidRPr="00CC65C3">
          <w:rPr>
            <w:rStyle w:val="Hyperlink"/>
          </w:rPr>
          <w:t>2.7.1</w:t>
        </w:r>
        <w:r w:rsidR="00562FFC">
          <w:rPr>
            <w:rFonts w:asciiTheme="minorHAnsi" w:eastAsiaTheme="minorEastAsia" w:hAnsiTheme="minorHAnsi" w:cstheme="minorBidi"/>
            <w:color w:val="auto"/>
            <w:sz w:val="22"/>
            <w:szCs w:val="22"/>
            <w:lang w:eastAsia="en-AU"/>
          </w:rPr>
          <w:tab/>
        </w:r>
        <w:r w:rsidR="00562FFC" w:rsidRPr="00CC65C3">
          <w:rPr>
            <w:rStyle w:val="Hyperlink"/>
          </w:rPr>
          <w:t>Universities</w:t>
        </w:r>
        <w:r w:rsidR="00562FFC">
          <w:rPr>
            <w:webHidden/>
          </w:rPr>
          <w:tab/>
        </w:r>
        <w:r w:rsidR="00562FFC">
          <w:rPr>
            <w:webHidden/>
          </w:rPr>
          <w:fldChar w:fldCharType="begin"/>
        </w:r>
        <w:r w:rsidR="00562FFC">
          <w:rPr>
            <w:webHidden/>
          </w:rPr>
          <w:instrText xml:space="preserve"> PAGEREF _Toc116039900 \h </w:instrText>
        </w:r>
        <w:r w:rsidR="00562FFC">
          <w:rPr>
            <w:webHidden/>
          </w:rPr>
        </w:r>
        <w:r w:rsidR="00562FFC">
          <w:rPr>
            <w:webHidden/>
          </w:rPr>
          <w:fldChar w:fldCharType="separate"/>
        </w:r>
        <w:r w:rsidR="00562FFC">
          <w:rPr>
            <w:webHidden/>
          </w:rPr>
          <w:t>18</w:t>
        </w:r>
        <w:r w:rsidR="00562FFC">
          <w:rPr>
            <w:webHidden/>
          </w:rPr>
          <w:fldChar w:fldCharType="end"/>
        </w:r>
      </w:hyperlink>
    </w:p>
    <w:p w14:paraId="2C2E3B36" w14:textId="622E4CF5" w:rsidR="00562FFC" w:rsidRDefault="0067537F">
      <w:pPr>
        <w:pStyle w:val="TOC3"/>
        <w:rPr>
          <w:rFonts w:asciiTheme="minorHAnsi" w:eastAsiaTheme="minorEastAsia" w:hAnsiTheme="minorHAnsi" w:cstheme="minorBidi"/>
          <w:color w:val="auto"/>
          <w:sz w:val="22"/>
          <w:szCs w:val="22"/>
          <w:lang w:eastAsia="en-AU"/>
        </w:rPr>
      </w:pPr>
      <w:hyperlink w:anchor="_Toc116039901" w:history="1">
        <w:r w:rsidR="00562FFC" w:rsidRPr="00CC65C3">
          <w:rPr>
            <w:rStyle w:val="Hyperlink"/>
          </w:rPr>
          <w:t>2.7.2 NUHEIs</w:t>
        </w:r>
        <w:r w:rsidR="00562FFC">
          <w:rPr>
            <w:webHidden/>
          </w:rPr>
          <w:tab/>
        </w:r>
        <w:r w:rsidR="00562FFC">
          <w:rPr>
            <w:webHidden/>
          </w:rPr>
          <w:fldChar w:fldCharType="begin"/>
        </w:r>
        <w:r w:rsidR="00562FFC">
          <w:rPr>
            <w:webHidden/>
          </w:rPr>
          <w:instrText xml:space="preserve"> PAGEREF _Toc116039901 \h </w:instrText>
        </w:r>
        <w:r w:rsidR="00562FFC">
          <w:rPr>
            <w:webHidden/>
          </w:rPr>
        </w:r>
        <w:r w:rsidR="00562FFC">
          <w:rPr>
            <w:webHidden/>
          </w:rPr>
          <w:fldChar w:fldCharType="separate"/>
        </w:r>
        <w:r w:rsidR="00562FFC">
          <w:rPr>
            <w:webHidden/>
          </w:rPr>
          <w:t>24</w:t>
        </w:r>
        <w:r w:rsidR="00562FFC">
          <w:rPr>
            <w:webHidden/>
          </w:rPr>
          <w:fldChar w:fldCharType="end"/>
        </w:r>
      </w:hyperlink>
    </w:p>
    <w:p w14:paraId="04A2408A" w14:textId="609D9BEF" w:rsidR="00562FFC" w:rsidRDefault="0067537F">
      <w:pPr>
        <w:pStyle w:val="TOC2"/>
        <w:rPr>
          <w:rFonts w:asciiTheme="minorHAnsi" w:eastAsiaTheme="minorEastAsia" w:hAnsiTheme="minorHAnsi" w:cstheme="minorBidi"/>
          <w:noProof/>
          <w:color w:val="auto"/>
          <w:sz w:val="22"/>
          <w:szCs w:val="22"/>
          <w:lang w:eastAsia="en-AU"/>
        </w:rPr>
      </w:pPr>
      <w:hyperlink w:anchor="_Toc116039902" w:history="1">
        <w:r w:rsidR="00562FFC" w:rsidRPr="00CC65C3">
          <w:rPr>
            <w:rStyle w:val="Hyperlink"/>
            <w:noProof/>
          </w:rPr>
          <w:t>3.Skills utilisation</w:t>
        </w:r>
        <w:r w:rsidR="00562FFC">
          <w:rPr>
            <w:noProof/>
            <w:webHidden/>
          </w:rPr>
          <w:tab/>
        </w:r>
        <w:r w:rsidR="00562FFC">
          <w:rPr>
            <w:noProof/>
            <w:webHidden/>
          </w:rPr>
          <w:fldChar w:fldCharType="begin"/>
        </w:r>
        <w:r w:rsidR="00562FFC">
          <w:rPr>
            <w:noProof/>
            <w:webHidden/>
          </w:rPr>
          <w:instrText xml:space="preserve"> PAGEREF _Toc116039902 \h </w:instrText>
        </w:r>
        <w:r w:rsidR="00562FFC">
          <w:rPr>
            <w:noProof/>
            <w:webHidden/>
          </w:rPr>
        </w:r>
        <w:r w:rsidR="00562FFC">
          <w:rPr>
            <w:noProof/>
            <w:webHidden/>
          </w:rPr>
          <w:fldChar w:fldCharType="separate"/>
        </w:r>
        <w:r w:rsidR="00562FFC">
          <w:rPr>
            <w:noProof/>
            <w:webHidden/>
          </w:rPr>
          <w:t>28</w:t>
        </w:r>
        <w:r w:rsidR="00562FFC">
          <w:rPr>
            <w:noProof/>
            <w:webHidden/>
          </w:rPr>
          <w:fldChar w:fldCharType="end"/>
        </w:r>
      </w:hyperlink>
    </w:p>
    <w:p w14:paraId="5F92B144" w14:textId="6963E674" w:rsidR="00562FFC" w:rsidRDefault="0067537F">
      <w:pPr>
        <w:pStyle w:val="TOC2"/>
        <w:rPr>
          <w:rFonts w:asciiTheme="minorHAnsi" w:eastAsiaTheme="minorEastAsia" w:hAnsiTheme="minorHAnsi" w:cstheme="minorBidi"/>
          <w:noProof/>
          <w:color w:val="auto"/>
          <w:sz w:val="22"/>
          <w:szCs w:val="22"/>
          <w:lang w:eastAsia="en-AU"/>
        </w:rPr>
      </w:pPr>
      <w:hyperlink w:anchor="_Toc116039903" w:history="1">
        <w:r w:rsidR="00562FFC" w:rsidRPr="00CC65C3">
          <w:rPr>
            <w:rStyle w:val="Hyperlink"/>
            <w:noProof/>
          </w:rPr>
          <w:t>4. Further study</w:t>
        </w:r>
        <w:r w:rsidR="00562FFC">
          <w:rPr>
            <w:noProof/>
            <w:webHidden/>
          </w:rPr>
          <w:tab/>
        </w:r>
        <w:r w:rsidR="00562FFC">
          <w:rPr>
            <w:noProof/>
            <w:webHidden/>
          </w:rPr>
          <w:fldChar w:fldCharType="begin"/>
        </w:r>
        <w:r w:rsidR="00562FFC">
          <w:rPr>
            <w:noProof/>
            <w:webHidden/>
          </w:rPr>
          <w:instrText xml:space="preserve"> PAGEREF _Toc116039903 \h </w:instrText>
        </w:r>
        <w:r w:rsidR="00562FFC">
          <w:rPr>
            <w:noProof/>
            <w:webHidden/>
          </w:rPr>
        </w:r>
        <w:r w:rsidR="00562FFC">
          <w:rPr>
            <w:noProof/>
            <w:webHidden/>
          </w:rPr>
          <w:fldChar w:fldCharType="separate"/>
        </w:r>
        <w:r w:rsidR="00562FFC">
          <w:rPr>
            <w:noProof/>
            <w:webHidden/>
          </w:rPr>
          <w:t>29</w:t>
        </w:r>
        <w:r w:rsidR="00562FFC">
          <w:rPr>
            <w:noProof/>
            <w:webHidden/>
          </w:rPr>
          <w:fldChar w:fldCharType="end"/>
        </w:r>
      </w:hyperlink>
    </w:p>
    <w:p w14:paraId="19A77451" w14:textId="0168027E" w:rsidR="00562FFC" w:rsidRDefault="0067537F">
      <w:pPr>
        <w:pStyle w:val="TOC2"/>
        <w:rPr>
          <w:rFonts w:asciiTheme="minorHAnsi" w:eastAsiaTheme="minorEastAsia" w:hAnsiTheme="minorHAnsi" w:cstheme="minorBidi"/>
          <w:noProof/>
          <w:color w:val="auto"/>
          <w:sz w:val="22"/>
          <w:szCs w:val="22"/>
          <w:lang w:eastAsia="en-AU"/>
        </w:rPr>
      </w:pPr>
      <w:hyperlink w:anchor="_Toc116039904" w:history="1">
        <w:r w:rsidR="00562FFC" w:rsidRPr="00CC65C3">
          <w:rPr>
            <w:rStyle w:val="Hyperlink"/>
            <w:noProof/>
          </w:rPr>
          <w:t>5. Satisfaction</w:t>
        </w:r>
        <w:r w:rsidR="00562FFC">
          <w:rPr>
            <w:noProof/>
            <w:webHidden/>
          </w:rPr>
          <w:tab/>
        </w:r>
        <w:r w:rsidR="00562FFC">
          <w:rPr>
            <w:noProof/>
            <w:webHidden/>
          </w:rPr>
          <w:fldChar w:fldCharType="begin"/>
        </w:r>
        <w:r w:rsidR="00562FFC">
          <w:rPr>
            <w:noProof/>
            <w:webHidden/>
          </w:rPr>
          <w:instrText xml:space="preserve"> PAGEREF _Toc116039904 \h </w:instrText>
        </w:r>
        <w:r w:rsidR="00562FFC">
          <w:rPr>
            <w:noProof/>
            <w:webHidden/>
          </w:rPr>
        </w:r>
        <w:r w:rsidR="00562FFC">
          <w:rPr>
            <w:noProof/>
            <w:webHidden/>
          </w:rPr>
          <w:fldChar w:fldCharType="separate"/>
        </w:r>
        <w:r w:rsidR="00562FFC">
          <w:rPr>
            <w:noProof/>
            <w:webHidden/>
          </w:rPr>
          <w:t>31</w:t>
        </w:r>
        <w:r w:rsidR="00562FFC">
          <w:rPr>
            <w:noProof/>
            <w:webHidden/>
          </w:rPr>
          <w:fldChar w:fldCharType="end"/>
        </w:r>
      </w:hyperlink>
    </w:p>
    <w:p w14:paraId="48260F82" w14:textId="78138CA8" w:rsidR="00562FFC" w:rsidRDefault="0067537F">
      <w:pPr>
        <w:pStyle w:val="TOC3"/>
        <w:rPr>
          <w:rFonts w:asciiTheme="minorHAnsi" w:eastAsiaTheme="minorEastAsia" w:hAnsiTheme="minorHAnsi" w:cstheme="minorBidi"/>
          <w:color w:val="auto"/>
          <w:sz w:val="22"/>
          <w:szCs w:val="22"/>
          <w:lang w:eastAsia="en-AU"/>
        </w:rPr>
      </w:pPr>
      <w:hyperlink w:anchor="_Toc116039905" w:history="1">
        <w:r w:rsidR="00562FFC" w:rsidRPr="00CC65C3">
          <w:rPr>
            <w:rStyle w:val="Hyperlink"/>
          </w:rPr>
          <w:t>5.1</w:t>
        </w:r>
        <w:r w:rsidR="00562FFC">
          <w:rPr>
            <w:rFonts w:asciiTheme="minorHAnsi" w:eastAsiaTheme="minorEastAsia" w:hAnsiTheme="minorHAnsi" w:cstheme="minorBidi"/>
            <w:color w:val="auto"/>
            <w:sz w:val="22"/>
            <w:szCs w:val="22"/>
            <w:lang w:eastAsia="en-AU"/>
          </w:rPr>
          <w:tab/>
        </w:r>
        <w:r w:rsidR="00562FFC" w:rsidRPr="00CC65C3">
          <w:rPr>
            <w:rStyle w:val="Hyperlink"/>
          </w:rPr>
          <w:t>Coursework satisfaction</w:t>
        </w:r>
        <w:r w:rsidR="00562FFC">
          <w:rPr>
            <w:webHidden/>
          </w:rPr>
          <w:tab/>
        </w:r>
        <w:r w:rsidR="00562FFC">
          <w:rPr>
            <w:webHidden/>
          </w:rPr>
          <w:fldChar w:fldCharType="begin"/>
        </w:r>
        <w:r w:rsidR="00562FFC">
          <w:rPr>
            <w:webHidden/>
          </w:rPr>
          <w:instrText xml:space="preserve"> PAGEREF _Toc116039905 \h </w:instrText>
        </w:r>
        <w:r w:rsidR="00562FFC">
          <w:rPr>
            <w:webHidden/>
          </w:rPr>
        </w:r>
        <w:r w:rsidR="00562FFC">
          <w:rPr>
            <w:webHidden/>
          </w:rPr>
          <w:fldChar w:fldCharType="separate"/>
        </w:r>
        <w:r w:rsidR="00562FFC">
          <w:rPr>
            <w:webHidden/>
          </w:rPr>
          <w:t>31</w:t>
        </w:r>
        <w:r w:rsidR="00562FFC">
          <w:rPr>
            <w:webHidden/>
          </w:rPr>
          <w:fldChar w:fldCharType="end"/>
        </w:r>
      </w:hyperlink>
    </w:p>
    <w:p w14:paraId="772DBE06" w14:textId="4DC9039A" w:rsidR="00562FFC" w:rsidRDefault="0067537F">
      <w:pPr>
        <w:pStyle w:val="TOC3"/>
        <w:rPr>
          <w:rFonts w:asciiTheme="minorHAnsi" w:eastAsiaTheme="minorEastAsia" w:hAnsiTheme="minorHAnsi" w:cstheme="minorBidi"/>
          <w:color w:val="auto"/>
          <w:sz w:val="22"/>
          <w:szCs w:val="22"/>
          <w:lang w:eastAsia="en-AU"/>
        </w:rPr>
      </w:pPr>
      <w:hyperlink w:anchor="_Toc116039906" w:history="1">
        <w:r w:rsidR="00562FFC" w:rsidRPr="00CC65C3">
          <w:rPr>
            <w:rStyle w:val="Hyperlink"/>
          </w:rPr>
          <w:t xml:space="preserve">5.2 </w:t>
        </w:r>
        <w:r w:rsidR="00562FFC">
          <w:rPr>
            <w:rFonts w:asciiTheme="minorHAnsi" w:eastAsiaTheme="minorEastAsia" w:hAnsiTheme="minorHAnsi" w:cstheme="minorBidi"/>
            <w:color w:val="auto"/>
            <w:sz w:val="22"/>
            <w:szCs w:val="22"/>
            <w:lang w:eastAsia="en-AU"/>
          </w:rPr>
          <w:tab/>
        </w:r>
        <w:r w:rsidR="00562FFC" w:rsidRPr="00CC65C3">
          <w:rPr>
            <w:rStyle w:val="Hyperlink"/>
          </w:rPr>
          <w:t>Postgraduate research satisfaction</w:t>
        </w:r>
        <w:r w:rsidR="00562FFC">
          <w:rPr>
            <w:webHidden/>
          </w:rPr>
          <w:tab/>
        </w:r>
        <w:r w:rsidR="00562FFC">
          <w:rPr>
            <w:webHidden/>
          </w:rPr>
          <w:fldChar w:fldCharType="begin"/>
        </w:r>
        <w:r w:rsidR="00562FFC">
          <w:rPr>
            <w:webHidden/>
          </w:rPr>
          <w:instrText xml:space="preserve"> PAGEREF _Toc116039906 \h </w:instrText>
        </w:r>
        <w:r w:rsidR="00562FFC">
          <w:rPr>
            <w:webHidden/>
          </w:rPr>
        </w:r>
        <w:r w:rsidR="00562FFC">
          <w:rPr>
            <w:webHidden/>
          </w:rPr>
          <w:fldChar w:fldCharType="separate"/>
        </w:r>
        <w:r w:rsidR="00562FFC">
          <w:rPr>
            <w:webHidden/>
          </w:rPr>
          <w:t>33</w:t>
        </w:r>
        <w:r w:rsidR="00562FFC">
          <w:rPr>
            <w:webHidden/>
          </w:rPr>
          <w:fldChar w:fldCharType="end"/>
        </w:r>
      </w:hyperlink>
    </w:p>
    <w:p w14:paraId="30DFD72E" w14:textId="508EB2A8" w:rsidR="00562FFC" w:rsidRDefault="0067537F">
      <w:pPr>
        <w:pStyle w:val="TOC3"/>
        <w:rPr>
          <w:rFonts w:asciiTheme="minorHAnsi" w:eastAsiaTheme="minorEastAsia" w:hAnsiTheme="minorHAnsi" w:cstheme="minorBidi"/>
          <w:color w:val="auto"/>
          <w:sz w:val="22"/>
          <w:szCs w:val="22"/>
          <w:lang w:eastAsia="en-AU"/>
        </w:rPr>
      </w:pPr>
      <w:hyperlink w:anchor="_Toc116039907" w:history="1">
        <w:r w:rsidR="00562FFC" w:rsidRPr="00CC65C3">
          <w:rPr>
            <w:rStyle w:val="Hyperlink"/>
          </w:rPr>
          <w:t xml:space="preserve">5.3 </w:t>
        </w:r>
        <w:r w:rsidR="00562FFC">
          <w:rPr>
            <w:rFonts w:asciiTheme="minorHAnsi" w:eastAsiaTheme="minorEastAsia" w:hAnsiTheme="minorHAnsi" w:cstheme="minorBidi"/>
            <w:color w:val="auto"/>
            <w:sz w:val="22"/>
            <w:szCs w:val="22"/>
            <w:lang w:eastAsia="en-AU"/>
          </w:rPr>
          <w:tab/>
        </w:r>
        <w:r w:rsidR="00562FFC" w:rsidRPr="00CC65C3">
          <w:rPr>
            <w:rStyle w:val="Hyperlink"/>
          </w:rPr>
          <w:t>International benchmarking</w:t>
        </w:r>
        <w:r w:rsidR="00562FFC">
          <w:rPr>
            <w:webHidden/>
          </w:rPr>
          <w:tab/>
        </w:r>
        <w:r w:rsidR="00562FFC">
          <w:rPr>
            <w:webHidden/>
          </w:rPr>
          <w:fldChar w:fldCharType="begin"/>
        </w:r>
        <w:r w:rsidR="00562FFC">
          <w:rPr>
            <w:webHidden/>
          </w:rPr>
          <w:instrText xml:space="preserve"> PAGEREF _Toc116039907 \h </w:instrText>
        </w:r>
        <w:r w:rsidR="00562FFC">
          <w:rPr>
            <w:webHidden/>
          </w:rPr>
        </w:r>
        <w:r w:rsidR="00562FFC">
          <w:rPr>
            <w:webHidden/>
          </w:rPr>
          <w:fldChar w:fldCharType="separate"/>
        </w:r>
        <w:r w:rsidR="00562FFC">
          <w:rPr>
            <w:webHidden/>
          </w:rPr>
          <w:t>34</w:t>
        </w:r>
        <w:r w:rsidR="00562FFC">
          <w:rPr>
            <w:webHidden/>
          </w:rPr>
          <w:fldChar w:fldCharType="end"/>
        </w:r>
      </w:hyperlink>
    </w:p>
    <w:p w14:paraId="164EC1E0" w14:textId="7BA55292" w:rsidR="00562FFC" w:rsidRDefault="0067537F">
      <w:pPr>
        <w:pStyle w:val="TOC1"/>
        <w:rPr>
          <w:rFonts w:asciiTheme="minorHAnsi" w:eastAsiaTheme="minorEastAsia" w:hAnsiTheme="minorHAnsi" w:cstheme="minorBidi"/>
          <w:b w:val="0"/>
          <w:color w:val="auto"/>
          <w:sz w:val="22"/>
          <w:szCs w:val="22"/>
          <w:lang w:eastAsia="en-AU"/>
        </w:rPr>
      </w:pPr>
      <w:hyperlink w:anchor="_Toc116039908" w:history="1">
        <w:r w:rsidR="00562FFC" w:rsidRPr="00CC65C3">
          <w:rPr>
            <w:rStyle w:val="Hyperlink"/>
          </w:rPr>
          <w:t>Appendix 1 Methodology</w:t>
        </w:r>
        <w:r w:rsidR="00562FFC">
          <w:rPr>
            <w:webHidden/>
          </w:rPr>
          <w:tab/>
        </w:r>
        <w:r w:rsidR="00562FFC">
          <w:rPr>
            <w:webHidden/>
          </w:rPr>
          <w:fldChar w:fldCharType="begin"/>
        </w:r>
        <w:r w:rsidR="00562FFC">
          <w:rPr>
            <w:webHidden/>
          </w:rPr>
          <w:instrText xml:space="preserve"> PAGEREF _Toc116039908 \h </w:instrText>
        </w:r>
        <w:r w:rsidR="00562FFC">
          <w:rPr>
            <w:webHidden/>
          </w:rPr>
        </w:r>
        <w:r w:rsidR="00562FFC">
          <w:rPr>
            <w:webHidden/>
          </w:rPr>
          <w:fldChar w:fldCharType="separate"/>
        </w:r>
        <w:r w:rsidR="00562FFC">
          <w:rPr>
            <w:webHidden/>
          </w:rPr>
          <w:t>36</w:t>
        </w:r>
        <w:r w:rsidR="00562FFC">
          <w:rPr>
            <w:webHidden/>
          </w:rPr>
          <w:fldChar w:fldCharType="end"/>
        </w:r>
      </w:hyperlink>
    </w:p>
    <w:p w14:paraId="667070C2" w14:textId="65930A62" w:rsidR="00562FFC" w:rsidRDefault="0067537F">
      <w:pPr>
        <w:pStyle w:val="TOC2"/>
        <w:rPr>
          <w:rFonts w:asciiTheme="minorHAnsi" w:eastAsiaTheme="minorEastAsia" w:hAnsiTheme="minorHAnsi" w:cstheme="minorBidi"/>
          <w:noProof/>
          <w:color w:val="auto"/>
          <w:sz w:val="22"/>
          <w:szCs w:val="22"/>
          <w:lang w:eastAsia="en-AU"/>
        </w:rPr>
      </w:pPr>
      <w:hyperlink w:anchor="_Toc116039909" w:history="1">
        <w:r w:rsidR="00562FFC" w:rsidRPr="00CC65C3">
          <w:rPr>
            <w:rStyle w:val="Hyperlink"/>
            <w:noProof/>
          </w:rPr>
          <w:t>1.1 Methodological summary</w:t>
        </w:r>
        <w:r w:rsidR="00562FFC">
          <w:rPr>
            <w:noProof/>
            <w:webHidden/>
          </w:rPr>
          <w:tab/>
        </w:r>
        <w:r w:rsidR="00562FFC">
          <w:rPr>
            <w:noProof/>
            <w:webHidden/>
          </w:rPr>
          <w:fldChar w:fldCharType="begin"/>
        </w:r>
        <w:r w:rsidR="00562FFC">
          <w:rPr>
            <w:noProof/>
            <w:webHidden/>
          </w:rPr>
          <w:instrText xml:space="preserve"> PAGEREF _Toc116039909 \h </w:instrText>
        </w:r>
        <w:r w:rsidR="00562FFC">
          <w:rPr>
            <w:noProof/>
            <w:webHidden/>
          </w:rPr>
        </w:r>
        <w:r w:rsidR="00562FFC">
          <w:rPr>
            <w:noProof/>
            <w:webHidden/>
          </w:rPr>
          <w:fldChar w:fldCharType="separate"/>
        </w:r>
        <w:r w:rsidR="00562FFC">
          <w:rPr>
            <w:noProof/>
            <w:webHidden/>
          </w:rPr>
          <w:t>36</w:t>
        </w:r>
        <w:r w:rsidR="00562FFC">
          <w:rPr>
            <w:noProof/>
            <w:webHidden/>
          </w:rPr>
          <w:fldChar w:fldCharType="end"/>
        </w:r>
      </w:hyperlink>
    </w:p>
    <w:p w14:paraId="02A2C023" w14:textId="125742AC" w:rsidR="00562FFC" w:rsidRDefault="0067537F">
      <w:pPr>
        <w:pStyle w:val="TOC3"/>
        <w:rPr>
          <w:rFonts w:asciiTheme="minorHAnsi" w:eastAsiaTheme="minorEastAsia" w:hAnsiTheme="minorHAnsi" w:cstheme="minorBidi"/>
          <w:color w:val="auto"/>
          <w:sz w:val="22"/>
          <w:szCs w:val="22"/>
          <w:lang w:eastAsia="en-AU"/>
        </w:rPr>
      </w:pPr>
      <w:hyperlink w:anchor="_Toc116039910" w:history="1">
        <w:r w:rsidR="00562FFC" w:rsidRPr="00CC65C3">
          <w:rPr>
            <w:rStyle w:val="Hyperlink"/>
          </w:rPr>
          <w:t>1.1.1 Overview</w:t>
        </w:r>
        <w:r w:rsidR="00562FFC">
          <w:rPr>
            <w:webHidden/>
          </w:rPr>
          <w:tab/>
        </w:r>
        <w:r w:rsidR="00562FFC">
          <w:rPr>
            <w:webHidden/>
          </w:rPr>
          <w:fldChar w:fldCharType="begin"/>
        </w:r>
        <w:r w:rsidR="00562FFC">
          <w:rPr>
            <w:webHidden/>
          </w:rPr>
          <w:instrText xml:space="preserve"> PAGEREF _Toc116039910 \h </w:instrText>
        </w:r>
        <w:r w:rsidR="00562FFC">
          <w:rPr>
            <w:webHidden/>
          </w:rPr>
        </w:r>
        <w:r w:rsidR="00562FFC">
          <w:rPr>
            <w:webHidden/>
          </w:rPr>
          <w:fldChar w:fldCharType="separate"/>
        </w:r>
        <w:r w:rsidR="00562FFC">
          <w:rPr>
            <w:webHidden/>
          </w:rPr>
          <w:t>36</w:t>
        </w:r>
        <w:r w:rsidR="00562FFC">
          <w:rPr>
            <w:webHidden/>
          </w:rPr>
          <w:fldChar w:fldCharType="end"/>
        </w:r>
      </w:hyperlink>
    </w:p>
    <w:p w14:paraId="38B1A348" w14:textId="31E6B37A" w:rsidR="00562FFC" w:rsidRDefault="0067537F">
      <w:pPr>
        <w:pStyle w:val="TOC3"/>
        <w:rPr>
          <w:rFonts w:asciiTheme="minorHAnsi" w:eastAsiaTheme="minorEastAsia" w:hAnsiTheme="minorHAnsi" w:cstheme="minorBidi"/>
          <w:color w:val="auto"/>
          <w:sz w:val="22"/>
          <w:szCs w:val="22"/>
          <w:lang w:eastAsia="en-AU"/>
        </w:rPr>
      </w:pPr>
      <w:hyperlink w:anchor="_Toc116039911" w:history="1">
        <w:r w:rsidR="00562FFC" w:rsidRPr="00CC65C3">
          <w:rPr>
            <w:rStyle w:val="Hyperlink"/>
          </w:rPr>
          <w:t>1.1.2 Data collection</w:t>
        </w:r>
        <w:r w:rsidR="00562FFC">
          <w:rPr>
            <w:webHidden/>
          </w:rPr>
          <w:tab/>
        </w:r>
        <w:r w:rsidR="00562FFC">
          <w:rPr>
            <w:webHidden/>
          </w:rPr>
          <w:fldChar w:fldCharType="begin"/>
        </w:r>
        <w:r w:rsidR="00562FFC">
          <w:rPr>
            <w:webHidden/>
          </w:rPr>
          <w:instrText xml:space="preserve"> PAGEREF _Toc116039911 \h </w:instrText>
        </w:r>
        <w:r w:rsidR="00562FFC">
          <w:rPr>
            <w:webHidden/>
          </w:rPr>
        </w:r>
        <w:r w:rsidR="00562FFC">
          <w:rPr>
            <w:webHidden/>
          </w:rPr>
          <w:fldChar w:fldCharType="separate"/>
        </w:r>
        <w:r w:rsidR="00562FFC">
          <w:rPr>
            <w:webHidden/>
          </w:rPr>
          <w:t>37</w:t>
        </w:r>
        <w:r w:rsidR="00562FFC">
          <w:rPr>
            <w:webHidden/>
          </w:rPr>
          <w:fldChar w:fldCharType="end"/>
        </w:r>
      </w:hyperlink>
    </w:p>
    <w:p w14:paraId="11D1CD37" w14:textId="1FEF0E59" w:rsidR="00562FFC" w:rsidRDefault="0067537F">
      <w:pPr>
        <w:pStyle w:val="TOC2"/>
        <w:rPr>
          <w:rFonts w:asciiTheme="minorHAnsi" w:eastAsiaTheme="minorEastAsia" w:hAnsiTheme="minorHAnsi" w:cstheme="minorBidi"/>
          <w:noProof/>
          <w:color w:val="auto"/>
          <w:sz w:val="22"/>
          <w:szCs w:val="22"/>
          <w:lang w:eastAsia="en-AU"/>
        </w:rPr>
      </w:pPr>
      <w:hyperlink w:anchor="_Toc116039912" w:history="1">
        <w:r w:rsidR="00562FFC" w:rsidRPr="00CC65C3">
          <w:rPr>
            <w:rStyle w:val="Hyperlink"/>
            <w:noProof/>
          </w:rPr>
          <w:t>1.2 Response rate by course level</w:t>
        </w:r>
        <w:r w:rsidR="00562FFC">
          <w:rPr>
            <w:noProof/>
            <w:webHidden/>
          </w:rPr>
          <w:tab/>
        </w:r>
        <w:r w:rsidR="00562FFC">
          <w:rPr>
            <w:noProof/>
            <w:webHidden/>
          </w:rPr>
          <w:fldChar w:fldCharType="begin"/>
        </w:r>
        <w:r w:rsidR="00562FFC">
          <w:rPr>
            <w:noProof/>
            <w:webHidden/>
          </w:rPr>
          <w:instrText xml:space="preserve"> PAGEREF _Toc116039912 \h </w:instrText>
        </w:r>
        <w:r w:rsidR="00562FFC">
          <w:rPr>
            <w:noProof/>
            <w:webHidden/>
          </w:rPr>
        </w:r>
        <w:r w:rsidR="00562FFC">
          <w:rPr>
            <w:noProof/>
            <w:webHidden/>
          </w:rPr>
          <w:fldChar w:fldCharType="separate"/>
        </w:r>
        <w:r w:rsidR="00562FFC">
          <w:rPr>
            <w:noProof/>
            <w:webHidden/>
          </w:rPr>
          <w:t>38</w:t>
        </w:r>
        <w:r w:rsidR="00562FFC">
          <w:rPr>
            <w:noProof/>
            <w:webHidden/>
          </w:rPr>
          <w:fldChar w:fldCharType="end"/>
        </w:r>
      </w:hyperlink>
    </w:p>
    <w:p w14:paraId="38BA691C" w14:textId="7293D13E" w:rsidR="00562FFC" w:rsidRDefault="0067537F">
      <w:pPr>
        <w:pStyle w:val="TOC2"/>
        <w:rPr>
          <w:rFonts w:asciiTheme="minorHAnsi" w:eastAsiaTheme="minorEastAsia" w:hAnsiTheme="minorHAnsi" w:cstheme="minorBidi"/>
          <w:noProof/>
          <w:color w:val="auto"/>
          <w:sz w:val="22"/>
          <w:szCs w:val="22"/>
          <w:lang w:eastAsia="en-AU"/>
        </w:rPr>
      </w:pPr>
      <w:hyperlink w:anchor="_Toc116039913" w:history="1">
        <w:r w:rsidR="00562FFC" w:rsidRPr="00CC65C3">
          <w:rPr>
            <w:rStyle w:val="Hyperlink"/>
            <w:noProof/>
          </w:rPr>
          <w:t>1.3 Response rate by institution</w:t>
        </w:r>
        <w:r w:rsidR="00562FFC">
          <w:rPr>
            <w:noProof/>
            <w:webHidden/>
          </w:rPr>
          <w:tab/>
        </w:r>
        <w:r w:rsidR="00562FFC">
          <w:rPr>
            <w:noProof/>
            <w:webHidden/>
          </w:rPr>
          <w:fldChar w:fldCharType="begin"/>
        </w:r>
        <w:r w:rsidR="00562FFC">
          <w:rPr>
            <w:noProof/>
            <w:webHidden/>
          </w:rPr>
          <w:instrText xml:space="preserve"> PAGEREF _Toc116039913 \h </w:instrText>
        </w:r>
        <w:r w:rsidR="00562FFC">
          <w:rPr>
            <w:noProof/>
            <w:webHidden/>
          </w:rPr>
        </w:r>
        <w:r w:rsidR="00562FFC">
          <w:rPr>
            <w:noProof/>
            <w:webHidden/>
          </w:rPr>
          <w:fldChar w:fldCharType="separate"/>
        </w:r>
        <w:r w:rsidR="00562FFC">
          <w:rPr>
            <w:noProof/>
            <w:webHidden/>
          </w:rPr>
          <w:t>38</w:t>
        </w:r>
        <w:r w:rsidR="00562FFC">
          <w:rPr>
            <w:noProof/>
            <w:webHidden/>
          </w:rPr>
          <w:fldChar w:fldCharType="end"/>
        </w:r>
      </w:hyperlink>
    </w:p>
    <w:p w14:paraId="625F1E80" w14:textId="45108229" w:rsidR="00562FFC" w:rsidRDefault="0067537F">
      <w:pPr>
        <w:pStyle w:val="TOC2"/>
        <w:rPr>
          <w:rFonts w:asciiTheme="minorHAnsi" w:eastAsiaTheme="minorEastAsia" w:hAnsiTheme="minorHAnsi" w:cstheme="minorBidi"/>
          <w:noProof/>
          <w:color w:val="auto"/>
          <w:sz w:val="22"/>
          <w:szCs w:val="22"/>
          <w:lang w:eastAsia="en-AU"/>
        </w:rPr>
      </w:pPr>
      <w:hyperlink w:anchor="_Toc116039914" w:history="1">
        <w:r w:rsidR="00562FFC" w:rsidRPr="00CC65C3">
          <w:rPr>
            <w:rStyle w:val="Hyperlink"/>
            <w:noProof/>
          </w:rPr>
          <w:t>1.4 Data representativeness</w:t>
        </w:r>
        <w:r w:rsidR="00562FFC">
          <w:rPr>
            <w:noProof/>
            <w:webHidden/>
          </w:rPr>
          <w:tab/>
        </w:r>
        <w:r w:rsidR="00562FFC">
          <w:rPr>
            <w:noProof/>
            <w:webHidden/>
          </w:rPr>
          <w:fldChar w:fldCharType="begin"/>
        </w:r>
        <w:r w:rsidR="00562FFC">
          <w:rPr>
            <w:noProof/>
            <w:webHidden/>
          </w:rPr>
          <w:instrText xml:space="preserve"> PAGEREF _Toc116039914 \h </w:instrText>
        </w:r>
        <w:r w:rsidR="00562FFC">
          <w:rPr>
            <w:noProof/>
            <w:webHidden/>
          </w:rPr>
        </w:r>
        <w:r w:rsidR="00562FFC">
          <w:rPr>
            <w:noProof/>
            <w:webHidden/>
          </w:rPr>
          <w:fldChar w:fldCharType="separate"/>
        </w:r>
        <w:r w:rsidR="00562FFC">
          <w:rPr>
            <w:noProof/>
            <w:webHidden/>
          </w:rPr>
          <w:t>46</w:t>
        </w:r>
        <w:r w:rsidR="00562FFC">
          <w:rPr>
            <w:noProof/>
            <w:webHidden/>
          </w:rPr>
          <w:fldChar w:fldCharType="end"/>
        </w:r>
      </w:hyperlink>
    </w:p>
    <w:p w14:paraId="762211B4" w14:textId="02AE8084" w:rsidR="00562FFC" w:rsidRDefault="0067537F">
      <w:pPr>
        <w:pStyle w:val="TOC1"/>
        <w:rPr>
          <w:rFonts w:asciiTheme="minorHAnsi" w:eastAsiaTheme="minorEastAsia" w:hAnsiTheme="minorHAnsi" w:cstheme="minorBidi"/>
          <w:b w:val="0"/>
          <w:color w:val="auto"/>
          <w:sz w:val="22"/>
          <w:szCs w:val="22"/>
          <w:lang w:eastAsia="en-AU"/>
        </w:rPr>
      </w:pPr>
      <w:hyperlink w:anchor="_Toc116039915" w:history="1">
        <w:r w:rsidR="00562FFC" w:rsidRPr="00CC65C3">
          <w:rPr>
            <w:rStyle w:val="Hyperlink"/>
          </w:rPr>
          <w:t>Appendix 2 Labour market and graduate satisfaction definitions</w:t>
        </w:r>
        <w:r w:rsidR="00562FFC">
          <w:rPr>
            <w:webHidden/>
          </w:rPr>
          <w:tab/>
        </w:r>
        <w:r w:rsidR="00562FFC">
          <w:rPr>
            <w:webHidden/>
          </w:rPr>
          <w:fldChar w:fldCharType="begin"/>
        </w:r>
        <w:r w:rsidR="00562FFC">
          <w:rPr>
            <w:webHidden/>
          </w:rPr>
          <w:instrText xml:space="preserve"> PAGEREF _Toc116039915 \h </w:instrText>
        </w:r>
        <w:r w:rsidR="00562FFC">
          <w:rPr>
            <w:webHidden/>
          </w:rPr>
        </w:r>
        <w:r w:rsidR="00562FFC">
          <w:rPr>
            <w:webHidden/>
          </w:rPr>
          <w:fldChar w:fldCharType="separate"/>
        </w:r>
        <w:r w:rsidR="00562FFC">
          <w:rPr>
            <w:webHidden/>
          </w:rPr>
          <w:t>49</w:t>
        </w:r>
        <w:r w:rsidR="00562FFC">
          <w:rPr>
            <w:webHidden/>
          </w:rPr>
          <w:fldChar w:fldCharType="end"/>
        </w:r>
      </w:hyperlink>
    </w:p>
    <w:p w14:paraId="140E143D" w14:textId="1F170F36" w:rsidR="00562FFC" w:rsidRDefault="0067537F">
      <w:pPr>
        <w:pStyle w:val="TOC2"/>
        <w:rPr>
          <w:rFonts w:asciiTheme="minorHAnsi" w:eastAsiaTheme="minorEastAsia" w:hAnsiTheme="minorHAnsi" w:cstheme="minorBidi"/>
          <w:noProof/>
          <w:color w:val="auto"/>
          <w:sz w:val="22"/>
          <w:szCs w:val="22"/>
          <w:lang w:eastAsia="en-AU"/>
        </w:rPr>
      </w:pPr>
      <w:hyperlink w:anchor="_Toc116039916" w:history="1">
        <w:r w:rsidR="00562FFC" w:rsidRPr="00CC65C3">
          <w:rPr>
            <w:rStyle w:val="Hyperlink"/>
            <w:noProof/>
          </w:rPr>
          <w:t>Examples of graduate labour market outcomes</w:t>
        </w:r>
        <w:r w:rsidR="00562FFC">
          <w:rPr>
            <w:noProof/>
            <w:webHidden/>
          </w:rPr>
          <w:tab/>
        </w:r>
        <w:r w:rsidR="00562FFC">
          <w:rPr>
            <w:noProof/>
            <w:webHidden/>
          </w:rPr>
          <w:fldChar w:fldCharType="begin"/>
        </w:r>
        <w:r w:rsidR="00562FFC">
          <w:rPr>
            <w:noProof/>
            <w:webHidden/>
          </w:rPr>
          <w:instrText xml:space="preserve"> PAGEREF _Toc116039916 \h </w:instrText>
        </w:r>
        <w:r w:rsidR="00562FFC">
          <w:rPr>
            <w:noProof/>
            <w:webHidden/>
          </w:rPr>
        </w:r>
        <w:r w:rsidR="00562FFC">
          <w:rPr>
            <w:noProof/>
            <w:webHidden/>
          </w:rPr>
          <w:fldChar w:fldCharType="separate"/>
        </w:r>
        <w:r w:rsidR="00562FFC">
          <w:rPr>
            <w:noProof/>
            <w:webHidden/>
          </w:rPr>
          <w:t>49</w:t>
        </w:r>
        <w:r w:rsidR="00562FFC">
          <w:rPr>
            <w:noProof/>
            <w:webHidden/>
          </w:rPr>
          <w:fldChar w:fldCharType="end"/>
        </w:r>
      </w:hyperlink>
    </w:p>
    <w:p w14:paraId="7B2B26B9" w14:textId="6D986F35" w:rsidR="00562FFC" w:rsidRDefault="0067537F">
      <w:pPr>
        <w:pStyle w:val="TOC1"/>
        <w:rPr>
          <w:rFonts w:asciiTheme="minorHAnsi" w:eastAsiaTheme="minorEastAsia" w:hAnsiTheme="minorHAnsi" w:cstheme="minorBidi"/>
          <w:b w:val="0"/>
          <w:color w:val="auto"/>
          <w:sz w:val="22"/>
          <w:szCs w:val="22"/>
          <w:lang w:eastAsia="en-AU"/>
        </w:rPr>
      </w:pPr>
      <w:hyperlink w:anchor="_Toc116039917" w:history="1">
        <w:r w:rsidR="00562FFC" w:rsidRPr="00CC65C3">
          <w:rPr>
            <w:rStyle w:val="Hyperlink"/>
          </w:rPr>
          <w:t>Appendix 3 GOS questionnaire</w:t>
        </w:r>
        <w:r w:rsidR="00562FFC">
          <w:rPr>
            <w:webHidden/>
          </w:rPr>
          <w:tab/>
        </w:r>
        <w:r w:rsidR="00562FFC">
          <w:rPr>
            <w:webHidden/>
          </w:rPr>
          <w:fldChar w:fldCharType="begin"/>
        </w:r>
        <w:r w:rsidR="00562FFC">
          <w:rPr>
            <w:webHidden/>
          </w:rPr>
          <w:instrText xml:space="preserve"> PAGEREF _Toc116039917 \h </w:instrText>
        </w:r>
        <w:r w:rsidR="00562FFC">
          <w:rPr>
            <w:webHidden/>
          </w:rPr>
        </w:r>
        <w:r w:rsidR="00562FFC">
          <w:rPr>
            <w:webHidden/>
          </w:rPr>
          <w:fldChar w:fldCharType="separate"/>
        </w:r>
        <w:r w:rsidR="00562FFC">
          <w:rPr>
            <w:webHidden/>
          </w:rPr>
          <w:t>51</w:t>
        </w:r>
        <w:r w:rsidR="00562FFC">
          <w:rPr>
            <w:webHidden/>
          </w:rPr>
          <w:fldChar w:fldCharType="end"/>
        </w:r>
      </w:hyperlink>
    </w:p>
    <w:p w14:paraId="41797ABF" w14:textId="55D0134D" w:rsidR="00562FFC" w:rsidRDefault="0067537F">
      <w:pPr>
        <w:pStyle w:val="TOC2"/>
        <w:rPr>
          <w:rFonts w:asciiTheme="minorHAnsi" w:eastAsiaTheme="minorEastAsia" w:hAnsiTheme="minorHAnsi" w:cstheme="minorBidi"/>
          <w:noProof/>
          <w:color w:val="auto"/>
          <w:sz w:val="22"/>
          <w:szCs w:val="22"/>
          <w:lang w:eastAsia="en-AU"/>
        </w:rPr>
      </w:pPr>
      <w:hyperlink w:anchor="_Toc116039918" w:history="1">
        <w:r w:rsidR="00562FFC" w:rsidRPr="00CC65C3">
          <w:rPr>
            <w:rStyle w:val="Hyperlink"/>
            <w:noProof/>
          </w:rPr>
          <w:t>3.1 Core instrument</w:t>
        </w:r>
        <w:r w:rsidR="00562FFC">
          <w:rPr>
            <w:noProof/>
            <w:webHidden/>
          </w:rPr>
          <w:tab/>
        </w:r>
        <w:r w:rsidR="00562FFC">
          <w:rPr>
            <w:noProof/>
            <w:webHidden/>
          </w:rPr>
          <w:fldChar w:fldCharType="begin"/>
        </w:r>
        <w:r w:rsidR="00562FFC">
          <w:rPr>
            <w:noProof/>
            <w:webHidden/>
          </w:rPr>
          <w:instrText xml:space="preserve"> PAGEREF _Toc116039918 \h </w:instrText>
        </w:r>
        <w:r w:rsidR="00562FFC">
          <w:rPr>
            <w:noProof/>
            <w:webHidden/>
          </w:rPr>
        </w:r>
        <w:r w:rsidR="00562FFC">
          <w:rPr>
            <w:noProof/>
            <w:webHidden/>
          </w:rPr>
          <w:fldChar w:fldCharType="separate"/>
        </w:r>
        <w:r w:rsidR="00562FFC">
          <w:rPr>
            <w:noProof/>
            <w:webHidden/>
          </w:rPr>
          <w:t>51</w:t>
        </w:r>
        <w:r w:rsidR="00562FFC">
          <w:rPr>
            <w:noProof/>
            <w:webHidden/>
          </w:rPr>
          <w:fldChar w:fldCharType="end"/>
        </w:r>
      </w:hyperlink>
    </w:p>
    <w:p w14:paraId="6C66CED2" w14:textId="6BD88D24" w:rsidR="00562FFC" w:rsidRDefault="0067537F">
      <w:pPr>
        <w:pStyle w:val="TOC2"/>
        <w:rPr>
          <w:rFonts w:asciiTheme="minorHAnsi" w:eastAsiaTheme="minorEastAsia" w:hAnsiTheme="minorHAnsi" w:cstheme="minorBidi"/>
          <w:noProof/>
          <w:color w:val="auto"/>
          <w:sz w:val="22"/>
          <w:szCs w:val="22"/>
          <w:lang w:eastAsia="en-AU"/>
        </w:rPr>
      </w:pPr>
      <w:hyperlink w:anchor="_Toc116039919" w:history="1">
        <w:r w:rsidR="00562FFC" w:rsidRPr="00CC65C3">
          <w:rPr>
            <w:rStyle w:val="Hyperlink"/>
            <w:noProof/>
          </w:rPr>
          <w:t>3.2 Additional items</w:t>
        </w:r>
        <w:r w:rsidR="00562FFC">
          <w:rPr>
            <w:noProof/>
            <w:webHidden/>
          </w:rPr>
          <w:tab/>
        </w:r>
        <w:r w:rsidR="00562FFC">
          <w:rPr>
            <w:noProof/>
            <w:webHidden/>
          </w:rPr>
          <w:fldChar w:fldCharType="begin"/>
        </w:r>
        <w:r w:rsidR="00562FFC">
          <w:rPr>
            <w:noProof/>
            <w:webHidden/>
          </w:rPr>
          <w:instrText xml:space="preserve"> PAGEREF _Toc116039919 \h </w:instrText>
        </w:r>
        <w:r w:rsidR="00562FFC">
          <w:rPr>
            <w:noProof/>
            <w:webHidden/>
          </w:rPr>
        </w:r>
        <w:r w:rsidR="00562FFC">
          <w:rPr>
            <w:noProof/>
            <w:webHidden/>
          </w:rPr>
          <w:fldChar w:fldCharType="separate"/>
        </w:r>
        <w:r w:rsidR="00562FFC">
          <w:rPr>
            <w:noProof/>
            <w:webHidden/>
          </w:rPr>
          <w:t>61</w:t>
        </w:r>
        <w:r w:rsidR="00562FFC">
          <w:rPr>
            <w:noProof/>
            <w:webHidden/>
          </w:rPr>
          <w:fldChar w:fldCharType="end"/>
        </w:r>
      </w:hyperlink>
    </w:p>
    <w:p w14:paraId="3F193B89" w14:textId="5C817E20" w:rsidR="00562FFC" w:rsidRDefault="0067537F">
      <w:pPr>
        <w:pStyle w:val="TOC1"/>
        <w:rPr>
          <w:rFonts w:asciiTheme="minorHAnsi" w:eastAsiaTheme="minorEastAsia" w:hAnsiTheme="minorHAnsi" w:cstheme="minorBidi"/>
          <w:b w:val="0"/>
          <w:color w:val="auto"/>
          <w:sz w:val="22"/>
          <w:szCs w:val="22"/>
          <w:lang w:eastAsia="en-AU"/>
        </w:rPr>
      </w:pPr>
      <w:hyperlink w:anchor="_Toc116039920" w:history="1">
        <w:r w:rsidR="00562FFC" w:rsidRPr="00CC65C3">
          <w:rPr>
            <w:rStyle w:val="Hyperlink"/>
          </w:rPr>
          <w:t>Appendix 4 Construction of confidence intervals</w:t>
        </w:r>
        <w:r w:rsidR="00562FFC">
          <w:rPr>
            <w:webHidden/>
          </w:rPr>
          <w:tab/>
        </w:r>
        <w:r w:rsidR="00562FFC">
          <w:rPr>
            <w:webHidden/>
          </w:rPr>
          <w:fldChar w:fldCharType="begin"/>
        </w:r>
        <w:r w:rsidR="00562FFC">
          <w:rPr>
            <w:webHidden/>
          </w:rPr>
          <w:instrText xml:space="preserve"> PAGEREF _Toc116039920 \h </w:instrText>
        </w:r>
        <w:r w:rsidR="00562FFC">
          <w:rPr>
            <w:webHidden/>
          </w:rPr>
        </w:r>
        <w:r w:rsidR="00562FFC">
          <w:rPr>
            <w:webHidden/>
          </w:rPr>
          <w:fldChar w:fldCharType="separate"/>
        </w:r>
        <w:r w:rsidR="00562FFC">
          <w:rPr>
            <w:webHidden/>
          </w:rPr>
          <w:t>62</w:t>
        </w:r>
        <w:r w:rsidR="00562FFC">
          <w:rPr>
            <w:webHidden/>
          </w:rPr>
          <w:fldChar w:fldCharType="end"/>
        </w:r>
      </w:hyperlink>
    </w:p>
    <w:p w14:paraId="460DCA51" w14:textId="38A352BD" w:rsidR="00562FFC" w:rsidRDefault="0067537F">
      <w:pPr>
        <w:pStyle w:val="TOC1"/>
        <w:rPr>
          <w:rFonts w:asciiTheme="minorHAnsi" w:eastAsiaTheme="minorEastAsia" w:hAnsiTheme="minorHAnsi" w:cstheme="minorBidi"/>
          <w:b w:val="0"/>
          <w:color w:val="auto"/>
          <w:sz w:val="22"/>
          <w:szCs w:val="22"/>
          <w:lang w:eastAsia="en-AU"/>
        </w:rPr>
      </w:pPr>
      <w:hyperlink w:anchor="_Toc116039921" w:history="1">
        <w:r w:rsidR="00562FFC" w:rsidRPr="00CC65C3">
          <w:rPr>
            <w:rStyle w:val="Hyperlink"/>
          </w:rPr>
          <w:t>Appendix 5 Study area concordance</w:t>
        </w:r>
        <w:r w:rsidR="00562FFC">
          <w:rPr>
            <w:webHidden/>
          </w:rPr>
          <w:tab/>
        </w:r>
        <w:r w:rsidR="00562FFC">
          <w:rPr>
            <w:webHidden/>
          </w:rPr>
          <w:fldChar w:fldCharType="begin"/>
        </w:r>
        <w:r w:rsidR="00562FFC">
          <w:rPr>
            <w:webHidden/>
          </w:rPr>
          <w:instrText xml:space="preserve"> PAGEREF _Toc116039921 \h </w:instrText>
        </w:r>
        <w:r w:rsidR="00562FFC">
          <w:rPr>
            <w:webHidden/>
          </w:rPr>
        </w:r>
        <w:r w:rsidR="00562FFC">
          <w:rPr>
            <w:webHidden/>
          </w:rPr>
          <w:fldChar w:fldCharType="separate"/>
        </w:r>
        <w:r w:rsidR="00562FFC">
          <w:rPr>
            <w:webHidden/>
          </w:rPr>
          <w:t>63</w:t>
        </w:r>
        <w:r w:rsidR="00562FFC">
          <w:rPr>
            <w:webHidden/>
          </w:rPr>
          <w:fldChar w:fldCharType="end"/>
        </w:r>
      </w:hyperlink>
    </w:p>
    <w:p w14:paraId="1A174D36" w14:textId="63F942B0" w:rsidR="00562FFC" w:rsidRDefault="0067537F">
      <w:pPr>
        <w:pStyle w:val="TOC1"/>
        <w:rPr>
          <w:rFonts w:asciiTheme="minorHAnsi" w:eastAsiaTheme="minorEastAsia" w:hAnsiTheme="minorHAnsi" w:cstheme="minorBidi"/>
          <w:b w:val="0"/>
          <w:color w:val="auto"/>
          <w:sz w:val="22"/>
          <w:szCs w:val="22"/>
          <w:lang w:eastAsia="en-AU"/>
        </w:rPr>
      </w:pPr>
      <w:hyperlink w:anchor="_Toc116039922" w:history="1">
        <w:r w:rsidR="00562FFC" w:rsidRPr="00CC65C3">
          <w:rPr>
            <w:rStyle w:val="Hyperlink"/>
          </w:rPr>
          <w:t>Appendix 6 Additional tables and figures</w:t>
        </w:r>
        <w:r w:rsidR="00562FFC">
          <w:rPr>
            <w:webHidden/>
          </w:rPr>
          <w:tab/>
        </w:r>
        <w:r w:rsidR="00562FFC">
          <w:rPr>
            <w:webHidden/>
          </w:rPr>
          <w:fldChar w:fldCharType="begin"/>
        </w:r>
        <w:r w:rsidR="00562FFC">
          <w:rPr>
            <w:webHidden/>
          </w:rPr>
          <w:instrText xml:space="preserve"> PAGEREF _Toc116039922 \h </w:instrText>
        </w:r>
        <w:r w:rsidR="00562FFC">
          <w:rPr>
            <w:webHidden/>
          </w:rPr>
        </w:r>
        <w:r w:rsidR="00562FFC">
          <w:rPr>
            <w:webHidden/>
          </w:rPr>
          <w:fldChar w:fldCharType="separate"/>
        </w:r>
        <w:r w:rsidR="00562FFC">
          <w:rPr>
            <w:webHidden/>
          </w:rPr>
          <w:t>66</w:t>
        </w:r>
        <w:r w:rsidR="00562FFC">
          <w:rPr>
            <w:webHidden/>
          </w:rPr>
          <w:fldChar w:fldCharType="end"/>
        </w:r>
      </w:hyperlink>
    </w:p>
    <w:p w14:paraId="0AF9C48C" w14:textId="5C93CBBB" w:rsidR="00562FFC" w:rsidRDefault="0067537F">
      <w:pPr>
        <w:pStyle w:val="TOC2"/>
        <w:rPr>
          <w:rFonts w:asciiTheme="minorHAnsi" w:eastAsiaTheme="minorEastAsia" w:hAnsiTheme="minorHAnsi" w:cstheme="minorBidi"/>
          <w:noProof/>
          <w:color w:val="auto"/>
          <w:sz w:val="22"/>
          <w:szCs w:val="22"/>
          <w:lang w:eastAsia="en-AU"/>
        </w:rPr>
      </w:pPr>
      <w:hyperlink w:anchor="_Toc116039923" w:history="1">
        <w:r w:rsidR="00562FFC" w:rsidRPr="00CC65C3">
          <w:rPr>
            <w:rStyle w:val="Hyperlink"/>
            <w:noProof/>
          </w:rPr>
          <w:t>6.1 GOS results</w:t>
        </w:r>
        <w:r w:rsidR="00562FFC">
          <w:rPr>
            <w:noProof/>
            <w:webHidden/>
          </w:rPr>
          <w:tab/>
        </w:r>
        <w:r w:rsidR="00562FFC">
          <w:rPr>
            <w:noProof/>
            <w:webHidden/>
          </w:rPr>
          <w:fldChar w:fldCharType="begin"/>
        </w:r>
        <w:r w:rsidR="00562FFC">
          <w:rPr>
            <w:noProof/>
            <w:webHidden/>
          </w:rPr>
          <w:instrText xml:space="preserve"> PAGEREF _Toc116039923 \h </w:instrText>
        </w:r>
        <w:r w:rsidR="00562FFC">
          <w:rPr>
            <w:noProof/>
            <w:webHidden/>
          </w:rPr>
        </w:r>
        <w:r w:rsidR="00562FFC">
          <w:rPr>
            <w:noProof/>
            <w:webHidden/>
          </w:rPr>
          <w:fldChar w:fldCharType="separate"/>
        </w:r>
        <w:r w:rsidR="00562FFC">
          <w:rPr>
            <w:noProof/>
            <w:webHidden/>
          </w:rPr>
          <w:t>66</w:t>
        </w:r>
        <w:r w:rsidR="00562FFC">
          <w:rPr>
            <w:noProof/>
            <w:webHidden/>
          </w:rPr>
          <w:fldChar w:fldCharType="end"/>
        </w:r>
      </w:hyperlink>
    </w:p>
    <w:p w14:paraId="2AF5DD9E" w14:textId="54D4133A" w:rsidR="00562FFC" w:rsidRDefault="0067537F">
      <w:pPr>
        <w:pStyle w:val="TOC3"/>
        <w:rPr>
          <w:rFonts w:asciiTheme="minorHAnsi" w:eastAsiaTheme="minorEastAsia" w:hAnsiTheme="minorHAnsi" w:cstheme="minorBidi"/>
          <w:color w:val="auto"/>
          <w:sz w:val="22"/>
          <w:szCs w:val="22"/>
          <w:lang w:eastAsia="en-AU"/>
        </w:rPr>
      </w:pPr>
      <w:hyperlink w:anchor="_Toc116039924" w:history="1">
        <w:r w:rsidR="00562FFC" w:rsidRPr="00CC65C3">
          <w:rPr>
            <w:rStyle w:val="Hyperlink"/>
          </w:rPr>
          <w:t>6.1.1 Labour force outcomes</w:t>
        </w:r>
        <w:r w:rsidR="00562FFC">
          <w:rPr>
            <w:webHidden/>
          </w:rPr>
          <w:tab/>
        </w:r>
        <w:r w:rsidR="00562FFC">
          <w:rPr>
            <w:webHidden/>
          </w:rPr>
          <w:fldChar w:fldCharType="begin"/>
        </w:r>
        <w:r w:rsidR="00562FFC">
          <w:rPr>
            <w:webHidden/>
          </w:rPr>
          <w:instrText xml:space="preserve"> PAGEREF _Toc116039924 \h </w:instrText>
        </w:r>
        <w:r w:rsidR="00562FFC">
          <w:rPr>
            <w:webHidden/>
          </w:rPr>
        </w:r>
        <w:r w:rsidR="00562FFC">
          <w:rPr>
            <w:webHidden/>
          </w:rPr>
          <w:fldChar w:fldCharType="separate"/>
        </w:r>
        <w:r w:rsidR="00562FFC">
          <w:rPr>
            <w:webHidden/>
          </w:rPr>
          <w:t>66</w:t>
        </w:r>
        <w:r w:rsidR="00562FFC">
          <w:rPr>
            <w:webHidden/>
          </w:rPr>
          <w:fldChar w:fldCharType="end"/>
        </w:r>
      </w:hyperlink>
    </w:p>
    <w:p w14:paraId="3543B710" w14:textId="5BEE9F84" w:rsidR="00562FFC" w:rsidRDefault="0067537F">
      <w:pPr>
        <w:pStyle w:val="TOC3"/>
        <w:rPr>
          <w:rFonts w:asciiTheme="minorHAnsi" w:eastAsiaTheme="minorEastAsia" w:hAnsiTheme="minorHAnsi" w:cstheme="minorBidi"/>
          <w:color w:val="auto"/>
          <w:sz w:val="22"/>
          <w:szCs w:val="22"/>
          <w:lang w:eastAsia="en-AU"/>
        </w:rPr>
      </w:pPr>
      <w:hyperlink w:anchor="_Toc116039925" w:history="1">
        <w:r w:rsidR="00562FFC" w:rsidRPr="00CC65C3">
          <w:rPr>
            <w:rStyle w:val="Hyperlink"/>
          </w:rPr>
          <w:t>6.1.2 Hours worked</w:t>
        </w:r>
        <w:r w:rsidR="00562FFC">
          <w:rPr>
            <w:webHidden/>
          </w:rPr>
          <w:tab/>
        </w:r>
        <w:r w:rsidR="00562FFC">
          <w:rPr>
            <w:webHidden/>
          </w:rPr>
          <w:fldChar w:fldCharType="begin"/>
        </w:r>
        <w:r w:rsidR="00562FFC">
          <w:rPr>
            <w:webHidden/>
          </w:rPr>
          <w:instrText xml:space="preserve"> PAGEREF _Toc116039925 \h </w:instrText>
        </w:r>
        <w:r w:rsidR="00562FFC">
          <w:rPr>
            <w:webHidden/>
          </w:rPr>
        </w:r>
        <w:r w:rsidR="00562FFC">
          <w:rPr>
            <w:webHidden/>
          </w:rPr>
          <w:fldChar w:fldCharType="separate"/>
        </w:r>
        <w:r w:rsidR="00562FFC">
          <w:rPr>
            <w:webHidden/>
          </w:rPr>
          <w:t>68</w:t>
        </w:r>
        <w:r w:rsidR="00562FFC">
          <w:rPr>
            <w:webHidden/>
          </w:rPr>
          <w:fldChar w:fldCharType="end"/>
        </w:r>
      </w:hyperlink>
    </w:p>
    <w:p w14:paraId="01D2B14A" w14:textId="271D1506" w:rsidR="00562FFC" w:rsidRDefault="0067537F">
      <w:pPr>
        <w:pStyle w:val="TOC3"/>
        <w:rPr>
          <w:rFonts w:asciiTheme="minorHAnsi" w:eastAsiaTheme="minorEastAsia" w:hAnsiTheme="minorHAnsi" w:cstheme="minorBidi"/>
          <w:color w:val="auto"/>
          <w:sz w:val="22"/>
          <w:szCs w:val="22"/>
          <w:lang w:eastAsia="en-AU"/>
        </w:rPr>
      </w:pPr>
      <w:hyperlink w:anchor="_Toc116039926" w:history="1">
        <w:r w:rsidR="00562FFC" w:rsidRPr="00CC65C3">
          <w:rPr>
            <w:rStyle w:val="Hyperlink"/>
          </w:rPr>
          <w:t>6.1.3 Away from work</w:t>
        </w:r>
        <w:r w:rsidR="00562FFC">
          <w:rPr>
            <w:webHidden/>
          </w:rPr>
          <w:tab/>
        </w:r>
        <w:r w:rsidR="00562FFC">
          <w:rPr>
            <w:webHidden/>
          </w:rPr>
          <w:fldChar w:fldCharType="begin"/>
        </w:r>
        <w:r w:rsidR="00562FFC">
          <w:rPr>
            <w:webHidden/>
          </w:rPr>
          <w:instrText xml:space="preserve"> PAGEREF _Toc116039926 \h </w:instrText>
        </w:r>
        <w:r w:rsidR="00562FFC">
          <w:rPr>
            <w:webHidden/>
          </w:rPr>
        </w:r>
        <w:r w:rsidR="00562FFC">
          <w:rPr>
            <w:webHidden/>
          </w:rPr>
          <w:fldChar w:fldCharType="separate"/>
        </w:r>
        <w:r w:rsidR="00562FFC">
          <w:rPr>
            <w:webHidden/>
          </w:rPr>
          <w:t>69</w:t>
        </w:r>
        <w:r w:rsidR="00562FFC">
          <w:rPr>
            <w:webHidden/>
          </w:rPr>
          <w:fldChar w:fldCharType="end"/>
        </w:r>
      </w:hyperlink>
    </w:p>
    <w:p w14:paraId="0AE81A82" w14:textId="44D8EA82" w:rsidR="00562FFC" w:rsidRDefault="0067537F">
      <w:pPr>
        <w:pStyle w:val="TOC3"/>
        <w:rPr>
          <w:rFonts w:asciiTheme="minorHAnsi" w:eastAsiaTheme="minorEastAsia" w:hAnsiTheme="minorHAnsi" w:cstheme="minorBidi"/>
          <w:color w:val="auto"/>
          <w:sz w:val="22"/>
          <w:szCs w:val="22"/>
          <w:lang w:eastAsia="en-AU"/>
        </w:rPr>
      </w:pPr>
      <w:hyperlink w:anchor="_Toc116039927" w:history="1">
        <w:r w:rsidR="00562FFC" w:rsidRPr="00CC65C3">
          <w:rPr>
            <w:rStyle w:val="Hyperlink"/>
          </w:rPr>
          <w:t>6.1.4 Graduate occupations</w:t>
        </w:r>
        <w:r w:rsidR="00562FFC">
          <w:rPr>
            <w:webHidden/>
          </w:rPr>
          <w:tab/>
        </w:r>
        <w:r w:rsidR="00562FFC">
          <w:rPr>
            <w:webHidden/>
          </w:rPr>
          <w:fldChar w:fldCharType="begin"/>
        </w:r>
        <w:r w:rsidR="00562FFC">
          <w:rPr>
            <w:webHidden/>
          </w:rPr>
          <w:instrText xml:space="preserve"> PAGEREF _Toc116039927 \h </w:instrText>
        </w:r>
        <w:r w:rsidR="00562FFC">
          <w:rPr>
            <w:webHidden/>
          </w:rPr>
        </w:r>
        <w:r w:rsidR="00562FFC">
          <w:rPr>
            <w:webHidden/>
          </w:rPr>
          <w:fldChar w:fldCharType="separate"/>
        </w:r>
        <w:r w:rsidR="00562FFC">
          <w:rPr>
            <w:webHidden/>
          </w:rPr>
          <w:t>69</w:t>
        </w:r>
        <w:r w:rsidR="00562FFC">
          <w:rPr>
            <w:webHidden/>
          </w:rPr>
          <w:fldChar w:fldCharType="end"/>
        </w:r>
      </w:hyperlink>
    </w:p>
    <w:p w14:paraId="054DB0AB" w14:textId="03D7464D" w:rsidR="00562FFC" w:rsidRDefault="0067537F">
      <w:pPr>
        <w:pStyle w:val="TOC3"/>
        <w:rPr>
          <w:rFonts w:asciiTheme="minorHAnsi" w:eastAsiaTheme="minorEastAsia" w:hAnsiTheme="minorHAnsi" w:cstheme="minorBidi"/>
          <w:color w:val="auto"/>
          <w:sz w:val="22"/>
          <w:szCs w:val="22"/>
          <w:lang w:eastAsia="en-AU"/>
        </w:rPr>
      </w:pPr>
      <w:hyperlink w:anchor="_Toc116039928" w:history="1">
        <w:r w:rsidR="00562FFC" w:rsidRPr="00CC65C3">
          <w:rPr>
            <w:rStyle w:val="Hyperlink"/>
          </w:rPr>
          <w:t>6.1.5 Importance of the qualification</w:t>
        </w:r>
        <w:r w:rsidR="00562FFC">
          <w:rPr>
            <w:webHidden/>
          </w:rPr>
          <w:tab/>
        </w:r>
        <w:r w:rsidR="00562FFC">
          <w:rPr>
            <w:webHidden/>
          </w:rPr>
          <w:fldChar w:fldCharType="begin"/>
        </w:r>
        <w:r w:rsidR="00562FFC">
          <w:rPr>
            <w:webHidden/>
          </w:rPr>
          <w:instrText xml:space="preserve"> PAGEREF _Toc116039928 \h </w:instrText>
        </w:r>
        <w:r w:rsidR="00562FFC">
          <w:rPr>
            <w:webHidden/>
          </w:rPr>
        </w:r>
        <w:r w:rsidR="00562FFC">
          <w:rPr>
            <w:webHidden/>
          </w:rPr>
          <w:fldChar w:fldCharType="separate"/>
        </w:r>
        <w:r w:rsidR="00562FFC">
          <w:rPr>
            <w:webHidden/>
          </w:rPr>
          <w:t>70</w:t>
        </w:r>
        <w:r w:rsidR="00562FFC">
          <w:rPr>
            <w:webHidden/>
          </w:rPr>
          <w:fldChar w:fldCharType="end"/>
        </w:r>
      </w:hyperlink>
    </w:p>
    <w:p w14:paraId="107F4683" w14:textId="0F3980D2" w:rsidR="00562FFC" w:rsidRDefault="0067537F">
      <w:pPr>
        <w:pStyle w:val="TOC3"/>
        <w:rPr>
          <w:rFonts w:asciiTheme="minorHAnsi" w:eastAsiaTheme="minorEastAsia" w:hAnsiTheme="minorHAnsi" w:cstheme="minorBidi"/>
          <w:color w:val="auto"/>
          <w:sz w:val="22"/>
          <w:szCs w:val="22"/>
          <w:lang w:eastAsia="en-AU"/>
        </w:rPr>
      </w:pPr>
      <w:hyperlink w:anchor="_Toc116039929" w:history="1">
        <w:r w:rsidR="00562FFC" w:rsidRPr="00CC65C3">
          <w:rPr>
            <w:rStyle w:val="Hyperlink"/>
          </w:rPr>
          <w:t>6.1.6 Extent to which qualification prepared graduates</w:t>
        </w:r>
        <w:r w:rsidR="00562FFC">
          <w:rPr>
            <w:webHidden/>
          </w:rPr>
          <w:tab/>
        </w:r>
        <w:r w:rsidR="00562FFC">
          <w:rPr>
            <w:webHidden/>
          </w:rPr>
          <w:fldChar w:fldCharType="begin"/>
        </w:r>
        <w:r w:rsidR="00562FFC">
          <w:rPr>
            <w:webHidden/>
          </w:rPr>
          <w:instrText xml:space="preserve"> PAGEREF _Toc116039929 \h </w:instrText>
        </w:r>
        <w:r w:rsidR="00562FFC">
          <w:rPr>
            <w:webHidden/>
          </w:rPr>
        </w:r>
        <w:r w:rsidR="00562FFC">
          <w:rPr>
            <w:webHidden/>
          </w:rPr>
          <w:fldChar w:fldCharType="separate"/>
        </w:r>
        <w:r w:rsidR="00562FFC">
          <w:rPr>
            <w:webHidden/>
          </w:rPr>
          <w:t>70</w:t>
        </w:r>
        <w:r w:rsidR="00562FFC">
          <w:rPr>
            <w:webHidden/>
          </w:rPr>
          <w:fldChar w:fldCharType="end"/>
        </w:r>
      </w:hyperlink>
    </w:p>
    <w:p w14:paraId="7DC0D539" w14:textId="046D4257" w:rsidR="00562FFC" w:rsidRDefault="0067537F">
      <w:pPr>
        <w:pStyle w:val="TOC3"/>
        <w:rPr>
          <w:rFonts w:asciiTheme="minorHAnsi" w:eastAsiaTheme="minorEastAsia" w:hAnsiTheme="minorHAnsi" w:cstheme="minorBidi"/>
          <w:color w:val="auto"/>
          <w:sz w:val="22"/>
          <w:szCs w:val="22"/>
          <w:lang w:eastAsia="en-AU"/>
        </w:rPr>
      </w:pPr>
      <w:hyperlink w:anchor="_Toc116039930" w:history="1">
        <w:r w:rsidR="00562FFC" w:rsidRPr="00CC65C3">
          <w:rPr>
            <w:rStyle w:val="Hyperlink"/>
          </w:rPr>
          <w:t>6.1.7 Skills utilisation</w:t>
        </w:r>
        <w:r w:rsidR="00562FFC">
          <w:rPr>
            <w:webHidden/>
          </w:rPr>
          <w:tab/>
        </w:r>
        <w:r w:rsidR="00562FFC">
          <w:rPr>
            <w:webHidden/>
          </w:rPr>
          <w:fldChar w:fldCharType="begin"/>
        </w:r>
        <w:r w:rsidR="00562FFC">
          <w:rPr>
            <w:webHidden/>
          </w:rPr>
          <w:instrText xml:space="preserve"> PAGEREF _Toc116039930 \h </w:instrText>
        </w:r>
        <w:r w:rsidR="00562FFC">
          <w:rPr>
            <w:webHidden/>
          </w:rPr>
        </w:r>
        <w:r w:rsidR="00562FFC">
          <w:rPr>
            <w:webHidden/>
          </w:rPr>
          <w:fldChar w:fldCharType="separate"/>
        </w:r>
        <w:r w:rsidR="00562FFC">
          <w:rPr>
            <w:webHidden/>
          </w:rPr>
          <w:t>71</w:t>
        </w:r>
        <w:r w:rsidR="00562FFC">
          <w:rPr>
            <w:webHidden/>
          </w:rPr>
          <w:fldChar w:fldCharType="end"/>
        </w:r>
      </w:hyperlink>
    </w:p>
    <w:p w14:paraId="69C0E982" w14:textId="52654A33" w:rsidR="00562FFC" w:rsidRDefault="0067537F">
      <w:pPr>
        <w:pStyle w:val="TOC3"/>
        <w:rPr>
          <w:rFonts w:asciiTheme="minorHAnsi" w:eastAsiaTheme="minorEastAsia" w:hAnsiTheme="minorHAnsi" w:cstheme="minorBidi"/>
          <w:color w:val="auto"/>
          <w:sz w:val="22"/>
          <w:szCs w:val="22"/>
          <w:lang w:eastAsia="en-AU"/>
        </w:rPr>
      </w:pPr>
      <w:hyperlink w:anchor="_Toc116039931" w:history="1">
        <w:r w:rsidR="00562FFC" w:rsidRPr="00CC65C3">
          <w:rPr>
            <w:rStyle w:val="Hyperlink"/>
          </w:rPr>
          <w:t>6.1.8 Further study</w:t>
        </w:r>
        <w:r w:rsidR="00562FFC">
          <w:rPr>
            <w:webHidden/>
          </w:rPr>
          <w:tab/>
        </w:r>
        <w:r w:rsidR="00562FFC">
          <w:rPr>
            <w:webHidden/>
          </w:rPr>
          <w:fldChar w:fldCharType="begin"/>
        </w:r>
        <w:r w:rsidR="00562FFC">
          <w:rPr>
            <w:webHidden/>
          </w:rPr>
          <w:instrText xml:space="preserve"> PAGEREF _Toc116039931 \h </w:instrText>
        </w:r>
        <w:r w:rsidR="00562FFC">
          <w:rPr>
            <w:webHidden/>
          </w:rPr>
        </w:r>
        <w:r w:rsidR="00562FFC">
          <w:rPr>
            <w:webHidden/>
          </w:rPr>
          <w:fldChar w:fldCharType="separate"/>
        </w:r>
        <w:r w:rsidR="00562FFC">
          <w:rPr>
            <w:webHidden/>
          </w:rPr>
          <w:t>72</w:t>
        </w:r>
        <w:r w:rsidR="00562FFC">
          <w:rPr>
            <w:webHidden/>
          </w:rPr>
          <w:fldChar w:fldCharType="end"/>
        </w:r>
      </w:hyperlink>
    </w:p>
    <w:p w14:paraId="28CB1F88" w14:textId="28C3DE23" w:rsidR="00562FFC" w:rsidRDefault="0067537F">
      <w:pPr>
        <w:pStyle w:val="TOC3"/>
        <w:rPr>
          <w:rFonts w:asciiTheme="minorHAnsi" w:eastAsiaTheme="minorEastAsia" w:hAnsiTheme="minorHAnsi" w:cstheme="minorBidi"/>
          <w:color w:val="auto"/>
          <w:sz w:val="22"/>
          <w:szCs w:val="22"/>
          <w:lang w:eastAsia="en-AU"/>
        </w:rPr>
      </w:pPr>
      <w:hyperlink w:anchor="_Toc116039932" w:history="1">
        <w:r w:rsidR="00562FFC" w:rsidRPr="00CC65C3">
          <w:rPr>
            <w:rStyle w:val="Hyperlink"/>
          </w:rPr>
          <w:t>6.1.9 Satisfaction</w:t>
        </w:r>
        <w:r w:rsidR="00562FFC">
          <w:rPr>
            <w:webHidden/>
          </w:rPr>
          <w:tab/>
        </w:r>
        <w:r w:rsidR="00562FFC">
          <w:rPr>
            <w:webHidden/>
          </w:rPr>
          <w:fldChar w:fldCharType="begin"/>
        </w:r>
        <w:r w:rsidR="00562FFC">
          <w:rPr>
            <w:webHidden/>
          </w:rPr>
          <w:instrText xml:space="preserve"> PAGEREF _Toc116039932 \h </w:instrText>
        </w:r>
        <w:r w:rsidR="00562FFC">
          <w:rPr>
            <w:webHidden/>
          </w:rPr>
        </w:r>
        <w:r w:rsidR="00562FFC">
          <w:rPr>
            <w:webHidden/>
          </w:rPr>
          <w:fldChar w:fldCharType="separate"/>
        </w:r>
        <w:r w:rsidR="00562FFC">
          <w:rPr>
            <w:webHidden/>
          </w:rPr>
          <w:t>72</w:t>
        </w:r>
        <w:r w:rsidR="00562FFC">
          <w:rPr>
            <w:webHidden/>
          </w:rPr>
          <w:fldChar w:fldCharType="end"/>
        </w:r>
      </w:hyperlink>
    </w:p>
    <w:p w14:paraId="13856F30" w14:textId="4C2B862B" w:rsidR="00562FFC" w:rsidRDefault="0067537F">
      <w:pPr>
        <w:pStyle w:val="TOC2"/>
        <w:rPr>
          <w:rStyle w:val="Hyperlink"/>
          <w:noProof/>
        </w:rPr>
      </w:pPr>
      <w:hyperlink w:anchor="_Toc116039933" w:history="1">
        <w:r w:rsidR="00562FFC" w:rsidRPr="00CC65C3">
          <w:rPr>
            <w:rStyle w:val="Hyperlink"/>
            <w:noProof/>
          </w:rPr>
          <w:t>6.2 Methodological tables</w:t>
        </w:r>
        <w:r w:rsidR="00562FFC">
          <w:rPr>
            <w:noProof/>
            <w:webHidden/>
          </w:rPr>
          <w:tab/>
        </w:r>
        <w:r w:rsidR="00562FFC">
          <w:rPr>
            <w:noProof/>
            <w:webHidden/>
          </w:rPr>
          <w:fldChar w:fldCharType="begin"/>
        </w:r>
        <w:r w:rsidR="00562FFC">
          <w:rPr>
            <w:noProof/>
            <w:webHidden/>
          </w:rPr>
          <w:instrText xml:space="preserve"> PAGEREF _Toc116039933 \h </w:instrText>
        </w:r>
        <w:r w:rsidR="00562FFC">
          <w:rPr>
            <w:noProof/>
            <w:webHidden/>
          </w:rPr>
        </w:r>
        <w:r w:rsidR="00562FFC">
          <w:rPr>
            <w:noProof/>
            <w:webHidden/>
          </w:rPr>
          <w:fldChar w:fldCharType="separate"/>
        </w:r>
        <w:r w:rsidR="00562FFC">
          <w:rPr>
            <w:noProof/>
            <w:webHidden/>
          </w:rPr>
          <w:t>73</w:t>
        </w:r>
        <w:r w:rsidR="00562FFC">
          <w:rPr>
            <w:noProof/>
            <w:webHidden/>
          </w:rPr>
          <w:fldChar w:fldCharType="end"/>
        </w:r>
      </w:hyperlink>
    </w:p>
    <w:p w14:paraId="3CC70E97" w14:textId="059D42DE" w:rsidR="00C34CB3" w:rsidRDefault="00C34CB3" w:rsidP="00C34CB3"/>
    <w:p w14:paraId="61954840" w14:textId="73FABB2C" w:rsidR="00C34CB3" w:rsidRPr="006F0A82" w:rsidRDefault="00A55E0E" w:rsidP="006F0A82">
      <w:pPr>
        <w:pStyle w:val="TOC1"/>
        <w:rPr>
          <w:b w:val="0"/>
          <w:bCs/>
        </w:rPr>
      </w:pPr>
      <w:r>
        <w:fldChar w:fldCharType="end"/>
      </w:r>
      <w:r w:rsidR="00C34CB3">
        <w:rPr>
          <w:sz w:val="40"/>
        </w:rPr>
        <w:t>List of tables</w:t>
      </w:r>
      <w:r w:rsidR="00C34CB3">
        <w:t xml:space="preserve"> </w:t>
      </w:r>
      <w:r w:rsidR="00C34CB3">
        <w:fldChar w:fldCharType="begin"/>
      </w:r>
      <w:r w:rsidR="00C34CB3">
        <w:instrText xml:space="preserve"> TOC \h \z \c "Table" </w:instrText>
      </w:r>
      <w:r w:rsidR="00C34CB3">
        <w:fldChar w:fldCharType="separate"/>
      </w:r>
    </w:p>
    <w:p w14:paraId="37019C9D" w14:textId="7A95F02D" w:rsidR="00C34CB3" w:rsidRPr="006F0A82" w:rsidRDefault="0067537F" w:rsidP="006F0A82">
      <w:pPr>
        <w:pStyle w:val="TOC1"/>
        <w:rPr>
          <w:rFonts w:asciiTheme="minorHAnsi" w:eastAsiaTheme="minorEastAsia" w:hAnsiTheme="minorHAnsi"/>
          <w:b w:val="0"/>
          <w:bCs/>
          <w:color w:val="auto"/>
          <w:sz w:val="22"/>
          <w:lang w:eastAsia="en-AU"/>
        </w:rPr>
      </w:pPr>
      <w:hyperlink w:anchor="_Toc116040350" w:history="1">
        <w:r w:rsidR="00C34CB3" w:rsidRPr="006F0A82">
          <w:rPr>
            <w:rStyle w:val="Hyperlink"/>
            <w:rFonts w:eastAsiaTheme="majorEastAsia"/>
            <w:b w:val="0"/>
            <w:bCs/>
          </w:rPr>
          <w:t>Table 1 Undergraduate employment rates by collection period, 2020-2022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_Toc116040350 \h </w:instrText>
        </w:r>
        <w:r w:rsidR="00C34CB3" w:rsidRPr="006F0A82">
          <w:rPr>
            <w:b w:val="0"/>
            <w:bCs/>
            <w:webHidden/>
          </w:rPr>
        </w:r>
        <w:r w:rsidR="00C34CB3" w:rsidRPr="006F0A82">
          <w:rPr>
            <w:b w:val="0"/>
            <w:bCs/>
            <w:webHidden/>
          </w:rPr>
          <w:fldChar w:fldCharType="separate"/>
        </w:r>
        <w:r w:rsidR="00C34CB3" w:rsidRPr="006F0A82">
          <w:rPr>
            <w:b w:val="0"/>
            <w:bCs/>
            <w:webHidden/>
          </w:rPr>
          <w:t>7</w:t>
        </w:r>
        <w:r w:rsidR="00C34CB3" w:rsidRPr="006F0A82">
          <w:rPr>
            <w:b w:val="0"/>
            <w:bCs/>
            <w:webHidden/>
          </w:rPr>
          <w:fldChar w:fldCharType="end"/>
        </w:r>
      </w:hyperlink>
    </w:p>
    <w:p w14:paraId="53E1F2F3" w14:textId="10DC6202" w:rsidR="00C34CB3" w:rsidRPr="006F0A82" w:rsidRDefault="0067537F" w:rsidP="006F0A82">
      <w:pPr>
        <w:pStyle w:val="TOC1"/>
        <w:rPr>
          <w:rFonts w:asciiTheme="minorHAnsi" w:eastAsiaTheme="minorEastAsia" w:hAnsiTheme="minorHAnsi"/>
          <w:b w:val="0"/>
          <w:bCs/>
          <w:color w:val="auto"/>
          <w:sz w:val="22"/>
          <w:lang w:eastAsia="en-AU"/>
        </w:rPr>
      </w:pPr>
      <w:hyperlink w:anchor="_Toc116040351" w:history="1">
        <w:r w:rsidR="00C34CB3" w:rsidRPr="006F0A82">
          <w:rPr>
            <w:rStyle w:val="Hyperlink"/>
            <w:rFonts w:eastAsiaTheme="majorEastAsia"/>
            <w:b w:val="0"/>
            <w:bCs/>
          </w:rPr>
          <w:t>Table 2 Undergraduate full-time employment and national employment rates by collection period, 2020-2022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_Toc116040351 \h </w:instrText>
        </w:r>
        <w:r w:rsidR="00C34CB3" w:rsidRPr="006F0A82">
          <w:rPr>
            <w:b w:val="0"/>
            <w:bCs/>
            <w:webHidden/>
          </w:rPr>
        </w:r>
        <w:r w:rsidR="00C34CB3" w:rsidRPr="006F0A82">
          <w:rPr>
            <w:b w:val="0"/>
            <w:bCs/>
            <w:webHidden/>
          </w:rPr>
          <w:fldChar w:fldCharType="separate"/>
        </w:r>
        <w:r w:rsidR="00C34CB3" w:rsidRPr="006F0A82">
          <w:rPr>
            <w:b w:val="0"/>
            <w:bCs/>
            <w:webHidden/>
          </w:rPr>
          <w:t>7</w:t>
        </w:r>
        <w:r w:rsidR="00C34CB3" w:rsidRPr="006F0A82">
          <w:rPr>
            <w:b w:val="0"/>
            <w:bCs/>
            <w:webHidden/>
          </w:rPr>
          <w:fldChar w:fldCharType="end"/>
        </w:r>
      </w:hyperlink>
    </w:p>
    <w:p w14:paraId="1E322BCC" w14:textId="7979C714" w:rsidR="00C34CB3" w:rsidRPr="006F0A82" w:rsidRDefault="0067537F" w:rsidP="006F0A82">
      <w:pPr>
        <w:pStyle w:val="TOC1"/>
        <w:rPr>
          <w:rFonts w:asciiTheme="minorHAnsi" w:eastAsiaTheme="minorEastAsia" w:hAnsiTheme="minorHAnsi"/>
          <w:b w:val="0"/>
          <w:bCs/>
          <w:color w:val="auto"/>
          <w:sz w:val="22"/>
          <w:lang w:eastAsia="en-AU"/>
        </w:rPr>
      </w:pPr>
      <w:hyperlink w:anchor="_Toc116040352" w:history="1">
        <w:r w:rsidR="00C34CB3" w:rsidRPr="006F0A82">
          <w:rPr>
            <w:rStyle w:val="Hyperlink"/>
            <w:rFonts w:eastAsiaTheme="majorEastAsia"/>
            <w:b w:val="0"/>
            <w:bCs/>
          </w:rPr>
          <w:t>Table 3 Average hours worked per week for employed undergraduates by full-time / part-time status and survey round, 2020-2022</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_Toc116040352 \h </w:instrText>
        </w:r>
        <w:r w:rsidR="00C34CB3" w:rsidRPr="006F0A82">
          <w:rPr>
            <w:b w:val="0"/>
            <w:bCs/>
            <w:webHidden/>
          </w:rPr>
        </w:r>
        <w:r w:rsidR="00C34CB3" w:rsidRPr="006F0A82">
          <w:rPr>
            <w:b w:val="0"/>
            <w:bCs/>
            <w:webHidden/>
          </w:rPr>
          <w:fldChar w:fldCharType="separate"/>
        </w:r>
        <w:r w:rsidR="00C34CB3" w:rsidRPr="006F0A82">
          <w:rPr>
            <w:b w:val="0"/>
            <w:bCs/>
            <w:webHidden/>
          </w:rPr>
          <w:t>7</w:t>
        </w:r>
        <w:r w:rsidR="00C34CB3" w:rsidRPr="006F0A82">
          <w:rPr>
            <w:b w:val="0"/>
            <w:bCs/>
            <w:webHidden/>
          </w:rPr>
          <w:fldChar w:fldCharType="end"/>
        </w:r>
      </w:hyperlink>
    </w:p>
    <w:p w14:paraId="05C6EA95" w14:textId="07C4C353" w:rsidR="00C34CB3" w:rsidRPr="006F0A82" w:rsidRDefault="0067537F" w:rsidP="006F0A82">
      <w:pPr>
        <w:pStyle w:val="TOC1"/>
        <w:rPr>
          <w:rFonts w:asciiTheme="minorHAnsi" w:eastAsiaTheme="minorEastAsia" w:hAnsiTheme="minorHAnsi"/>
          <w:b w:val="0"/>
          <w:bCs/>
          <w:color w:val="auto"/>
          <w:sz w:val="22"/>
          <w:lang w:eastAsia="en-AU"/>
        </w:rPr>
      </w:pPr>
      <w:hyperlink w:anchor="_Toc116040353" w:history="1">
        <w:r w:rsidR="00C34CB3" w:rsidRPr="006F0A82">
          <w:rPr>
            <w:rStyle w:val="Hyperlink"/>
            <w:rFonts w:eastAsiaTheme="majorEastAsia"/>
            <w:b w:val="0"/>
            <w:bCs/>
          </w:rPr>
          <w:t>Table 4 Graduate employment and study outcomes by study level, 2020-2022</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_Toc116040353 \h </w:instrText>
        </w:r>
        <w:r w:rsidR="00C34CB3" w:rsidRPr="006F0A82">
          <w:rPr>
            <w:b w:val="0"/>
            <w:bCs/>
            <w:webHidden/>
          </w:rPr>
        </w:r>
        <w:r w:rsidR="00C34CB3" w:rsidRPr="006F0A82">
          <w:rPr>
            <w:b w:val="0"/>
            <w:bCs/>
            <w:webHidden/>
          </w:rPr>
          <w:fldChar w:fldCharType="separate"/>
        </w:r>
        <w:r w:rsidR="00C34CB3" w:rsidRPr="006F0A82">
          <w:rPr>
            <w:b w:val="0"/>
            <w:bCs/>
            <w:webHidden/>
          </w:rPr>
          <w:t>8</w:t>
        </w:r>
        <w:r w:rsidR="00C34CB3" w:rsidRPr="006F0A82">
          <w:rPr>
            <w:b w:val="0"/>
            <w:bCs/>
            <w:webHidden/>
          </w:rPr>
          <w:fldChar w:fldCharType="end"/>
        </w:r>
      </w:hyperlink>
    </w:p>
    <w:p w14:paraId="3B2215D2" w14:textId="5CE7C6FC" w:rsidR="00C34CB3" w:rsidRPr="006F0A82" w:rsidRDefault="0067537F" w:rsidP="006F0A82">
      <w:pPr>
        <w:pStyle w:val="TOC1"/>
        <w:rPr>
          <w:rFonts w:asciiTheme="minorHAnsi" w:eastAsiaTheme="minorEastAsia" w:hAnsiTheme="minorHAnsi"/>
          <w:b w:val="0"/>
          <w:bCs/>
          <w:color w:val="auto"/>
          <w:sz w:val="22"/>
          <w:lang w:eastAsia="en-AU"/>
        </w:rPr>
      </w:pPr>
      <w:hyperlink w:anchor="_Toc116040354" w:history="1">
        <w:r w:rsidR="00C34CB3" w:rsidRPr="006F0A82">
          <w:rPr>
            <w:rStyle w:val="Hyperlink"/>
            <w:rFonts w:eastAsiaTheme="majorEastAsia"/>
            <w:b w:val="0"/>
            <w:bCs/>
          </w:rPr>
          <w:t xml:space="preserve">Table 5 </w:t>
        </w:r>
        <w:r w:rsidR="00C34CB3" w:rsidRPr="006F0A82">
          <w:rPr>
            <w:rStyle w:val="Hyperlink"/>
            <w:rFonts w:eastAsiaTheme="majorEastAsia" w:cs="Arial"/>
            <w:b w:val="0"/>
            <w:bCs/>
            <w:lang w:val="en-GB"/>
          </w:rPr>
          <w:t>Full-time and overall employment rates by study level, 2009-2022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_Toc116040354 \h </w:instrText>
        </w:r>
        <w:r w:rsidR="00C34CB3" w:rsidRPr="006F0A82">
          <w:rPr>
            <w:b w:val="0"/>
            <w:bCs/>
            <w:webHidden/>
          </w:rPr>
        </w:r>
        <w:r w:rsidR="00C34CB3" w:rsidRPr="006F0A82">
          <w:rPr>
            <w:b w:val="0"/>
            <w:bCs/>
            <w:webHidden/>
          </w:rPr>
          <w:fldChar w:fldCharType="separate"/>
        </w:r>
        <w:r w:rsidR="00C34CB3" w:rsidRPr="006F0A82">
          <w:rPr>
            <w:b w:val="0"/>
            <w:bCs/>
            <w:webHidden/>
          </w:rPr>
          <w:t>9</w:t>
        </w:r>
        <w:r w:rsidR="00C34CB3" w:rsidRPr="006F0A82">
          <w:rPr>
            <w:b w:val="0"/>
            <w:bCs/>
            <w:webHidden/>
          </w:rPr>
          <w:fldChar w:fldCharType="end"/>
        </w:r>
      </w:hyperlink>
    </w:p>
    <w:p w14:paraId="25ABDBE7" w14:textId="1C289FFD" w:rsidR="00C34CB3" w:rsidRPr="006F0A82" w:rsidRDefault="0067537F" w:rsidP="006F0A82">
      <w:pPr>
        <w:pStyle w:val="TOC1"/>
        <w:rPr>
          <w:rFonts w:asciiTheme="minorHAnsi" w:eastAsiaTheme="minorEastAsia" w:hAnsiTheme="minorHAnsi"/>
          <w:b w:val="0"/>
          <w:bCs/>
          <w:color w:val="auto"/>
          <w:sz w:val="22"/>
          <w:lang w:eastAsia="en-AU"/>
        </w:rPr>
      </w:pPr>
      <w:hyperlink w:anchor="_Toc116040355" w:history="1">
        <w:r w:rsidR="00C34CB3" w:rsidRPr="006F0A82">
          <w:rPr>
            <w:rStyle w:val="Hyperlink"/>
            <w:rFonts w:eastAsiaTheme="majorEastAsia"/>
            <w:b w:val="0"/>
            <w:bCs/>
          </w:rPr>
          <w:t xml:space="preserve">Table 7 </w:t>
        </w:r>
        <w:r w:rsidR="00C34CB3" w:rsidRPr="006F0A82">
          <w:rPr>
            <w:rStyle w:val="Hyperlink"/>
            <w:rFonts w:ascii="ArialMT" w:eastAsiaTheme="majorEastAsia" w:hAnsi="ArialMT" w:cs="ArialMT"/>
            <w:b w:val="0"/>
            <w:bCs/>
            <w:lang w:val="en-GB"/>
          </w:rPr>
          <w:t>Median salaries by gender and level of study, 2009-2022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_Toc116040355 \h </w:instrText>
        </w:r>
        <w:r w:rsidR="00C34CB3" w:rsidRPr="006F0A82">
          <w:rPr>
            <w:b w:val="0"/>
            <w:bCs/>
            <w:webHidden/>
          </w:rPr>
        </w:r>
        <w:r w:rsidR="00C34CB3" w:rsidRPr="006F0A82">
          <w:rPr>
            <w:b w:val="0"/>
            <w:bCs/>
            <w:webHidden/>
          </w:rPr>
          <w:fldChar w:fldCharType="separate"/>
        </w:r>
        <w:r w:rsidR="00C34CB3" w:rsidRPr="006F0A82">
          <w:rPr>
            <w:b w:val="0"/>
            <w:bCs/>
            <w:webHidden/>
          </w:rPr>
          <w:t>10</w:t>
        </w:r>
        <w:r w:rsidR="00C34CB3" w:rsidRPr="006F0A82">
          <w:rPr>
            <w:b w:val="0"/>
            <w:bCs/>
            <w:webHidden/>
          </w:rPr>
          <w:fldChar w:fldCharType="end"/>
        </w:r>
      </w:hyperlink>
    </w:p>
    <w:p w14:paraId="4D1FF2C0" w14:textId="152602C6" w:rsidR="00C34CB3" w:rsidRPr="006F0A82" w:rsidRDefault="0067537F" w:rsidP="006F0A82">
      <w:pPr>
        <w:pStyle w:val="TOC1"/>
        <w:rPr>
          <w:rFonts w:asciiTheme="minorHAnsi" w:eastAsiaTheme="minorEastAsia" w:hAnsiTheme="minorHAnsi"/>
          <w:b w:val="0"/>
          <w:bCs/>
          <w:color w:val="auto"/>
          <w:sz w:val="22"/>
          <w:lang w:eastAsia="en-AU"/>
        </w:rPr>
      </w:pPr>
      <w:hyperlink w:anchor="_Toc116040356" w:history="1">
        <w:r w:rsidR="00C34CB3" w:rsidRPr="006F0A82">
          <w:rPr>
            <w:rStyle w:val="Hyperlink"/>
            <w:rFonts w:eastAsiaTheme="majorEastAsia"/>
            <w:b w:val="0"/>
            <w:bCs/>
          </w:rPr>
          <w:t>Table 7 Main reason not working more hours, of undergraduates employed part-time by preference for more hours, 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_Toc116040356 \h </w:instrText>
        </w:r>
        <w:r w:rsidR="00C34CB3" w:rsidRPr="006F0A82">
          <w:rPr>
            <w:b w:val="0"/>
            <w:bCs/>
            <w:webHidden/>
          </w:rPr>
        </w:r>
        <w:r w:rsidR="00C34CB3" w:rsidRPr="006F0A82">
          <w:rPr>
            <w:b w:val="0"/>
            <w:bCs/>
            <w:webHidden/>
          </w:rPr>
          <w:fldChar w:fldCharType="separate"/>
        </w:r>
        <w:r w:rsidR="00C34CB3" w:rsidRPr="006F0A82">
          <w:rPr>
            <w:b w:val="0"/>
            <w:bCs/>
            <w:webHidden/>
          </w:rPr>
          <w:t>11</w:t>
        </w:r>
        <w:r w:rsidR="00C34CB3" w:rsidRPr="006F0A82">
          <w:rPr>
            <w:b w:val="0"/>
            <w:bCs/>
            <w:webHidden/>
          </w:rPr>
          <w:fldChar w:fldCharType="end"/>
        </w:r>
      </w:hyperlink>
    </w:p>
    <w:p w14:paraId="5DB094AD" w14:textId="03D4EECB" w:rsidR="00C34CB3" w:rsidRPr="006F0A82" w:rsidRDefault="0067537F" w:rsidP="006F0A82">
      <w:pPr>
        <w:pStyle w:val="TOC1"/>
        <w:rPr>
          <w:rFonts w:asciiTheme="minorHAnsi" w:eastAsiaTheme="minorEastAsia" w:hAnsiTheme="minorHAnsi"/>
          <w:b w:val="0"/>
          <w:bCs/>
          <w:color w:val="auto"/>
          <w:sz w:val="22"/>
          <w:lang w:eastAsia="en-AU"/>
        </w:rPr>
      </w:pPr>
      <w:hyperlink w:anchor="_Toc116040357" w:history="1">
        <w:r w:rsidR="00C34CB3" w:rsidRPr="006F0A82">
          <w:rPr>
            <w:rStyle w:val="Hyperlink"/>
            <w:rFonts w:eastAsiaTheme="majorEastAsia"/>
            <w:b w:val="0"/>
            <w:bCs/>
          </w:rPr>
          <w:t>Table 8 Undergraduate employment outcomes by demographic group, 2021-2022</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_Toc116040357 \h </w:instrText>
        </w:r>
        <w:r w:rsidR="00C34CB3" w:rsidRPr="006F0A82">
          <w:rPr>
            <w:b w:val="0"/>
            <w:bCs/>
            <w:webHidden/>
          </w:rPr>
        </w:r>
        <w:r w:rsidR="00C34CB3" w:rsidRPr="006F0A82">
          <w:rPr>
            <w:b w:val="0"/>
            <w:bCs/>
            <w:webHidden/>
          </w:rPr>
          <w:fldChar w:fldCharType="separate"/>
        </w:r>
        <w:r w:rsidR="00C34CB3" w:rsidRPr="006F0A82">
          <w:rPr>
            <w:b w:val="0"/>
            <w:bCs/>
            <w:webHidden/>
          </w:rPr>
          <w:t>12</w:t>
        </w:r>
        <w:r w:rsidR="00C34CB3" w:rsidRPr="006F0A82">
          <w:rPr>
            <w:b w:val="0"/>
            <w:bCs/>
            <w:webHidden/>
          </w:rPr>
          <w:fldChar w:fldCharType="end"/>
        </w:r>
      </w:hyperlink>
    </w:p>
    <w:p w14:paraId="5A44A463" w14:textId="5893884F" w:rsidR="00C34CB3" w:rsidRPr="006F0A82" w:rsidRDefault="0067537F" w:rsidP="006F0A82">
      <w:pPr>
        <w:pStyle w:val="TOC1"/>
        <w:rPr>
          <w:rFonts w:asciiTheme="minorHAnsi" w:eastAsiaTheme="minorEastAsia" w:hAnsiTheme="minorHAnsi"/>
          <w:b w:val="0"/>
          <w:bCs/>
          <w:color w:val="auto"/>
          <w:sz w:val="22"/>
          <w:lang w:eastAsia="en-AU"/>
        </w:rPr>
      </w:pPr>
      <w:hyperlink w:anchor="_Toc116040358" w:history="1">
        <w:r w:rsidR="00C34CB3" w:rsidRPr="006F0A82">
          <w:rPr>
            <w:rStyle w:val="Hyperlink"/>
            <w:rFonts w:eastAsiaTheme="majorEastAsia"/>
            <w:b w:val="0"/>
            <w:bCs/>
          </w:rPr>
          <w:t>Table 9 Undergraduate employment outcomes by study area, 2021-2022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_Toc116040358 \h </w:instrText>
        </w:r>
        <w:r w:rsidR="00C34CB3" w:rsidRPr="006F0A82">
          <w:rPr>
            <w:b w:val="0"/>
            <w:bCs/>
            <w:webHidden/>
          </w:rPr>
        </w:r>
        <w:r w:rsidR="00C34CB3" w:rsidRPr="006F0A82">
          <w:rPr>
            <w:b w:val="0"/>
            <w:bCs/>
            <w:webHidden/>
          </w:rPr>
          <w:fldChar w:fldCharType="separate"/>
        </w:r>
        <w:r w:rsidR="00C34CB3" w:rsidRPr="006F0A82">
          <w:rPr>
            <w:b w:val="0"/>
            <w:bCs/>
            <w:webHidden/>
          </w:rPr>
          <w:t>14</w:t>
        </w:r>
        <w:r w:rsidR="00C34CB3" w:rsidRPr="006F0A82">
          <w:rPr>
            <w:b w:val="0"/>
            <w:bCs/>
            <w:webHidden/>
          </w:rPr>
          <w:fldChar w:fldCharType="end"/>
        </w:r>
      </w:hyperlink>
    </w:p>
    <w:p w14:paraId="16634741" w14:textId="0CC2F5CB" w:rsidR="00C34CB3" w:rsidRPr="006F0A82" w:rsidRDefault="0067537F" w:rsidP="006F0A82">
      <w:pPr>
        <w:pStyle w:val="TOC1"/>
        <w:rPr>
          <w:rFonts w:asciiTheme="minorHAnsi" w:eastAsiaTheme="minorEastAsia" w:hAnsiTheme="minorHAnsi"/>
          <w:b w:val="0"/>
          <w:bCs/>
          <w:color w:val="auto"/>
          <w:sz w:val="22"/>
          <w:lang w:eastAsia="en-AU"/>
        </w:rPr>
      </w:pPr>
      <w:hyperlink w:anchor="_Toc116040359" w:history="1">
        <w:r w:rsidR="00C34CB3" w:rsidRPr="006F0A82">
          <w:rPr>
            <w:rStyle w:val="Hyperlink"/>
            <w:rFonts w:eastAsiaTheme="majorEastAsia"/>
            <w:b w:val="0"/>
            <w:bCs/>
          </w:rPr>
          <w:t>Table 10 Undergraduate median full-time salaries by study area, 2021-2022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_Toc116040359 \h </w:instrText>
        </w:r>
        <w:r w:rsidR="00C34CB3" w:rsidRPr="006F0A82">
          <w:rPr>
            <w:b w:val="0"/>
            <w:bCs/>
            <w:webHidden/>
          </w:rPr>
        </w:r>
        <w:r w:rsidR="00C34CB3" w:rsidRPr="006F0A82">
          <w:rPr>
            <w:b w:val="0"/>
            <w:bCs/>
            <w:webHidden/>
          </w:rPr>
          <w:fldChar w:fldCharType="separate"/>
        </w:r>
        <w:r w:rsidR="00C34CB3" w:rsidRPr="006F0A82">
          <w:rPr>
            <w:b w:val="0"/>
            <w:bCs/>
            <w:webHidden/>
          </w:rPr>
          <w:t>15</w:t>
        </w:r>
        <w:r w:rsidR="00C34CB3" w:rsidRPr="006F0A82">
          <w:rPr>
            <w:b w:val="0"/>
            <w:bCs/>
            <w:webHidden/>
          </w:rPr>
          <w:fldChar w:fldCharType="end"/>
        </w:r>
      </w:hyperlink>
    </w:p>
    <w:p w14:paraId="79B1418E" w14:textId="1CF5AD23" w:rsidR="00C34CB3" w:rsidRPr="006F0A82" w:rsidRDefault="0067537F" w:rsidP="006F0A82">
      <w:pPr>
        <w:pStyle w:val="TOC1"/>
        <w:rPr>
          <w:rFonts w:asciiTheme="minorHAnsi" w:eastAsiaTheme="minorEastAsia" w:hAnsiTheme="minorHAnsi"/>
          <w:b w:val="0"/>
          <w:bCs/>
          <w:color w:val="auto"/>
          <w:sz w:val="22"/>
          <w:lang w:eastAsia="en-AU"/>
        </w:rPr>
      </w:pPr>
      <w:hyperlink w:anchor="_Toc116040360" w:history="1">
        <w:r w:rsidR="00C34CB3" w:rsidRPr="006F0A82">
          <w:rPr>
            <w:rStyle w:val="Hyperlink"/>
            <w:rFonts w:eastAsiaTheme="majorEastAsia"/>
            <w:b w:val="0"/>
            <w:bCs/>
          </w:rPr>
          <w:t>Table 11 Undergraduate full-time employment and overall employment rate by university, 2021-2022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_Toc116040360 \h </w:instrText>
        </w:r>
        <w:r w:rsidR="00C34CB3" w:rsidRPr="006F0A82">
          <w:rPr>
            <w:b w:val="0"/>
            <w:bCs/>
            <w:webHidden/>
          </w:rPr>
        </w:r>
        <w:r w:rsidR="00C34CB3" w:rsidRPr="006F0A82">
          <w:rPr>
            <w:b w:val="0"/>
            <w:bCs/>
            <w:webHidden/>
          </w:rPr>
          <w:fldChar w:fldCharType="separate"/>
        </w:r>
        <w:r w:rsidR="00C34CB3" w:rsidRPr="006F0A82">
          <w:rPr>
            <w:b w:val="0"/>
            <w:bCs/>
            <w:webHidden/>
          </w:rPr>
          <w:t>17</w:t>
        </w:r>
        <w:r w:rsidR="00C34CB3" w:rsidRPr="006F0A82">
          <w:rPr>
            <w:b w:val="0"/>
            <w:bCs/>
            <w:webHidden/>
          </w:rPr>
          <w:fldChar w:fldCharType="end"/>
        </w:r>
      </w:hyperlink>
    </w:p>
    <w:p w14:paraId="202CE697" w14:textId="444AC80D" w:rsidR="00C34CB3" w:rsidRPr="006F0A82" w:rsidRDefault="0067537F" w:rsidP="006F0A82">
      <w:pPr>
        <w:pStyle w:val="TOC1"/>
        <w:rPr>
          <w:rFonts w:asciiTheme="minorHAnsi" w:eastAsiaTheme="minorEastAsia" w:hAnsiTheme="minorHAnsi"/>
          <w:b w:val="0"/>
          <w:bCs/>
          <w:color w:val="auto"/>
          <w:sz w:val="22"/>
          <w:lang w:eastAsia="en-AU"/>
        </w:rPr>
      </w:pPr>
      <w:hyperlink w:anchor="_Toc116040361" w:history="1">
        <w:r w:rsidR="00C34CB3" w:rsidRPr="006F0A82">
          <w:rPr>
            <w:rStyle w:val="Hyperlink"/>
            <w:rFonts w:eastAsiaTheme="majorEastAsia"/>
            <w:b w:val="0"/>
            <w:bCs/>
          </w:rPr>
          <w:t>Table 12 Undergraduate labour force participation and median full-time salary by university, 2021-2022</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_Toc116040361 \h </w:instrText>
        </w:r>
        <w:r w:rsidR="00C34CB3" w:rsidRPr="006F0A82">
          <w:rPr>
            <w:b w:val="0"/>
            <w:bCs/>
            <w:webHidden/>
          </w:rPr>
        </w:r>
        <w:r w:rsidR="00C34CB3" w:rsidRPr="006F0A82">
          <w:rPr>
            <w:b w:val="0"/>
            <w:bCs/>
            <w:webHidden/>
          </w:rPr>
          <w:fldChar w:fldCharType="separate"/>
        </w:r>
        <w:r w:rsidR="00C34CB3" w:rsidRPr="006F0A82">
          <w:rPr>
            <w:b w:val="0"/>
            <w:bCs/>
            <w:webHidden/>
          </w:rPr>
          <w:t>19</w:t>
        </w:r>
        <w:r w:rsidR="00C34CB3" w:rsidRPr="006F0A82">
          <w:rPr>
            <w:b w:val="0"/>
            <w:bCs/>
            <w:webHidden/>
          </w:rPr>
          <w:fldChar w:fldCharType="end"/>
        </w:r>
      </w:hyperlink>
    </w:p>
    <w:p w14:paraId="7596E806" w14:textId="2E01C4C0" w:rsidR="00C34CB3" w:rsidRPr="006F0A82" w:rsidRDefault="0067537F" w:rsidP="006F0A82">
      <w:pPr>
        <w:pStyle w:val="TOC1"/>
        <w:rPr>
          <w:rFonts w:asciiTheme="minorHAnsi" w:eastAsiaTheme="minorEastAsia" w:hAnsiTheme="minorHAnsi"/>
          <w:b w:val="0"/>
          <w:bCs/>
          <w:color w:val="auto"/>
          <w:sz w:val="22"/>
          <w:lang w:eastAsia="en-AU"/>
        </w:rPr>
      </w:pPr>
      <w:hyperlink w:anchor="_Toc116040362" w:history="1">
        <w:r w:rsidR="00C34CB3" w:rsidRPr="006F0A82">
          <w:rPr>
            <w:rStyle w:val="Hyperlink"/>
            <w:rFonts w:eastAsiaTheme="majorEastAsia"/>
            <w:b w:val="0"/>
            <w:bCs/>
          </w:rPr>
          <w:t>Table 13 Undergraduate labour force indicators by NUHEI, pooled 2020-2022</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_Toc116040362 \h </w:instrText>
        </w:r>
        <w:r w:rsidR="00C34CB3" w:rsidRPr="006F0A82">
          <w:rPr>
            <w:b w:val="0"/>
            <w:bCs/>
            <w:webHidden/>
          </w:rPr>
        </w:r>
        <w:r w:rsidR="00C34CB3" w:rsidRPr="006F0A82">
          <w:rPr>
            <w:b w:val="0"/>
            <w:bCs/>
            <w:webHidden/>
          </w:rPr>
          <w:fldChar w:fldCharType="separate"/>
        </w:r>
        <w:r w:rsidR="00C34CB3" w:rsidRPr="006F0A82">
          <w:rPr>
            <w:b w:val="0"/>
            <w:bCs/>
            <w:webHidden/>
          </w:rPr>
          <w:t>23</w:t>
        </w:r>
        <w:r w:rsidR="00C34CB3" w:rsidRPr="006F0A82">
          <w:rPr>
            <w:b w:val="0"/>
            <w:bCs/>
            <w:webHidden/>
          </w:rPr>
          <w:fldChar w:fldCharType="end"/>
        </w:r>
      </w:hyperlink>
    </w:p>
    <w:p w14:paraId="39501EB9" w14:textId="7C348074" w:rsidR="00C34CB3" w:rsidRPr="006F0A82" w:rsidRDefault="0067537F" w:rsidP="006F0A82">
      <w:pPr>
        <w:pStyle w:val="TOC1"/>
        <w:rPr>
          <w:rFonts w:asciiTheme="minorHAnsi" w:eastAsiaTheme="minorEastAsia" w:hAnsiTheme="minorHAnsi"/>
          <w:b w:val="0"/>
          <w:bCs/>
          <w:color w:val="auto"/>
          <w:sz w:val="22"/>
          <w:lang w:eastAsia="en-AU"/>
        </w:rPr>
      </w:pPr>
      <w:hyperlink w:anchor="_Toc116040363" w:history="1">
        <w:r w:rsidR="00C34CB3" w:rsidRPr="006F0A82">
          <w:rPr>
            <w:rStyle w:val="Hyperlink"/>
            <w:rFonts w:eastAsiaTheme="majorEastAsia"/>
            <w:b w:val="0"/>
            <w:bCs/>
          </w:rPr>
          <w:t>Table 14 Graduates employed in managerial and professional occupations by employment type and study level, international and domestic graduates, 2021-2022 (% of those employed)</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_Toc116040363 \h </w:instrText>
        </w:r>
        <w:r w:rsidR="00C34CB3" w:rsidRPr="006F0A82">
          <w:rPr>
            <w:b w:val="0"/>
            <w:bCs/>
            <w:webHidden/>
          </w:rPr>
        </w:r>
        <w:r w:rsidR="00C34CB3" w:rsidRPr="006F0A82">
          <w:rPr>
            <w:b w:val="0"/>
            <w:bCs/>
            <w:webHidden/>
          </w:rPr>
          <w:fldChar w:fldCharType="separate"/>
        </w:r>
        <w:r w:rsidR="00C34CB3" w:rsidRPr="006F0A82">
          <w:rPr>
            <w:b w:val="0"/>
            <w:bCs/>
            <w:webHidden/>
          </w:rPr>
          <w:t>27</w:t>
        </w:r>
        <w:r w:rsidR="00C34CB3" w:rsidRPr="006F0A82">
          <w:rPr>
            <w:b w:val="0"/>
            <w:bCs/>
            <w:webHidden/>
          </w:rPr>
          <w:fldChar w:fldCharType="end"/>
        </w:r>
      </w:hyperlink>
    </w:p>
    <w:p w14:paraId="51B77274" w14:textId="119E07C9" w:rsidR="00C34CB3" w:rsidRPr="006F0A82" w:rsidRDefault="0067537F" w:rsidP="006F0A82">
      <w:pPr>
        <w:pStyle w:val="TOC1"/>
        <w:rPr>
          <w:rFonts w:asciiTheme="minorHAnsi" w:eastAsiaTheme="minorEastAsia" w:hAnsiTheme="minorHAnsi"/>
          <w:b w:val="0"/>
          <w:bCs/>
          <w:color w:val="auto"/>
          <w:sz w:val="22"/>
          <w:lang w:eastAsia="en-AU"/>
        </w:rPr>
      </w:pPr>
      <w:hyperlink w:anchor="_Toc116040364" w:history="1">
        <w:r w:rsidR="00C34CB3" w:rsidRPr="006F0A82">
          <w:rPr>
            <w:rStyle w:val="Hyperlink"/>
            <w:rFonts w:eastAsiaTheme="majorEastAsia"/>
            <w:b w:val="0"/>
            <w:bCs/>
          </w:rPr>
          <w:t>Table 15 Qualification prepared graduate well or very well for current job, by employment type and study level, 2021-2022 (% of those employed)</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_Toc116040364 \h </w:instrText>
        </w:r>
        <w:r w:rsidR="00C34CB3" w:rsidRPr="006F0A82">
          <w:rPr>
            <w:b w:val="0"/>
            <w:bCs/>
            <w:webHidden/>
          </w:rPr>
        </w:r>
        <w:r w:rsidR="00C34CB3" w:rsidRPr="006F0A82">
          <w:rPr>
            <w:b w:val="0"/>
            <w:bCs/>
            <w:webHidden/>
          </w:rPr>
          <w:fldChar w:fldCharType="separate"/>
        </w:r>
        <w:r w:rsidR="00C34CB3" w:rsidRPr="006F0A82">
          <w:rPr>
            <w:b w:val="0"/>
            <w:bCs/>
            <w:webHidden/>
          </w:rPr>
          <w:t>27</w:t>
        </w:r>
        <w:r w:rsidR="00C34CB3" w:rsidRPr="006F0A82">
          <w:rPr>
            <w:b w:val="0"/>
            <w:bCs/>
            <w:webHidden/>
          </w:rPr>
          <w:fldChar w:fldCharType="end"/>
        </w:r>
      </w:hyperlink>
    </w:p>
    <w:p w14:paraId="05AE9E6A" w14:textId="3B7809DB" w:rsidR="00C34CB3" w:rsidRPr="006F0A82" w:rsidRDefault="0067537F" w:rsidP="006F0A82">
      <w:pPr>
        <w:pStyle w:val="TOC1"/>
        <w:rPr>
          <w:rFonts w:asciiTheme="minorHAnsi" w:eastAsiaTheme="minorEastAsia" w:hAnsiTheme="minorHAnsi"/>
          <w:b w:val="0"/>
          <w:bCs/>
          <w:color w:val="auto"/>
          <w:sz w:val="22"/>
          <w:lang w:eastAsia="en-AU"/>
        </w:rPr>
      </w:pPr>
      <w:hyperlink w:anchor="_Toc116040365" w:history="1">
        <w:r w:rsidR="00C34CB3" w:rsidRPr="006F0A82">
          <w:rPr>
            <w:rStyle w:val="Hyperlink"/>
            <w:rFonts w:eastAsiaTheme="majorEastAsia"/>
            <w:b w:val="0"/>
            <w:bCs/>
          </w:rPr>
          <w:t>Table 16 Undergraduates’ main reason for working in job in 2022 that does not fully use skills and education, by employment outcomes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_Toc116040365 \h </w:instrText>
        </w:r>
        <w:r w:rsidR="00C34CB3" w:rsidRPr="006F0A82">
          <w:rPr>
            <w:b w:val="0"/>
            <w:bCs/>
            <w:webHidden/>
          </w:rPr>
        </w:r>
        <w:r w:rsidR="00C34CB3" w:rsidRPr="006F0A82">
          <w:rPr>
            <w:b w:val="0"/>
            <w:bCs/>
            <w:webHidden/>
          </w:rPr>
          <w:fldChar w:fldCharType="separate"/>
        </w:r>
        <w:r w:rsidR="00C34CB3" w:rsidRPr="006F0A82">
          <w:rPr>
            <w:b w:val="0"/>
            <w:bCs/>
            <w:webHidden/>
          </w:rPr>
          <w:t>28</w:t>
        </w:r>
        <w:r w:rsidR="00C34CB3" w:rsidRPr="006F0A82">
          <w:rPr>
            <w:b w:val="0"/>
            <w:bCs/>
            <w:webHidden/>
          </w:rPr>
          <w:fldChar w:fldCharType="end"/>
        </w:r>
      </w:hyperlink>
    </w:p>
    <w:p w14:paraId="17000CEC" w14:textId="393FA7F0" w:rsidR="00C34CB3" w:rsidRPr="006F0A82" w:rsidRDefault="0067537F" w:rsidP="006F0A82">
      <w:pPr>
        <w:pStyle w:val="TOC1"/>
        <w:rPr>
          <w:rFonts w:asciiTheme="minorHAnsi" w:eastAsiaTheme="minorEastAsia" w:hAnsiTheme="minorHAnsi"/>
          <w:b w:val="0"/>
          <w:bCs/>
          <w:color w:val="auto"/>
          <w:sz w:val="22"/>
          <w:lang w:eastAsia="en-AU"/>
        </w:rPr>
      </w:pPr>
      <w:hyperlink w:anchor="_Toc116040366" w:history="1">
        <w:r w:rsidR="00C34CB3" w:rsidRPr="006F0A82">
          <w:rPr>
            <w:rStyle w:val="Hyperlink"/>
            <w:rFonts w:eastAsiaTheme="majorEastAsia"/>
            <w:b w:val="0"/>
            <w:bCs/>
          </w:rPr>
          <w:t>Table 17 Undergraduate further full-time study status, by original field of study, 2021-2022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_Toc116040366 \h </w:instrText>
        </w:r>
        <w:r w:rsidR="00C34CB3" w:rsidRPr="006F0A82">
          <w:rPr>
            <w:b w:val="0"/>
            <w:bCs/>
            <w:webHidden/>
          </w:rPr>
        </w:r>
        <w:r w:rsidR="00C34CB3" w:rsidRPr="006F0A82">
          <w:rPr>
            <w:b w:val="0"/>
            <w:bCs/>
            <w:webHidden/>
          </w:rPr>
          <w:fldChar w:fldCharType="separate"/>
        </w:r>
        <w:r w:rsidR="00C34CB3" w:rsidRPr="006F0A82">
          <w:rPr>
            <w:b w:val="0"/>
            <w:bCs/>
            <w:webHidden/>
          </w:rPr>
          <w:t>29</w:t>
        </w:r>
        <w:r w:rsidR="00C34CB3" w:rsidRPr="006F0A82">
          <w:rPr>
            <w:b w:val="0"/>
            <w:bCs/>
            <w:webHidden/>
          </w:rPr>
          <w:fldChar w:fldCharType="end"/>
        </w:r>
      </w:hyperlink>
    </w:p>
    <w:p w14:paraId="77FC66FD" w14:textId="61E7BF61" w:rsidR="00C34CB3" w:rsidRPr="006F0A82" w:rsidRDefault="0067537F" w:rsidP="006F0A82">
      <w:pPr>
        <w:pStyle w:val="TOC1"/>
        <w:rPr>
          <w:rFonts w:asciiTheme="minorHAnsi" w:eastAsiaTheme="minorEastAsia" w:hAnsiTheme="minorHAnsi"/>
          <w:b w:val="0"/>
          <w:bCs/>
          <w:color w:val="auto"/>
          <w:sz w:val="22"/>
          <w:lang w:eastAsia="en-AU"/>
        </w:rPr>
      </w:pPr>
      <w:hyperlink w:anchor="_Toc116040367" w:history="1">
        <w:r w:rsidR="00C34CB3" w:rsidRPr="006F0A82">
          <w:rPr>
            <w:rStyle w:val="Hyperlink"/>
            <w:rFonts w:eastAsiaTheme="majorEastAsia"/>
            <w:b w:val="0"/>
            <w:bCs/>
          </w:rPr>
          <w:t>Table 18 Broad field of education destinations of undergraduates undertaking further full-time study, 2021-2022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_Toc116040367 \h </w:instrText>
        </w:r>
        <w:r w:rsidR="00C34CB3" w:rsidRPr="006F0A82">
          <w:rPr>
            <w:b w:val="0"/>
            <w:bCs/>
            <w:webHidden/>
          </w:rPr>
        </w:r>
        <w:r w:rsidR="00C34CB3" w:rsidRPr="006F0A82">
          <w:rPr>
            <w:b w:val="0"/>
            <w:bCs/>
            <w:webHidden/>
          </w:rPr>
          <w:fldChar w:fldCharType="separate"/>
        </w:r>
        <w:r w:rsidR="00C34CB3" w:rsidRPr="006F0A82">
          <w:rPr>
            <w:b w:val="0"/>
            <w:bCs/>
            <w:webHidden/>
          </w:rPr>
          <w:t>30</w:t>
        </w:r>
        <w:r w:rsidR="00C34CB3" w:rsidRPr="006F0A82">
          <w:rPr>
            <w:b w:val="0"/>
            <w:bCs/>
            <w:webHidden/>
          </w:rPr>
          <w:fldChar w:fldCharType="end"/>
        </w:r>
      </w:hyperlink>
    </w:p>
    <w:p w14:paraId="2907ED06" w14:textId="04DBED67" w:rsidR="00C34CB3" w:rsidRPr="006F0A82" w:rsidRDefault="0067537F" w:rsidP="006F0A82">
      <w:pPr>
        <w:pStyle w:val="TOC1"/>
        <w:rPr>
          <w:rFonts w:asciiTheme="minorHAnsi" w:eastAsiaTheme="minorEastAsia" w:hAnsiTheme="minorHAnsi"/>
          <w:b w:val="0"/>
          <w:bCs/>
          <w:color w:val="auto"/>
          <w:sz w:val="22"/>
          <w:lang w:eastAsia="en-AU"/>
        </w:rPr>
      </w:pPr>
      <w:hyperlink w:anchor="_Toc116040368" w:history="1">
        <w:r w:rsidR="00C34CB3" w:rsidRPr="006F0A82">
          <w:rPr>
            <w:rStyle w:val="Hyperlink"/>
            <w:rFonts w:eastAsiaTheme="majorEastAsia"/>
            <w:b w:val="0"/>
            <w:bCs/>
          </w:rPr>
          <w:t>Table 19 Undergraduate and Postgraduate coursework satisfaction, 2011-2022 (% agreement)</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_Toc116040368 \h </w:instrText>
        </w:r>
        <w:r w:rsidR="00C34CB3" w:rsidRPr="006F0A82">
          <w:rPr>
            <w:b w:val="0"/>
            <w:bCs/>
            <w:webHidden/>
          </w:rPr>
        </w:r>
        <w:r w:rsidR="00C34CB3" w:rsidRPr="006F0A82">
          <w:rPr>
            <w:b w:val="0"/>
            <w:bCs/>
            <w:webHidden/>
          </w:rPr>
          <w:fldChar w:fldCharType="separate"/>
        </w:r>
        <w:r w:rsidR="00C34CB3" w:rsidRPr="006F0A82">
          <w:rPr>
            <w:b w:val="0"/>
            <w:bCs/>
            <w:webHidden/>
          </w:rPr>
          <w:t>31</w:t>
        </w:r>
        <w:r w:rsidR="00C34CB3" w:rsidRPr="006F0A82">
          <w:rPr>
            <w:b w:val="0"/>
            <w:bCs/>
            <w:webHidden/>
          </w:rPr>
          <w:fldChar w:fldCharType="end"/>
        </w:r>
      </w:hyperlink>
    </w:p>
    <w:p w14:paraId="301CD56C" w14:textId="0B90B125" w:rsidR="00C34CB3" w:rsidRPr="006F0A82" w:rsidRDefault="0067537F" w:rsidP="006F0A82">
      <w:pPr>
        <w:pStyle w:val="TOC1"/>
        <w:rPr>
          <w:rFonts w:asciiTheme="minorHAnsi" w:eastAsiaTheme="minorEastAsia" w:hAnsiTheme="minorHAnsi"/>
          <w:b w:val="0"/>
          <w:bCs/>
          <w:color w:val="auto"/>
          <w:sz w:val="22"/>
          <w:lang w:eastAsia="en-AU"/>
        </w:rPr>
      </w:pPr>
      <w:hyperlink w:anchor="_Toc116040369" w:history="1">
        <w:r w:rsidR="00C34CB3" w:rsidRPr="006F0A82">
          <w:rPr>
            <w:rStyle w:val="Hyperlink"/>
            <w:rFonts w:eastAsiaTheme="majorEastAsia"/>
            <w:b w:val="0"/>
            <w:bCs/>
          </w:rPr>
          <w:t>Table 20 Overall satisfaction by course level and study area, 2021-2022 (% agreement)</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_Toc116040369 \h </w:instrText>
        </w:r>
        <w:r w:rsidR="00C34CB3" w:rsidRPr="006F0A82">
          <w:rPr>
            <w:b w:val="0"/>
            <w:bCs/>
            <w:webHidden/>
          </w:rPr>
        </w:r>
        <w:r w:rsidR="00C34CB3" w:rsidRPr="006F0A82">
          <w:rPr>
            <w:b w:val="0"/>
            <w:bCs/>
            <w:webHidden/>
          </w:rPr>
          <w:fldChar w:fldCharType="separate"/>
        </w:r>
        <w:r w:rsidR="00C34CB3" w:rsidRPr="006F0A82">
          <w:rPr>
            <w:b w:val="0"/>
            <w:bCs/>
            <w:webHidden/>
          </w:rPr>
          <w:t>32</w:t>
        </w:r>
        <w:r w:rsidR="00C34CB3" w:rsidRPr="006F0A82">
          <w:rPr>
            <w:b w:val="0"/>
            <w:bCs/>
            <w:webHidden/>
          </w:rPr>
          <w:fldChar w:fldCharType="end"/>
        </w:r>
      </w:hyperlink>
    </w:p>
    <w:p w14:paraId="5D346CB2" w14:textId="7914EA6C" w:rsidR="00C34CB3" w:rsidRPr="006F0A82" w:rsidRDefault="0067537F" w:rsidP="006F0A82">
      <w:pPr>
        <w:pStyle w:val="TOC1"/>
        <w:rPr>
          <w:rFonts w:asciiTheme="minorHAnsi" w:eastAsiaTheme="minorEastAsia" w:hAnsiTheme="minorHAnsi"/>
          <w:b w:val="0"/>
          <w:bCs/>
          <w:color w:val="auto"/>
          <w:sz w:val="22"/>
          <w:lang w:eastAsia="en-AU"/>
        </w:rPr>
      </w:pPr>
      <w:hyperlink w:anchor="_Toc116040370" w:history="1">
        <w:r w:rsidR="00C34CB3" w:rsidRPr="006F0A82">
          <w:rPr>
            <w:rStyle w:val="Hyperlink"/>
            <w:rFonts w:eastAsiaTheme="majorEastAsia"/>
            <w:b w:val="0"/>
            <w:bCs/>
          </w:rPr>
          <w:t>Table 21 Postgraduate research satisfaction, 2011-2022 (% agreement)</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_Toc116040370 \h </w:instrText>
        </w:r>
        <w:r w:rsidR="00C34CB3" w:rsidRPr="006F0A82">
          <w:rPr>
            <w:b w:val="0"/>
            <w:bCs/>
            <w:webHidden/>
          </w:rPr>
        </w:r>
        <w:r w:rsidR="00C34CB3" w:rsidRPr="006F0A82">
          <w:rPr>
            <w:b w:val="0"/>
            <w:bCs/>
            <w:webHidden/>
          </w:rPr>
          <w:fldChar w:fldCharType="separate"/>
        </w:r>
        <w:r w:rsidR="00C34CB3" w:rsidRPr="006F0A82">
          <w:rPr>
            <w:b w:val="0"/>
            <w:bCs/>
            <w:webHidden/>
          </w:rPr>
          <w:t>33</w:t>
        </w:r>
        <w:r w:rsidR="00C34CB3" w:rsidRPr="006F0A82">
          <w:rPr>
            <w:b w:val="0"/>
            <w:bCs/>
            <w:webHidden/>
          </w:rPr>
          <w:fldChar w:fldCharType="end"/>
        </w:r>
      </w:hyperlink>
    </w:p>
    <w:p w14:paraId="3F3AC80C" w14:textId="1471CBE9" w:rsidR="00C34CB3" w:rsidRPr="006F0A82" w:rsidRDefault="0067537F" w:rsidP="006F0A82">
      <w:pPr>
        <w:pStyle w:val="TOC1"/>
        <w:rPr>
          <w:rFonts w:asciiTheme="minorHAnsi" w:eastAsiaTheme="minorEastAsia" w:hAnsiTheme="minorHAnsi"/>
          <w:b w:val="0"/>
          <w:bCs/>
          <w:color w:val="auto"/>
          <w:sz w:val="22"/>
          <w:lang w:eastAsia="en-AU"/>
        </w:rPr>
      </w:pPr>
      <w:hyperlink w:anchor="_Toc116040371" w:history="1">
        <w:r w:rsidR="00C34CB3" w:rsidRPr="006F0A82">
          <w:rPr>
            <w:rStyle w:val="Hyperlink"/>
            <w:rFonts w:eastAsiaTheme="majorEastAsia"/>
            <w:b w:val="0"/>
            <w:bCs/>
          </w:rPr>
          <w:t>Table 22 Overall satisfaction of undergraduates, UK (NSS) and Australia (CEQ), 2008–2022, % agreement</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_Toc116040371 \h </w:instrText>
        </w:r>
        <w:r w:rsidR="00C34CB3" w:rsidRPr="006F0A82">
          <w:rPr>
            <w:b w:val="0"/>
            <w:bCs/>
            <w:webHidden/>
          </w:rPr>
        </w:r>
        <w:r w:rsidR="00C34CB3" w:rsidRPr="006F0A82">
          <w:rPr>
            <w:b w:val="0"/>
            <w:bCs/>
            <w:webHidden/>
          </w:rPr>
          <w:fldChar w:fldCharType="separate"/>
        </w:r>
        <w:r w:rsidR="00C34CB3" w:rsidRPr="006F0A82">
          <w:rPr>
            <w:b w:val="0"/>
            <w:bCs/>
            <w:webHidden/>
          </w:rPr>
          <w:t>34</w:t>
        </w:r>
        <w:r w:rsidR="00C34CB3" w:rsidRPr="006F0A82">
          <w:rPr>
            <w:b w:val="0"/>
            <w:bCs/>
            <w:webHidden/>
          </w:rPr>
          <w:fldChar w:fldCharType="end"/>
        </w:r>
      </w:hyperlink>
    </w:p>
    <w:p w14:paraId="4D1956F7" w14:textId="64175482" w:rsidR="00C34CB3" w:rsidRPr="006F0A82" w:rsidRDefault="0067537F" w:rsidP="006F0A82">
      <w:pPr>
        <w:pStyle w:val="TOC1"/>
        <w:rPr>
          <w:rFonts w:asciiTheme="minorHAnsi" w:eastAsiaTheme="minorEastAsia" w:hAnsiTheme="minorHAnsi"/>
          <w:b w:val="0"/>
          <w:bCs/>
          <w:color w:val="auto"/>
          <w:sz w:val="22"/>
          <w:lang w:eastAsia="en-AU"/>
        </w:rPr>
      </w:pPr>
      <w:hyperlink w:anchor="_Toc116040372" w:history="1">
        <w:r w:rsidR="00C34CB3" w:rsidRPr="006F0A82">
          <w:rPr>
            <w:rStyle w:val="Hyperlink"/>
            <w:rFonts w:eastAsiaTheme="majorEastAsia"/>
            <w:b w:val="0"/>
            <w:bCs/>
          </w:rPr>
          <w:t>Table 23 2022 GOS operational overview</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_Toc116040372 \h </w:instrText>
        </w:r>
        <w:r w:rsidR="00C34CB3" w:rsidRPr="006F0A82">
          <w:rPr>
            <w:b w:val="0"/>
            <w:bCs/>
            <w:webHidden/>
          </w:rPr>
        </w:r>
        <w:r w:rsidR="00C34CB3" w:rsidRPr="006F0A82">
          <w:rPr>
            <w:b w:val="0"/>
            <w:bCs/>
            <w:webHidden/>
          </w:rPr>
          <w:fldChar w:fldCharType="separate"/>
        </w:r>
        <w:r w:rsidR="00C34CB3" w:rsidRPr="006F0A82">
          <w:rPr>
            <w:b w:val="0"/>
            <w:bCs/>
            <w:webHidden/>
          </w:rPr>
          <w:t>35</w:t>
        </w:r>
        <w:r w:rsidR="00C34CB3" w:rsidRPr="006F0A82">
          <w:rPr>
            <w:b w:val="0"/>
            <w:bCs/>
            <w:webHidden/>
          </w:rPr>
          <w:fldChar w:fldCharType="end"/>
        </w:r>
      </w:hyperlink>
    </w:p>
    <w:p w14:paraId="602A1D11" w14:textId="2FF0DBE5" w:rsidR="00C34CB3" w:rsidRPr="006F0A82" w:rsidRDefault="0067537F" w:rsidP="006F0A82">
      <w:pPr>
        <w:pStyle w:val="TOC1"/>
        <w:rPr>
          <w:rFonts w:asciiTheme="minorHAnsi" w:eastAsiaTheme="minorEastAsia" w:hAnsiTheme="minorHAnsi"/>
          <w:b w:val="0"/>
          <w:bCs/>
          <w:color w:val="auto"/>
          <w:sz w:val="22"/>
          <w:lang w:eastAsia="en-AU"/>
        </w:rPr>
      </w:pPr>
      <w:hyperlink w:anchor="_Toc116040373" w:history="1">
        <w:r w:rsidR="00C34CB3" w:rsidRPr="006F0A82">
          <w:rPr>
            <w:rStyle w:val="Hyperlink"/>
            <w:rFonts w:eastAsiaTheme="majorEastAsia"/>
            <w:b w:val="0"/>
            <w:bCs/>
          </w:rPr>
          <w:t>Table 24 2022 GOS response rate by course level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_Toc116040373 \h </w:instrText>
        </w:r>
        <w:r w:rsidR="00C34CB3" w:rsidRPr="006F0A82">
          <w:rPr>
            <w:b w:val="0"/>
            <w:bCs/>
            <w:webHidden/>
          </w:rPr>
        </w:r>
        <w:r w:rsidR="00C34CB3" w:rsidRPr="006F0A82">
          <w:rPr>
            <w:b w:val="0"/>
            <w:bCs/>
            <w:webHidden/>
          </w:rPr>
          <w:fldChar w:fldCharType="separate"/>
        </w:r>
        <w:r w:rsidR="00C34CB3" w:rsidRPr="006F0A82">
          <w:rPr>
            <w:b w:val="0"/>
            <w:bCs/>
            <w:webHidden/>
          </w:rPr>
          <w:t>37</w:t>
        </w:r>
        <w:r w:rsidR="00C34CB3" w:rsidRPr="006F0A82">
          <w:rPr>
            <w:b w:val="0"/>
            <w:bCs/>
            <w:webHidden/>
          </w:rPr>
          <w:fldChar w:fldCharType="end"/>
        </w:r>
      </w:hyperlink>
    </w:p>
    <w:p w14:paraId="4AA9FF20" w14:textId="5E3D2170" w:rsidR="00C34CB3" w:rsidRPr="006F0A82" w:rsidRDefault="0067537F" w:rsidP="006F0A82">
      <w:pPr>
        <w:pStyle w:val="TOC1"/>
        <w:rPr>
          <w:rFonts w:asciiTheme="minorHAnsi" w:eastAsiaTheme="minorEastAsia" w:hAnsiTheme="minorHAnsi"/>
          <w:b w:val="0"/>
          <w:bCs/>
          <w:color w:val="auto"/>
          <w:sz w:val="22"/>
          <w:lang w:eastAsia="en-AU"/>
        </w:rPr>
      </w:pPr>
      <w:hyperlink w:anchor="_Toc116040374" w:history="1">
        <w:r w:rsidR="00C34CB3" w:rsidRPr="006F0A82">
          <w:rPr>
            <w:rStyle w:val="Hyperlink"/>
            <w:rFonts w:eastAsiaTheme="majorEastAsia"/>
            <w:b w:val="0"/>
            <w:bCs/>
          </w:rPr>
          <w:t>Table 25 2022 GOS university response rates, all study levels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_Toc116040374 \h </w:instrText>
        </w:r>
        <w:r w:rsidR="00C34CB3" w:rsidRPr="006F0A82">
          <w:rPr>
            <w:b w:val="0"/>
            <w:bCs/>
            <w:webHidden/>
          </w:rPr>
        </w:r>
        <w:r w:rsidR="00C34CB3" w:rsidRPr="006F0A82">
          <w:rPr>
            <w:b w:val="0"/>
            <w:bCs/>
            <w:webHidden/>
          </w:rPr>
          <w:fldChar w:fldCharType="separate"/>
        </w:r>
        <w:r w:rsidR="00C34CB3" w:rsidRPr="006F0A82">
          <w:rPr>
            <w:b w:val="0"/>
            <w:bCs/>
            <w:webHidden/>
          </w:rPr>
          <w:t>37</w:t>
        </w:r>
        <w:r w:rsidR="00C34CB3" w:rsidRPr="006F0A82">
          <w:rPr>
            <w:b w:val="0"/>
            <w:bCs/>
            <w:webHidden/>
          </w:rPr>
          <w:fldChar w:fldCharType="end"/>
        </w:r>
      </w:hyperlink>
    </w:p>
    <w:p w14:paraId="76AD4251" w14:textId="544E5888" w:rsidR="00C34CB3" w:rsidRPr="006F0A82" w:rsidRDefault="0067537F" w:rsidP="006F0A82">
      <w:pPr>
        <w:pStyle w:val="TOC1"/>
        <w:rPr>
          <w:rFonts w:asciiTheme="minorHAnsi" w:eastAsiaTheme="minorEastAsia" w:hAnsiTheme="minorHAnsi"/>
          <w:b w:val="0"/>
          <w:bCs/>
          <w:color w:val="auto"/>
          <w:sz w:val="22"/>
          <w:lang w:eastAsia="en-AU"/>
        </w:rPr>
      </w:pPr>
      <w:hyperlink w:anchor="_Toc116040375" w:history="1">
        <w:r w:rsidR="00C34CB3" w:rsidRPr="006F0A82">
          <w:rPr>
            <w:rStyle w:val="Hyperlink"/>
            <w:rFonts w:eastAsiaTheme="majorEastAsia"/>
            <w:b w:val="0"/>
            <w:bCs/>
          </w:rPr>
          <w:t>Table 26 2022 GOS NUHEI response rates, all study levels (%)</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_Toc116040375 \h </w:instrText>
        </w:r>
        <w:r w:rsidR="00C34CB3" w:rsidRPr="006F0A82">
          <w:rPr>
            <w:b w:val="0"/>
            <w:bCs/>
            <w:webHidden/>
          </w:rPr>
        </w:r>
        <w:r w:rsidR="00C34CB3" w:rsidRPr="006F0A82">
          <w:rPr>
            <w:b w:val="0"/>
            <w:bCs/>
            <w:webHidden/>
          </w:rPr>
          <w:fldChar w:fldCharType="separate"/>
        </w:r>
        <w:r w:rsidR="00C34CB3" w:rsidRPr="006F0A82">
          <w:rPr>
            <w:b w:val="0"/>
            <w:bCs/>
            <w:webHidden/>
          </w:rPr>
          <w:t>40</w:t>
        </w:r>
        <w:r w:rsidR="00C34CB3" w:rsidRPr="006F0A82">
          <w:rPr>
            <w:b w:val="0"/>
            <w:bCs/>
            <w:webHidden/>
          </w:rPr>
          <w:fldChar w:fldCharType="end"/>
        </w:r>
      </w:hyperlink>
    </w:p>
    <w:p w14:paraId="6FD61981" w14:textId="139939D4" w:rsidR="00C34CB3" w:rsidRPr="006F0A82" w:rsidRDefault="0067537F" w:rsidP="006F0A82">
      <w:pPr>
        <w:pStyle w:val="TOC1"/>
        <w:rPr>
          <w:rFonts w:asciiTheme="minorHAnsi" w:eastAsiaTheme="minorEastAsia" w:hAnsiTheme="minorHAnsi"/>
          <w:b w:val="0"/>
          <w:bCs/>
          <w:color w:val="auto"/>
          <w:sz w:val="22"/>
          <w:lang w:eastAsia="en-AU"/>
        </w:rPr>
      </w:pPr>
      <w:hyperlink w:anchor="_Toc116040376" w:history="1">
        <w:r w:rsidR="00C34CB3" w:rsidRPr="006F0A82">
          <w:rPr>
            <w:rStyle w:val="Hyperlink"/>
            <w:rFonts w:eastAsiaTheme="majorEastAsia"/>
            <w:b w:val="0"/>
            <w:bCs/>
          </w:rPr>
          <w:t>Table 27 2022 GOS population parameters by subgroup and response characteristics</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_Toc116040376 \h </w:instrText>
        </w:r>
        <w:r w:rsidR="00C34CB3" w:rsidRPr="006F0A82">
          <w:rPr>
            <w:b w:val="0"/>
            <w:bCs/>
            <w:webHidden/>
          </w:rPr>
        </w:r>
        <w:r w:rsidR="00C34CB3" w:rsidRPr="006F0A82">
          <w:rPr>
            <w:b w:val="0"/>
            <w:bCs/>
            <w:webHidden/>
          </w:rPr>
          <w:fldChar w:fldCharType="separate"/>
        </w:r>
        <w:r w:rsidR="00C34CB3" w:rsidRPr="006F0A82">
          <w:rPr>
            <w:b w:val="0"/>
            <w:bCs/>
            <w:webHidden/>
          </w:rPr>
          <w:t>45</w:t>
        </w:r>
        <w:r w:rsidR="00C34CB3" w:rsidRPr="006F0A82">
          <w:rPr>
            <w:b w:val="0"/>
            <w:bCs/>
            <w:webHidden/>
          </w:rPr>
          <w:fldChar w:fldCharType="end"/>
        </w:r>
      </w:hyperlink>
    </w:p>
    <w:p w14:paraId="039D6247" w14:textId="568A3356" w:rsidR="00C34CB3" w:rsidRPr="006F0A82" w:rsidRDefault="0067537F" w:rsidP="006F0A82">
      <w:pPr>
        <w:pStyle w:val="TOC1"/>
        <w:rPr>
          <w:rFonts w:asciiTheme="minorHAnsi" w:eastAsiaTheme="minorEastAsia" w:hAnsiTheme="minorHAnsi"/>
          <w:b w:val="0"/>
          <w:bCs/>
          <w:color w:val="auto"/>
          <w:sz w:val="22"/>
          <w:lang w:eastAsia="en-AU"/>
        </w:rPr>
      </w:pPr>
      <w:hyperlink w:anchor="_Toc116040377" w:history="1">
        <w:r w:rsidR="00C34CB3" w:rsidRPr="006F0A82">
          <w:rPr>
            <w:rStyle w:val="Hyperlink"/>
            <w:rFonts w:eastAsiaTheme="majorEastAsia"/>
            <w:b w:val="0"/>
            <w:bCs/>
          </w:rPr>
          <w:t>Table 28 2022 GOS population parameters by study area and response characteristics</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_Toc116040377 \h </w:instrText>
        </w:r>
        <w:r w:rsidR="00C34CB3" w:rsidRPr="006F0A82">
          <w:rPr>
            <w:b w:val="0"/>
            <w:bCs/>
            <w:webHidden/>
          </w:rPr>
        </w:r>
        <w:r w:rsidR="00C34CB3" w:rsidRPr="006F0A82">
          <w:rPr>
            <w:b w:val="0"/>
            <w:bCs/>
            <w:webHidden/>
          </w:rPr>
          <w:fldChar w:fldCharType="separate"/>
        </w:r>
        <w:r w:rsidR="00C34CB3" w:rsidRPr="006F0A82">
          <w:rPr>
            <w:b w:val="0"/>
            <w:bCs/>
            <w:webHidden/>
          </w:rPr>
          <w:t>47</w:t>
        </w:r>
        <w:r w:rsidR="00C34CB3" w:rsidRPr="006F0A82">
          <w:rPr>
            <w:b w:val="0"/>
            <w:bCs/>
            <w:webHidden/>
          </w:rPr>
          <w:fldChar w:fldCharType="end"/>
        </w:r>
      </w:hyperlink>
    </w:p>
    <w:p w14:paraId="47CFED5F" w14:textId="3117C940" w:rsidR="00C34CB3" w:rsidRPr="006F0A82" w:rsidRDefault="0067537F" w:rsidP="006F0A82">
      <w:pPr>
        <w:pStyle w:val="TOC1"/>
        <w:rPr>
          <w:rFonts w:asciiTheme="minorHAnsi" w:eastAsiaTheme="minorEastAsia" w:hAnsiTheme="minorHAnsi"/>
          <w:b w:val="0"/>
          <w:bCs/>
          <w:color w:val="auto"/>
          <w:sz w:val="22"/>
          <w:lang w:eastAsia="en-AU"/>
        </w:rPr>
      </w:pPr>
      <w:hyperlink w:anchor="_Toc116040378" w:history="1">
        <w:r w:rsidR="00C34CB3" w:rsidRPr="006F0A82">
          <w:rPr>
            <w:rStyle w:val="Hyperlink"/>
            <w:rFonts w:eastAsiaTheme="majorEastAsia"/>
            <w:b w:val="0"/>
            <w:bCs/>
          </w:rPr>
          <w:t>Table 29 Indicator definitions</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_Toc116040378 \h </w:instrText>
        </w:r>
        <w:r w:rsidR="00C34CB3" w:rsidRPr="006F0A82">
          <w:rPr>
            <w:b w:val="0"/>
            <w:bCs/>
            <w:webHidden/>
          </w:rPr>
        </w:r>
        <w:r w:rsidR="00C34CB3" w:rsidRPr="006F0A82">
          <w:rPr>
            <w:b w:val="0"/>
            <w:bCs/>
            <w:webHidden/>
          </w:rPr>
          <w:fldChar w:fldCharType="separate"/>
        </w:r>
        <w:r w:rsidR="00C34CB3" w:rsidRPr="006F0A82">
          <w:rPr>
            <w:b w:val="0"/>
            <w:bCs/>
            <w:webHidden/>
          </w:rPr>
          <w:t>48</w:t>
        </w:r>
        <w:r w:rsidR="00C34CB3" w:rsidRPr="006F0A82">
          <w:rPr>
            <w:b w:val="0"/>
            <w:bCs/>
            <w:webHidden/>
          </w:rPr>
          <w:fldChar w:fldCharType="end"/>
        </w:r>
      </w:hyperlink>
    </w:p>
    <w:p w14:paraId="0ED23C77" w14:textId="33B93B9D" w:rsidR="00C34CB3" w:rsidRPr="006F0A82" w:rsidRDefault="0067537F" w:rsidP="006F0A82">
      <w:pPr>
        <w:pStyle w:val="TOC1"/>
        <w:rPr>
          <w:rFonts w:asciiTheme="minorHAnsi" w:eastAsiaTheme="minorEastAsia" w:hAnsiTheme="minorHAnsi"/>
          <w:b w:val="0"/>
          <w:bCs/>
          <w:color w:val="auto"/>
          <w:sz w:val="22"/>
          <w:lang w:eastAsia="en-AU"/>
        </w:rPr>
      </w:pPr>
      <w:hyperlink w:anchor="_Toc116040379" w:history="1">
        <w:r w:rsidR="00C34CB3" w:rsidRPr="006F0A82">
          <w:rPr>
            <w:rStyle w:val="Hyperlink"/>
            <w:rFonts w:eastAsiaTheme="majorEastAsia"/>
            <w:b w:val="0"/>
            <w:bCs/>
          </w:rPr>
          <w:t>Table 30 Questionnaire item summary</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_Toc116040379 \h </w:instrText>
        </w:r>
        <w:r w:rsidR="00C34CB3" w:rsidRPr="006F0A82">
          <w:rPr>
            <w:b w:val="0"/>
            <w:bCs/>
            <w:webHidden/>
          </w:rPr>
        </w:r>
        <w:r w:rsidR="00C34CB3" w:rsidRPr="006F0A82">
          <w:rPr>
            <w:b w:val="0"/>
            <w:bCs/>
            <w:webHidden/>
          </w:rPr>
          <w:fldChar w:fldCharType="separate"/>
        </w:r>
        <w:r w:rsidR="00C34CB3" w:rsidRPr="006F0A82">
          <w:rPr>
            <w:b w:val="0"/>
            <w:bCs/>
            <w:webHidden/>
          </w:rPr>
          <w:t>50</w:t>
        </w:r>
        <w:r w:rsidR="00C34CB3" w:rsidRPr="006F0A82">
          <w:rPr>
            <w:b w:val="0"/>
            <w:bCs/>
            <w:webHidden/>
          </w:rPr>
          <w:fldChar w:fldCharType="end"/>
        </w:r>
      </w:hyperlink>
    </w:p>
    <w:p w14:paraId="32666ABC" w14:textId="5C98FEB2" w:rsidR="00C34CB3" w:rsidRPr="006F0A82" w:rsidRDefault="0067537F" w:rsidP="006F0A82">
      <w:pPr>
        <w:pStyle w:val="TOC1"/>
        <w:rPr>
          <w:rFonts w:asciiTheme="minorHAnsi" w:eastAsiaTheme="minorEastAsia" w:hAnsiTheme="minorHAnsi"/>
          <w:b w:val="0"/>
          <w:bCs/>
          <w:color w:val="auto"/>
          <w:sz w:val="22"/>
          <w:lang w:eastAsia="en-AU"/>
        </w:rPr>
      </w:pPr>
      <w:hyperlink w:anchor="_Toc116040380" w:history="1">
        <w:r w:rsidR="00C34CB3" w:rsidRPr="006F0A82">
          <w:rPr>
            <w:rStyle w:val="Hyperlink"/>
            <w:rFonts w:eastAsiaTheme="majorEastAsia"/>
            <w:b w:val="0"/>
            <w:bCs/>
          </w:rPr>
          <w:t>Table 31 Study area concordance</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_Toc116040380 \h </w:instrText>
        </w:r>
        <w:r w:rsidR="00C34CB3" w:rsidRPr="006F0A82">
          <w:rPr>
            <w:b w:val="0"/>
            <w:bCs/>
            <w:webHidden/>
          </w:rPr>
        </w:r>
        <w:r w:rsidR="00C34CB3" w:rsidRPr="006F0A82">
          <w:rPr>
            <w:b w:val="0"/>
            <w:bCs/>
            <w:webHidden/>
          </w:rPr>
          <w:fldChar w:fldCharType="separate"/>
        </w:r>
        <w:r w:rsidR="00C34CB3" w:rsidRPr="006F0A82">
          <w:rPr>
            <w:b w:val="0"/>
            <w:bCs/>
            <w:webHidden/>
          </w:rPr>
          <w:t>62</w:t>
        </w:r>
        <w:r w:rsidR="00C34CB3" w:rsidRPr="006F0A82">
          <w:rPr>
            <w:b w:val="0"/>
            <w:bCs/>
            <w:webHidden/>
          </w:rPr>
          <w:fldChar w:fldCharType="end"/>
        </w:r>
      </w:hyperlink>
    </w:p>
    <w:p w14:paraId="1E198F68" w14:textId="10E67444" w:rsidR="00C34CB3" w:rsidRPr="006F0A82" w:rsidRDefault="0067537F" w:rsidP="006F0A82">
      <w:pPr>
        <w:pStyle w:val="TOC1"/>
        <w:rPr>
          <w:rFonts w:asciiTheme="minorHAnsi" w:eastAsiaTheme="minorEastAsia" w:hAnsiTheme="minorHAnsi"/>
          <w:b w:val="0"/>
          <w:bCs/>
          <w:color w:val="auto"/>
          <w:sz w:val="22"/>
          <w:lang w:eastAsia="en-AU"/>
        </w:rPr>
      </w:pPr>
      <w:hyperlink w:anchor="_Toc116040381" w:history="1">
        <w:r w:rsidR="00C34CB3" w:rsidRPr="006F0A82">
          <w:rPr>
            <w:rStyle w:val="Hyperlink"/>
            <w:rFonts w:eastAsiaTheme="majorEastAsia"/>
            <w:b w:val="0"/>
            <w:bCs/>
          </w:rPr>
          <w:t>Table 32 Tables and figures associated with labour force outcomes</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_Toc116040381 \h </w:instrText>
        </w:r>
        <w:r w:rsidR="00C34CB3" w:rsidRPr="006F0A82">
          <w:rPr>
            <w:b w:val="0"/>
            <w:bCs/>
            <w:webHidden/>
          </w:rPr>
        </w:r>
        <w:r w:rsidR="00C34CB3" w:rsidRPr="006F0A82">
          <w:rPr>
            <w:b w:val="0"/>
            <w:bCs/>
            <w:webHidden/>
          </w:rPr>
          <w:fldChar w:fldCharType="separate"/>
        </w:r>
        <w:r w:rsidR="00C34CB3" w:rsidRPr="006F0A82">
          <w:rPr>
            <w:b w:val="0"/>
            <w:bCs/>
            <w:webHidden/>
          </w:rPr>
          <w:t>65</w:t>
        </w:r>
        <w:r w:rsidR="00C34CB3" w:rsidRPr="006F0A82">
          <w:rPr>
            <w:b w:val="0"/>
            <w:bCs/>
            <w:webHidden/>
          </w:rPr>
          <w:fldChar w:fldCharType="end"/>
        </w:r>
      </w:hyperlink>
    </w:p>
    <w:p w14:paraId="559F4BD7" w14:textId="6E87AB46" w:rsidR="00C34CB3" w:rsidRPr="006F0A82" w:rsidRDefault="0067537F" w:rsidP="006F0A82">
      <w:pPr>
        <w:pStyle w:val="TOC1"/>
        <w:rPr>
          <w:rFonts w:asciiTheme="minorHAnsi" w:eastAsiaTheme="minorEastAsia" w:hAnsiTheme="minorHAnsi"/>
          <w:b w:val="0"/>
          <w:bCs/>
          <w:color w:val="auto"/>
          <w:sz w:val="22"/>
          <w:lang w:eastAsia="en-AU"/>
        </w:rPr>
      </w:pPr>
      <w:hyperlink w:anchor="_Toc116040382" w:history="1">
        <w:r w:rsidR="00C34CB3" w:rsidRPr="006F0A82">
          <w:rPr>
            <w:rStyle w:val="Hyperlink"/>
            <w:rFonts w:eastAsiaTheme="majorEastAsia"/>
            <w:b w:val="0"/>
            <w:bCs/>
          </w:rPr>
          <w:t>Table 33 Tables associated with median usual hours and median actual hours worked</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_Toc116040382 \h </w:instrText>
        </w:r>
        <w:r w:rsidR="00C34CB3" w:rsidRPr="006F0A82">
          <w:rPr>
            <w:b w:val="0"/>
            <w:bCs/>
            <w:webHidden/>
          </w:rPr>
        </w:r>
        <w:r w:rsidR="00C34CB3" w:rsidRPr="006F0A82">
          <w:rPr>
            <w:b w:val="0"/>
            <w:bCs/>
            <w:webHidden/>
          </w:rPr>
          <w:fldChar w:fldCharType="separate"/>
        </w:r>
        <w:r w:rsidR="00C34CB3" w:rsidRPr="006F0A82">
          <w:rPr>
            <w:b w:val="0"/>
            <w:bCs/>
            <w:webHidden/>
          </w:rPr>
          <w:t>68</w:t>
        </w:r>
        <w:r w:rsidR="00C34CB3" w:rsidRPr="006F0A82">
          <w:rPr>
            <w:b w:val="0"/>
            <w:bCs/>
            <w:webHidden/>
          </w:rPr>
          <w:fldChar w:fldCharType="end"/>
        </w:r>
      </w:hyperlink>
    </w:p>
    <w:p w14:paraId="5B2D66BF" w14:textId="4297318A" w:rsidR="00C34CB3" w:rsidRPr="006F0A82" w:rsidRDefault="0067537F" w:rsidP="006F0A82">
      <w:pPr>
        <w:pStyle w:val="TOC1"/>
        <w:rPr>
          <w:rFonts w:asciiTheme="minorHAnsi" w:eastAsiaTheme="minorEastAsia" w:hAnsiTheme="minorHAnsi"/>
          <w:b w:val="0"/>
          <w:bCs/>
          <w:color w:val="auto"/>
          <w:sz w:val="22"/>
          <w:lang w:eastAsia="en-AU"/>
        </w:rPr>
      </w:pPr>
      <w:hyperlink w:anchor="_Toc116040383" w:history="1">
        <w:r w:rsidR="00C34CB3" w:rsidRPr="006F0A82">
          <w:rPr>
            <w:rStyle w:val="Hyperlink"/>
            <w:rFonts w:eastAsiaTheme="majorEastAsia"/>
            <w:b w:val="0"/>
            <w:bCs/>
          </w:rPr>
          <w:t>Table 34 Tables associated with the percentage of employed graduates away from work</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_Toc116040383 \h </w:instrText>
        </w:r>
        <w:r w:rsidR="00C34CB3" w:rsidRPr="006F0A82">
          <w:rPr>
            <w:b w:val="0"/>
            <w:bCs/>
            <w:webHidden/>
          </w:rPr>
        </w:r>
        <w:r w:rsidR="00C34CB3" w:rsidRPr="006F0A82">
          <w:rPr>
            <w:b w:val="0"/>
            <w:bCs/>
            <w:webHidden/>
          </w:rPr>
          <w:fldChar w:fldCharType="separate"/>
        </w:r>
        <w:r w:rsidR="00C34CB3" w:rsidRPr="006F0A82">
          <w:rPr>
            <w:b w:val="0"/>
            <w:bCs/>
            <w:webHidden/>
          </w:rPr>
          <w:t>68</w:t>
        </w:r>
        <w:r w:rsidR="00C34CB3" w:rsidRPr="006F0A82">
          <w:rPr>
            <w:b w:val="0"/>
            <w:bCs/>
            <w:webHidden/>
          </w:rPr>
          <w:fldChar w:fldCharType="end"/>
        </w:r>
      </w:hyperlink>
    </w:p>
    <w:p w14:paraId="77CB9FF3" w14:textId="6FE80D58" w:rsidR="00C34CB3" w:rsidRPr="006F0A82" w:rsidRDefault="0067537F" w:rsidP="006F0A82">
      <w:pPr>
        <w:pStyle w:val="TOC1"/>
        <w:rPr>
          <w:rFonts w:asciiTheme="minorHAnsi" w:eastAsiaTheme="minorEastAsia" w:hAnsiTheme="minorHAnsi"/>
          <w:b w:val="0"/>
          <w:bCs/>
          <w:color w:val="auto"/>
          <w:sz w:val="22"/>
          <w:lang w:eastAsia="en-AU"/>
        </w:rPr>
      </w:pPr>
      <w:hyperlink w:anchor="_Toc116040384" w:history="1">
        <w:r w:rsidR="00C34CB3" w:rsidRPr="006F0A82">
          <w:rPr>
            <w:rStyle w:val="Hyperlink"/>
            <w:rFonts w:eastAsiaTheme="majorEastAsia"/>
            <w:b w:val="0"/>
            <w:bCs/>
          </w:rPr>
          <w:t>Table 35 Tables associated with occupation types of employed graduates</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_Toc116040384 \h </w:instrText>
        </w:r>
        <w:r w:rsidR="00C34CB3" w:rsidRPr="006F0A82">
          <w:rPr>
            <w:b w:val="0"/>
            <w:bCs/>
            <w:webHidden/>
          </w:rPr>
        </w:r>
        <w:r w:rsidR="00C34CB3" w:rsidRPr="006F0A82">
          <w:rPr>
            <w:b w:val="0"/>
            <w:bCs/>
            <w:webHidden/>
          </w:rPr>
          <w:fldChar w:fldCharType="separate"/>
        </w:r>
        <w:r w:rsidR="00C34CB3" w:rsidRPr="006F0A82">
          <w:rPr>
            <w:b w:val="0"/>
            <w:bCs/>
            <w:webHidden/>
          </w:rPr>
          <w:t>69</w:t>
        </w:r>
        <w:r w:rsidR="00C34CB3" w:rsidRPr="006F0A82">
          <w:rPr>
            <w:b w:val="0"/>
            <w:bCs/>
            <w:webHidden/>
          </w:rPr>
          <w:fldChar w:fldCharType="end"/>
        </w:r>
      </w:hyperlink>
    </w:p>
    <w:p w14:paraId="59C42310" w14:textId="3B9F31C4" w:rsidR="00C34CB3" w:rsidRPr="006F0A82" w:rsidRDefault="0067537F" w:rsidP="006F0A82">
      <w:pPr>
        <w:pStyle w:val="TOC1"/>
        <w:rPr>
          <w:rFonts w:asciiTheme="minorHAnsi" w:eastAsiaTheme="minorEastAsia" w:hAnsiTheme="minorHAnsi"/>
          <w:b w:val="0"/>
          <w:bCs/>
          <w:color w:val="auto"/>
          <w:sz w:val="22"/>
          <w:lang w:eastAsia="en-AU"/>
        </w:rPr>
      </w:pPr>
      <w:hyperlink w:anchor="_Toc116040385" w:history="1">
        <w:r w:rsidR="00C34CB3" w:rsidRPr="006F0A82">
          <w:rPr>
            <w:rStyle w:val="Hyperlink"/>
            <w:rFonts w:eastAsiaTheme="majorEastAsia"/>
            <w:b w:val="0"/>
            <w:bCs/>
          </w:rPr>
          <w:t>Table 36 Tables associated with the extent to which graduates considered their qualification important</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_Toc116040385 \h </w:instrText>
        </w:r>
        <w:r w:rsidR="00C34CB3" w:rsidRPr="006F0A82">
          <w:rPr>
            <w:b w:val="0"/>
            <w:bCs/>
            <w:webHidden/>
          </w:rPr>
        </w:r>
        <w:r w:rsidR="00C34CB3" w:rsidRPr="006F0A82">
          <w:rPr>
            <w:b w:val="0"/>
            <w:bCs/>
            <w:webHidden/>
          </w:rPr>
          <w:fldChar w:fldCharType="separate"/>
        </w:r>
        <w:r w:rsidR="00C34CB3" w:rsidRPr="006F0A82">
          <w:rPr>
            <w:b w:val="0"/>
            <w:bCs/>
            <w:webHidden/>
          </w:rPr>
          <w:t>69</w:t>
        </w:r>
        <w:r w:rsidR="00C34CB3" w:rsidRPr="006F0A82">
          <w:rPr>
            <w:b w:val="0"/>
            <w:bCs/>
            <w:webHidden/>
          </w:rPr>
          <w:fldChar w:fldCharType="end"/>
        </w:r>
      </w:hyperlink>
    </w:p>
    <w:p w14:paraId="54820B55" w14:textId="05A1AEEB" w:rsidR="00C34CB3" w:rsidRPr="006F0A82" w:rsidRDefault="0067537F" w:rsidP="006F0A82">
      <w:pPr>
        <w:pStyle w:val="TOC1"/>
        <w:rPr>
          <w:rFonts w:asciiTheme="minorHAnsi" w:eastAsiaTheme="minorEastAsia" w:hAnsiTheme="minorHAnsi"/>
          <w:b w:val="0"/>
          <w:bCs/>
          <w:color w:val="auto"/>
          <w:sz w:val="22"/>
          <w:lang w:eastAsia="en-AU"/>
        </w:rPr>
      </w:pPr>
      <w:hyperlink w:anchor="_Toc116040386" w:history="1">
        <w:r w:rsidR="00C34CB3" w:rsidRPr="006F0A82">
          <w:rPr>
            <w:rStyle w:val="Hyperlink"/>
            <w:rFonts w:eastAsiaTheme="majorEastAsia"/>
            <w:b w:val="0"/>
            <w:bCs/>
          </w:rPr>
          <w:t>Table 37 Tables associated with the extent to which the qualification prepared graduates for their current job</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_Toc116040386 \h </w:instrText>
        </w:r>
        <w:r w:rsidR="00C34CB3" w:rsidRPr="006F0A82">
          <w:rPr>
            <w:b w:val="0"/>
            <w:bCs/>
            <w:webHidden/>
          </w:rPr>
        </w:r>
        <w:r w:rsidR="00C34CB3" w:rsidRPr="006F0A82">
          <w:rPr>
            <w:b w:val="0"/>
            <w:bCs/>
            <w:webHidden/>
          </w:rPr>
          <w:fldChar w:fldCharType="separate"/>
        </w:r>
        <w:r w:rsidR="00C34CB3" w:rsidRPr="006F0A82">
          <w:rPr>
            <w:b w:val="0"/>
            <w:bCs/>
            <w:webHidden/>
          </w:rPr>
          <w:t>69</w:t>
        </w:r>
        <w:r w:rsidR="00C34CB3" w:rsidRPr="006F0A82">
          <w:rPr>
            <w:b w:val="0"/>
            <w:bCs/>
            <w:webHidden/>
          </w:rPr>
          <w:fldChar w:fldCharType="end"/>
        </w:r>
      </w:hyperlink>
    </w:p>
    <w:p w14:paraId="1BF992A6" w14:textId="03E8F4F8" w:rsidR="00C34CB3" w:rsidRPr="006F0A82" w:rsidRDefault="0067537F" w:rsidP="006F0A82">
      <w:pPr>
        <w:pStyle w:val="TOC1"/>
        <w:rPr>
          <w:rFonts w:asciiTheme="minorHAnsi" w:eastAsiaTheme="minorEastAsia" w:hAnsiTheme="minorHAnsi"/>
          <w:b w:val="0"/>
          <w:bCs/>
          <w:color w:val="auto"/>
          <w:sz w:val="22"/>
          <w:lang w:eastAsia="en-AU"/>
        </w:rPr>
      </w:pPr>
      <w:hyperlink w:anchor="_Toc116040387" w:history="1">
        <w:r w:rsidR="00C34CB3" w:rsidRPr="006F0A82">
          <w:rPr>
            <w:rStyle w:val="Hyperlink"/>
            <w:rFonts w:eastAsiaTheme="majorEastAsia"/>
            <w:b w:val="0"/>
            <w:bCs/>
          </w:rPr>
          <w:t>Table 38 Tables associated with reasons for underutilisation of skills and education</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_Toc116040387 \h </w:instrText>
        </w:r>
        <w:r w:rsidR="00C34CB3" w:rsidRPr="006F0A82">
          <w:rPr>
            <w:b w:val="0"/>
            <w:bCs/>
            <w:webHidden/>
          </w:rPr>
        </w:r>
        <w:r w:rsidR="00C34CB3" w:rsidRPr="006F0A82">
          <w:rPr>
            <w:b w:val="0"/>
            <w:bCs/>
            <w:webHidden/>
          </w:rPr>
          <w:fldChar w:fldCharType="separate"/>
        </w:r>
        <w:r w:rsidR="00C34CB3" w:rsidRPr="006F0A82">
          <w:rPr>
            <w:b w:val="0"/>
            <w:bCs/>
            <w:webHidden/>
          </w:rPr>
          <w:t>70</w:t>
        </w:r>
        <w:r w:rsidR="00C34CB3" w:rsidRPr="006F0A82">
          <w:rPr>
            <w:b w:val="0"/>
            <w:bCs/>
            <w:webHidden/>
          </w:rPr>
          <w:fldChar w:fldCharType="end"/>
        </w:r>
      </w:hyperlink>
    </w:p>
    <w:p w14:paraId="507BAAD1" w14:textId="035A2AAC" w:rsidR="00C34CB3" w:rsidRPr="006F0A82" w:rsidRDefault="0067537F" w:rsidP="006F0A82">
      <w:pPr>
        <w:pStyle w:val="TOC1"/>
        <w:rPr>
          <w:rFonts w:asciiTheme="minorHAnsi" w:eastAsiaTheme="minorEastAsia" w:hAnsiTheme="minorHAnsi"/>
          <w:b w:val="0"/>
          <w:bCs/>
          <w:color w:val="auto"/>
          <w:sz w:val="22"/>
          <w:lang w:eastAsia="en-AU"/>
        </w:rPr>
      </w:pPr>
      <w:hyperlink w:anchor="_Toc116040388" w:history="1">
        <w:r w:rsidR="00C34CB3" w:rsidRPr="006F0A82">
          <w:rPr>
            <w:rStyle w:val="Hyperlink"/>
            <w:rFonts w:eastAsiaTheme="majorEastAsia"/>
            <w:b w:val="0"/>
            <w:bCs/>
          </w:rPr>
          <w:t>Table 39 Tables associated with graduates undertaking further full-time study</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_Toc116040388 \h </w:instrText>
        </w:r>
        <w:r w:rsidR="00C34CB3" w:rsidRPr="006F0A82">
          <w:rPr>
            <w:b w:val="0"/>
            <w:bCs/>
            <w:webHidden/>
          </w:rPr>
        </w:r>
        <w:r w:rsidR="00C34CB3" w:rsidRPr="006F0A82">
          <w:rPr>
            <w:b w:val="0"/>
            <w:bCs/>
            <w:webHidden/>
          </w:rPr>
          <w:fldChar w:fldCharType="separate"/>
        </w:r>
        <w:r w:rsidR="00C34CB3" w:rsidRPr="006F0A82">
          <w:rPr>
            <w:b w:val="0"/>
            <w:bCs/>
            <w:webHidden/>
          </w:rPr>
          <w:t>71</w:t>
        </w:r>
        <w:r w:rsidR="00C34CB3" w:rsidRPr="006F0A82">
          <w:rPr>
            <w:b w:val="0"/>
            <w:bCs/>
            <w:webHidden/>
          </w:rPr>
          <w:fldChar w:fldCharType="end"/>
        </w:r>
      </w:hyperlink>
    </w:p>
    <w:p w14:paraId="3354FCD4" w14:textId="18C5D0BB" w:rsidR="00C34CB3" w:rsidRPr="006F0A82" w:rsidRDefault="0067537F" w:rsidP="006F0A82">
      <w:pPr>
        <w:pStyle w:val="TOC1"/>
        <w:rPr>
          <w:rFonts w:asciiTheme="minorHAnsi" w:eastAsiaTheme="minorEastAsia" w:hAnsiTheme="minorHAnsi"/>
          <w:b w:val="0"/>
          <w:bCs/>
          <w:color w:val="auto"/>
          <w:sz w:val="22"/>
          <w:lang w:eastAsia="en-AU"/>
        </w:rPr>
      </w:pPr>
      <w:hyperlink w:anchor="_Toc116040389" w:history="1">
        <w:r w:rsidR="00C34CB3" w:rsidRPr="006F0A82">
          <w:rPr>
            <w:rStyle w:val="Hyperlink"/>
            <w:rFonts w:eastAsiaTheme="majorEastAsia"/>
            <w:b w:val="0"/>
            <w:bCs/>
          </w:rPr>
          <w:t>Table 40 Tables associated with graduate satisfaction</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_Toc116040389 \h </w:instrText>
        </w:r>
        <w:r w:rsidR="00C34CB3" w:rsidRPr="006F0A82">
          <w:rPr>
            <w:b w:val="0"/>
            <w:bCs/>
            <w:webHidden/>
          </w:rPr>
        </w:r>
        <w:r w:rsidR="00C34CB3" w:rsidRPr="006F0A82">
          <w:rPr>
            <w:b w:val="0"/>
            <w:bCs/>
            <w:webHidden/>
          </w:rPr>
          <w:fldChar w:fldCharType="separate"/>
        </w:r>
        <w:r w:rsidR="00C34CB3" w:rsidRPr="006F0A82">
          <w:rPr>
            <w:b w:val="0"/>
            <w:bCs/>
            <w:webHidden/>
          </w:rPr>
          <w:t>71</w:t>
        </w:r>
        <w:r w:rsidR="00C34CB3" w:rsidRPr="006F0A82">
          <w:rPr>
            <w:b w:val="0"/>
            <w:bCs/>
            <w:webHidden/>
          </w:rPr>
          <w:fldChar w:fldCharType="end"/>
        </w:r>
      </w:hyperlink>
    </w:p>
    <w:p w14:paraId="5E740FE1" w14:textId="1D0A0679" w:rsidR="00C34CB3" w:rsidRPr="006F0A82" w:rsidRDefault="0067537F" w:rsidP="006F0A82">
      <w:pPr>
        <w:pStyle w:val="TOC1"/>
        <w:rPr>
          <w:rFonts w:asciiTheme="minorHAnsi" w:eastAsiaTheme="minorEastAsia" w:hAnsiTheme="minorHAnsi"/>
          <w:b w:val="0"/>
          <w:bCs/>
          <w:color w:val="auto"/>
          <w:sz w:val="22"/>
          <w:lang w:eastAsia="en-AU"/>
        </w:rPr>
      </w:pPr>
      <w:hyperlink w:anchor="_Toc116040390" w:history="1">
        <w:r w:rsidR="00C34CB3" w:rsidRPr="006F0A82">
          <w:rPr>
            <w:rStyle w:val="Hyperlink"/>
            <w:rFonts w:eastAsiaTheme="majorEastAsia"/>
            <w:b w:val="0"/>
            <w:bCs/>
          </w:rPr>
          <w:t>Table 41 Tables associated with key project elements and response rates by institution</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_Toc116040390 \h </w:instrText>
        </w:r>
        <w:r w:rsidR="00C34CB3" w:rsidRPr="006F0A82">
          <w:rPr>
            <w:b w:val="0"/>
            <w:bCs/>
            <w:webHidden/>
          </w:rPr>
        </w:r>
        <w:r w:rsidR="00C34CB3" w:rsidRPr="006F0A82">
          <w:rPr>
            <w:b w:val="0"/>
            <w:bCs/>
            <w:webHidden/>
          </w:rPr>
          <w:fldChar w:fldCharType="separate"/>
        </w:r>
        <w:r w:rsidR="00C34CB3" w:rsidRPr="006F0A82">
          <w:rPr>
            <w:b w:val="0"/>
            <w:bCs/>
            <w:webHidden/>
          </w:rPr>
          <w:t>72</w:t>
        </w:r>
        <w:r w:rsidR="00C34CB3" w:rsidRPr="006F0A82">
          <w:rPr>
            <w:b w:val="0"/>
            <w:bCs/>
            <w:webHidden/>
          </w:rPr>
          <w:fldChar w:fldCharType="end"/>
        </w:r>
      </w:hyperlink>
    </w:p>
    <w:p w14:paraId="259213CA" w14:textId="47921B8F" w:rsidR="00C34CB3" w:rsidRDefault="0067537F" w:rsidP="006F0A82">
      <w:pPr>
        <w:pStyle w:val="TOC1"/>
        <w:rPr>
          <w:rFonts w:asciiTheme="minorHAnsi" w:eastAsiaTheme="minorEastAsia" w:hAnsiTheme="minorHAnsi"/>
          <w:color w:val="auto"/>
          <w:sz w:val="22"/>
          <w:lang w:eastAsia="en-AU"/>
        </w:rPr>
      </w:pPr>
      <w:hyperlink w:anchor="_Toc116040391" w:history="1">
        <w:r w:rsidR="00C34CB3" w:rsidRPr="006F0A82">
          <w:rPr>
            <w:rStyle w:val="Hyperlink"/>
            <w:rFonts w:eastAsiaTheme="majorEastAsia"/>
            <w:b w:val="0"/>
            <w:bCs/>
          </w:rPr>
          <w:t>Table 42 Tables associated with response characteristics and representativeness</w:t>
        </w:r>
        <w:r w:rsidR="00C34CB3" w:rsidRPr="006F0A82">
          <w:rPr>
            <w:b w:val="0"/>
            <w:bCs/>
            <w:webHidden/>
          </w:rPr>
          <w:tab/>
        </w:r>
        <w:r w:rsidR="00C34CB3" w:rsidRPr="006F0A82">
          <w:rPr>
            <w:b w:val="0"/>
            <w:bCs/>
            <w:webHidden/>
          </w:rPr>
          <w:fldChar w:fldCharType="begin"/>
        </w:r>
        <w:r w:rsidR="00C34CB3" w:rsidRPr="006F0A82">
          <w:rPr>
            <w:b w:val="0"/>
            <w:bCs/>
            <w:webHidden/>
          </w:rPr>
          <w:instrText xml:space="preserve"> PAGEREF _Toc116040391 \h </w:instrText>
        </w:r>
        <w:r w:rsidR="00C34CB3" w:rsidRPr="006F0A82">
          <w:rPr>
            <w:b w:val="0"/>
            <w:bCs/>
            <w:webHidden/>
          </w:rPr>
        </w:r>
        <w:r w:rsidR="00C34CB3" w:rsidRPr="006F0A82">
          <w:rPr>
            <w:b w:val="0"/>
            <w:bCs/>
            <w:webHidden/>
          </w:rPr>
          <w:fldChar w:fldCharType="separate"/>
        </w:r>
        <w:r w:rsidR="00C34CB3" w:rsidRPr="006F0A82">
          <w:rPr>
            <w:b w:val="0"/>
            <w:bCs/>
            <w:webHidden/>
          </w:rPr>
          <w:t>72</w:t>
        </w:r>
        <w:r w:rsidR="00C34CB3" w:rsidRPr="006F0A82">
          <w:rPr>
            <w:b w:val="0"/>
            <w:bCs/>
            <w:webHidden/>
          </w:rPr>
          <w:fldChar w:fldCharType="end"/>
        </w:r>
      </w:hyperlink>
    </w:p>
    <w:p w14:paraId="1E57C370" w14:textId="1B938497" w:rsidR="006C71B2" w:rsidRDefault="00C34CB3" w:rsidP="00E07C58">
      <w:pPr>
        <w:rPr>
          <w:rFonts w:eastAsia="Times New Roman" w:cs="Times New Roman"/>
          <w:b/>
          <w:noProof/>
          <w:szCs w:val="20"/>
        </w:rPr>
      </w:pPr>
      <w:r>
        <w:rPr>
          <w:rFonts w:eastAsia="Times New Roman" w:cs="Times New Roman"/>
          <w:b/>
          <w:noProof/>
          <w:szCs w:val="20"/>
        </w:rPr>
        <w:fldChar w:fldCharType="end"/>
      </w:r>
    </w:p>
    <w:p w14:paraId="055243C4" w14:textId="77777777" w:rsidR="006C71B2" w:rsidRDefault="006C71B2">
      <w:pPr>
        <w:rPr>
          <w:rFonts w:eastAsia="Times New Roman" w:cs="Times New Roman"/>
          <w:b/>
          <w:noProof/>
          <w:szCs w:val="20"/>
        </w:rPr>
      </w:pPr>
      <w:r>
        <w:rPr>
          <w:rFonts w:eastAsia="Times New Roman" w:cs="Times New Roman"/>
          <w:b/>
          <w:noProof/>
          <w:szCs w:val="20"/>
        </w:rPr>
        <w:br w:type="page"/>
      </w:r>
    </w:p>
    <w:p w14:paraId="3A70B6A7" w14:textId="7BFD4BD2" w:rsidR="00F86435" w:rsidRPr="00F86435" w:rsidRDefault="00F86435" w:rsidP="00F86435">
      <w:pPr>
        <w:pStyle w:val="Heading1"/>
        <w:numPr>
          <w:ilvl w:val="0"/>
          <w:numId w:val="0"/>
        </w:numPr>
        <w:ind w:left="851" w:hanging="851"/>
        <w:rPr>
          <w:color w:val="000000" w:themeColor="text1"/>
        </w:rPr>
      </w:pPr>
      <w:bookmarkStart w:id="0" w:name="_Toc116035535"/>
      <w:bookmarkStart w:id="1" w:name="_Toc116039890"/>
      <w:r w:rsidRPr="00F86435">
        <w:rPr>
          <w:color w:val="000000" w:themeColor="text1"/>
        </w:rPr>
        <w:lastRenderedPageBreak/>
        <w:t>Acknowledgements</w:t>
      </w:r>
      <w:bookmarkEnd w:id="0"/>
      <w:bookmarkEnd w:id="1"/>
    </w:p>
    <w:p w14:paraId="111BF4EB" w14:textId="77777777" w:rsidR="00F86435" w:rsidRPr="00CF3E3D" w:rsidRDefault="00F86435" w:rsidP="00F86435">
      <w:pPr>
        <w:pStyle w:val="Bodycopy"/>
        <w:rPr>
          <w:rFonts w:ascii="Arial" w:hAnsi="Arial" w:cs="Arial"/>
          <w:color w:val="auto"/>
        </w:rPr>
      </w:pPr>
      <w:r w:rsidRPr="00CF3E3D">
        <w:rPr>
          <w:rFonts w:ascii="Arial" w:hAnsi="Arial" w:cs="Arial"/>
          <w:color w:val="auto"/>
        </w:rPr>
        <w:t xml:space="preserve">The Quality Indicators for Learning and Teaching (QILT) survey program, including the 2022 Graduate Outcomes Survey (GOS), is funded by the Australian Government Department of Education. </w:t>
      </w:r>
    </w:p>
    <w:p w14:paraId="788FA373" w14:textId="77777777" w:rsidR="00F86435" w:rsidRPr="00CF3E3D" w:rsidRDefault="00F86435" w:rsidP="00F86435">
      <w:pPr>
        <w:pStyle w:val="Bodycopy"/>
        <w:rPr>
          <w:rFonts w:ascii="Arial" w:hAnsi="Arial" w:cs="Arial"/>
          <w:color w:val="auto"/>
        </w:rPr>
      </w:pPr>
      <w:r w:rsidRPr="00CF3E3D">
        <w:rPr>
          <w:rFonts w:ascii="Arial" w:hAnsi="Arial" w:cs="Arial"/>
          <w:color w:val="auto"/>
        </w:rPr>
        <w:t xml:space="preserve">The Social Research Centre would especially like to thank the higher education institutions that contributed to the GOS in 2022. </w:t>
      </w:r>
      <w:r w:rsidRPr="00CF3E3D">
        <w:rPr>
          <w:color w:val="auto"/>
        </w:rPr>
        <w:t>Without the enthusiastic and committed assistance of the survey managers and institutional planners, the 2022 GOS would not have been such a success.</w:t>
      </w:r>
    </w:p>
    <w:p w14:paraId="397E68F1" w14:textId="77777777" w:rsidR="00F86435" w:rsidRPr="00CF3E3D" w:rsidRDefault="00F86435" w:rsidP="00F86435">
      <w:pPr>
        <w:pStyle w:val="Bodycopy"/>
        <w:rPr>
          <w:rFonts w:ascii="Arial" w:hAnsi="Arial" w:cs="Arial"/>
          <w:color w:val="auto"/>
        </w:rPr>
      </w:pPr>
      <w:r w:rsidRPr="00CF3E3D">
        <w:rPr>
          <w:rFonts w:ascii="Arial" w:hAnsi="Arial" w:cs="Arial"/>
          <w:color w:val="auto"/>
        </w:rPr>
        <w:t xml:space="preserve">We are also incredibly grateful to the graduates who took the time to provide valuable feedback about their employment, further study, and experience with their course. </w:t>
      </w:r>
      <w:r w:rsidRPr="00CF3E3D">
        <w:rPr>
          <w:color w:val="auto"/>
        </w:rPr>
        <w:t>The GOS data will be used by institutions for continuous improvement, and to monitor and improve the labour force outcomes of graduates in the short term.</w:t>
      </w:r>
    </w:p>
    <w:p w14:paraId="418CAA43" w14:textId="77777777" w:rsidR="00F86435" w:rsidRPr="00CF3E3D" w:rsidRDefault="00F86435" w:rsidP="00F86435">
      <w:pPr>
        <w:pStyle w:val="Bodycopy"/>
        <w:rPr>
          <w:rFonts w:ascii="Arial" w:hAnsi="Arial" w:cs="Arial"/>
          <w:color w:val="auto"/>
          <w:highlight w:val="yellow"/>
        </w:rPr>
      </w:pPr>
      <w:r w:rsidRPr="00CF3E3D">
        <w:rPr>
          <w:rFonts w:ascii="Arial" w:hAnsi="Arial" w:cs="Arial"/>
          <w:color w:val="auto"/>
        </w:rPr>
        <w:t>The 2022 GOS was led by Graham Challice, and the project team consisted of Lisa Bolton, Natasha Vickers, James Morrison, Blair Johnston, Cynthia Kim, Dr Paddy Tobias, Benjamin Desta, Dr Gabriel Ong, Brenwin Ang, Dean Pennay, Javed Mohib, Shane Smith, Joe Feng, Luke Hand, Rawan Habibeh and Kelsey Pool.</w:t>
      </w:r>
    </w:p>
    <w:p w14:paraId="4C6C9578" w14:textId="77777777" w:rsidR="00F86435" w:rsidRPr="00CF3E3D" w:rsidRDefault="00F86435" w:rsidP="00F86435">
      <w:pPr>
        <w:pStyle w:val="Bodycopy"/>
        <w:rPr>
          <w:rStyle w:val="Hyperlink"/>
          <w:rFonts w:cs="Arial"/>
        </w:rPr>
      </w:pPr>
      <w:r w:rsidRPr="00CF3E3D">
        <w:rPr>
          <w:rFonts w:ascii="Arial" w:hAnsi="Arial" w:cs="Arial"/>
          <w:color w:val="auto"/>
        </w:rPr>
        <w:t xml:space="preserve">For more information on the conduct and results of the 2022 GOS see the QILT website: </w:t>
      </w:r>
      <w:hyperlink r:id="rId13" w:history="1">
        <w:r w:rsidRPr="00CF3E3D">
          <w:rPr>
            <w:rStyle w:val="Hyperlink"/>
            <w:rFonts w:cs="Arial"/>
          </w:rPr>
          <w:t>www.qilt.edu.au</w:t>
        </w:r>
      </w:hyperlink>
      <w:r w:rsidRPr="00CF3E3D">
        <w:rPr>
          <w:rFonts w:ascii="Arial" w:hAnsi="Arial" w:cs="Arial"/>
          <w:color w:val="auto"/>
        </w:rPr>
        <w:t xml:space="preserve">. The QILT team can be contacted by email at </w:t>
      </w:r>
      <w:hyperlink r:id="rId14" w:history="1">
        <w:r w:rsidRPr="00CF3E3D">
          <w:rPr>
            <w:rStyle w:val="Hyperlink"/>
            <w:rFonts w:cs="Arial"/>
          </w:rPr>
          <w:t>qilt@srcentre.com.au</w:t>
        </w:r>
      </w:hyperlink>
      <w:r w:rsidRPr="00CF3E3D">
        <w:rPr>
          <w:rStyle w:val="Hyperlink"/>
          <w:rFonts w:cs="Arial"/>
        </w:rPr>
        <w:t>.</w:t>
      </w:r>
    </w:p>
    <w:p w14:paraId="61C3A861" w14:textId="77777777" w:rsidR="00A313F5" w:rsidRDefault="00A313F5" w:rsidP="00A313F5">
      <w:pPr>
        <w:pStyle w:val="Body"/>
      </w:pPr>
    </w:p>
    <w:p w14:paraId="2A1F76B1" w14:textId="77777777" w:rsidR="00073996" w:rsidRDefault="00073996" w:rsidP="00A313F5">
      <w:pPr>
        <w:pStyle w:val="Body"/>
        <w:sectPr w:rsidR="00073996" w:rsidSect="00A313F5">
          <w:footerReference w:type="even" r:id="rId15"/>
          <w:footerReference w:type="default" r:id="rId16"/>
          <w:pgSz w:w="11906" w:h="16838" w:code="9"/>
          <w:pgMar w:top="1418" w:right="1418" w:bottom="1418" w:left="1418" w:header="567" w:footer="567" w:gutter="0"/>
          <w:pgNumType w:fmt="lowerRoman"/>
          <w:cols w:space="708"/>
          <w:docGrid w:linePitch="360"/>
        </w:sectPr>
      </w:pPr>
    </w:p>
    <w:p w14:paraId="74782A65" w14:textId="77777777" w:rsidR="004E45CF" w:rsidRPr="00562FFC" w:rsidRDefault="004E45CF" w:rsidP="004E45CF">
      <w:pPr>
        <w:pStyle w:val="Heading2"/>
        <w:numPr>
          <w:ilvl w:val="0"/>
          <w:numId w:val="0"/>
        </w:numPr>
        <w:ind w:left="851" w:hanging="851"/>
        <w:rPr>
          <w:color w:val="000000" w:themeColor="text1"/>
        </w:rPr>
      </w:pPr>
      <w:bookmarkStart w:id="2" w:name="_Toc22810088"/>
      <w:bookmarkStart w:id="3" w:name="_Toc116035536"/>
      <w:bookmarkStart w:id="4" w:name="_Toc116039891"/>
      <w:r w:rsidRPr="00562FFC">
        <w:rPr>
          <w:color w:val="000000" w:themeColor="text1"/>
        </w:rPr>
        <w:lastRenderedPageBreak/>
        <w:t>1. Introduction</w:t>
      </w:r>
      <w:bookmarkEnd w:id="2"/>
      <w:bookmarkEnd w:id="3"/>
      <w:bookmarkEnd w:id="4"/>
    </w:p>
    <w:p w14:paraId="40FF6AD0" w14:textId="77777777" w:rsidR="004E45CF" w:rsidRPr="00CF3E3D" w:rsidRDefault="004E45CF" w:rsidP="004E45CF">
      <w:pPr>
        <w:pStyle w:val="Body"/>
      </w:pPr>
      <w:bookmarkStart w:id="5" w:name="_Toc22810089"/>
      <w:r w:rsidRPr="00CF3E3D">
        <w:t xml:space="preserve">The </w:t>
      </w:r>
      <w:r w:rsidRPr="00CF3E3D">
        <w:rPr>
          <w:rFonts w:cs="Arial"/>
        </w:rPr>
        <w:t xml:space="preserve">Graduate Outcomes Survey (GOS) </w:t>
      </w:r>
      <w:r w:rsidRPr="00CF3E3D">
        <w:t xml:space="preserve">National Report focuses on the main indicators over time as outlined on the </w:t>
      </w:r>
      <w:r w:rsidRPr="00CF3E3D">
        <w:rPr>
          <w:rFonts w:cs="Arial"/>
        </w:rPr>
        <w:t xml:space="preserve">Quality Indicators for Learning and Teaching (QILT) </w:t>
      </w:r>
      <w:r w:rsidRPr="00CF3E3D">
        <w:t xml:space="preserve">website such as labour market outcomes (rates of full-time employment, overall employment, labour force participation and median full-time salaries), further study outcomes and graduate satisfaction. The report also discusses some areas of focus such as the impact of the COVID-19 pandemic gender differences and the gender pay gap, skills utilisation across graduate occupations and reasons for skills based or time based “underemployment”. The GOS also collects information relevant to themes beyond the scope of this report, such as the importance of the course, how well the course prepared graduates for work and further study, and more detailed labour force breakdowns, including graduates working in their own businesses, unpaid work, and unemployment levels. </w:t>
      </w:r>
    </w:p>
    <w:p w14:paraId="21B18CCC" w14:textId="77777777" w:rsidR="004E45CF" w:rsidRPr="00CF3E3D" w:rsidRDefault="004E45CF" w:rsidP="004E45CF">
      <w:pPr>
        <w:pStyle w:val="Body"/>
        <w:rPr>
          <w:highlight w:val="yellow"/>
        </w:rPr>
      </w:pPr>
      <w:r w:rsidRPr="00CF3E3D">
        <w:t xml:space="preserve">Reporting of graduate labour market outcomes, skills utilisation and further study in this report focus on domestic graduates only. Graduate satisfaction focuses on all graduates, that is, both domestic and international graduates combined. This report is supported by a </w:t>
      </w:r>
      <w:hyperlink r:id="rId17" w:tooltip="Go to PowerBI workbook" w:history="1">
        <w:r w:rsidRPr="00CF3E3D">
          <w:rPr>
            <w:rStyle w:val="Hyperlink"/>
          </w:rPr>
          <w:t>PowerBI workbook</w:t>
        </w:r>
      </w:hyperlink>
      <w:r w:rsidRPr="00CF3E3D">
        <w:t xml:space="preserve"> which allows readers to further explore the data presented in this report. It is also supported by a set of additional static </w:t>
      </w:r>
      <w:hyperlink r:id="rId18" w:tooltip="Go to Excel data tables" w:history="1">
        <w:r w:rsidRPr="00CF3E3D">
          <w:rPr>
            <w:rStyle w:val="Hyperlink"/>
          </w:rPr>
          <w:t>Excel tables</w:t>
        </w:r>
      </w:hyperlink>
      <w:r w:rsidRPr="00CF3E3D">
        <w:t xml:space="preserve"> which provide additional data and detail out of scope of this report, but which may be of interest to the reader. Results from the GOS for international graduates are published in an International Report on the </w:t>
      </w:r>
      <w:hyperlink r:id="rId19" w:tooltip="Go to the QILT website" w:history="1">
        <w:r w:rsidRPr="00CF3E3D">
          <w:rPr>
            <w:rStyle w:val="Hyperlink"/>
          </w:rPr>
          <w:t>QILT website</w:t>
        </w:r>
      </w:hyperlink>
      <w:r w:rsidRPr="00CF3E3D">
        <w:t xml:space="preserve">. Although international graduates have always been in-scope for the GOS, labour market results have only been published annually from 2021. </w:t>
      </w:r>
    </w:p>
    <w:p w14:paraId="337342C8" w14:textId="6278EBFE" w:rsidR="004E45CF" w:rsidRPr="00CF3E3D" w:rsidRDefault="004E45CF" w:rsidP="004E45CF">
      <w:pPr>
        <w:pStyle w:val="Body"/>
      </w:pPr>
      <w:r w:rsidRPr="00CF3E3D">
        <w:t xml:space="preserve">The GOS was first implemented in 2016 to replace the Australian Graduate Survey (AGS). The AGS comprised the Graduate Destinations Survey (GDS), which had been in place since the 1970s, the Course Experience Questionnaire (CEQ) and Postgraduate Research </w:t>
      </w:r>
      <w:r w:rsidR="008E3174">
        <w:t xml:space="preserve">Experience </w:t>
      </w:r>
      <w:r w:rsidRPr="00CF3E3D">
        <w:t xml:space="preserve">Questionnaire (PREQ), which had been in place since the 1990s. Please note that the introduction of the GOS in 2016 represented a break in time series from the previous AGS. This break is represented as a break in the line on time series charts in this report. More information can be found in the </w:t>
      </w:r>
      <w:hyperlink r:id="rId20" w:tooltip="Go to 2016 GOS Methodological Report" w:history="1">
        <w:r w:rsidRPr="00B30F93">
          <w:rPr>
            <w:rStyle w:val="Hyperlink"/>
          </w:rPr>
          <w:t>2016 GOS Methodological Report.</w:t>
        </w:r>
      </w:hyperlink>
      <w:r w:rsidRPr="00CF3E3D">
        <w:t xml:space="preserve"> </w:t>
      </w:r>
    </w:p>
    <w:p w14:paraId="67D5AFDF" w14:textId="77777777" w:rsidR="004E45CF" w:rsidRPr="00CF3E3D" w:rsidRDefault="004E45CF" w:rsidP="004E45CF">
      <w:pPr>
        <w:pStyle w:val="Body"/>
        <w:rPr>
          <w:rFonts w:asciiTheme="minorHAnsi" w:hAnsiTheme="minorHAnsi" w:cstheme="minorBidi"/>
        </w:rPr>
      </w:pPr>
      <w:r w:rsidRPr="00CF3E3D">
        <w:t xml:space="preserve">The 2022 GOS was conducted as a national online survey among 130 higher education institutions, including all 42 Table A and B universities (with the addition this year of Avondale University) and 88 Non-University Higher Education Institutions (NUHEIs). A total of 131,311 valid survey responses were collected across all study levels, representing a response rate of 39.4 per cent, which is a slight decrease from 40.4 per cent achieved in 2021. </w:t>
      </w:r>
    </w:p>
    <w:p w14:paraId="0BC8E737" w14:textId="19A5109B" w:rsidR="004E45CF" w:rsidRPr="00CF3E3D" w:rsidRDefault="004E45CF" w:rsidP="004E45CF">
      <w:pPr>
        <w:pStyle w:val="Body"/>
      </w:pPr>
      <w:r w:rsidRPr="00CF3E3D">
        <w:t>The following report provides high level results from the 2022 GOS. Further detail is available from</w:t>
      </w:r>
      <w:r w:rsidR="00E629F5">
        <w:t xml:space="preserve"> the </w:t>
      </w:r>
      <w:hyperlink r:id="rId21" w:tooltip="Go to the Graduate Outcomes Survey page" w:history="1">
        <w:r w:rsidR="00E629F5" w:rsidRPr="00E629F5">
          <w:rPr>
            <w:rStyle w:val="Hyperlink"/>
          </w:rPr>
          <w:t>Graduate Outcomes Survey page</w:t>
        </w:r>
      </w:hyperlink>
      <w:r w:rsidR="00E629F5">
        <w:t xml:space="preserve"> on the QILT website.</w:t>
      </w:r>
      <w:r w:rsidRPr="00CF3E3D">
        <w:t xml:space="preserve">. </w:t>
      </w:r>
    </w:p>
    <w:p w14:paraId="355ADD5B" w14:textId="77777777" w:rsidR="004E45CF" w:rsidRPr="00562FFC" w:rsidRDefault="004E45CF" w:rsidP="004E45CF">
      <w:pPr>
        <w:pStyle w:val="Heading2"/>
        <w:numPr>
          <w:ilvl w:val="0"/>
          <w:numId w:val="0"/>
        </w:numPr>
        <w:ind w:left="851" w:hanging="851"/>
        <w:rPr>
          <w:color w:val="000000" w:themeColor="text1"/>
        </w:rPr>
      </w:pPr>
      <w:bookmarkStart w:id="6" w:name="_Toc116035537"/>
      <w:bookmarkStart w:id="7" w:name="_Toc116039892"/>
      <w:r w:rsidRPr="00562FFC">
        <w:rPr>
          <w:color w:val="000000" w:themeColor="text1"/>
        </w:rPr>
        <w:t>2. Labour market outcomes</w:t>
      </w:r>
      <w:bookmarkEnd w:id="5"/>
      <w:bookmarkEnd w:id="6"/>
      <w:bookmarkEnd w:id="7"/>
    </w:p>
    <w:p w14:paraId="79EAC49F" w14:textId="77777777" w:rsidR="004E45CF" w:rsidRPr="00562FFC" w:rsidRDefault="004E45CF" w:rsidP="004E45CF">
      <w:pPr>
        <w:pStyle w:val="Heading3"/>
        <w:numPr>
          <w:ilvl w:val="0"/>
          <w:numId w:val="0"/>
        </w:numPr>
        <w:ind w:left="851" w:hanging="851"/>
        <w:rPr>
          <w:color w:val="000000" w:themeColor="text1"/>
        </w:rPr>
      </w:pPr>
      <w:bookmarkStart w:id="8" w:name="_Toc116035538"/>
      <w:bookmarkStart w:id="9" w:name="_Toc116039893"/>
      <w:r w:rsidRPr="00562FFC">
        <w:rPr>
          <w:color w:val="000000" w:themeColor="text1"/>
        </w:rPr>
        <w:t xml:space="preserve">2.1 </w:t>
      </w:r>
      <w:r w:rsidRPr="00562FFC">
        <w:rPr>
          <w:color w:val="000000" w:themeColor="text1"/>
        </w:rPr>
        <w:tab/>
        <w:t>Undergraduate employment</w:t>
      </w:r>
      <w:bookmarkEnd w:id="8"/>
      <w:bookmarkEnd w:id="9"/>
    </w:p>
    <w:p w14:paraId="3E85FC6D" w14:textId="77777777" w:rsidR="004E45CF" w:rsidRPr="00CF3E3D" w:rsidRDefault="004E45CF" w:rsidP="004E45CF">
      <w:pPr>
        <w:pStyle w:val="Body"/>
      </w:pPr>
      <w:bookmarkStart w:id="10" w:name="_Ref77863896"/>
      <w:r w:rsidRPr="00CF3E3D">
        <w:t xml:space="preserve">Undergraduate full-time and overall employment rates from 2020 to 2022 are shown in </w:t>
      </w:r>
      <w:r w:rsidRPr="00CF3E3D">
        <w:rPr>
          <w:b/>
          <w:bCs/>
        </w:rPr>
        <w:fldChar w:fldCharType="begin"/>
      </w:r>
      <w:r w:rsidRPr="00CF3E3D">
        <w:instrText xml:space="preserve"> REF _Ref78540859 \h  \* MERGEFORMAT </w:instrText>
      </w:r>
      <w:r w:rsidRPr="00CF3E3D">
        <w:rPr>
          <w:b/>
          <w:bCs/>
        </w:rPr>
      </w:r>
      <w:r w:rsidRPr="00CF3E3D">
        <w:rPr>
          <w:b/>
          <w:bCs/>
        </w:rPr>
        <w:fldChar w:fldCharType="separate"/>
      </w:r>
      <w:r w:rsidRPr="00CF3E3D">
        <w:t xml:space="preserve">Table </w:t>
      </w:r>
      <w:r>
        <w:t>1</w:t>
      </w:r>
      <w:r w:rsidRPr="00CF3E3D">
        <w:rPr>
          <w:b/>
          <w:bCs/>
        </w:rPr>
        <w:fldChar w:fldCharType="end"/>
      </w:r>
      <w:r w:rsidRPr="00CF3E3D">
        <w:t>. Survey results from a particular collection period are best compared with the equivalent period in other years, as results by period are not adjusted for seasonal effects. For definitions of key indicators of labour market outcomes please refer to Appendix 2.</w:t>
      </w:r>
    </w:p>
    <w:p w14:paraId="3531B465" w14:textId="77777777" w:rsidR="004E45CF" w:rsidRPr="00CF3E3D" w:rsidRDefault="004E45CF" w:rsidP="004E45CF">
      <w:pPr>
        <w:pStyle w:val="Body"/>
        <w:rPr>
          <w:b/>
          <w:bCs/>
        </w:rPr>
      </w:pPr>
      <w:r w:rsidRPr="00CF3E3D">
        <w:t xml:space="preserve">After declining in 2019 and 2020 due to the COVID-19 pandemic, the undergraduate labour market began to stabilise in 2021 and saw continued recovery throughout the 2022 GOS. The undergraduate </w:t>
      </w:r>
      <w:r w:rsidRPr="00CF3E3D">
        <w:lastRenderedPageBreak/>
        <w:t xml:space="preserve">full-time employment rate has increased in five consecutive GOS collection periods, rising from 60.6 per cent in the November period of the 2021 GOS, to 80.6 per cent in the May period of 2022. </w:t>
      </w:r>
    </w:p>
    <w:p w14:paraId="4EE25584" w14:textId="77777777" w:rsidR="004E45CF" w:rsidRPr="00CF3E3D" w:rsidRDefault="004E45CF" w:rsidP="004E45CF">
      <w:pPr>
        <w:pStyle w:val="Body"/>
      </w:pPr>
      <w:r w:rsidRPr="00CF3E3D">
        <w:t>Yearly GOS results show that undergraduate full-time employment increased from 68.9 per cent in 2021 to 78.5 per cent in 2022. Similarly undergraduate overall employment increased from 84.8 per cent in 2021 to 88.3 per cent in 2022. These results suggest a strong recovery of the Australian labour market for undergraduates.</w:t>
      </w:r>
    </w:p>
    <w:p w14:paraId="5BF78616" w14:textId="77777777" w:rsidR="004E45CF" w:rsidRPr="004E45CF" w:rsidRDefault="004E45CF" w:rsidP="004E45CF">
      <w:pPr>
        <w:pStyle w:val="Caption"/>
        <w:rPr>
          <w:color w:val="000000" w:themeColor="text1"/>
        </w:rPr>
      </w:pPr>
      <w:bookmarkStart w:id="11" w:name="_Toc116035795"/>
      <w:bookmarkStart w:id="12" w:name="_Toc116040350"/>
      <w:bookmarkEnd w:id="10"/>
      <w:r w:rsidRPr="004E45CF">
        <w:rPr>
          <w:color w:val="000000" w:themeColor="text1"/>
        </w:rPr>
        <w:t xml:space="preserve">Table </w:t>
      </w:r>
      <w:r w:rsidRPr="004E45CF">
        <w:rPr>
          <w:color w:val="000000" w:themeColor="text1"/>
        </w:rPr>
        <w:fldChar w:fldCharType="begin"/>
      </w:r>
      <w:r w:rsidRPr="004E45CF">
        <w:rPr>
          <w:color w:val="000000" w:themeColor="text1"/>
        </w:rPr>
        <w:instrText xml:space="preserve"> SEQ Table \* ARABIC </w:instrText>
      </w:r>
      <w:r w:rsidRPr="004E45CF">
        <w:rPr>
          <w:color w:val="000000" w:themeColor="text1"/>
        </w:rPr>
        <w:fldChar w:fldCharType="separate"/>
      </w:r>
      <w:r w:rsidRPr="004E45CF">
        <w:rPr>
          <w:noProof/>
          <w:color w:val="000000" w:themeColor="text1"/>
        </w:rPr>
        <w:t>1</w:t>
      </w:r>
      <w:r w:rsidRPr="004E45CF">
        <w:rPr>
          <w:color w:val="000000" w:themeColor="text1"/>
        </w:rPr>
        <w:fldChar w:fldCharType="end"/>
      </w:r>
      <w:r w:rsidRPr="004E45CF">
        <w:rPr>
          <w:color w:val="000000" w:themeColor="text1"/>
        </w:rPr>
        <w:t xml:space="preserve"> Undergraduate employment rates by collection period, 2020-2022 (%)</w:t>
      </w:r>
      <w:bookmarkEnd w:id="11"/>
      <w:bookmarkEnd w:id="12"/>
    </w:p>
    <w:tbl>
      <w:tblPr>
        <w:tblStyle w:val="SRC1"/>
        <w:tblW w:w="10510" w:type="dxa"/>
        <w:tblLook w:val="04A0" w:firstRow="1" w:lastRow="0" w:firstColumn="1" w:lastColumn="0" w:noHBand="0" w:noVBand="1"/>
      </w:tblPr>
      <w:tblGrid>
        <w:gridCol w:w="2263"/>
        <w:gridCol w:w="617"/>
        <w:gridCol w:w="675"/>
        <w:gridCol w:w="708"/>
        <w:gridCol w:w="732"/>
        <w:gridCol w:w="686"/>
        <w:gridCol w:w="709"/>
        <w:gridCol w:w="708"/>
        <w:gridCol w:w="732"/>
        <w:gridCol w:w="663"/>
        <w:gridCol w:w="617"/>
        <w:gridCol w:w="692"/>
        <w:gridCol w:w="708"/>
      </w:tblGrid>
      <w:tr w:rsidR="004E45CF" w:rsidRPr="00CF3E3D" w14:paraId="5131E2AE"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2263" w:type="dxa"/>
            <w:noWrap/>
            <w:hideMark/>
          </w:tcPr>
          <w:p w14:paraId="41DFF1BA" w14:textId="64F6E48E" w:rsidR="004E45CF" w:rsidRPr="00CF3E3D" w:rsidRDefault="0021639B" w:rsidP="007007AC">
            <w:pPr>
              <w:rPr>
                <w:rFonts w:eastAsia="Times New Roman"/>
                <w:b w:val="0"/>
                <w:bCs/>
                <w:sz w:val="18"/>
                <w:szCs w:val="18"/>
                <w:lang w:eastAsia="en-AU"/>
              </w:rPr>
            </w:pPr>
            <w:bookmarkStart w:id="13" w:name="Title1"/>
            <w:bookmarkStart w:id="14" w:name="_Toc22810090"/>
            <w:bookmarkEnd w:id="13"/>
            <w:r w:rsidRPr="0021639B">
              <w:rPr>
                <w:rStyle w:val="TabletextBOLD"/>
                <w:b/>
                <w:bCs w:val="0"/>
                <w:color w:val="1F698E" w:themeColor="accent1"/>
              </w:rPr>
              <w:t>Category</w:t>
            </w:r>
          </w:p>
        </w:tc>
        <w:tc>
          <w:tcPr>
            <w:tcW w:w="617" w:type="dxa"/>
            <w:noWrap/>
            <w:hideMark/>
          </w:tcPr>
          <w:p w14:paraId="47495073"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2020 GOS Nov</w:t>
            </w:r>
          </w:p>
        </w:tc>
        <w:tc>
          <w:tcPr>
            <w:tcW w:w="675" w:type="dxa"/>
            <w:noWrap/>
            <w:hideMark/>
          </w:tcPr>
          <w:p w14:paraId="62A02A7C"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2020 GOS Feb</w:t>
            </w:r>
          </w:p>
        </w:tc>
        <w:tc>
          <w:tcPr>
            <w:tcW w:w="708" w:type="dxa"/>
            <w:noWrap/>
            <w:hideMark/>
          </w:tcPr>
          <w:p w14:paraId="358AC7AA"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2020 GOS May</w:t>
            </w:r>
          </w:p>
        </w:tc>
        <w:tc>
          <w:tcPr>
            <w:tcW w:w="732" w:type="dxa"/>
            <w:noWrap/>
            <w:hideMark/>
          </w:tcPr>
          <w:p w14:paraId="281A9ED3"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2020 GOS Total</w:t>
            </w:r>
          </w:p>
        </w:tc>
        <w:tc>
          <w:tcPr>
            <w:tcW w:w="686" w:type="dxa"/>
            <w:noWrap/>
            <w:hideMark/>
          </w:tcPr>
          <w:p w14:paraId="204BC4DE"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2021 GOS Nov</w:t>
            </w:r>
          </w:p>
        </w:tc>
        <w:tc>
          <w:tcPr>
            <w:tcW w:w="709" w:type="dxa"/>
            <w:noWrap/>
            <w:hideMark/>
          </w:tcPr>
          <w:p w14:paraId="15CC45AD"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2021 GOS Feb</w:t>
            </w:r>
          </w:p>
        </w:tc>
        <w:tc>
          <w:tcPr>
            <w:tcW w:w="708" w:type="dxa"/>
            <w:noWrap/>
            <w:hideMark/>
          </w:tcPr>
          <w:p w14:paraId="5899CD32"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2021 GOS May</w:t>
            </w:r>
          </w:p>
        </w:tc>
        <w:tc>
          <w:tcPr>
            <w:tcW w:w="732" w:type="dxa"/>
            <w:noWrap/>
            <w:hideMark/>
          </w:tcPr>
          <w:p w14:paraId="1F61DEB8"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2021 GOS Total</w:t>
            </w:r>
          </w:p>
        </w:tc>
        <w:tc>
          <w:tcPr>
            <w:tcW w:w="663" w:type="dxa"/>
            <w:noWrap/>
            <w:hideMark/>
          </w:tcPr>
          <w:p w14:paraId="08A9ED5F"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2022 GOS Nov</w:t>
            </w:r>
          </w:p>
        </w:tc>
        <w:tc>
          <w:tcPr>
            <w:tcW w:w="617" w:type="dxa"/>
            <w:noWrap/>
            <w:hideMark/>
          </w:tcPr>
          <w:p w14:paraId="7A0415A6"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2022 GOS Feb</w:t>
            </w:r>
          </w:p>
        </w:tc>
        <w:tc>
          <w:tcPr>
            <w:tcW w:w="692" w:type="dxa"/>
            <w:noWrap/>
            <w:hideMark/>
          </w:tcPr>
          <w:p w14:paraId="09BF6DBB"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2022 GOS May</w:t>
            </w:r>
          </w:p>
        </w:tc>
        <w:tc>
          <w:tcPr>
            <w:tcW w:w="708" w:type="dxa"/>
            <w:noWrap/>
            <w:hideMark/>
          </w:tcPr>
          <w:p w14:paraId="0FE14C1E" w14:textId="77777777" w:rsidR="004E45CF" w:rsidRPr="004E45CF"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2022 GOS Total</w:t>
            </w:r>
          </w:p>
        </w:tc>
      </w:tr>
      <w:tr w:rsidR="004E45CF" w:rsidRPr="00CF3E3D" w14:paraId="4185938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1D20781" w14:textId="77777777" w:rsidR="004E45CF" w:rsidRPr="00574F4B" w:rsidRDefault="004E45CF" w:rsidP="007007AC">
            <w:pPr>
              <w:rPr>
                <w:rStyle w:val="TabletextBOLD"/>
                <w:color w:val="auto"/>
              </w:rPr>
            </w:pPr>
            <w:r w:rsidRPr="00574F4B">
              <w:rPr>
                <w:rStyle w:val="TabletextBOLD"/>
                <w:color w:val="auto"/>
              </w:rPr>
              <w:t>Full-time employment</w:t>
            </w:r>
          </w:p>
        </w:tc>
        <w:tc>
          <w:tcPr>
            <w:tcW w:w="617" w:type="dxa"/>
            <w:noWrap/>
            <w:hideMark/>
          </w:tcPr>
          <w:p w14:paraId="71768E9E"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68.0</w:t>
            </w:r>
          </w:p>
        </w:tc>
        <w:tc>
          <w:tcPr>
            <w:tcW w:w="675" w:type="dxa"/>
            <w:noWrap/>
            <w:hideMark/>
          </w:tcPr>
          <w:p w14:paraId="6C4A2A6D"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69.7</w:t>
            </w:r>
          </w:p>
        </w:tc>
        <w:tc>
          <w:tcPr>
            <w:tcW w:w="708" w:type="dxa"/>
            <w:noWrap/>
            <w:hideMark/>
          </w:tcPr>
          <w:p w14:paraId="744A7F12"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69.0</w:t>
            </w:r>
          </w:p>
        </w:tc>
        <w:tc>
          <w:tcPr>
            <w:tcW w:w="732" w:type="dxa"/>
            <w:noWrap/>
            <w:hideMark/>
          </w:tcPr>
          <w:p w14:paraId="68F9CFE5"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68.7</w:t>
            </w:r>
          </w:p>
        </w:tc>
        <w:tc>
          <w:tcPr>
            <w:tcW w:w="686" w:type="dxa"/>
            <w:noWrap/>
            <w:hideMark/>
          </w:tcPr>
          <w:p w14:paraId="52A975DB"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60.6</w:t>
            </w:r>
          </w:p>
        </w:tc>
        <w:tc>
          <w:tcPr>
            <w:tcW w:w="709" w:type="dxa"/>
            <w:noWrap/>
            <w:hideMark/>
          </w:tcPr>
          <w:p w14:paraId="4A1B4174"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67.9</w:t>
            </w:r>
          </w:p>
        </w:tc>
        <w:tc>
          <w:tcPr>
            <w:tcW w:w="708" w:type="dxa"/>
            <w:noWrap/>
            <w:hideMark/>
          </w:tcPr>
          <w:p w14:paraId="12AAD264"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72.1</w:t>
            </w:r>
          </w:p>
        </w:tc>
        <w:tc>
          <w:tcPr>
            <w:tcW w:w="732" w:type="dxa"/>
            <w:noWrap/>
            <w:hideMark/>
          </w:tcPr>
          <w:p w14:paraId="3E55F23D"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68.9</w:t>
            </w:r>
          </w:p>
        </w:tc>
        <w:tc>
          <w:tcPr>
            <w:tcW w:w="663" w:type="dxa"/>
            <w:noWrap/>
            <w:hideMark/>
          </w:tcPr>
          <w:p w14:paraId="023AD293"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73.7</w:t>
            </w:r>
          </w:p>
        </w:tc>
        <w:tc>
          <w:tcPr>
            <w:tcW w:w="617" w:type="dxa"/>
            <w:noWrap/>
            <w:hideMark/>
          </w:tcPr>
          <w:p w14:paraId="25ACFEA9"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75.7</w:t>
            </w:r>
          </w:p>
        </w:tc>
        <w:tc>
          <w:tcPr>
            <w:tcW w:w="692" w:type="dxa"/>
            <w:noWrap/>
            <w:hideMark/>
          </w:tcPr>
          <w:p w14:paraId="78B26825"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80.6</w:t>
            </w:r>
          </w:p>
        </w:tc>
        <w:tc>
          <w:tcPr>
            <w:tcW w:w="708" w:type="dxa"/>
            <w:noWrap/>
            <w:hideMark/>
          </w:tcPr>
          <w:p w14:paraId="6F52409C" w14:textId="77777777" w:rsidR="004E45CF" w:rsidRPr="004E45CF"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78.5</w:t>
            </w:r>
          </w:p>
        </w:tc>
      </w:tr>
      <w:tr w:rsidR="004E45CF" w:rsidRPr="00CF3E3D" w14:paraId="45C77FB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C79DA24" w14:textId="77777777" w:rsidR="004E45CF" w:rsidRPr="00574F4B" w:rsidRDefault="004E45CF" w:rsidP="007007AC">
            <w:pPr>
              <w:rPr>
                <w:rStyle w:val="TabletextBOLD"/>
                <w:color w:val="auto"/>
              </w:rPr>
            </w:pPr>
            <w:r w:rsidRPr="00574F4B">
              <w:rPr>
                <w:rStyle w:val="TabletextBOLD"/>
                <w:color w:val="auto"/>
              </w:rPr>
              <w:t>Overall employment</w:t>
            </w:r>
          </w:p>
        </w:tc>
        <w:tc>
          <w:tcPr>
            <w:tcW w:w="617" w:type="dxa"/>
            <w:noWrap/>
            <w:hideMark/>
          </w:tcPr>
          <w:p w14:paraId="29B27C15"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84.8</w:t>
            </w:r>
          </w:p>
        </w:tc>
        <w:tc>
          <w:tcPr>
            <w:tcW w:w="675" w:type="dxa"/>
            <w:noWrap/>
            <w:hideMark/>
          </w:tcPr>
          <w:p w14:paraId="3F4F05C6"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81.2</w:t>
            </w:r>
          </w:p>
        </w:tc>
        <w:tc>
          <w:tcPr>
            <w:tcW w:w="708" w:type="dxa"/>
            <w:noWrap/>
            <w:hideMark/>
          </w:tcPr>
          <w:p w14:paraId="559D5618"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85.4</w:t>
            </w:r>
          </w:p>
        </w:tc>
        <w:tc>
          <w:tcPr>
            <w:tcW w:w="732" w:type="dxa"/>
            <w:noWrap/>
            <w:hideMark/>
          </w:tcPr>
          <w:p w14:paraId="0FFCB668"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85.1</w:t>
            </w:r>
          </w:p>
        </w:tc>
        <w:tc>
          <w:tcPr>
            <w:tcW w:w="686" w:type="dxa"/>
            <w:noWrap/>
            <w:hideMark/>
          </w:tcPr>
          <w:p w14:paraId="6CEE6588"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81.5</w:t>
            </w:r>
          </w:p>
        </w:tc>
        <w:tc>
          <w:tcPr>
            <w:tcW w:w="709" w:type="dxa"/>
            <w:noWrap/>
            <w:hideMark/>
          </w:tcPr>
          <w:p w14:paraId="10BA03A0"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80.5</w:t>
            </w:r>
          </w:p>
        </w:tc>
        <w:tc>
          <w:tcPr>
            <w:tcW w:w="708" w:type="dxa"/>
            <w:noWrap/>
            <w:hideMark/>
          </w:tcPr>
          <w:p w14:paraId="4B29D649"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86.2</w:t>
            </w:r>
          </w:p>
        </w:tc>
        <w:tc>
          <w:tcPr>
            <w:tcW w:w="732" w:type="dxa"/>
            <w:noWrap/>
            <w:hideMark/>
          </w:tcPr>
          <w:p w14:paraId="1F0E7B19"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84.8</w:t>
            </w:r>
          </w:p>
        </w:tc>
        <w:tc>
          <w:tcPr>
            <w:tcW w:w="663" w:type="dxa"/>
            <w:noWrap/>
            <w:hideMark/>
          </w:tcPr>
          <w:p w14:paraId="099539FD"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86.2</w:t>
            </w:r>
          </w:p>
        </w:tc>
        <w:tc>
          <w:tcPr>
            <w:tcW w:w="617" w:type="dxa"/>
            <w:noWrap/>
            <w:hideMark/>
          </w:tcPr>
          <w:p w14:paraId="3CDE5276"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84.5</w:t>
            </w:r>
          </w:p>
        </w:tc>
        <w:tc>
          <w:tcPr>
            <w:tcW w:w="692" w:type="dxa"/>
            <w:noWrap/>
            <w:hideMark/>
          </w:tcPr>
          <w:p w14:paraId="380E5182"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89.3</w:t>
            </w:r>
          </w:p>
        </w:tc>
        <w:tc>
          <w:tcPr>
            <w:tcW w:w="708" w:type="dxa"/>
            <w:noWrap/>
            <w:hideMark/>
          </w:tcPr>
          <w:p w14:paraId="1859BD7F" w14:textId="77777777" w:rsidR="004E45CF" w:rsidRPr="004E45CF"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88.3</w:t>
            </w:r>
          </w:p>
        </w:tc>
      </w:tr>
    </w:tbl>
    <w:p w14:paraId="117C3DE5" w14:textId="77777777" w:rsidR="004E45CF" w:rsidRDefault="004E45CF" w:rsidP="004E45CF">
      <w:pPr>
        <w:pStyle w:val="Body"/>
      </w:pPr>
      <w:bookmarkStart w:id="15" w:name="_Ref77863963"/>
      <w:r w:rsidRPr="00CF3E3D">
        <w:t xml:space="preserve">Results by survey round therefore indicate greater turbulence in the graduate labour market than is suggested by the aggregate annual results. This is consistent with results from the Australian Bureau of Statistics (ABS) Labour Force Survey (LFS) which show that the national unemployment rate increased from 5.1 per cent in November 2019 to a peak of 7.5 per cent in July 2020, before falling to 5.1 per cent in May 2021 and 3.9 per cent in May 2022 (seasonally adjusted). </w:t>
      </w:r>
      <w:r>
        <w:fldChar w:fldCharType="begin"/>
      </w:r>
      <w:r>
        <w:instrText xml:space="preserve"> REF _Ref115944214 \h </w:instrText>
      </w:r>
      <w:r>
        <w:fldChar w:fldCharType="separate"/>
      </w:r>
      <w:r>
        <w:t xml:space="preserve">Table </w:t>
      </w:r>
      <w:r>
        <w:rPr>
          <w:noProof/>
        </w:rPr>
        <w:t>2</w:t>
      </w:r>
      <w:r>
        <w:fldChar w:fldCharType="end"/>
      </w:r>
      <w:r w:rsidRPr="00CF3E3D">
        <w:t xml:space="preserve"> shows the relationship between the graduate full-time employment rate measured by the GOS, and the national employment rate (the inverse of the unemployment rate) measured by the LFS. Both measures show a marked decline in mid to late 2020 followed by recovery from early to mid-2021, with continued improvement into 2022.</w:t>
      </w:r>
    </w:p>
    <w:p w14:paraId="665F3190" w14:textId="6FAE14B5" w:rsidR="004E45CF" w:rsidRPr="004E45CF" w:rsidRDefault="004E45CF" w:rsidP="004E45CF">
      <w:pPr>
        <w:pStyle w:val="Caption"/>
        <w:ind w:left="709" w:hanging="709"/>
        <w:rPr>
          <w:color w:val="000000" w:themeColor="text1"/>
        </w:rPr>
      </w:pPr>
      <w:bookmarkStart w:id="16" w:name="_Ref115944214"/>
      <w:bookmarkStart w:id="17" w:name="_Toc116035796"/>
      <w:bookmarkStart w:id="18" w:name="_Toc116040351"/>
      <w:r w:rsidRPr="004E45CF">
        <w:rPr>
          <w:color w:val="000000" w:themeColor="text1"/>
        </w:rPr>
        <w:t xml:space="preserve">Table </w:t>
      </w:r>
      <w:r w:rsidRPr="004E45CF">
        <w:rPr>
          <w:color w:val="000000" w:themeColor="text1"/>
        </w:rPr>
        <w:fldChar w:fldCharType="begin"/>
      </w:r>
      <w:r w:rsidRPr="004E45CF">
        <w:rPr>
          <w:color w:val="000000" w:themeColor="text1"/>
        </w:rPr>
        <w:instrText xml:space="preserve"> SEQ Table \* ARABIC </w:instrText>
      </w:r>
      <w:r w:rsidRPr="004E45CF">
        <w:rPr>
          <w:color w:val="000000" w:themeColor="text1"/>
        </w:rPr>
        <w:fldChar w:fldCharType="separate"/>
      </w:r>
      <w:r w:rsidRPr="004E45CF">
        <w:rPr>
          <w:noProof/>
          <w:color w:val="000000" w:themeColor="text1"/>
        </w:rPr>
        <w:t>2</w:t>
      </w:r>
      <w:r w:rsidRPr="004E45CF">
        <w:rPr>
          <w:color w:val="000000" w:themeColor="text1"/>
        </w:rPr>
        <w:fldChar w:fldCharType="end"/>
      </w:r>
      <w:bookmarkEnd w:id="16"/>
      <w:r w:rsidRPr="004E45CF">
        <w:rPr>
          <w:color w:val="000000" w:themeColor="text1"/>
        </w:rPr>
        <w:t xml:space="preserve"> Undergraduate full-time employment and national employment rates by collection period, 2020-2022 (%)</w:t>
      </w:r>
      <w:bookmarkEnd w:id="17"/>
      <w:bookmarkEnd w:id="18"/>
    </w:p>
    <w:tbl>
      <w:tblPr>
        <w:tblStyle w:val="SRC1"/>
        <w:tblW w:w="9516" w:type="dxa"/>
        <w:tblLook w:val="04A0" w:firstRow="1" w:lastRow="0" w:firstColumn="1" w:lastColumn="0" w:noHBand="0" w:noVBand="1"/>
      </w:tblPr>
      <w:tblGrid>
        <w:gridCol w:w="1804"/>
        <w:gridCol w:w="1097"/>
        <w:gridCol w:w="987"/>
        <w:gridCol w:w="692"/>
        <w:gridCol w:w="1097"/>
        <w:gridCol w:w="987"/>
        <w:gridCol w:w="800"/>
        <w:gridCol w:w="1097"/>
        <w:gridCol w:w="987"/>
        <w:gridCol w:w="799"/>
      </w:tblGrid>
      <w:tr w:rsidR="004E45CF" w:rsidRPr="00CF3E3D" w14:paraId="28A7298D" w14:textId="77777777" w:rsidTr="002E40BA">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804" w:type="dxa"/>
            <w:noWrap/>
            <w:hideMark/>
          </w:tcPr>
          <w:p w14:paraId="6CFD4411" w14:textId="1F7BA1B2" w:rsidR="004E45CF" w:rsidRPr="00CF3E3D" w:rsidRDefault="0021639B" w:rsidP="007007AC">
            <w:pPr>
              <w:rPr>
                <w:rFonts w:eastAsia="Times New Roman"/>
                <w:b w:val="0"/>
                <w:bCs/>
                <w:sz w:val="18"/>
                <w:szCs w:val="18"/>
                <w:lang w:eastAsia="en-AU"/>
              </w:rPr>
            </w:pPr>
            <w:bookmarkStart w:id="19" w:name="Title2"/>
            <w:bookmarkEnd w:id="19"/>
            <w:r w:rsidRPr="0021639B">
              <w:rPr>
                <w:rStyle w:val="TabletextBOLD"/>
                <w:b/>
                <w:bCs w:val="0"/>
                <w:color w:val="1F698E" w:themeColor="accent1"/>
              </w:rPr>
              <w:t>Category</w:t>
            </w:r>
          </w:p>
        </w:tc>
        <w:tc>
          <w:tcPr>
            <w:tcW w:w="951" w:type="dxa"/>
            <w:noWrap/>
            <w:hideMark/>
          </w:tcPr>
          <w:p w14:paraId="4B292973"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November 2019</w:t>
            </w:r>
          </w:p>
        </w:tc>
        <w:tc>
          <w:tcPr>
            <w:tcW w:w="856" w:type="dxa"/>
            <w:noWrap/>
            <w:hideMark/>
          </w:tcPr>
          <w:p w14:paraId="05280290"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February 2020</w:t>
            </w:r>
          </w:p>
        </w:tc>
        <w:tc>
          <w:tcPr>
            <w:tcW w:w="692" w:type="dxa"/>
            <w:noWrap/>
            <w:hideMark/>
          </w:tcPr>
          <w:p w14:paraId="6AF7035C"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May 2020</w:t>
            </w:r>
          </w:p>
        </w:tc>
        <w:tc>
          <w:tcPr>
            <w:tcW w:w="951" w:type="dxa"/>
            <w:noWrap/>
            <w:hideMark/>
          </w:tcPr>
          <w:p w14:paraId="2148D157"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November 2020</w:t>
            </w:r>
          </w:p>
        </w:tc>
        <w:tc>
          <w:tcPr>
            <w:tcW w:w="856" w:type="dxa"/>
            <w:noWrap/>
            <w:hideMark/>
          </w:tcPr>
          <w:p w14:paraId="0193C642"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February 2021</w:t>
            </w:r>
          </w:p>
        </w:tc>
        <w:tc>
          <w:tcPr>
            <w:tcW w:w="800" w:type="dxa"/>
            <w:noWrap/>
            <w:hideMark/>
          </w:tcPr>
          <w:p w14:paraId="1D2988AD"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May 2021</w:t>
            </w:r>
          </w:p>
        </w:tc>
        <w:tc>
          <w:tcPr>
            <w:tcW w:w="951" w:type="dxa"/>
            <w:noWrap/>
            <w:hideMark/>
          </w:tcPr>
          <w:p w14:paraId="5D6D1F40"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November 2021</w:t>
            </w:r>
          </w:p>
        </w:tc>
        <w:tc>
          <w:tcPr>
            <w:tcW w:w="856" w:type="dxa"/>
            <w:noWrap/>
            <w:hideMark/>
          </w:tcPr>
          <w:p w14:paraId="3E54CDC1"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February 2022</w:t>
            </w:r>
          </w:p>
        </w:tc>
        <w:tc>
          <w:tcPr>
            <w:tcW w:w="799" w:type="dxa"/>
            <w:noWrap/>
            <w:hideMark/>
          </w:tcPr>
          <w:p w14:paraId="56662BB2" w14:textId="77777777" w:rsidR="004E45CF" w:rsidRPr="004E45CF" w:rsidRDefault="004E45CF" w:rsidP="00311B8A">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4E45CF">
              <w:rPr>
                <w:rStyle w:val="TabletextBOLD"/>
                <w:b/>
                <w:bCs w:val="0"/>
                <w:color w:val="FFFFFF" w:themeColor="background1"/>
              </w:rPr>
              <w:t>May 2022</w:t>
            </w:r>
          </w:p>
        </w:tc>
      </w:tr>
      <w:tr w:rsidR="004E45CF" w:rsidRPr="00CF3E3D" w14:paraId="0C6E48C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4" w:type="dxa"/>
            <w:noWrap/>
            <w:hideMark/>
          </w:tcPr>
          <w:p w14:paraId="2FF1D08E" w14:textId="77777777" w:rsidR="004E45CF" w:rsidRPr="00E46532" w:rsidRDefault="004E45CF" w:rsidP="007007AC">
            <w:pPr>
              <w:rPr>
                <w:rStyle w:val="TabletextBOLD"/>
                <w:color w:val="auto"/>
              </w:rPr>
            </w:pPr>
            <w:r w:rsidRPr="00E46532">
              <w:rPr>
                <w:rStyle w:val="TabletextBOLD"/>
                <w:color w:val="auto"/>
              </w:rPr>
              <w:t>National employment rate</w:t>
            </w:r>
          </w:p>
        </w:tc>
        <w:tc>
          <w:tcPr>
            <w:tcW w:w="951" w:type="dxa"/>
            <w:noWrap/>
          </w:tcPr>
          <w:p w14:paraId="6ADA9241"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94.9</w:t>
            </w:r>
          </w:p>
        </w:tc>
        <w:tc>
          <w:tcPr>
            <w:tcW w:w="856" w:type="dxa"/>
            <w:noWrap/>
          </w:tcPr>
          <w:p w14:paraId="5E29AA11"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94.9</w:t>
            </w:r>
          </w:p>
        </w:tc>
        <w:tc>
          <w:tcPr>
            <w:tcW w:w="692" w:type="dxa"/>
            <w:noWrap/>
          </w:tcPr>
          <w:p w14:paraId="7F6E4216"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93.0</w:t>
            </w:r>
          </w:p>
        </w:tc>
        <w:tc>
          <w:tcPr>
            <w:tcW w:w="951" w:type="dxa"/>
            <w:noWrap/>
          </w:tcPr>
          <w:p w14:paraId="43EA461F"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93.2</w:t>
            </w:r>
          </w:p>
        </w:tc>
        <w:tc>
          <w:tcPr>
            <w:tcW w:w="856" w:type="dxa"/>
            <w:noWrap/>
          </w:tcPr>
          <w:p w14:paraId="0D90DE1E"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94.2</w:t>
            </w:r>
          </w:p>
        </w:tc>
        <w:tc>
          <w:tcPr>
            <w:tcW w:w="800" w:type="dxa"/>
            <w:noWrap/>
          </w:tcPr>
          <w:p w14:paraId="09A5E9FC"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94.9</w:t>
            </w:r>
          </w:p>
        </w:tc>
        <w:tc>
          <w:tcPr>
            <w:tcW w:w="951" w:type="dxa"/>
            <w:noWrap/>
          </w:tcPr>
          <w:p w14:paraId="3D0E2E28"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95.4</w:t>
            </w:r>
          </w:p>
        </w:tc>
        <w:tc>
          <w:tcPr>
            <w:tcW w:w="856" w:type="dxa"/>
            <w:noWrap/>
          </w:tcPr>
          <w:p w14:paraId="640D848E"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96.0</w:t>
            </w:r>
          </w:p>
        </w:tc>
        <w:tc>
          <w:tcPr>
            <w:tcW w:w="799" w:type="dxa"/>
            <w:noWrap/>
          </w:tcPr>
          <w:p w14:paraId="75A3151F" w14:textId="77777777" w:rsidR="004E45CF" w:rsidRPr="004E45CF" w:rsidRDefault="004E45CF" w:rsidP="004E45CF">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4E45CF">
              <w:rPr>
                <w:rStyle w:val="TabletextBOLD"/>
                <w:b w:val="0"/>
                <w:bCs w:val="0"/>
                <w:color w:val="auto"/>
              </w:rPr>
              <w:t>96.1</w:t>
            </w:r>
          </w:p>
        </w:tc>
      </w:tr>
      <w:tr w:rsidR="004E45CF" w:rsidRPr="00CF3E3D" w14:paraId="3CF17DF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4" w:type="dxa"/>
            <w:noWrap/>
            <w:hideMark/>
          </w:tcPr>
          <w:p w14:paraId="7DEB310A" w14:textId="77777777" w:rsidR="004E45CF" w:rsidRPr="00E46532" w:rsidRDefault="004E45CF" w:rsidP="007007AC">
            <w:pPr>
              <w:rPr>
                <w:rStyle w:val="TabletextBOLD"/>
                <w:color w:val="auto"/>
              </w:rPr>
            </w:pPr>
            <w:r w:rsidRPr="00E46532">
              <w:rPr>
                <w:rStyle w:val="TabletextBOLD"/>
                <w:color w:val="auto"/>
              </w:rPr>
              <w:t>Undergraduate full-time employment rate</w:t>
            </w:r>
          </w:p>
        </w:tc>
        <w:tc>
          <w:tcPr>
            <w:tcW w:w="951" w:type="dxa"/>
            <w:noWrap/>
          </w:tcPr>
          <w:p w14:paraId="42C54DA9"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68.0</w:t>
            </w:r>
          </w:p>
        </w:tc>
        <w:tc>
          <w:tcPr>
            <w:tcW w:w="856" w:type="dxa"/>
            <w:noWrap/>
          </w:tcPr>
          <w:p w14:paraId="26411E25"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69.7</w:t>
            </w:r>
          </w:p>
        </w:tc>
        <w:tc>
          <w:tcPr>
            <w:tcW w:w="692" w:type="dxa"/>
            <w:noWrap/>
          </w:tcPr>
          <w:p w14:paraId="2B2E2B70"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69.0</w:t>
            </w:r>
          </w:p>
        </w:tc>
        <w:tc>
          <w:tcPr>
            <w:tcW w:w="951" w:type="dxa"/>
            <w:noWrap/>
          </w:tcPr>
          <w:p w14:paraId="254531CB"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60.6</w:t>
            </w:r>
          </w:p>
        </w:tc>
        <w:tc>
          <w:tcPr>
            <w:tcW w:w="856" w:type="dxa"/>
            <w:noWrap/>
          </w:tcPr>
          <w:p w14:paraId="6A9404DF"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67.9</w:t>
            </w:r>
          </w:p>
        </w:tc>
        <w:tc>
          <w:tcPr>
            <w:tcW w:w="800" w:type="dxa"/>
            <w:noWrap/>
          </w:tcPr>
          <w:p w14:paraId="4B8BCDD5"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72.1</w:t>
            </w:r>
          </w:p>
        </w:tc>
        <w:tc>
          <w:tcPr>
            <w:tcW w:w="951" w:type="dxa"/>
            <w:noWrap/>
          </w:tcPr>
          <w:p w14:paraId="4D6430A8"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73.7</w:t>
            </w:r>
          </w:p>
        </w:tc>
        <w:tc>
          <w:tcPr>
            <w:tcW w:w="856" w:type="dxa"/>
            <w:noWrap/>
          </w:tcPr>
          <w:p w14:paraId="17AB736D"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75.7</w:t>
            </w:r>
          </w:p>
        </w:tc>
        <w:tc>
          <w:tcPr>
            <w:tcW w:w="799" w:type="dxa"/>
            <w:noWrap/>
          </w:tcPr>
          <w:p w14:paraId="2777E0A2" w14:textId="77777777" w:rsidR="004E45CF" w:rsidRPr="004E45CF" w:rsidRDefault="004E45CF" w:rsidP="004E45CF">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4E45CF">
              <w:rPr>
                <w:rStyle w:val="TabletextBOLD"/>
                <w:b w:val="0"/>
                <w:bCs w:val="0"/>
                <w:color w:val="auto"/>
              </w:rPr>
              <w:t>80.6</w:t>
            </w:r>
          </w:p>
        </w:tc>
      </w:tr>
    </w:tbl>
    <w:p w14:paraId="177B5CA2" w14:textId="77777777" w:rsidR="004E45CF" w:rsidRPr="00CF3E3D" w:rsidRDefault="004E45CF" w:rsidP="004E45CF">
      <w:pPr>
        <w:pStyle w:val="Body"/>
        <w:spacing w:before="240"/>
        <w:rPr>
          <w:rFonts w:asciiTheme="minorHAnsi" w:hAnsiTheme="minorHAnsi" w:cstheme="minorBidi"/>
        </w:rPr>
      </w:pPr>
      <w:r w:rsidRPr="00CF3E3D">
        <w:t>The GOS follows ABS concepts and definitions in measuring employment. This means graduates are considered employed if they work at least one hour in the survey reference week, or usually work one hour per week. Graduates are considered to be employed full-time if they actually work 35 hours per week or more, or usually work that many hours in all their current jobs combined. Examining the hours actually worked by employed graduates therefore provides an additional insight into employment trends.</w:t>
      </w:r>
    </w:p>
    <w:p w14:paraId="729D60C8" w14:textId="77777777" w:rsidR="004E45CF" w:rsidRDefault="004E45CF" w:rsidP="004E45CF">
      <w:pPr>
        <w:pStyle w:val="Body"/>
      </w:pPr>
      <w:r w:rsidRPr="00CF3E3D">
        <w:t xml:space="preserve">As shown in </w:t>
      </w:r>
      <w:r>
        <w:fldChar w:fldCharType="begin"/>
      </w:r>
      <w:r>
        <w:instrText xml:space="preserve"> REF _Ref115944418 \h </w:instrText>
      </w:r>
      <w:r>
        <w:fldChar w:fldCharType="separate"/>
      </w:r>
      <w:r>
        <w:t xml:space="preserve">Table </w:t>
      </w:r>
      <w:r>
        <w:rPr>
          <w:noProof/>
        </w:rPr>
        <w:t>3</w:t>
      </w:r>
      <w:r>
        <w:fldChar w:fldCharType="end"/>
      </w:r>
      <w:r w:rsidRPr="00CF3E3D">
        <w:t xml:space="preserve">, the average number of actual hours worked by employed undergraduates dipped markedly in the May period of the 2020 GOS but returned to pre-COVID levels from the November period of 2021. In the 2022 GOS, average full-time hours remained consistent with those reported in 2021, while part-time hours were higher in each of the 2022 survey periods in comparison to the corresponding 2021 survey periods. </w:t>
      </w:r>
    </w:p>
    <w:p w14:paraId="1A96BFC3" w14:textId="1E5E4E3A" w:rsidR="004E45CF" w:rsidRPr="00562FFC" w:rsidRDefault="004E45CF" w:rsidP="0067537F">
      <w:pPr>
        <w:pStyle w:val="Caption"/>
        <w:ind w:left="709" w:hanging="709"/>
        <w:rPr>
          <w:color w:val="000000" w:themeColor="text1"/>
        </w:rPr>
      </w:pPr>
      <w:bookmarkStart w:id="20" w:name="_Ref115944418"/>
      <w:bookmarkStart w:id="21" w:name="_Toc116035797"/>
      <w:bookmarkStart w:id="22" w:name="_Toc116040352"/>
      <w:r w:rsidRPr="00562FFC">
        <w:rPr>
          <w:color w:val="000000" w:themeColor="text1"/>
        </w:rPr>
        <w:lastRenderedPageBreak/>
        <w:t xml:space="preserve">Table </w:t>
      </w:r>
      <w:r w:rsidRPr="00562FFC">
        <w:rPr>
          <w:color w:val="000000" w:themeColor="text1"/>
        </w:rPr>
        <w:fldChar w:fldCharType="begin"/>
      </w:r>
      <w:r w:rsidRPr="00562FFC">
        <w:rPr>
          <w:color w:val="000000" w:themeColor="text1"/>
        </w:rPr>
        <w:instrText xml:space="preserve"> SEQ Table \* ARABIC </w:instrText>
      </w:r>
      <w:r w:rsidRPr="00562FFC">
        <w:rPr>
          <w:color w:val="000000" w:themeColor="text1"/>
        </w:rPr>
        <w:fldChar w:fldCharType="separate"/>
      </w:r>
      <w:r w:rsidRPr="00562FFC">
        <w:rPr>
          <w:noProof/>
          <w:color w:val="000000" w:themeColor="text1"/>
        </w:rPr>
        <w:t>3</w:t>
      </w:r>
      <w:r w:rsidRPr="00562FFC">
        <w:rPr>
          <w:color w:val="000000" w:themeColor="text1"/>
        </w:rPr>
        <w:fldChar w:fldCharType="end"/>
      </w:r>
      <w:bookmarkEnd w:id="20"/>
      <w:r w:rsidRPr="00562FFC">
        <w:rPr>
          <w:color w:val="000000" w:themeColor="text1"/>
        </w:rPr>
        <w:t xml:space="preserve"> Average hours worked per week for employed undergraduates by full-time / part-time status and survey round, 2020-2022</w:t>
      </w:r>
      <w:bookmarkEnd w:id="21"/>
      <w:bookmarkEnd w:id="22"/>
    </w:p>
    <w:tbl>
      <w:tblPr>
        <w:tblStyle w:val="SRC1"/>
        <w:tblW w:w="10348" w:type="dxa"/>
        <w:tblLook w:val="04A0" w:firstRow="1" w:lastRow="0" w:firstColumn="1" w:lastColumn="0" w:noHBand="0" w:noVBand="1"/>
      </w:tblPr>
      <w:tblGrid>
        <w:gridCol w:w="1417"/>
        <w:gridCol w:w="1097"/>
        <w:gridCol w:w="987"/>
        <w:gridCol w:w="808"/>
        <w:gridCol w:w="1097"/>
        <w:gridCol w:w="987"/>
        <w:gridCol w:w="936"/>
        <w:gridCol w:w="1097"/>
        <w:gridCol w:w="987"/>
        <w:gridCol w:w="935"/>
      </w:tblGrid>
      <w:tr w:rsidR="00D95AF3" w:rsidRPr="00CF3E3D" w14:paraId="06D995DE"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417" w:type="dxa"/>
            <w:noWrap/>
            <w:hideMark/>
          </w:tcPr>
          <w:p w14:paraId="24474CEB" w14:textId="473A37CE" w:rsidR="004E45CF" w:rsidRPr="00CF3E3D" w:rsidRDefault="0021639B" w:rsidP="007007AC">
            <w:pPr>
              <w:rPr>
                <w:rFonts w:eastAsia="Times New Roman"/>
                <w:b w:val="0"/>
                <w:bCs/>
                <w:sz w:val="18"/>
                <w:szCs w:val="18"/>
                <w:lang w:eastAsia="en-AU"/>
              </w:rPr>
            </w:pPr>
            <w:bookmarkStart w:id="23" w:name="Title3"/>
            <w:bookmarkEnd w:id="23"/>
            <w:r w:rsidRPr="0021639B">
              <w:rPr>
                <w:rStyle w:val="TabletextBOLD"/>
                <w:b/>
                <w:bCs w:val="0"/>
                <w:color w:val="1F698E" w:themeColor="accent1"/>
              </w:rPr>
              <w:t>Category</w:t>
            </w:r>
          </w:p>
        </w:tc>
        <w:tc>
          <w:tcPr>
            <w:tcW w:w="1097" w:type="dxa"/>
            <w:noWrap/>
            <w:hideMark/>
          </w:tcPr>
          <w:p w14:paraId="5E5EAC3C"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November 2019</w:t>
            </w:r>
          </w:p>
        </w:tc>
        <w:tc>
          <w:tcPr>
            <w:tcW w:w="987" w:type="dxa"/>
            <w:noWrap/>
            <w:hideMark/>
          </w:tcPr>
          <w:p w14:paraId="710263F8"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February 2020</w:t>
            </w:r>
          </w:p>
        </w:tc>
        <w:tc>
          <w:tcPr>
            <w:tcW w:w="808" w:type="dxa"/>
            <w:noWrap/>
            <w:hideMark/>
          </w:tcPr>
          <w:p w14:paraId="03C209B3"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May 2020</w:t>
            </w:r>
          </w:p>
        </w:tc>
        <w:tc>
          <w:tcPr>
            <w:tcW w:w="1097" w:type="dxa"/>
            <w:noWrap/>
            <w:hideMark/>
          </w:tcPr>
          <w:p w14:paraId="45FABB05"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November 2020</w:t>
            </w:r>
          </w:p>
        </w:tc>
        <w:tc>
          <w:tcPr>
            <w:tcW w:w="987" w:type="dxa"/>
            <w:noWrap/>
            <w:hideMark/>
          </w:tcPr>
          <w:p w14:paraId="3EE581FD"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February 2021</w:t>
            </w:r>
          </w:p>
        </w:tc>
        <w:tc>
          <w:tcPr>
            <w:tcW w:w="936" w:type="dxa"/>
            <w:noWrap/>
            <w:hideMark/>
          </w:tcPr>
          <w:p w14:paraId="05B89238"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May 2021</w:t>
            </w:r>
          </w:p>
        </w:tc>
        <w:tc>
          <w:tcPr>
            <w:tcW w:w="1097" w:type="dxa"/>
            <w:noWrap/>
            <w:hideMark/>
          </w:tcPr>
          <w:p w14:paraId="14CE1084"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November 2021</w:t>
            </w:r>
          </w:p>
        </w:tc>
        <w:tc>
          <w:tcPr>
            <w:tcW w:w="987" w:type="dxa"/>
            <w:noWrap/>
            <w:hideMark/>
          </w:tcPr>
          <w:p w14:paraId="405C44D6"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February 2022</w:t>
            </w:r>
          </w:p>
        </w:tc>
        <w:tc>
          <w:tcPr>
            <w:tcW w:w="935" w:type="dxa"/>
            <w:noWrap/>
            <w:hideMark/>
          </w:tcPr>
          <w:p w14:paraId="2EC99804" w14:textId="77777777" w:rsidR="004E45CF" w:rsidRPr="00D95AF3" w:rsidRDefault="004E45CF" w:rsidP="007007AC">
            <w:pPr>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D95AF3">
              <w:rPr>
                <w:rStyle w:val="TabletextBOLD"/>
                <w:b/>
                <w:bCs w:val="0"/>
                <w:color w:val="FFFFFF" w:themeColor="background1"/>
              </w:rPr>
              <w:t>May 2022</w:t>
            </w:r>
          </w:p>
        </w:tc>
      </w:tr>
      <w:tr w:rsidR="00D95AF3" w:rsidRPr="00CF3E3D" w14:paraId="6D7BFD1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7" w:type="dxa"/>
            <w:noWrap/>
            <w:hideMark/>
          </w:tcPr>
          <w:p w14:paraId="645712E7" w14:textId="77777777" w:rsidR="004E45CF" w:rsidRPr="00CF3E3D" w:rsidRDefault="004E45CF" w:rsidP="007007AC">
            <w:pPr>
              <w:rPr>
                <w:rStyle w:val="TabletextBOLD"/>
                <w:b w:val="0"/>
                <w:bCs w:val="0"/>
                <w:color w:val="auto"/>
              </w:rPr>
            </w:pPr>
            <w:r w:rsidRPr="004E223F">
              <w:rPr>
                <w:rStyle w:val="TabletextBOLD"/>
                <w:color w:val="auto"/>
              </w:rPr>
              <w:t>P</w:t>
            </w:r>
            <w:r>
              <w:rPr>
                <w:rStyle w:val="TabletextBOLD"/>
              </w:rPr>
              <w:t>art-time</w:t>
            </w:r>
          </w:p>
        </w:tc>
        <w:tc>
          <w:tcPr>
            <w:tcW w:w="1097" w:type="dxa"/>
            <w:noWrap/>
          </w:tcPr>
          <w:p w14:paraId="7B7D1D07"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19.6</w:t>
            </w:r>
          </w:p>
        </w:tc>
        <w:tc>
          <w:tcPr>
            <w:tcW w:w="987" w:type="dxa"/>
            <w:noWrap/>
          </w:tcPr>
          <w:p w14:paraId="09CF9214"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18.1</w:t>
            </w:r>
          </w:p>
        </w:tc>
        <w:tc>
          <w:tcPr>
            <w:tcW w:w="808" w:type="dxa"/>
            <w:noWrap/>
          </w:tcPr>
          <w:p w14:paraId="7B23B88B"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14.7</w:t>
            </w:r>
          </w:p>
        </w:tc>
        <w:tc>
          <w:tcPr>
            <w:tcW w:w="1097" w:type="dxa"/>
            <w:noWrap/>
          </w:tcPr>
          <w:p w14:paraId="246B9DF1"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19.9</w:t>
            </w:r>
          </w:p>
        </w:tc>
        <w:tc>
          <w:tcPr>
            <w:tcW w:w="987" w:type="dxa"/>
            <w:noWrap/>
          </w:tcPr>
          <w:p w14:paraId="4F96DA53"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19.6</w:t>
            </w:r>
          </w:p>
        </w:tc>
        <w:tc>
          <w:tcPr>
            <w:tcW w:w="936" w:type="dxa"/>
            <w:noWrap/>
          </w:tcPr>
          <w:p w14:paraId="69428FB2"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19.6</w:t>
            </w:r>
          </w:p>
        </w:tc>
        <w:tc>
          <w:tcPr>
            <w:tcW w:w="1097" w:type="dxa"/>
            <w:noWrap/>
          </w:tcPr>
          <w:p w14:paraId="398F8EEF"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20.3</w:t>
            </w:r>
          </w:p>
        </w:tc>
        <w:tc>
          <w:tcPr>
            <w:tcW w:w="987" w:type="dxa"/>
            <w:noWrap/>
          </w:tcPr>
          <w:p w14:paraId="536B368C"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21.1</w:t>
            </w:r>
          </w:p>
        </w:tc>
        <w:tc>
          <w:tcPr>
            <w:tcW w:w="935" w:type="dxa"/>
            <w:noWrap/>
          </w:tcPr>
          <w:p w14:paraId="53187CE3" w14:textId="77777777" w:rsidR="004E45CF" w:rsidRPr="00DB7A75"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B7A75">
              <w:rPr>
                <w:rStyle w:val="TabletextBOLD"/>
                <w:b w:val="0"/>
                <w:bCs w:val="0"/>
                <w:color w:val="auto"/>
              </w:rPr>
              <w:t>20.0</w:t>
            </w:r>
          </w:p>
        </w:tc>
      </w:tr>
      <w:tr w:rsidR="004E45CF" w:rsidRPr="00CF3E3D" w14:paraId="7577E1B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8AA038C" w14:textId="77777777" w:rsidR="004E45CF" w:rsidRPr="00CF3E3D" w:rsidRDefault="004E45CF" w:rsidP="007007AC">
            <w:pPr>
              <w:rPr>
                <w:rStyle w:val="TabletextBOLD"/>
                <w:b w:val="0"/>
                <w:bCs w:val="0"/>
                <w:color w:val="auto"/>
              </w:rPr>
            </w:pPr>
            <w:r w:rsidRPr="004E223F">
              <w:rPr>
                <w:rStyle w:val="TabletextBOLD"/>
                <w:color w:val="auto"/>
              </w:rPr>
              <w:t>F</w:t>
            </w:r>
            <w:r>
              <w:rPr>
                <w:rStyle w:val="TabletextBOLD"/>
              </w:rPr>
              <w:t>ull-time</w:t>
            </w:r>
          </w:p>
        </w:tc>
        <w:tc>
          <w:tcPr>
            <w:tcW w:w="1097" w:type="dxa"/>
            <w:noWrap/>
          </w:tcPr>
          <w:p w14:paraId="3D56ECBF"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41.2</w:t>
            </w:r>
          </w:p>
        </w:tc>
        <w:tc>
          <w:tcPr>
            <w:tcW w:w="987" w:type="dxa"/>
            <w:noWrap/>
          </w:tcPr>
          <w:p w14:paraId="4AC541E3"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41.1</w:t>
            </w:r>
          </w:p>
        </w:tc>
        <w:tc>
          <w:tcPr>
            <w:tcW w:w="808" w:type="dxa"/>
            <w:noWrap/>
          </w:tcPr>
          <w:p w14:paraId="0C7D8DE4"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38.5</w:t>
            </w:r>
          </w:p>
        </w:tc>
        <w:tc>
          <w:tcPr>
            <w:tcW w:w="1097" w:type="dxa"/>
            <w:noWrap/>
          </w:tcPr>
          <w:p w14:paraId="47B910EF"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41.1</w:t>
            </w:r>
          </w:p>
        </w:tc>
        <w:tc>
          <w:tcPr>
            <w:tcW w:w="987" w:type="dxa"/>
            <w:noWrap/>
          </w:tcPr>
          <w:p w14:paraId="21CB8801"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40.3</w:t>
            </w:r>
          </w:p>
        </w:tc>
        <w:tc>
          <w:tcPr>
            <w:tcW w:w="936" w:type="dxa"/>
            <w:noWrap/>
          </w:tcPr>
          <w:p w14:paraId="182D466A"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41.4</w:t>
            </w:r>
          </w:p>
        </w:tc>
        <w:tc>
          <w:tcPr>
            <w:tcW w:w="1097" w:type="dxa"/>
            <w:noWrap/>
          </w:tcPr>
          <w:p w14:paraId="1BF2FEE4"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41.0</w:t>
            </w:r>
          </w:p>
        </w:tc>
        <w:tc>
          <w:tcPr>
            <w:tcW w:w="987" w:type="dxa"/>
            <w:noWrap/>
          </w:tcPr>
          <w:p w14:paraId="54293503"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41.1</w:t>
            </w:r>
          </w:p>
        </w:tc>
        <w:tc>
          <w:tcPr>
            <w:tcW w:w="935" w:type="dxa"/>
            <w:noWrap/>
          </w:tcPr>
          <w:p w14:paraId="4BE3992B" w14:textId="77777777" w:rsidR="004E45CF" w:rsidRPr="00D95AF3" w:rsidRDefault="004E45CF" w:rsidP="007007AC">
            <w:pPr>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D95AF3">
              <w:rPr>
                <w:rStyle w:val="TabletextBOLD"/>
                <w:b w:val="0"/>
                <w:bCs w:val="0"/>
                <w:color w:val="auto"/>
              </w:rPr>
              <w:t>40.6</w:t>
            </w:r>
          </w:p>
        </w:tc>
      </w:tr>
      <w:tr w:rsidR="00D95AF3" w:rsidRPr="00CF3E3D" w14:paraId="4CAEF0A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7" w:type="dxa"/>
            <w:noWrap/>
          </w:tcPr>
          <w:p w14:paraId="131BBE58" w14:textId="77777777" w:rsidR="004E45CF" w:rsidRDefault="004E45CF" w:rsidP="007007AC">
            <w:pPr>
              <w:rPr>
                <w:rStyle w:val="TabletextBOLD"/>
                <w:b w:val="0"/>
                <w:bCs w:val="0"/>
                <w:color w:val="auto"/>
              </w:rPr>
            </w:pPr>
            <w:r w:rsidRPr="004E223F">
              <w:rPr>
                <w:rStyle w:val="TabletextBOLD"/>
                <w:color w:val="auto"/>
              </w:rPr>
              <w:t>T</w:t>
            </w:r>
            <w:r>
              <w:rPr>
                <w:rStyle w:val="TabletextBOLD"/>
              </w:rPr>
              <w:t>otal</w:t>
            </w:r>
          </w:p>
        </w:tc>
        <w:tc>
          <w:tcPr>
            <w:tcW w:w="1097" w:type="dxa"/>
            <w:noWrap/>
          </w:tcPr>
          <w:p w14:paraId="2A61EFBD"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33.1</w:t>
            </w:r>
          </w:p>
        </w:tc>
        <w:tc>
          <w:tcPr>
            <w:tcW w:w="987" w:type="dxa"/>
            <w:noWrap/>
          </w:tcPr>
          <w:p w14:paraId="0A37013A"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32.8</w:t>
            </w:r>
          </w:p>
        </w:tc>
        <w:tc>
          <w:tcPr>
            <w:tcW w:w="808" w:type="dxa"/>
            <w:noWrap/>
          </w:tcPr>
          <w:p w14:paraId="7B36C032"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28.4</w:t>
            </w:r>
          </w:p>
        </w:tc>
        <w:tc>
          <w:tcPr>
            <w:tcW w:w="1097" w:type="dxa"/>
            <w:noWrap/>
          </w:tcPr>
          <w:p w14:paraId="7E782BDB"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32.4</w:t>
            </w:r>
          </w:p>
        </w:tc>
        <w:tc>
          <w:tcPr>
            <w:tcW w:w="987" w:type="dxa"/>
            <w:noWrap/>
          </w:tcPr>
          <w:p w14:paraId="63376DC3"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32.7</w:t>
            </w:r>
          </w:p>
        </w:tc>
        <w:tc>
          <w:tcPr>
            <w:tcW w:w="936" w:type="dxa"/>
            <w:noWrap/>
          </w:tcPr>
          <w:p w14:paraId="607ABFC2"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32.9</w:t>
            </w:r>
          </w:p>
        </w:tc>
        <w:tc>
          <w:tcPr>
            <w:tcW w:w="1097" w:type="dxa"/>
            <w:noWrap/>
          </w:tcPr>
          <w:p w14:paraId="601B6139"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34.1</w:t>
            </w:r>
          </w:p>
        </w:tc>
        <w:tc>
          <w:tcPr>
            <w:tcW w:w="987" w:type="dxa"/>
            <w:noWrap/>
          </w:tcPr>
          <w:p w14:paraId="156DA931"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34.5</w:t>
            </w:r>
          </w:p>
        </w:tc>
        <w:tc>
          <w:tcPr>
            <w:tcW w:w="935" w:type="dxa"/>
            <w:noWrap/>
          </w:tcPr>
          <w:p w14:paraId="2B007C57" w14:textId="77777777" w:rsidR="004E45CF" w:rsidRPr="00D95AF3" w:rsidRDefault="004E45CF" w:rsidP="007007AC">
            <w:pPr>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D95AF3">
              <w:rPr>
                <w:rStyle w:val="TabletextBOLD"/>
                <w:b w:val="0"/>
                <w:bCs w:val="0"/>
                <w:color w:val="auto"/>
              </w:rPr>
              <w:t>33.5</w:t>
            </w:r>
          </w:p>
        </w:tc>
      </w:tr>
    </w:tbl>
    <w:p w14:paraId="6E52B804" w14:textId="77777777" w:rsidR="004E45CF" w:rsidRPr="00562FFC" w:rsidRDefault="004E45CF" w:rsidP="002809DC">
      <w:pPr>
        <w:pStyle w:val="Heading3"/>
        <w:numPr>
          <w:ilvl w:val="0"/>
          <w:numId w:val="0"/>
        </w:numPr>
        <w:ind w:left="851" w:hanging="851"/>
        <w:rPr>
          <w:color w:val="000000" w:themeColor="text1"/>
        </w:rPr>
      </w:pPr>
      <w:bookmarkStart w:id="24" w:name="_Toc116035539"/>
      <w:bookmarkStart w:id="25" w:name="_Toc116039894"/>
      <w:bookmarkEnd w:id="15"/>
      <w:r w:rsidRPr="00562FFC">
        <w:rPr>
          <w:color w:val="000000" w:themeColor="text1"/>
        </w:rPr>
        <w:t xml:space="preserve">2.2 </w:t>
      </w:r>
      <w:r w:rsidRPr="00562FFC">
        <w:rPr>
          <w:color w:val="000000" w:themeColor="text1"/>
        </w:rPr>
        <w:tab/>
        <w:t>Study level</w:t>
      </w:r>
      <w:bookmarkEnd w:id="24"/>
      <w:bookmarkEnd w:id="25"/>
    </w:p>
    <w:p w14:paraId="766A55A1" w14:textId="77777777" w:rsidR="004E45CF" w:rsidRPr="00CF3E3D" w:rsidRDefault="004E45CF" w:rsidP="004E45CF">
      <w:pPr>
        <w:pStyle w:val="Body"/>
      </w:pPr>
      <w:bookmarkStart w:id="26" w:name="_Toc22200702"/>
      <w:bookmarkEnd w:id="14"/>
      <w:r w:rsidRPr="00CF3E3D">
        <w:t xml:space="preserve">Employment rates improved markedly across all study levels between 2021 and 2022. The undergraduate full-time employment rate increased 9.6 percentage points from 68.9 per cent in 2021 to 78.5 per cent in 2022. For postgraduate coursework graduates, full-time employment rose from 84.9 per cent in 2021 to 89.4 per cent in 2022, an increase of 4.5 percentage points. The full-time employment rate among postgraduate research graduates also increased from 77.7 per cent in 2021 to 84.7 per cent in 2022, a rise of 7.0 percentage points. A similar recovery was seen for overall employment. As seen in </w:t>
      </w:r>
      <w:r w:rsidRPr="00CF3E3D">
        <w:fldChar w:fldCharType="begin"/>
      </w:r>
      <w:r w:rsidRPr="00CF3E3D">
        <w:instrText xml:space="preserve"> REF _Ref77864100 \h  \* MERGEFORMAT </w:instrText>
      </w:r>
      <w:r w:rsidRPr="00CF3E3D">
        <w:fldChar w:fldCharType="separate"/>
      </w:r>
      <w:r w:rsidRPr="00CF3E3D">
        <w:t xml:space="preserve">Table </w:t>
      </w:r>
      <w:r>
        <w:rPr>
          <w:noProof/>
        </w:rPr>
        <w:t>4</w:t>
      </w:r>
      <w:r w:rsidRPr="00CF3E3D">
        <w:fldChar w:fldCharType="end"/>
      </w:r>
      <w:r w:rsidRPr="00CF3E3D">
        <w:t xml:space="preserve">, the largest increase in overall employment rates was among postgraduate research graduates, with a rise of 3.8 percentage points along with rises of 3.5 percentage points among undergraduates and 2.5 percentage points among postgraduate coursework graduates. Labour force participation rates continued to increase among undergraduates from 92.0 per cent in 2021 to 92.4 per cent in 2022, and postgraduate coursework graduates from 95.4 per cent to 95.6 per cent. There was no change in the labour force participation rate among postgraduate research graduates which remained at 94.8 per cent. </w:t>
      </w:r>
    </w:p>
    <w:p w14:paraId="6863FC25" w14:textId="77777777" w:rsidR="004E45CF" w:rsidRPr="00CF3E3D" w:rsidRDefault="004E45CF" w:rsidP="004E45CF">
      <w:pPr>
        <w:pStyle w:val="Body"/>
        <w:rPr>
          <w:highlight w:val="yellow"/>
        </w:rPr>
      </w:pPr>
      <w:r w:rsidRPr="00CF3E3D">
        <w:t xml:space="preserve">Reporting of graduate salaries in the 2022 GOS includes graduates who were employed full-time and asks graduates to report what they “usually” earn in all their jobs. The median undergraduate salary level increased from $65,000 in 2021 to $68,000 in 2022, an increase of $3,000 or 4.6 per cent. </w:t>
      </w:r>
    </w:p>
    <w:p w14:paraId="5ECCFE9E" w14:textId="77777777" w:rsidR="004E45CF" w:rsidRPr="00CF3E3D" w:rsidRDefault="004E45CF" w:rsidP="004E45CF">
      <w:pPr>
        <w:pStyle w:val="Body"/>
      </w:pPr>
      <w:r w:rsidRPr="00CF3E3D">
        <w:t xml:space="preserve">Higher level qualifications generally lead to improved salary outcomes in addition to improved employment outcomes. The median salary of undergraduates employed full-time in 2022 was $68,000 per year, while for postgraduate coursework graduates it was $91,600, and for postgraduate research graduates it was $96,000, as shown in </w:t>
      </w:r>
      <w:r w:rsidRPr="00CF3E3D">
        <w:fldChar w:fldCharType="begin"/>
      </w:r>
      <w:r w:rsidRPr="00CF3E3D">
        <w:instrText xml:space="preserve"> REF _Ref77864100 \h  \* MERGEFORMAT </w:instrText>
      </w:r>
      <w:r w:rsidRPr="00CF3E3D">
        <w:fldChar w:fldCharType="separate"/>
      </w:r>
      <w:r w:rsidRPr="00CF3E3D">
        <w:t xml:space="preserve">Table </w:t>
      </w:r>
      <w:r>
        <w:rPr>
          <w:noProof/>
        </w:rPr>
        <w:t>4</w:t>
      </w:r>
      <w:r w:rsidRPr="00CF3E3D">
        <w:fldChar w:fldCharType="end"/>
      </w:r>
      <w:r w:rsidRPr="00CF3E3D">
        <w:t xml:space="preserve">. This equates to an increase of 4.6 per cent between 2021 and 2022 for undergraduates, with more moderate increases of 2.1 per cent and 1.1 per cent at postgraduate coursework and postgraduate research levels respectively. Self-reported salary data should be interpreted with some caution and other explanatory factors, such as time in employment and previous employment experience, are likely to vary between study levels. </w:t>
      </w:r>
    </w:p>
    <w:p w14:paraId="7950D1CE" w14:textId="77777777" w:rsidR="004E45CF" w:rsidRPr="00CF3E3D" w:rsidRDefault="004E45CF" w:rsidP="004E45CF">
      <w:pPr>
        <w:pStyle w:val="Body"/>
      </w:pPr>
      <w:r w:rsidRPr="00CF3E3D">
        <w:t xml:space="preserve">A lower proportion of undergraduates proceeded to further study following completion of their degree in 2022, with 18.6 per cent in full-time study in 2022 compared to 21.1 per cent in 2021. This result is expected as typically fewer students proceed to further study and more enter employment when the labour market improves. There was only a small decrease of 0.1 percentage points in the proportion of postgraduate coursework graduates who proceeded to further study, from 7.6 per cent in 2021 to 7.5 per cent in 2022. It will be of interest to monitor whether this relatively high level of further full-time study among postgraduate coursework graduates is maintained going forward. </w:t>
      </w:r>
    </w:p>
    <w:p w14:paraId="2C8DC6F2" w14:textId="65D839B9" w:rsidR="004E45CF" w:rsidRPr="00F8226E" w:rsidRDefault="004E45CF" w:rsidP="004E45CF">
      <w:pPr>
        <w:pStyle w:val="Caption"/>
        <w:rPr>
          <w:rStyle w:val="Body02BOLD"/>
          <w:b/>
          <w:color w:val="000000" w:themeColor="text1"/>
        </w:rPr>
      </w:pPr>
      <w:bookmarkStart w:id="27" w:name="_Ref77864100"/>
      <w:bookmarkStart w:id="28" w:name="_Toc116035798"/>
      <w:bookmarkStart w:id="29" w:name="_Toc116040353"/>
      <w:r w:rsidRPr="00F8226E">
        <w:rPr>
          <w:color w:val="000000" w:themeColor="text1"/>
        </w:rPr>
        <w:lastRenderedPageBreak/>
        <w:t xml:space="preserve">Table </w:t>
      </w:r>
      <w:r w:rsidRPr="00F8226E">
        <w:rPr>
          <w:color w:val="000000" w:themeColor="text1"/>
        </w:rPr>
        <w:fldChar w:fldCharType="begin"/>
      </w:r>
      <w:r w:rsidRPr="00F8226E">
        <w:rPr>
          <w:color w:val="000000" w:themeColor="text1"/>
        </w:rPr>
        <w:instrText xml:space="preserve"> SEQ Table \* ARABIC </w:instrText>
      </w:r>
      <w:r w:rsidRPr="00F8226E">
        <w:rPr>
          <w:color w:val="000000" w:themeColor="text1"/>
        </w:rPr>
        <w:fldChar w:fldCharType="separate"/>
      </w:r>
      <w:r w:rsidR="002809DC" w:rsidRPr="00F8226E">
        <w:rPr>
          <w:noProof/>
          <w:color w:val="000000" w:themeColor="text1"/>
        </w:rPr>
        <w:t>4</w:t>
      </w:r>
      <w:r w:rsidRPr="00F8226E">
        <w:rPr>
          <w:color w:val="000000" w:themeColor="text1"/>
        </w:rPr>
        <w:fldChar w:fldCharType="end"/>
      </w:r>
      <w:bookmarkEnd w:id="27"/>
      <w:r w:rsidRPr="00F8226E">
        <w:rPr>
          <w:color w:val="000000" w:themeColor="text1"/>
        </w:rPr>
        <w:t xml:space="preserve"> Graduate employment and study outcomes by study level, 2020-20</w:t>
      </w:r>
      <w:bookmarkEnd w:id="26"/>
      <w:r w:rsidRPr="00F8226E">
        <w:rPr>
          <w:color w:val="000000" w:themeColor="text1"/>
        </w:rPr>
        <w:t>22</w:t>
      </w:r>
      <w:bookmarkEnd w:id="28"/>
      <w:bookmarkEnd w:id="29"/>
    </w:p>
    <w:tbl>
      <w:tblPr>
        <w:tblStyle w:val="SRC1"/>
        <w:tblW w:w="5680" w:type="pct"/>
        <w:tblLayout w:type="fixed"/>
        <w:tblCellMar>
          <w:left w:w="0" w:type="dxa"/>
          <w:right w:w="0" w:type="dxa"/>
        </w:tblCellMar>
        <w:tblLook w:val="0020" w:firstRow="1" w:lastRow="0" w:firstColumn="0" w:lastColumn="0" w:noHBand="0" w:noVBand="0"/>
      </w:tblPr>
      <w:tblGrid>
        <w:gridCol w:w="1559"/>
        <w:gridCol w:w="1560"/>
        <w:gridCol w:w="991"/>
        <w:gridCol w:w="1276"/>
        <w:gridCol w:w="1105"/>
        <w:gridCol w:w="762"/>
        <w:gridCol w:w="765"/>
        <w:gridCol w:w="765"/>
        <w:gridCol w:w="765"/>
        <w:gridCol w:w="756"/>
      </w:tblGrid>
      <w:tr w:rsidR="00B57727" w:rsidRPr="00CF3E3D" w14:paraId="44F964F0" w14:textId="77777777" w:rsidTr="002E40BA">
        <w:trPr>
          <w:cnfStyle w:val="100000000000" w:firstRow="1" w:lastRow="0"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757" w:type="pct"/>
          </w:tcPr>
          <w:p w14:paraId="0D63B36B" w14:textId="3FF04389" w:rsidR="00B57727" w:rsidRPr="0021639B" w:rsidRDefault="0021639B" w:rsidP="0021639B">
            <w:pPr>
              <w:rPr>
                <w:rStyle w:val="TabletextBOLD"/>
                <w:b/>
                <w:bCs w:val="0"/>
                <w:color w:val="auto"/>
              </w:rPr>
            </w:pPr>
            <w:bookmarkStart w:id="30" w:name="Title4"/>
            <w:bookmarkEnd w:id="30"/>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757" w:type="pct"/>
          </w:tcPr>
          <w:p w14:paraId="44E6CD16" w14:textId="47E9A6F2"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Undergraduate 2020</w:t>
            </w:r>
          </w:p>
        </w:tc>
        <w:tc>
          <w:tcPr>
            <w:cnfStyle w:val="000010000000" w:firstRow="0" w:lastRow="0" w:firstColumn="0" w:lastColumn="0" w:oddVBand="1" w:evenVBand="0" w:oddHBand="0" w:evenHBand="0" w:firstRowFirstColumn="0" w:firstRowLastColumn="0" w:lastRowFirstColumn="0" w:lastRowLastColumn="0"/>
            <w:tcW w:w="481" w:type="pct"/>
          </w:tcPr>
          <w:p w14:paraId="6556AE31" w14:textId="69B66C93"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Undergraduate 2021</w:t>
            </w:r>
          </w:p>
        </w:tc>
        <w:tc>
          <w:tcPr>
            <w:cnfStyle w:val="000001000000" w:firstRow="0" w:lastRow="0" w:firstColumn="0" w:lastColumn="0" w:oddVBand="0" w:evenVBand="1" w:oddHBand="0" w:evenHBand="0" w:firstRowFirstColumn="0" w:firstRowLastColumn="0" w:lastRowFirstColumn="0" w:lastRowLastColumn="0"/>
            <w:tcW w:w="619" w:type="pct"/>
          </w:tcPr>
          <w:p w14:paraId="4965688A" w14:textId="16703B5E"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Undergraduate 2022</w:t>
            </w:r>
          </w:p>
        </w:tc>
        <w:tc>
          <w:tcPr>
            <w:cnfStyle w:val="000010000000" w:firstRow="0" w:lastRow="0" w:firstColumn="0" w:lastColumn="0" w:oddVBand="1" w:evenVBand="0" w:oddHBand="0" w:evenHBand="0" w:firstRowFirstColumn="0" w:firstRowLastColumn="0" w:lastRowFirstColumn="0" w:lastRowLastColumn="0"/>
            <w:tcW w:w="536" w:type="pct"/>
          </w:tcPr>
          <w:p w14:paraId="52684EB2" w14:textId="6AA23134"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Postgraduate coursework 2020</w:t>
            </w:r>
          </w:p>
        </w:tc>
        <w:tc>
          <w:tcPr>
            <w:cnfStyle w:val="000001000000" w:firstRow="0" w:lastRow="0" w:firstColumn="0" w:lastColumn="0" w:oddVBand="0" w:evenVBand="1" w:oddHBand="0" w:evenHBand="0" w:firstRowFirstColumn="0" w:firstRowLastColumn="0" w:lastRowFirstColumn="0" w:lastRowLastColumn="0"/>
            <w:tcW w:w="370" w:type="pct"/>
          </w:tcPr>
          <w:p w14:paraId="069FF755" w14:textId="6B469099"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Postgraduate coursework 2021</w:t>
            </w:r>
          </w:p>
        </w:tc>
        <w:tc>
          <w:tcPr>
            <w:cnfStyle w:val="000010000000" w:firstRow="0" w:lastRow="0" w:firstColumn="0" w:lastColumn="0" w:oddVBand="1" w:evenVBand="0" w:oddHBand="0" w:evenHBand="0" w:firstRowFirstColumn="0" w:firstRowLastColumn="0" w:lastRowFirstColumn="0" w:lastRowLastColumn="0"/>
            <w:tcW w:w="371" w:type="pct"/>
          </w:tcPr>
          <w:p w14:paraId="41E0243D" w14:textId="0D262F54"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Postgraduate coursework 2022</w:t>
            </w:r>
          </w:p>
        </w:tc>
        <w:tc>
          <w:tcPr>
            <w:cnfStyle w:val="000001000000" w:firstRow="0" w:lastRow="0" w:firstColumn="0" w:lastColumn="0" w:oddVBand="0" w:evenVBand="1" w:oddHBand="0" w:evenHBand="0" w:firstRowFirstColumn="0" w:firstRowLastColumn="0" w:lastRowFirstColumn="0" w:lastRowLastColumn="0"/>
            <w:tcW w:w="371" w:type="pct"/>
          </w:tcPr>
          <w:p w14:paraId="4EDB0004" w14:textId="0CF252CE"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Postgraduate research 2020</w:t>
            </w:r>
          </w:p>
        </w:tc>
        <w:tc>
          <w:tcPr>
            <w:cnfStyle w:val="000010000000" w:firstRow="0" w:lastRow="0" w:firstColumn="0" w:lastColumn="0" w:oddVBand="1" w:evenVBand="0" w:oddHBand="0" w:evenHBand="0" w:firstRowFirstColumn="0" w:firstRowLastColumn="0" w:lastRowFirstColumn="0" w:lastRowLastColumn="0"/>
            <w:tcW w:w="371" w:type="pct"/>
          </w:tcPr>
          <w:p w14:paraId="429C7AB6" w14:textId="475F5F89"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Postgraduate research 2021</w:t>
            </w:r>
          </w:p>
        </w:tc>
        <w:tc>
          <w:tcPr>
            <w:cnfStyle w:val="000001000000" w:firstRow="0" w:lastRow="0" w:firstColumn="0" w:lastColumn="0" w:oddVBand="0" w:evenVBand="1" w:oddHBand="0" w:evenHBand="0" w:firstRowFirstColumn="0" w:firstRowLastColumn="0" w:lastRowFirstColumn="0" w:lastRowLastColumn="0"/>
            <w:tcW w:w="367" w:type="pct"/>
          </w:tcPr>
          <w:p w14:paraId="081C691E" w14:textId="30E0D52D" w:rsidR="00B57727" w:rsidRPr="002809DC" w:rsidRDefault="00B57727" w:rsidP="00B57727">
            <w:pPr>
              <w:pStyle w:val="TablecolumnheadTABLES"/>
              <w:jc w:val="center"/>
              <w:rPr>
                <w:rStyle w:val="TabletextBOLD"/>
                <w:b/>
                <w:bCs/>
                <w:color w:val="auto"/>
              </w:rPr>
            </w:pPr>
            <w:r w:rsidRPr="002809DC">
              <w:rPr>
                <w:rStyle w:val="TabletextBOLD"/>
                <w:b/>
                <w:bCs/>
                <w:color w:val="FFFFFF" w:themeColor="background1"/>
              </w:rPr>
              <w:t>Postgraduate research 2022</w:t>
            </w:r>
          </w:p>
        </w:tc>
      </w:tr>
      <w:tr w:rsidR="00B57727" w:rsidRPr="00CF3E3D" w14:paraId="3C1ADBD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757" w:type="pct"/>
          </w:tcPr>
          <w:p w14:paraId="4BBC4DDF" w14:textId="77777777" w:rsidR="004E45CF" w:rsidRPr="00CF3E3D" w:rsidRDefault="004E45CF" w:rsidP="007007AC">
            <w:pPr>
              <w:rPr>
                <w:rStyle w:val="TabletextBOLD"/>
                <w:color w:val="auto"/>
              </w:rPr>
            </w:pPr>
            <w:bookmarkStart w:id="31" w:name="_Hlk77866490"/>
            <w:r w:rsidRPr="00CF3E3D">
              <w:rPr>
                <w:rStyle w:val="TabletextBOLD"/>
                <w:color w:val="auto"/>
              </w:rPr>
              <w:t>Full-time employment (%)</w:t>
            </w:r>
          </w:p>
        </w:tc>
        <w:tc>
          <w:tcPr>
            <w:cnfStyle w:val="000001000000" w:firstRow="0" w:lastRow="0" w:firstColumn="0" w:lastColumn="0" w:oddVBand="0" w:evenVBand="1" w:oddHBand="0" w:evenHBand="0" w:firstRowFirstColumn="0" w:firstRowLastColumn="0" w:lastRowFirstColumn="0" w:lastRowLastColumn="0"/>
            <w:tcW w:w="757" w:type="pct"/>
          </w:tcPr>
          <w:p w14:paraId="120445F2"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68.7</w:t>
            </w:r>
          </w:p>
        </w:tc>
        <w:tc>
          <w:tcPr>
            <w:cnfStyle w:val="000010000000" w:firstRow="0" w:lastRow="0" w:firstColumn="0" w:lastColumn="0" w:oddVBand="1" w:evenVBand="0" w:oddHBand="0" w:evenHBand="0" w:firstRowFirstColumn="0" w:firstRowLastColumn="0" w:lastRowFirstColumn="0" w:lastRowLastColumn="0"/>
            <w:tcW w:w="481" w:type="pct"/>
          </w:tcPr>
          <w:p w14:paraId="48FC17E6"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68.9</w:t>
            </w:r>
          </w:p>
        </w:tc>
        <w:tc>
          <w:tcPr>
            <w:cnfStyle w:val="000001000000" w:firstRow="0" w:lastRow="0" w:firstColumn="0" w:lastColumn="0" w:oddVBand="0" w:evenVBand="1" w:oddHBand="0" w:evenHBand="0" w:firstRowFirstColumn="0" w:firstRowLastColumn="0" w:lastRowFirstColumn="0" w:lastRowLastColumn="0"/>
            <w:tcW w:w="619" w:type="pct"/>
          </w:tcPr>
          <w:p w14:paraId="0A2DBB3C"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78.5</w:t>
            </w:r>
          </w:p>
        </w:tc>
        <w:tc>
          <w:tcPr>
            <w:cnfStyle w:val="000010000000" w:firstRow="0" w:lastRow="0" w:firstColumn="0" w:lastColumn="0" w:oddVBand="1" w:evenVBand="0" w:oddHBand="0" w:evenHBand="0" w:firstRowFirstColumn="0" w:firstRowLastColumn="0" w:lastRowFirstColumn="0" w:lastRowLastColumn="0"/>
            <w:tcW w:w="536" w:type="pct"/>
          </w:tcPr>
          <w:p w14:paraId="177496C2"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85.6</w:t>
            </w:r>
          </w:p>
        </w:tc>
        <w:tc>
          <w:tcPr>
            <w:cnfStyle w:val="000001000000" w:firstRow="0" w:lastRow="0" w:firstColumn="0" w:lastColumn="0" w:oddVBand="0" w:evenVBand="1" w:oddHBand="0" w:evenHBand="0" w:firstRowFirstColumn="0" w:firstRowLastColumn="0" w:lastRowFirstColumn="0" w:lastRowLastColumn="0"/>
            <w:tcW w:w="370" w:type="pct"/>
          </w:tcPr>
          <w:p w14:paraId="6EC85F86"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84.9</w:t>
            </w:r>
          </w:p>
        </w:tc>
        <w:tc>
          <w:tcPr>
            <w:cnfStyle w:val="000010000000" w:firstRow="0" w:lastRow="0" w:firstColumn="0" w:lastColumn="0" w:oddVBand="1" w:evenVBand="0" w:oddHBand="0" w:evenHBand="0" w:firstRowFirstColumn="0" w:firstRowLastColumn="0" w:lastRowFirstColumn="0" w:lastRowLastColumn="0"/>
            <w:tcW w:w="371" w:type="pct"/>
          </w:tcPr>
          <w:p w14:paraId="180589B9"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89.4</w:t>
            </w:r>
          </w:p>
        </w:tc>
        <w:tc>
          <w:tcPr>
            <w:cnfStyle w:val="000001000000" w:firstRow="0" w:lastRow="0" w:firstColumn="0" w:lastColumn="0" w:oddVBand="0" w:evenVBand="1" w:oddHBand="0" w:evenHBand="0" w:firstRowFirstColumn="0" w:firstRowLastColumn="0" w:lastRowFirstColumn="0" w:lastRowLastColumn="0"/>
            <w:tcW w:w="371" w:type="pct"/>
          </w:tcPr>
          <w:p w14:paraId="2781435E"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80.1</w:t>
            </w:r>
          </w:p>
        </w:tc>
        <w:tc>
          <w:tcPr>
            <w:cnfStyle w:val="000010000000" w:firstRow="0" w:lastRow="0" w:firstColumn="0" w:lastColumn="0" w:oddVBand="1" w:evenVBand="0" w:oddHBand="0" w:evenHBand="0" w:firstRowFirstColumn="0" w:firstRowLastColumn="0" w:lastRowFirstColumn="0" w:lastRowLastColumn="0"/>
            <w:tcW w:w="371" w:type="pct"/>
          </w:tcPr>
          <w:p w14:paraId="250239BA"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77.7</w:t>
            </w:r>
          </w:p>
        </w:tc>
        <w:tc>
          <w:tcPr>
            <w:cnfStyle w:val="000001000000" w:firstRow="0" w:lastRow="0" w:firstColumn="0" w:lastColumn="0" w:oddVBand="0" w:evenVBand="1" w:oddHBand="0" w:evenHBand="0" w:firstRowFirstColumn="0" w:firstRowLastColumn="0" w:lastRowFirstColumn="0" w:lastRowLastColumn="0"/>
            <w:tcW w:w="367" w:type="pct"/>
          </w:tcPr>
          <w:p w14:paraId="616D6079"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84.7</w:t>
            </w:r>
          </w:p>
        </w:tc>
      </w:tr>
      <w:tr w:rsidR="00B57727" w:rsidRPr="00CF3E3D" w14:paraId="05EC2C8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757" w:type="pct"/>
          </w:tcPr>
          <w:p w14:paraId="6D71D2A6" w14:textId="77777777" w:rsidR="004E45CF" w:rsidRPr="00CF3E3D" w:rsidRDefault="004E45CF" w:rsidP="007007AC">
            <w:pPr>
              <w:rPr>
                <w:rStyle w:val="TabletextBOLD"/>
                <w:color w:val="auto"/>
              </w:rPr>
            </w:pPr>
            <w:r w:rsidRPr="00CF3E3D">
              <w:rPr>
                <w:rStyle w:val="TabletextBOLD"/>
                <w:color w:val="auto"/>
              </w:rPr>
              <w:t>Overall employed (%)</w:t>
            </w:r>
          </w:p>
        </w:tc>
        <w:tc>
          <w:tcPr>
            <w:cnfStyle w:val="000001000000" w:firstRow="0" w:lastRow="0" w:firstColumn="0" w:lastColumn="0" w:oddVBand="0" w:evenVBand="1" w:oddHBand="0" w:evenHBand="0" w:firstRowFirstColumn="0" w:firstRowLastColumn="0" w:lastRowFirstColumn="0" w:lastRowLastColumn="0"/>
            <w:tcW w:w="757" w:type="pct"/>
          </w:tcPr>
          <w:p w14:paraId="42AB25F0"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85.1</w:t>
            </w:r>
          </w:p>
        </w:tc>
        <w:tc>
          <w:tcPr>
            <w:cnfStyle w:val="000010000000" w:firstRow="0" w:lastRow="0" w:firstColumn="0" w:lastColumn="0" w:oddVBand="1" w:evenVBand="0" w:oddHBand="0" w:evenHBand="0" w:firstRowFirstColumn="0" w:firstRowLastColumn="0" w:lastRowFirstColumn="0" w:lastRowLastColumn="0"/>
            <w:tcW w:w="481" w:type="pct"/>
          </w:tcPr>
          <w:p w14:paraId="3ADB36F0"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84.8</w:t>
            </w:r>
          </w:p>
        </w:tc>
        <w:tc>
          <w:tcPr>
            <w:cnfStyle w:val="000001000000" w:firstRow="0" w:lastRow="0" w:firstColumn="0" w:lastColumn="0" w:oddVBand="0" w:evenVBand="1" w:oddHBand="0" w:evenHBand="0" w:firstRowFirstColumn="0" w:firstRowLastColumn="0" w:lastRowFirstColumn="0" w:lastRowLastColumn="0"/>
            <w:tcW w:w="619" w:type="pct"/>
          </w:tcPr>
          <w:p w14:paraId="06D76B5C"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88.3</w:t>
            </w:r>
          </w:p>
        </w:tc>
        <w:tc>
          <w:tcPr>
            <w:cnfStyle w:val="000010000000" w:firstRow="0" w:lastRow="0" w:firstColumn="0" w:lastColumn="0" w:oddVBand="1" w:evenVBand="0" w:oddHBand="0" w:evenHBand="0" w:firstRowFirstColumn="0" w:firstRowLastColumn="0" w:lastRowFirstColumn="0" w:lastRowLastColumn="0"/>
            <w:tcW w:w="536" w:type="pct"/>
          </w:tcPr>
          <w:p w14:paraId="113E578E"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91.6</w:t>
            </w:r>
          </w:p>
        </w:tc>
        <w:tc>
          <w:tcPr>
            <w:cnfStyle w:val="000001000000" w:firstRow="0" w:lastRow="0" w:firstColumn="0" w:lastColumn="0" w:oddVBand="0" w:evenVBand="1" w:oddHBand="0" w:evenHBand="0" w:firstRowFirstColumn="0" w:firstRowLastColumn="0" w:lastRowFirstColumn="0" w:lastRowLastColumn="0"/>
            <w:tcW w:w="370" w:type="pct"/>
          </w:tcPr>
          <w:p w14:paraId="1FB19FBB"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90.8</w:t>
            </w:r>
          </w:p>
        </w:tc>
        <w:tc>
          <w:tcPr>
            <w:cnfStyle w:val="000010000000" w:firstRow="0" w:lastRow="0" w:firstColumn="0" w:lastColumn="0" w:oddVBand="1" w:evenVBand="0" w:oddHBand="0" w:evenHBand="0" w:firstRowFirstColumn="0" w:firstRowLastColumn="0" w:lastRowFirstColumn="0" w:lastRowLastColumn="0"/>
            <w:tcW w:w="371" w:type="pct"/>
          </w:tcPr>
          <w:p w14:paraId="7C4984CC"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93.3</w:t>
            </w:r>
          </w:p>
        </w:tc>
        <w:tc>
          <w:tcPr>
            <w:cnfStyle w:val="000001000000" w:firstRow="0" w:lastRow="0" w:firstColumn="0" w:lastColumn="0" w:oddVBand="0" w:evenVBand="1" w:oddHBand="0" w:evenHBand="0" w:firstRowFirstColumn="0" w:firstRowLastColumn="0" w:lastRowFirstColumn="0" w:lastRowLastColumn="0"/>
            <w:tcW w:w="371" w:type="pct"/>
          </w:tcPr>
          <w:p w14:paraId="2B788B55"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90.0</w:t>
            </w:r>
          </w:p>
        </w:tc>
        <w:tc>
          <w:tcPr>
            <w:cnfStyle w:val="000010000000" w:firstRow="0" w:lastRow="0" w:firstColumn="0" w:lastColumn="0" w:oddVBand="1" w:evenVBand="0" w:oddHBand="0" w:evenHBand="0" w:firstRowFirstColumn="0" w:firstRowLastColumn="0" w:lastRowFirstColumn="0" w:lastRowLastColumn="0"/>
            <w:tcW w:w="371" w:type="pct"/>
          </w:tcPr>
          <w:p w14:paraId="4A861438"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88.1</w:t>
            </w:r>
          </w:p>
        </w:tc>
        <w:tc>
          <w:tcPr>
            <w:cnfStyle w:val="000001000000" w:firstRow="0" w:lastRow="0" w:firstColumn="0" w:lastColumn="0" w:oddVBand="0" w:evenVBand="1" w:oddHBand="0" w:evenHBand="0" w:firstRowFirstColumn="0" w:firstRowLastColumn="0" w:lastRowFirstColumn="0" w:lastRowLastColumn="0"/>
            <w:tcW w:w="367" w:type="pct"/>
          </w:tcPr>
          <w:p w14:paraId="14C2881B"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91.9</w:t>
            </w:r>
          </w:p>
        </w:tc>
      </w:tr>
      <w:tr w:rsidR="00B57727" w:rsidRPr="00CF3E3D" w14:paraId="6A6A182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757" w:type="pct"/>
          </w:tcPr>
          <w:p w14:paraId="50752423" w14:textId="77777777" w:rsidR="004E45CF" w:rsidRPr="00CF3E3D" w:rsidRDefault="004E45CF" w:rsidP="007007AC">
            <w:pPr>
              <w:rPr>
                <w:rStyle w:val="TabletextBOLD"/>
                <w:color w:val="auto"/>
              </w:rPr>
            </w:pPr>
            <w:r w:rsidRPr="00CF3E3D">
              <w:rPr>
                <w:rStyle w:val="TabletextBOLD"/>
                <w:color w:val="auto"/>
              </w:rPr>
              <w:t>Labour force participation rate (%)</w:t>
            </w:r>
          </w:p>
        </w:tc>
        <w:tc>
          <w:tcPr>
            <w:cnfStyle w:val="000001000000" w:firstRow="0" w:lastRow="0" w:firstColumn="0" w:lastColumn="0" w:oddVBand="0" w:evenVBand="1" w:oddHBand="0" w:evenHBand="0" w:firstRowFirstColumn="0" w:firstRowLastColumn="0" w:lastRowFirstColumn="0" w:lastRowLastColumn="0"/>
            <w:tcW w:w="757" w:type="pct"/>
          </w:tcPr>
          <w:p w14:paraId="38F83E8A"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91.4</w:t>
            </w:r>
          </w:p>
        </w:tc>
        <w:tc>
          <w:tcPr>
            <w:cnfStyle w:val="000010000000" w:firstRow="0" w:lastRow="0" w:firstColumn="0" w:lastColumn="0" w:oddVBand="1" w:evenVBand="0" w:oddHBand="0" w:evenHBand="0" w:firstRowFirstColumn="0" w:firstRowLastColumn="0" w:lastRowFirstColumn="0" w:lastRowLastColumn="0"/>
            <w:tcW w:w="481" w:type="pct"/>
          </w:tcPr>
          <w:p w14:paraId="2683F639"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92.0</w:t>
            </w:r>
          </w:p>
        </w:tc>
        <w:tc>
          <w:tcPr>
            <w:cnfStyle w:val="000001000000" w:firstRow="0" w:lastRow="0" w:firstColumn="0" w:lastColumn="0" w:oddVBand="0" w:evenVBand="1" w:oddHBand="0" w:evenHBand="0" w:firstRowFirstColumn="0" w:firstRowLastColumn="0" w:lastRowFirstColumn="0" w:lastRowLastColumn="0"/>
            <w:tcW w:w="619" w:type="pct"/>
          </w:tcPr>
          <w:p w14:paraId="2F89A420"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92.4</w:t>
            </w:r>
          </w:p>
        </w:tc>
        <w:tc>
          <w:tcPr>
            <w:cnfStyle w:val="000010000000" w:firstRow="0" w:lastRow="0" w:firstColumn="0" w:lastColumn="0" w:oddVBand="1" w:evenVBand="0" w:oddHBand="0" w:evenHBand="0" w:firstRowFirstColumn="0" w:firstRowLastColumn="0" w:lastRowFirstColumn="0" w:lastRowLastColumn="0"/>
            <w:tcW w:w="536" w:type="pct"/>
          </w:tcPr>
          <w:p w14:paraId="4E6A3B09"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95.5</w:t>
            </w:r>
          </w:p>
        </w:tc>
        <w:tc>
          <w:tcPr>
            <w:cnfStyle w:val="000001000000" w:firstRow="0" w:lastRow="0" w:firstColumn="0" w:lastColumn="0" w:oddVBand="0" w:evenVBand="1" w:oddHBand="0" w:evenHBand="0" w:firstRowFirstColumn="0" w:firstRowLastColumn="0" w:lastRowFirstColumn="0" w:lastRowLastColumn="0"/>
            <w:tcW w:w="370" w:type="pct"/>
          </w:tcPr>
          <w:p w14:paraId="5C67B92F"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95.4</w:t>
            </w:r>
          </w:p>
        </w:tc>
        <w:tc>
          <w:tcPr>
            <w:cnfStyle w:val="000010000000" w:firstRow="0" w:lastRow="0" w:firstColumn="0" w:lastColumn="0" w:oddVBand="1" w:evenVBand="0" w:oddHBand="0" w:evenHBand="0" w:firstRowFirstColumn="0" w:firstRowLastColumn="0" w:lastRowFirstColumn="0" w:lastRowLastColumn="0"/>
            <w:tcW w:w="371" w:type="pct"/>
          </w:tcPr>
          <w:p w14:paraId="12383604"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95.6</w:t>
            </w:r>
          </w:p>
        </w:tc>
        <w:tc>
          <w:tcPr>
            <w:cnfStyle w:val="000001000000" w:firstRow="0" w:lastRow="0" w:firstColumn="0" w:lastColumn="0" w:oddVBand="0" w:evenVBand="1" w:oddHBand="0" w:evenHBand="0" w:firstRowFirstColumn="0" w:firstRowLastColumn="0" w:lastRowFirstColumn="0" w:lastRowLastColumn="0"/>
            <w:tcW w:w="371" w:type="pct"/>
          </w:tcPr>
          <w:p w14:paraId="117CE730"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94.3</w:t>
            </w:r>
          </w:p>
        </w:tc>
        <w:tc>
          <w:tcPr>
            <w:cnfStyle w:val="000010000000" w:firstRow="0" w:lastRow="0" w:firstColumn="0" w:lastColumn="0" w:oddVBand="1" w:evenVBand="0" w:oddHBand="0" w:evenHBand="0" w:firstRowFirstColumn="0" w:firstRowLastColumn="0" w:lastRowFirstColumn="0" w:lastRowLastColumn="0"/>
            <w:tcW w:w="371" w:type="pct"/>
          </w:tcPr>
          <w:p w14:paraId="7FBDC498"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94.8</w:t>
            </w:r>
          </w:p>
        </w:tc>
        <w:tc>
          <w:tcPr>
            <w:cnfStyle w:val="000001000000" w:firstRow="0" w:lastRow="0" w:firstColumn="0" w:lastColumn="0" w:oddVBand="0" w:evenVBand="1" w:oddHBand="0" w:evenHBand="0" w:firstRowFirstColumn="0" w:firstRowLastColumn="0" w:lastRowFirstColumn="0" w:lastRowLastColumn="0"/>
            <w:tcW w:w="367" w:type="pct"/>
          </w:tcPr>
          <w:p w14:paraId="2E2C0936"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94.8</w:t>
            </w:r>
          </w:p>
        </w:tc>
      </w:tr>
      <w:tr w:rsidR="00B57727" w:rsidRPr="00CF3E3D" w14:paraId="10F51C7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757" w:type="pct"/>
          </w:tcPr>
          <w:p w14:paraId="032EAC6D" w14:textId="77777777" w:rsidR="004E45CF" w:rsidRPr="00CF3E3D" w:rsidRDefault="004E45CF" w:rsidP="007007AC">
            <w:pPr>
              <w:rPr>
                <w:rStyle w:val="TabletextBOLD"/>
                <w:color w:val="auto"/>
              </w:rPr>
            </w:pPr>
            <w:r w:rsidRPr="00CF3E3D">
              <w:rPr>
                <w:rStyle w:val="TabletextBOLD"/>
                <w:color w:val="auto"/>
              </w:rPr>
              <w:t>Median salary, employed full-time ($)</w:t>
            </w:r>
          </w:p>
        </w:tc>
        <w:tc>
          <w:tcPr>
            <w:cnfStyle w:val="000001000000" w:firstRow="0" w:lastRow="0" w:firstColumn="0" w:lastColumn="0" w:oddVBand="0" w:evenVBand="1" w:oddHBand="0" w:evenHBand="0" w:firstRowFirstColumn="0" w:firstRowLastColumn="0" w:lastRowFirstColumn="0" w:lastRowLastColumn="0"/>
            <w:tcW w:w="757" w:type="pct"/>
          </w:tcPr>
          <w:p w14:paraId="309993E9"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64,700</w:t>
            </w:r>
          </w:p>
        </w:tc>
        <w:tc>
          <w:tcPr>
            <w:cnfStyle w:val="000010000000" w:firstRow="0" w:lastRow="0" w:firstColumn="0" w:lastColumn="0" w:oddVBand="1" w:evenVBand="0" w:oddHBand="0" w:evenHBand="0" w:firstRowFirstColumn="0" w:firstRowLastColumn="0" w:lastRowFirstColumn="0" w:lastRowLastColumn="0"/>
            <w:tcW w:w="481" w:type="pct"/>
          </w:tcPr>
          <w:p w14:paraId="0ECC21F9"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65,000</w:t>
            </w:r>
          </w:p>
        </w:tc>
        <w:tc>
          <w:tcPr>
            <w:cnfStyle w:val="000001000000" w:firstRow="0" w:lastRow="0" w:firstColumn="0" w:lastColumn="0" w:oddVBand="0" w:evenVBand="1" w:oddHBand="0" w:evenHBand="0" w:firstRowFirstColumn="0" w:firstRowLastColumn="0" w:lastRowFirstColumn="0" w:lastRowLastColumn="0"/>
            <w:tcW w:w="619" w:type="pct"/>
          </w:tcPr>
          <w:p w14:paraId="48400D25"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68,000</w:t>
            </w:r>
          </w:p>
        </w:tc>
        <w:tc>
          <w:tcPr>
            <w:cnfStyle w:val="000010000000" w:firstRow="0" w:lastRow="0" w:firstColumn="0" w:lastColumn="0" w:oddVBand="1" w:evenVBand="0" w:oddHBand="0" w:evenHBand="0" w:firstRowFirstColumn="0" w:firstRowLastColumn="0" w:lastRowFirstColumn="0" w:lastRowLastColumn="0"/>
            <w:tcW w:w="536" w:type="pct"/>
          </w:tcPr>
          <w:p w14:paraId="5C452D6A"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87,400</w:t>
            </w:r>
          </w:p>
        </w:tc>
        <w:tc>
          <w:tcPr>
            <w:cnfStyle w:val="000001000000" w:firstRow="0" w:lastRow="0" w:firstColumn="0" w:lastColumn="0" w:oddVBand="0" w:evenVBand="1" w:oddHBand="0" w:evenHBand="0" w:firstRowFirstColumn="0" w:firstRowLastColumn="0" w:lastRowFirstColumn="0" w:lastRowLastColumn="0"/>
            <w:tcW w:w="370" w:type="pct"/>
          </w:tcPr>
          <w:p w14:paraId="64EC27B4"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89,700</w:t>
            </w:r>
          </w:p>
        </w:tc>
        <w:tc>
          <w:tcPr>
            <w:cnfStyle w:val="000010000000" w:firstRow="0" w:lastRow="0" w:firstColumn="0" w:lastColumn="0" w:oddVBand="1" w:evenVBand="0" w:oddHBand="0" w:evenHBand="0" w:firstRowFirstColumn="0" w:firstRowLastColumn="0" w:lastRowFirstColumn="0" w:lastRowLastColumn="0"/>
            <w:tcW w:w="371" w:type="pct"/>
          </w:tcPr>
          <w:p w14:paraId="52BC0951"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91,600</w:t>
            </w:r>
          </w:p>
        </w:tc>
        <w:tc>
          <w:tcPr>
            <w:cnfStyle w:val="000001000000" w:firstRow="0" w:lastRow="0" w:firstColumn="0" w:lastColumn="0" w:oddVBand="0" w:evenVBand="1" w:oddHBand="0" w:evenHBand="0" w:firstRowFirstColumn="0" w:firstRowLastColumn="0" w:lastRowFirstColumn="0" w:lastRowLastColumn="0"/>
            <w:tcW w:w="371" w:type="pct"/>
          </w:tcPr>
          <w:p w14:paraId="12BE5BF8"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93,000</w:t>
            </w:r>
          </w:p>
        </w:tc>
        <w:tc>
          <w:tcPr>
            <w:cnfStyle w:val="000010000000" w:firstRow="0" w:lastRow="0" w:firstColumn="0" w:lastColumn="0" w:oddVBand="1" w:evenVBand="0" w:oddHBand="0" w:evenHBand="0" w:firstRowFirstColumn="0" w:firstRowLastColumn="0" w:lastRowFirstColumn="0" w:lastRowLastColumn="0"/>
            <w:tcW w:w="371" w:type="pct"/>
          </w:tcPr>
          <w:p w14:paraId="2BDAF005"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95,000</w:t>
            </w:r>
          </w:p>
        </w:tc>
        <w:tc>
          <w:tcPr>
            <w:cnfStyle w:val="000001000000" w:firstRow="0" w:lastRow="0" w:firstColumn="0" w:lastColumn="0" w:oddVBand="0" w:evenVBand="1" w:oddHBand="0" w:evenHBand="0" w:firstRowFirstColumn="0" w:firstRowLastColumn="0" w:lastRowFirstColumn="0" w:lastRowLastColumn="0"/>
            <w:tcW w:w="367" w:type="pct"/>
          </w:tcPr>
          <w:p w14:paraId="0936A8C4"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96,000</w:t>
            </w:r>
          </w:p>
        </w:tc>
      </w:tr>
      <w:tr w:rsidR="00B57727" w:rsidRPr="00CF3E3D" w14:paraId="67F9581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757" w:type="pct"/>
          </w:tcPr>
          <w:p w14:paraId="265253C8" w14:textId="77777777" w:rsidR="004E45CF" w:rsidRPr="00CF3E3D" w:rsidRDefault="004E45CF" w:rsidP="007007AC">
            <w:pPr>
              <w:rPr>
                <w:rStyle w:val="TabletextBOLD"/>
                <w:color w:val="auto"/>
              </w:rPr>
            </w:pPr>
            <w:r w:rsidRPr="00CF3E3D">
              <w:rPr>
                <w:rStyle w:val="TabletextBOLD"/>
                <w:color w:val="auto"/>
              </w:rPr>
              <w:t>In full-time study (%)</w:t>
            </w:r>
          </w:p>
        </w:tc>
        <w:tc>
          <w:tcPr>
            <w:cnfStyle w:val="000001000000" w:firstRow="0" w:lastRow="0" w:firstColumn="0" w:lastColumn="0" w:oddVBand="0" w:evenVBand="1" w:oddHBand="0" w:evenHBand="0" w:firstRowFirstColumn="0" w:firstRowLastColumn="0" w:lastRowFirstColumn="0" w:lastRowLastColumn="0"/>
            <w:tcW w:w="757" w:type="pct"/>
          </w:tcPr>
          <w:p w14:paraId="3F64E2DE"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18.5</w:t>
            </w:r>
          </w:p>
        </w:tc>
        <w:tc>
          <w:tcPr>
            <w:cnfStyle w:val="000010000000" w:firstRow="0" w:lastRow="0" w:firstColumn="0" w:lastColumn="0" w:oddVBand="1" w:evenVBand="0" w:oddHBand="0" w:evenHBand="0" w:firstRowFirstColumn="0" w:firstRowLastColumn="0" w:lastRowFirstColumn="0" w:lastRowLastColumn="0"/>
            <w:tcW w:w="481" w:type="pct"/>
          </w:tcPr>
          <w:p w14:paraId="1C6035DE"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21.1</w:t>
            </w:r>
          </w:p>
        </w:tc>
        <w:tc>
          <w:tcPr>
            <w:cnfStyle w:val="000001000000" w:firstRow="0" w:lastRow="0" w:firstColumn="0" w:lastColumn="0" w:oddVBand="0" w:evenVBand="1" w:oddHBand="0" w:evenHBand="0" w:firstRowFirstColumn="0" w:firstRowLastColumn="0" w:lastRowFirstColumn="0" w:lastRowLastColumn="0"/>
            <w:tcW w:w="619" w:type="pct"/>
          </w:tcPr>
          <w:p w14:paraId="31FF499C"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18.6</w:t>
            </w:r>
          </w:p>
        </w:tc>
        <w:tc>
          <w:tcPr>
            <w:cnfStyle w:val="000010000000" w:firstRow="0" w:lastRow="0" w:firstColumn="0" w:lastColumn="0" w:oddVBand="1" w:evenVBand="0" w:oddHBand="0" w:evenHBand="0" w:firstRowFirstColumn="0" w:firstRowLastColumn="0" w:lastRowFirstColumn="0" w:lastRowLastColumn="0"/>
            <w:tcW w:w="536" w:type="pct"/>
          </w:tcPr>
          <w:p w14:paraId="29B7B5D9"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6.6</w:t>
            </w:r>
          </w:p>
        </w:tc>
        <w:tc>
          <w:tcPr>
            <w:cnfStyle w:val="000001000000" w:firstRow="0" w:lastRow="0" w:firstColumn="0" w:lastColumn="0" w:oddVBand="0" w:evenVBand="1" w:oddHBand="0" w:evenHBand="0" w:firstRowFirstColumn="0" w:firstRowLastColumn="0" w:lastRowFirstColumn="0" w:lastRowLastColumn="0"/>
            <w:tcW w:w="370" w:type="pct"/>
          </w:tcPr>
          <w:p w14:paraId="07C806F3"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7.6</w:t>
            </w:r>
          </w:p>
        </w:tc>
        <w:tc>
          <w:tcPr>
            <w:cnfStyle w:val="000010000000" w:firstRow="0" w:lastRow="0" w:firstColumn="0" w:lastColumn="0" w:oddVBand="1" w:evenVBand="0" w:oddHBand="0" w:evenHBand="0" w:firstRowFirstColumn="0" w:firstRowLastColumn="0" w:lastRowFirstColumn="0" w:lastRowLastColumn="0"/>
            <w:tcW w:w="371" w:type="pct"/>
          </w:tcPr>
          <w:p w14:paraId="1FBF45D6"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7.5</w:t>
            </w:r>
          </w:p>
        </w:tc>
        <w:tc>
          <w:tcPr>
            <w:cnfStyle w:val="000001000000" w:firstRow="0" w:lastRow="0" w:firstColumn="0" w:lastColumn="0" w:oddVBand="0" w:evenVBand="1" w:oddHBand="0" w:evenHBand="0" w:firstRowFirstColumn="0" w:firstRowLastColumn="0" w:lastRowFirstColumn="0" w:lastRowLastColumn="0"/>
            <w:tcW w:w="371" w:type="pct"/>
          </w:tcPr>
          <w:p w14:paraId="07E6E701"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6.9</w:t>
            </w:r>
          </w:p>
        </w:tc>
        <w:tc>
          <w:tcPr>
            <w:cnfStyle w:val="000010000000" w:firstRow="0" w:lastRow="0" w:firstColumn="0" w:lastColumn="0" w:oddVBand="1" w:evenVBand="0" w:oddHBand="0" w:evenHBand="0" w:firstRowFirstColumn="0" w:firstRowLastColumn="0" w:lastRowFirstColumn="0" w:lastRowLastColumn="0"/>
            <w:tcW w:w="371" w:type="pct"/>
          </w:tcPr>
          <w:p w14:paraId="4038D70C"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6.8</w:t>
            </w:r>
          </w:p>
        </w:tc>
        <w:tc>
          <w:tcPr>
            <w:cnfStyle w:val="000001000000" w:firstRow="0" w:lastRow="0" w:firstColumn="0" w:lastColumn="0" w:oddVBand="0" w:evenVBand="1" w:oddHBand="0" w:evenHBand="0" w:firstRowFirstColumn="0" w:firstRowLastColumn="0" w:lastRowFirstColumn="0" w:lastRowLastColumn="0"/>
            <w:tcW w:w="367" w:type="pct"/>
          </w:tcPr>
          <w:p w14:paraId="5F9EBE59" w14:textId="77777777" w:rsidR="004E45CF" w:rsidRPr="002809DC" w:rsidRDefault="004E45CF" w:rsidP="007007AC">
            <w:pPr>
              <w:pStyle w:val="TablecolumnheadTABLES"/>
              <w:jc w:val="center"/>
              <w:rPr>
                <w:rStyle w:val="TabletextBOLD"/>
                <w:b w:val="0"/>
                <w:bCs/>
                <w:color w:val="auto"/>
              </w:rPr>
            </w:pPr>
            <w:r w:rsidRPr="002809DC">
              <w:rPr>
                <w:rStyle w:val="TabletextBOLD"/>
                <w:b w:val="0"/>
                <w:bCs/>
                <w:color w:val="auto"/>
              </w:rPr>
              <w:t>6.7</w:t>
            </w:r>
          </w:p>
        </w:tc>
      </w:tr>
    </w:tbl>
    <w:p w14:paraId="63B62D12" w14:textId="77777777" w:rsidR="004E45CF" w:rsidRPr="00CF3E3D" w:rsidRDefault="004E45CF" w:rsidP="00F8226E">
      <w:pPr>
        <w:pStyle w:val="Heading3"/>
        <w:numPr>
          <w:ilvl w:val="0"/>
          <w:numId w:val="0"/>
        </w:numPr>
        <w:ind w:left="851" w:hanging="851"/>
      </w:pPr>
      <w:bookmarkStart w:id="32" w:name="_Toc22810091"/>
      <w:bookmarkStart w:id="33" w:name="_Toc116035540"/>
      <w:bookmarkStart w:id="34" w:name="_Toc116039895"/>
      <w:bookmarkEnd w:id="31"/>
      <w:r w:rsidRPr="00F8226E">
        <w:rPr>
          <w:color w:val="000000" w:themeColor="text1"/>
        </w:rPr>
        <w:t xml:space="preserve">2.3 </w:t>
      </w:r>
      <w:r w:rsidRPr="00CF3E3D">
        <w:tab/>
      </w:r>
      <w:r w:rsidRPr="00F8226E">
        <w:rPr>
          <w:color w:val="000000" w:themeColor="text1"/>
        </w:rPr>
        <w:t>Time series</w:t>
      </w:r>
      <w:bookmarkEnd w:id="32"/>
      <w:bookmarkEnd w:id="33"/>
      <w:bookmarkEnd w:id="34"/>
    </w:p>
    <w:p w14:paraId="5EEBF1E4" w14:textId="77777777" w:rsidR="004E45CF" w:rsidRDefault="004E45CF" w:rsidP="004E45CF">
      <w:pPr>
        <w:pStyle w:val="Body"/>
      </w:pPr>
      <w:bookmarkStart w:id="35" w:name="_Ref77864292"/>
      <w:r w:rsidRPr="00CF3E3D">
        <w:t>The undergraduate full-time employment rate of 78.5 per cent in 2022 is a large increase on the 68.9 per cent seen in 2021 and is the highest rate of employment recorded since 2009, as shown by</w:t>
      </w:r>
      <w:r>
        <w:t xml:space="preserve"> </w:t>
      </w:r>
      <w:r>
        <w:fldChar w:fldCharType="begin"/>
      </w:r>
      <w:r>
        <w:instrText xml:space="preserve"> REF _Ref115944675 \h </w:instrText>
      </w:r>
      <w:r>
        <w:fldChar w:fldCharType="separate"/>
      </w:r>
      <w:r w:rsidRPr="00CF3E3D">
        <w:t xml:space="preserve">Table </w:t>
      </w:r>
      <w:r>
        <w:rPr>
          <w:noProof/>
        </w:rPr>
        <w:t>5</w:t>
      </w:r>
      <w:r>
        <w:fldChar w:fldCharType="end"/>
      </w:r>
      <w:r w:rsidRPr="00CF3E3D">
        <w:t>. The undergraduate overall employment rate recovered strongly from the lowest rate on record in 2021 to 88.3 per cent in 2022, a rise of 3.5 percentage points. The postgraduate coursework full-time employment rate also recovered strongly, increasing from 84.9 per cent in 2021 to 89.4 in 2022. Similarly, the postgraduate research graduate full-time employment rate of 84.7 per cent is the highest recorded since the 85.3 per cent reported in 2009. Note that the introduction of the GOS necessitates a break in time series between 2015 and 2016 and should be considered when interpreting results.</w:t>
      </w:r>
    </w:p>
    <w:p w14:paraId="1CAB9651" w14:textId="78BEBA6D" w:rsidR="004E45CF" w:rsidRPr="00F8226E" w:rsidRDefault="004E45CF" w:rsidP="004E45CF">
      <w:pPr>
        <w:pStyle w:val="Caption"/>
        <w:rPr>
          <w:rStyle w:val="Body02BOLD"/>
          <w:b/>
          <w:color w:val="000000" w:themeColor="text1"/>
        </w:rPr>
      </w:pPr>
      <w:bookmarkStart w:id="36" w:name="_Ref115944675"/>
      <w:bookmarkStart w:id="37" w:name="_Toc116035799"/>
      <w:bookmarkStart w:id="38" w:name="_Toc116040354"/>
      <w:r w:rsidRPr="00F8226E">
        <w:rPr>
          <w:color w:val="000000" w:themeColor="text1"/>
        </w:rPr>
        <w:t xml:space="preserve">Table </w:t>
      </w:r>
      <w:r w:rsidRPr="00F8226E">
        <w:rPr>
          <w:color w:val="000000" w:themeColor="text1"/>
        </w:rPr>
        <w:fldChar w:fldCharType="begin"/>
      </w:r>
      <w:r w:rsidRPr="00F8226E">
        <w:rPr>
          <w:color w:val="000000" w:themeColor="text1"/>
        </w:rPr>
        <w:instrText xml:space="preserve"> SEQ Table \* ARABIC </w:instrText>
      </w:r>
      <w:r w:rsidRPr="00F8226E">
        <w:rPr>
          <w:color w:val="000000" w:themeColor="text1"/>
        </w:rPr>
        <w:fldChar w:fldCharType="separate"/>
      </w:r>
      <w:r w:rsidR="00896E06">
        <w:rPr>
          <w:noProof/>
          <w:color w:val="000000" w:themeColor="text1"/>
        </w:rPr>
        <w:t>5</w:t>
      </w:r>
      <w:r w:rsidRPr="00F8226E">
        <w:rPr>
          <w:color w:val="000000" w:themeColor="text1"/>
        </w:rPr>
        <w:fldChar w:fldCharType="end"/>
      </w:r>
      <w:bookmarkEnd w:id="35"/>
      <w:bookmarkEnd w:id="36"/>
      <w:r w:rsidRPr="00F8226E">
        <w:rPr>
          <w:color w:val="000000" w:themeColor="text1"/>
        </w:rPr>
        <w:t xml:space="preserve"> </w:t>
      </w:r>
      <w:r w:rsidRPr="00F8226E">
        <w:rPr>
          <w:rStyle w:val="Body02BOLD"/>
          <w:b/>
          <w:color w:val="000000" w:themeColor="text1"/>
        </w:rPr>
        <w:t>Full-time and overall employment rates by study level, 2009-2022 (%)</w:t>
      </w:r>
      <w:bookmarkEnd w:id="37"/>
      <w:bookmarkEnd w:id="38"/>
      <w:r w:rsidRPr="00F8226E">
        <w:rPr>
          <w:rStyle w:val="Body02BOLD"/>
          <w:b/>
          <w:color w:val="000000" w:themeColor="text1"/>
        </w:rPr>
        <w:t xml:space="preserve"> </w:t>
      </w:r>
    </w:p>
    <w:tbl>
      <w:tblPr>
        <w:tblStyle w:val="SRC1"/>
        <w:tblW w:w="10021" w:type="dxa"/>
        <w:tblLayout w:type="fixed"/>
        <w:tblLook w:val="04A0" w:firstRow="1" w:lastRow="0" w:firstColumn="1" w:lastColumn="0" w:noHBand="0" w:noVBand="1"/>
      </w:tblPr>
      <w:tblGrid>
        <w:gridCol w:w="1322"/>
        <w:gridCol w:w="1508"/>
        <w:gridCol w:w="1560"/>
        <w:gridCol w:w="1407"/>
        <w:gridCol w:w="1408"/>
        <w:gridCol w:w="1408"/>
        <w:gridCol w:w="1408"/>
      </w:tblGrid>
      <w:tr w:rsidR="004E45CF" w:rsidRPr="00CF3E3D" w14:paraId="7E4E9646"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322" w:type="dxa"/>
            <w:noWrap/>
          </w:tcPr>
          <w:p w14:paraId="7DB256C5" w14:textId="4C089636" w:rsidR="004E45CF" w:rsidRPr="00CF3E3D" w:rsidRDefault="007D6152" w:rsidP="00892AFB">
            <w:pPr>
              <w:pStyle w:val="Tabletext"/>
              <w:rPr>
                <w:rStyle w:val="TabletextBOLD"/>
                <w:color w:val="auto"/>
              </w:rPr>
            </w:pPr>
            <w:bookmarkStart w:id="39" w:name="Title5"/>
            <w:bookmarkEnd w:id="39"/>
            <w:r w:rsidRPr="0021639B">
              <w:rPr>
                <w:rStyle w:val="TabletextBOLD"/>
                <w:b/>
                <w:bCs w:val="0"/>
                <w:color w:val="1F698E" w:themeColor="accent1"/>
              </w:rPr>
              <w:t>Category</w:t>
            </w:r>
          </w:p>
        </w:tc>
        <w:tc>
          <w:tcPr>
            <w:tcW w:w="1508" w:type="dxa"/>
            <w:noWrap/>
          </w:tcPr>
          <w:p w14:paraId="3DB7D05B" w14:textId="77777777" w:rsidR="004E45CF" w:rsidRPr="00F8226E"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F8226E">
              <w:rPr>
                <w:rStyle w:val="TabletextBOLD"/>
                <w:b/>
                <w:bCs w:val="0"/>
                <w:color w:val="FFFFFF" w:themeColor="background1"/>
              </w:rPr>
              <w:t xml:space="preserve">Undergraduate </w:t>
            </w:r>
          </w:p>
          <w:p w14:paraId="4FC11896" w14:textId="77777777" w:rsidR="004E45CF" w:rsidRPr="00F8226E"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F8226E">
              <w:rPr>
                <w:rStyle w:val="TabletextBOLD"/>
                <w:b/>
                <w:bCs w:val="0"/>
                <w:color w:val="FFFFFF" w:themeColor="background1"/>
              </w:rPr>
              <w:t>Full-time employment</w:t>
            </w:r>
          </w:p>
        </w:tc>
        <w:tc>
          <w:tcPr>
            <w:tcW w:w="1560" w:type="dxa"/>
            <w:noWrap/>
          </w:tcPr>
          <w:p w14:paraId="3DD9110D" w14:textId="77777777" w:rsidR="004E45CF" w:rsidRPr="00F8226E"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F8226E">
              <w:rPr>
                <w:rStyle w:val="TabletextBOLD"/>
                <w:b/>
                <w:bCs w:val="0"/>
                <w:color w:val="FFFFFF" w:themeColor="background1"/>
              </w:rPr>
              <w:t xml:space="preserve">Undergraduate </w:t>
            </w:r>
          </w:p>
          <w:p w14:paraId="4B700267" w14:textId="77777777" w:rsidR="004E45CF" w:rsidRPr="00F8226E"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F8226E">
              <w:rPr>
                <w:rStyle w:val="TabletextBOLD"/>
                <w:b/>
                <w:bCs w:val="0"/>
                <w:color w:val="FFFFFF" w:themeColor="background1"/>
              </w:rPr>
              <w:t>Overall employment</w:t>
            </w:r>
          </w:p>
        </w:tc>
        <w:tc>
          <w:tcPr>
            <w:tcW w:w="1407" w:type="dxa"/>
            <w:noWrap/>
          </w:tcPr>
          <w:p w14:paraId="23190BBA" w14:textId="77777777" w:rsidR="004E45CF" w:rsidRPr="00F8226E"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F8226E">
              <w:rPr>
                <w:rStyle w:val="TabletextBOLD"/>
                <w:b/>
                <w:bCs w:val="0"/>
                <w:color w:val="FFFFFF" w:themeColor="background1"/>
              </w:rPr>
              <w:t>Postgraduate coursework Full-time employment</w:t>
            </w:r>
          </w:p>
        </w:tc>
        <w:tc>
          <w:tcPr>
            <w:tcW w:w="1408" w:type="dxa"/>
            <w:noWrap/>
          </w:tcPr>
          <w:p w14:paraId="12E39E0A" w14:textId="77777777" w:rsidR="004E45CF" w:rsidRPr="00F8226E"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F8226E">
              <w:rPr>
                <w:rStyle w:val="TabletextBOLD"/>
                <w:b/>
                <w:bCs w:val="0"/>
                <w:color w:val="FFFFFF" w:themeColor="background1"/>
              </w:rPr>
              <w:t>Postgraduate coursework Overall employment</w:t>
            </w:r>
          </w:p>
        </w:tc>
        <w:tc>
          <w:tcPr>
            <w:tcW w:w="1408" w:type="dxa"/>
            <w:noWrap/>
          </w:tcPr>
          <w:p w14:paraId="41329357" w14:textId="77777777" w:rsidR="004E45CF" w:rsidRPr="00F8226E"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F8226E">
              <w:rPr>
                <w:rStyle w:val="TabletextBOLD"/>
                <w:b/>
                <w:bCs w:val="0"/>
                <w:color w:val="FFFFFF" w:themeColor="background1"/>
              </w:rPr>
              <w:t>Postgraduate research Full-time employment</w:t>
            </w:r>
          </w:p>
        </w:tc>
        <w:tc>
          <w:tcPr>
            <w:tcW w:w="1408" w:type="dxa"/>
            <w:noWrap/>
          </w:tcPr>
          <w:p w14:paraId="4C4B42CD" w14:textId="77777777" w:rsidR="004E45CF" w:rsidRPr="00F8226E"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F8226E">
              <w:rPr>
                <w:rStyle w:val="TabletextBOLD"/>
                <w:b/>
                <w:bCs w:val="0"/>
                <w:color w:val="FFFFFF" w:themeColor="background1"/>
              </w:rPr>
              <w:t>Postgraduate research Overall employment</w:t>
            </w:r>
          </w:p>
        </w:tc>
      </w:tr>
      <w:tr w:rsidR="004E45CF" w:rsidRPr="00CF3E3D" w14:paraId="3EFCA62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hideMark/>
          </w:tcPr>
          <w:p w14:paraId="27E7F989" w14:textId="77777777" w:rsidR="004E45CF" w:rsidRPr="00CF3E3D" w:rsidRDefault="004E45CF" w:rsidP="007007AC">
            <w:pPr>
              <w:pStyle w:val="Tabletext"/>
              <w:rPr>
                <w:rStyle w:val="TabletextBOLD"/>
                <w:color w:val="auto"/>
              </w:rPr>
            </w:pPr>
            <w:r w:rsidRPr="00CF3E3D">
              <w:rPr>
                <w:rStyle w:val="TabletextBOLD"/>
                <w:color w:val="auto"/>
              </w:rPr>
              <w:t>2009</w:t>
            </w:r>
          </w:p>
        </w:tc>
        <w:tc>
          <w:tcPr>
            <w:tcW w:w="1508" w:type="dxa"/>
            <w:noWrap/>
          </w:tcPr>
          <w:p w14:paraId="095CCB39"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79.2</w:t>
            </w:r>
          </w:p>
        </w:tc>
        <w:tc>
          <w:tcPr>
            <w:tcW w:w="1560" w:type="dxa"/>
            <w:noWrap/>
          </w:tcPr>
          <w:p w14:paraId="47ED0400"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92.7</w:t>
            </w:r>
          </w:p>
        </w:tc>
        <w:tc>
          <w:tcPr>
            <w:tcW w:w="1407" w:type="dxa"/>
            <w:noWrap/>
          </w:tcPr>
          <w:p w14:paraId="6ABF59FA"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87.6</w:t>
            </w:r>
          </w:p>
        </w:tc>
        <w:tc>
          <w:tcPr>
            <w:tcW w:w="1408" w:type="dxa"/>
            <w:noWrap/>
          </w:tcPr>
          <w:p w14:paraId="49EBADD4"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94.5</w:t>
            </w:r>
          </w:p>
        </w:tc>
        <w:tc>
          <w:tcPr>
            <w:tcW w:w="1408" w:type="dxa"/>
            <w:noWrap/>
          </w:tcPr>
          <w:p w14:paraId="717867F8"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85.3</w:t>
            </w:r>
          </w:p>
        </w:tc>
        <w:tc>
          <w:tcPr>
            <w:tcW w:w="1408" w:type="dxa"/>
            <w:noWrap/>
          </w:tcPr>
          <w:p w14:paraId="333979A6"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94.6</w:t>
            </w:r>
          </w:p>
        </w:tc>
      </w:tr>
      <w:tr w:rsidR="004E45CF" w:rsidRPr="00CF3E3D" w14:paraId="7A73ADE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hideMark/>
          </w:tcPr>
          <w:p w14:paraId="7D7EFFA1" w14:textId="77777777" w:rsidR="004E45CF" w:rsidRPr="00CF3E3D" w:rsidRDefault="004E45CF" w:rsidP="007007AC">
            <w:pPr>
              <w:pStyle w:val="Tabletext"/>
              <w:rPr>
                <w:rStyle w:val="TabletextBOLD"/>
                <w:color w:val="auto"/>
              </w:rPr>
            </w:pPr>
            <w:r w:rsidRPr="00CF3E3D">
              <w:rPr>
                <w:rStyle w:val="TabletextBOLD"/>
                <w:color w:val="auto"/>
              </w:rPr>
              <w:t>2010</w:t>
            </w:r>
          </w:p>
        </w:tc>
        <w:tc>
          <w:tcPr>
            <w:tcW w:w="1508" w:type="dxa"/>
            <w:noWrap/>
          </w:tcPr>
          <w:p w14:paraId="0C21BF0C"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76.2</w:t>
            </w:r>
          </w:p>
        </w:tc>
        <w:tc>
          <w:tcPr>
            <w:tcW w:w="1560" w:type="dxa"/>
            <w:noWrap/>
          </w:tcPr>
          <w:p w14:paraId="05AAF712"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91.8</w:t>
            </w:r>
          </w:p>
        </w:tc>
        <w:tc>
          <w:tcPr>
            <w:tcW w:w="1407" w:type="dxa"/>
            <w:noWrap/>
          </w:tcPr>
          <w:p w14:paraId="0AD51A80"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86.4</w:t>
            </w:r>
          </w:p>
        </w:tc>
        <w:tc>
          <w:tcPr>
            <w:tcW w:w="1408" w:type="dxa"/>
            <w:noWrap/>
          </w:tcPr>
          <w:p w14:paraId="2C665361"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94.1</w:t>
            </w:r>
          </w:p>
        </w:tc>
        <w:tc>
          <w:tcPr>
            <w:tcW w:w="1408" w:type="dxa"/>
            <w:noWrap/>
          </w:tcPr>
          <w:p w14:paraId="6C997086"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84.6</w:t>
            </w:r>
          </w:p>
        </w:tc>
        <w:tc>
          <w:tcPr>
            <w:tcW w:w="1408" w:type="dxa"/>
            <w:noWrap/>
          </w:tcPr>
          <w:p w14:paraId="557EBF09"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93.9</w:t>
            </w:r>
          </w:p>
        </w:tc>
      </w:tr>
      <w:tr w:rsidR="004E45CF" w:rsidRPr="00CF3E3D" w14:paraId="4E853FB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42E498B8" w14:textId="77777777" w:rsidR="004E45CF" w:rsidRPr="00CF3E3D" w:rsidRDefault="004E45CF" w:rsidP="007007AC">
            <w:pPr>
              <w:pStyle w:val="Tabletext"/>
              <w:rPr>
                <w:rStyle w:val="TabletextBOLD"/>
                <w:color w:val="auto"/>
              </w:rPr>
            </w:pPr>
            <w:r w:rsidRPr="00CF3E3D">
              <w:rPr>
                <w:rStyle w:val="TabletextBOLD"/>
                <w:color w:val="auto"/>
              </w:rPr>
              <w:t>2011</w:t>
            </w:r>
          </w:p>
        </w:tc>
        <w:tc>
          <w:tcPr>
            <w:tcW w:w="1508" w:type="dxa"/>
            <w:noWrap/>
          </w:tcPr>
          <w:p w14:paraId="56C39E17"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76.3</w:t>
            </w:r>
          </w:p>
        </w:tc>
        <w:tc>
          <w:tcPr>
            <w:tcW w:w="1560" w:type="dxa"/>
            <w:noWrap/>
          </w:tcPr>
          <w:p w14:paraId="2994AAA1"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91.6</w:t>
            </w:r>
          </w:p>
        </w:tc>
        <w:tc>
          <w:tcPr>
            <w:tcW w:w="1407" w:type="dxa"/>
            <w:noWrap/>
          </w:tcPr>
          <w:p w14:paraId="4762A6E6"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85.0</w:t>
            </w:r>
          </w:p>
        </w:tc>
        <w:tc>
          <w:tcPr>
            <w:tcW w:w="1408" w:type="dxa"/>
            <w:noWrap/>
          </w:tcPr>
          <w:p w14:paraId="2EA9992D"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93.6</w:t>
            </w:r>
          </w:p>
        </w:tc>
        <w:tc>
          <w:tcPr>
            <w:tcW w:w="1408" w:type="dxa"/>
            <w:noWrap/>
          </w:tcPr>
          <w:p w14:paraId="3B662219"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83.0</w:t>
            </w:r>
          </w:p>
        </w:tc>
        <w:tc>
          <w:tcPr>
            <w:tcW w:w="1408" w:type="dxa"/>
            <w:noWrap/>
          </w:tcPr>
          <w:p w14:paraId="5836EF40"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93.1</w:t>
            </w:r>
          </w:p>
        </w:tc>
      </w:tr>
      <w:tr w:rsidR="004E45CF" w:rsidRPr="00CF3E3D" w14:paraId="348D3EE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68EB3F87" w14:textId="77777777" w:rsidR="004E45CF" w:rsidRPr="00CF3E3D" w:rsidRDefault="004E45CF" w:rsidP="007007AC">
            <w:pPr>
              <w:pStyle w:val="Tabletext"/>
              <w:rPr>
                <w:rStyle w:val="TabletextBOLD"/>
                <w:color w:val="auto"/>
              </w:rPr>
            </w:pPr>
            <w:r w:rsidRPr="00CF3E3D">
              <w:rPr>
                <w:rStyle w:val="TabletextBOLD"/>
                <w:color w:val="auto"/>
              </w:rPr>
              <w:t>2012</w:t>
            </w:r>
          </w:p>
        </w:tc>
        <w:tc>
          <w:tcPr>
            <w:tcW w:w="1508" w:type="dxa"/>
            <w:noWrap/>
          </w:tcPr>
          <w:p w14:paraId="23F10047"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76.1</w:t>
            </w:r>
          </w:p>
        </w:tc>
        <w:tc>
          <w:tcPr>
            <w:tcW w:w="1560" w:type="dxa"/>
            <w:noWrap/>
          </w:tcPr>
          <w:p w14:paraId="6FA45C49"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91.7</w:t>
            </w:r>
          </w:p>
        </w:tc>
        <w:tc>
          <w:tcPr>
            <w:tcW w:w="1407" w:type="dxa"/>
            <w:noWrap/>
          </w:tcPr>
          <w:p w14:paraId="0F755B14"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85.4</w:t>
            </w:r>
          </w:p>
        </w:tc>
        <w:tc>
          <w:tcPr>
            <w:tcW w:w="1408" w:type="dxa"/>
            <w:noWrap/>
          </w:tcPr>
          <w:p w14:paraId="2433B9CD"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93.9</w:t>
            </w:r>
          </w:p>
        </w:tc>
        <w:tc>
          <w:tcPr>
            <w:tcW w:w="1408" w:type="dxa"/>
            <w:noWrap/>
          </w:tcPr>
          <w:p w14:paraId="6F6BB567"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81.9</w:t>
            </w:r>
          </w:p>
        </w:tc>
        <w:tc>
          <w:tcPr>
            <w:tcW w:w="1408" w:type="dxa"/>
            <w:noWrap/>
          </w:tcPr>
          <w:p w14:paraId="121B18A5"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93.6</w:t>
            </w:r>
          </w:p>
        </w:tc>
      </w:tr>
      <w:tr w:rsidR="004E45CF" w:rsidRPr="00CF3E3D" w14:paraId="64F8A7D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29B29F93" w14:textId="77777777" w:rsidR="004E45CF" w:rsidRPr="00CF3E3D" w:rsidRDefault="004E45CF" w:rsidP="007007AC">
            <w:pPr>
              <w:pStyle w:val="Tabletext"/>
              <w:rPr>
                <w:rStyle w:val="TabletextBOLD"/>
                <w:color w:val="auto"/>
              </w:rPr>
            </w:pPr>
            <w:r w:rsidRPr="00CF3E3D">
              <w:rPr>
                <w:rStyle w:val="TabletextBOLD"/>
                <w:color w:val="auto"/>
              </w:rPr>
              <w:t>2013</w:t>
            </w:r>
          </w:p>
        </w:tc>
        <w:tc>
          <w:tcPr>
            <w:tcW w:w="1508" w:type="dxa"/>
            <w:noWrap/>
          </w:tcPr>
          <w:p w14:paraId="44A08FB6"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71.3</w:t>
            </w:r>
          </w:p>
        </w:tc>
        <w:tc>
          <w:tcPr>
            <w:tcW w:w="1560" w:type="dxa"/>
            <w:noWrap/>
          </w:tcPr>
          <w:p w14:paraId="5EB613A1"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90.0</w:t>
            </w:r>
          </w:p>
        </w:tc>
        <w:tc>
          <w:tcPr>
            <w:tcW w:w="1407" w:type="dxa"/>
            <w:noWrap/>
          </w:tcPr>
          <w:p w14:paraId="0A1BF184"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83.2</w:t>
            </w:r>
          </w:p>
        </w:tc>
        <w:tc>
          <w:tcPr>
            <w:tcW w:w="1408" w:type="dxa"/>
            <w:noWrap/>
          </w:tcPr>
          <w:p w14:paraId="6D0D0940"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92.6</w:t>
            </w:r>
          </w:p>
        </w:tc>
        <w:tc>
          <w:tcPr>
            <w:tcW w:w="1408" w:type="dxa"/>
            <w:noWrap/>
          </w:tcPr>
          <w:p w14:paraId="2828D436"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78.5</w:t>
            </w:r>
          </w:p>
        </w:tc>
        <w:tc>
          <w:tcPr>
            <w:tcW w:w="1408" w:type="dxa"/>
            <w:noWrap/>
          </w:tcPr>
          <w:p w14:paraId="4161EE1D"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91.2</w:t>
            </w:r>
          </w:p>
        </w:tc>
      </w:tr>
      <w:tr w:rsidR="004E45CF" w:rsidRPr="00CF3E3D" w14:paraId="3B53603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324C1D74" w14:textId="77777777" w:rsidR="004E45CF" w:rsidRPr="00CF3E3D" w:rsidRDefault="004E45CF" w:rsidP="007007AC">
            <w:pPr>
              <w:pStyle w:val="Tabletext"/>
              <w:rPr>
                <w:rStyle w:val="TabletextBOLD"/>
                <w:color w:val="auto"/>
              </w:rPr>
            </w:pPr>
            <w:r w:rsidRPr="00CF3E3D">
              <w:rPr>
                <w:rStyle w:val="TabletextBOLD"/>
                <w:color w:val="auto"/>
              </w:rPr>
              <w:t>2014</w:t>
            </w:r>
          </w:p>
        </w:tc>
        <w:tc>
          <w:tcPr>
            <w:tcW w:w="1508" w:type="dxa"/>
            <w:noWrap/>
          </w:tcPr>
          <w:p w14:paraId="2D12BB04"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68.1</w:t>
            </w:r>
          </w:p>
        </w:tc>
        <w:tc>
          <w:tcPr>
            <w:tcW w:w="1560" w:type="dxa"/>
            <w:noWrap/>
          </w:tcPr>
          <w:p w14:paraId="429D540E"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89.2</w:t>
            </w:r>
          </w:p>
        </w:tc>
        <w:tc>
          <w:tcPr>
            <w:tcW w:w="1407" w:type="dxa"/>
            <w:noWrap/>
          </w:tcPr>
          <w:p w14:paraId="28AE817E"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82.5</w:t>
            </w:r>
          </w:p>
        </w:tc>
        <w:tc>
          <w:tcPr>
            <w:tcW w:w="1408" w:type="dxa"/>
            <w:noWrap/>
          </w:tcPr>
          <w:p w14:paraId="49AA8189"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93.1</w:t>
            </w:r>
          </w:p>
        </w:tc>
        <w:tc>
          <w:tcPr>
            <w:tcW w:w="1408" w:type="dxa"/>
            <w:noWrap/>
          </w:tcPr>
          <w:p w14:paraId="2D38388A"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75.8</w:t>
            </w:r>
          </w:p>
        </w:tc>
        <w:tc>
          <w:tcPr>
            <w:tcW w:w="1408" w:type="dxa"/>
            <w:noWrap/>
          </w:tcPr>
          <w:p w14:paraId="60DDE2D1"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91.0</w:t>
            </w:r>
          </w:p>
        </w:tc>
      </w:tr>
      <w:tr w:rsidR="004E45CF" w:rsidRPr="00CF3E3D" w14:paraId="1589A31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089EF43A" w14:textId="77777777" w:rsidR="004E45CF" w:rsidRPr="00CF3E3D" w:rsidRDefault="004E45CF" w:rsidP="007007AC">
            <w:pPr>
              <w:pStyle w:val="Tabletext"/>
              <w:rPr>
                <w:rStyle w:val="TabletextBOLD"/>
                <w:color w:val="auto"/>
              </w:rPr>
            </w:pPr>
            <w:r w:rsidRPr="00CF3E3D">
              <w:rPr>
                <w:rStyle w:val="TabletextBOLD"/>
                <w:color w:val="auto"/>
              </w:rPr>
              <w:t>2015</w:t>
            </w:r>
          </w:p>
        </w:tc>
        <w:tc>
          <w:tcPr>
            <w:tcW w:w="1508" w:type="dxa"/>
            <w:noWrap/>
          </w:tcPr>
          <w:p w14:paraId="550C0B2B"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68.8</w:t>
            </w:r>
          </w:p>
        </w:tc>
        <w:tc>
          <w:tcPr>
            <w:tcW w:w="1560" w:type="dxa"/>
            <w:noWrap/>
          </w:tcPr>
          <w:p w14:paraId="4A155001"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89.5</w:t>
            </w:r>
          </w:p>
        </w:tc>
        <w:tc>
          <w:tcPr>
            <w:tcW w:w="1407" w:type="dxa"/>
            <w:noWrap/>
          </w:tcPr>
          <w:p w14:paraId="2EAB18F8"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82.7</w:t>
            </w:r>
          </w:p>
        </w:tc>
        <w:tc>
          <w:tcPr>
            <w:tcW w:w="1408" w:type="dxa"/>
            <w:noWrap/>
          </w:tcPr>
          <w:p w14:paraId="74E9BD6E"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92.7</w:t>
            </w:r>
          </w:p>
        </w:tc>
        <w:tc>
          <w:tcPr>
            <w:tcW w:w="1408" w:type="dxa"/>
            <w:noWrap/>
          </w:tcPr>
          <w:p w14:paraId="46150EE9"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73.0</w:t>
            </w:r>
          </w:p>
        </w:tc>
        <w:tc>
          <w:tcPr>
            <w:tcW w:w="1408" w:type="dxa"/>
            <w:noWrap/>
          </w:tcPr>
          <w:p w14:paraId="30E9D47E"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89.1</w:t>
            </w:r>
          </w:p>
        </w:tc>
      </w:tr>
      <w:tr w:rsidR="004E45CF" w:rsidRPr="00CF3E3D" w14:paraId="11ABBD3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5C418CFB" w14:textId="77777777" w:rsidR="004E45CF" w:rsidRPr="00CF3E3D" w:rsidRDefault="004E45CF" w:rsidP="007007AC">
            <w:pPr>
              <w:pStyle w:val="Tabletext"/>
              <w:rPr>
                <w:rStyle w:val="TabletextBOLD"/>
                <w:color w:val="auto"/>
              </w:rPr>
            </w:pPr>
            <w:r w:rsidRPr="00CF3E3D">
              <w:rPr>
                <w:rStyle w:val="TabletextBOLD"/>
                <w:color w:val="auto"/>
              </w:rPr>
              <w:t>2016</w:t>
            </w:r>
          </w:p>
        </w:tc>
        <w:tc>
          <w:tcPr>
            <w:tcW w:w="1508" w:type="dxa"/>
            <w:noWrap/>
          </w:tcPr>
          <w:p w14:paraId="59CA4FCD"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70.9</w:t>
            </w:r>
          </w:p>
        </w:tc>
        <w:tc>
          <w:tcPr>
            <w:tcW w:w="1560" w:type="dxa"/>
            <w:noWrap/>
          </w:tcPr>
          <w:p w14:paraId="4164446A"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86.4</w:t>
            </w:r>
          </w:p>
        </w:tc>
        <w:tc>
          <w:tcPr>
            <w:tcW w:w="1407" w:type="dxa"/>
            <w:noWrap/>
          </w:tcPr>
          <w:p w14:paraId="3EA16149"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85.1</w:t>
            </w:r>
          </w:p>
        </w:tc>
        <w:tc>
          <w:tcPr>
            <w:tcW w:w="1408" w:type="dxa"/>
            <w:noWrap/>
          </w:tcPr>
          <w:p w14:paraId="501E11FF"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92.4</w:t>
            </w:r>
          </w:p>
        </w:tc>
        <w:tc>
          <w:tcPr>
            <w:tcW w:w="1408" w:type="dxa"/>
            <w:noWrap/>
          </w:tcPr>
          <w:p w14:paraId="2CA553BB"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80.1</w:t>
            </w:r>
          </w:p>
        </w:tc>
        <w:tc>
          <w:tcPr>
            <w:tcW w:w="1408" w:type="dxa"/>
            <w:noWrap/>
          </w:tcPr>
          <w:p w14:paraId="5D89FC95"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90.3</w:t>
            </w:r>
          </w:p>
        </w:tc>
      </w:tr>
      <w:tr w:rsidR="004E45CF" w:rsidRPr="00CF3E3D" w14:paraId="36C692B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0485CB35" w14:textId="77777777" w:rsidR="004E45CF" w:rsidRPr="00CF3E3D" w:rsidRDefault="004E45CF" w:rsidP="007007AC">
            <w:pPr>
              <w:pStyle w:val="Tabletext"/>
              <w:rPr>
                <w:rStyle w:val="TabletextBOLD"/>
                <w:color w:val="auto"/>
              </w:rPr>
            </w:pPr>
            <w:r w:rsidRPr="00CF3E3D">
              <w:rPr>
                <w:rStyle w:val="TabletextBOLD"/>
                <w:color w:val="auto"/>
              </w:rPr>
              <w:lastRenderedPageBreak/>
              <w:t>2017</w:t>
            </w:r>
          </w:p>
        </w:tc>
        <w:tc>
          <w:tcPr>
            <w:tcW w:w="1508" w:type="dxa"/>
            <w:noWrap/>
          </w:tcPr>
          <w:p w14:paraId="1BD171E5"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71.8</w:t>
            </w:r>
          </w:p>
        </w:tc>
        <w:tc>
          <w:tcPr>
            <w:tcW w:w="1560" w:type="dxa"/>
            <w:noWrap/>
          </w:tcPr>
          <w:p w14:paraId="4D0B162A"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86.5</w:t>
            </w:r>
          </w:p>
        </w:tc>
        <w:tc>
          <w:tcPr>
            <w:tcW w:w="1407" w:type="dxa"/>
            <w:noWrap/>
          </w:tcPr>
          <w:p w14:paraId="3D5E1709"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86.1</w:t>
            </w:r>
          </w:p>
        </w:tc>
        <w:tc>
          <w:tcPr>
            <w:tcW w:w="1408" w:type="dxa"/>
            <w:noWrap/>
          </w:tcPr>
          <w:p w14:paraId="5DA67C93"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92.6</w:t>
            </w:r>
          </w:p>
        </w:tc>
        <w:tc>
          <w:tcPr>
            <w:tcW w:w="1408" w:type="dxa"/>
            <w:noWrap/>
          </w:tcPr>
          <w:p w14:paraId="5705F81B"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80.4</w:t>
            </w:r>
          </w:p>
        </w:tc>
        <w:tc>
          <w:tcPr>
            <w:tcW w:w="1408" w:type="dxa"/>
            <w:noWrap/>
          </w:tcPr>
          <w:p w14:paraId="1B0C0272"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90.6</w:t>
            </w:r>
          </w:p>
        </w:tc>
      </w:tr>
      <w:tr w:rsidR="004E45CF" w:rsidRPr="00CF3E3D" w14:paraId="1128DD3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7AF6BB35" w14:textId="77777777" w:rsidR="004E45CF" w:rsidRPr="00CF3E3D" w:rsidRDefault="004E45CF" w:rsidP="007007AC">
            <w:pPr>
              <w:pStyle w:val="Tabletext"/>
              <w:rPr>
                <w:rStyle w:val="TabletextBOLD"/>
                <w:color w:val="auto"/>
              </w:rPr>
            </w:pPr>
            <w:r w:rsidRPr="00CF3E3D">
              <w:rPr>
                <w:rStyle w:val="TabletextBOLD"/>
                <w:color w:val="auto"/>
              </w:rPr>
              <w:t>2018</w:t>
            </w:r>
          </w:p>
        </w:tc>
        <w:tc>
          <w:tcPr>
            <w:tcW w:w="1508" w:type="dxa"/>
            <w:noWrap/>
          </w:tcPr>
          <w:p w14:paraId="6678ECD1"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72.9</w:t>
            </w:r>
          </w:p>
        </w:tc>
        <w:tc>
          <w:tcPr>
            <w:tcW w:w="1560" w:type="dxa"/>
            <w:noWrap/>
          </w:tcPr>
          <w:p w14:paraId="482204D6"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87.0</w:t>
            </w:r>
          </w:p>
        </w:tc>
        <w:tc>
          <w:tcPr>
            <w:tcW w:w="1407" w:type="dxa"/>
            <w:noWrap/>
          </w:tcPr>
          <w:p w14:paraId="5C2069B2"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86.9</w:t>
            </w:r>
          </w:p>
        </w:tc>
        <w:tc>
          <w:tcPr>
            <w:tcW w:w="1408" w:type="dxa"/>
            <w:noWrap/>
          </w:tcPr>
          <w:p w14:paraId="6283B757"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92.9</w:t>
            </w:r>
          </w:p>
        </w:tc>
        <w:tc>
          <w:tcPr>
            <w:tcW w:w="1408" w:type="dxa"/>
            <w:noWrap/>
          </w:tcPr>
          <w:p w14:paraId="721D7119"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82.3</w:t>
            </w:r>
          </w:p>
        </w:tc>
        <w:tc>
          <w:tcPr>
            <w:tcW w:w="1408" w:type="dxa"/>
            <w:noWrap/>
          </w:tcPr>
          <w:p w14:paraId="6E88CCE2"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91.8</w:t>
            </w:r>
          </w:p>
        </w:tc>
      </w:tr>
      <w:tr w:rsidR="004E45CF" w:rsidRPr="00CF3E3D" w14:paraId="216362D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67BC0642" w14:textId="77777777" w:rsidR="004E45CF" w:rsidRPr="00CF3E3D" w:rsidRDefault="004E45CF" w:rsidP="007007AC">
            <w:pPr>
              <w:pStyle w:val="Tabletext"/>
              <w:rPr>
                <w:rStyle w:val="TabletextBOLD"/>
                <w:color w:val="auto"/>
              </w:rPr>
            </w:pPr>
            <w:r w:rsidRPr="00CF3E3D">
              <w:rPr>
                <w:rStyle w:val="TabletextBOLD"/>
                <w:color w:val="auto"/>
              </w:rPr>
              <w:t>2019</w:t>
            </w:r>
          </w:p>
        </w:tc>
        <w:tc>
          <w:tcPr>
            <w:tcW w:w="1508" w:type="dxa"/>
            <w:noWrap/>
          </w:tcPr>
          <w:p w14:paraId="33490C69"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72.2</w:t>
            </w:r>
          </w:p>
        </w:tc>
        <w:tc>
          <w:tcPr>
            <w:tcW w:w="1560" w:type="dxa"/>
            <w:noWrap/>
          </w:tcPr>
          <w:p w14:paraId="146DEA58"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86.8</w:t>
            </w:r>
          </w:p>
        </w:tc>
        <w:tc>
          <w:tcPr>
            <w:tcW w:w="1407" w:type="dxa"/>
            <w:noWrap/>
          </w:tcPr>
          <w:p w14:paraId="57C3EF69"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86.8</w:t>
            </w:r>
          </w:p>
        </w:tc>
        <w:tc>
          <w:tcPr>
            <w:tcW w:w="1408" w:type="dxa"/>
            <w:noWrap/>
          </w:tcPr>
          <w:p w14:paraId="12C466E3"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92.7</w:t>
            </w:r>
          </w:p>
        </w:tc>
        <w:tc>
          <w:tcPr>
            <w:tcW w:w="1408" w:type="dxa"/>
            <w:noWrap/>
          </w:tcPr>
          <w:p w14:paraId="13ABE0D8"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81.1</w:t>
            </w:r>
          </w:p>
        </w:tc>
        <w:tc>
          <w:tcPr>
            <w:tcW w:w="1408" w:type="dxa"/>
            <w:noWrap/>
          </w:tcPr>
          <w:p w14:paraId="43DD71CB"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90.7</w:t>
            </w:r>
          </w:p>
        </w:tc>
      </w:tr>
      <w:tr w:rsidR="004E45CF" w:rsidRPr="00CF3E3D" w14:paraId="597A352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7CD3DA19" w14:textId="77777777" w:rsidR="004E45CF" w:rsidRPr="00CF3E3D" w:rsidRDefault="004E45CF" w:rsidP="007007AC">
            <w:pPr>
              <w:pStyle w:val="Tabletext"/>
              <w:rPr>
                <w:rStyle w:val="TabletextBOLD"/>
                <w:color w:val="auto"/>
              </w:rPr>
            </w:pPr>
            <w:r w:rsidRPr="00CF3E3D">
              <w:rPr>
                <w:rStyle w:val="TabletextBOLD"/>
                <w:color w:val="auto"/>
              </w:rPr>
              <w:t>2020</w:t>
            </w:r>
          </w:p>
        </w:tc>
        <w:tc>
          <w:tcPr>
            <w:tcW w:w="1508" w:type="dxa"/>
            <w:noWrap/>
          </w:tcPr>
          <w:p w14:paraId="6662E4EB"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68.7</w:t>
            </w:r>
          </w:p>
        </w:tc>
        <w:tc>
          <w:tcPr>
            <w:tcW w:w="1560" w:type="dxa"/>
            <w:noWrap/>
          </w:tcPr>
          <w:p w14:paraId="7AF504AD"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85.1</w:t>
            </w:r>
          </w:p>
        </w:tc>
        <w:tc>
          <w:tcPr>
            <w:tcW w:w="1407" w:type="dxa"/>
            <w:noWrap/>
          </w:tcPr>
          <w:p w14:paraId="24C163F9"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85.6</w:t>
            </w:r>
          </w:p>
        </w:tc>
        <w:tc>
          <w:tcPr>
            <w:tcW w:w="1408" w:type="dxa"/>
            <w:noWrap/>
          </w:tcPr>
          <w:p w14:paraId="2A251C81"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91.6</w:t>
            </w:r>
          </w:p>
        </w:tc>
        <w:tc>
          <w:tcPr>
            <w:tcW w:w="1408" w:type="dxa"/>
            <w:noWrap/>
          </w:tcPr>
          <w:p w14:paraId="6CC33A8E"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80.1</w:t>
            </w:r>
          </w:p>
        </w:tc>
        <w:tc>
          <w:tcPr>
            <w:tcW w:w="1408" w:type="dxa"/>
            <w:noWrap/>
          </w:tcPr>
          <w:p w14:paraId="18AA548C"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90.0</w:t>
            </w:r>
          </w:p>
        </w:tc>
      </w:tr>
      <w:tr w:rsidR="004E45CF" w:rsidRPr="00CF3E3D" w14:paraId="560D18D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40571A00" w14:textId="77777777" w:rsidR="004E45CF" w:rsidRPr="00CF3E3D" w:rsidRDefault="004E45CF" w:rsidP="007007AC">
            <w:pPr>
              <w:pStyle w:val="Tabletext"/>
              <w:rPr>
                <w:rStyle w:val="TabletextBOLD"/>
                <w:color w:val="auto"/>
              </w:rPr>
            </w:pPr>
            <w:r w:rsidRPr="00CF3E3D">
              <w:rPr>
                <w:rStyle w:val="TabletextBOLD"/>
                <w:color w:val="auto"/>
              </w:rPr>
              <w:t>2021</w:t>
            </w:r>
          </w:p>
        </w:tc>
        <w:tc>
          <w:tcPr>
            <w:tcW w:w="1508" w:type="dxa"/>
            <w:noWrap/>
          </w:tcPr>
          <w:p w14:paraId="688D483E"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68.9</w:t>
            </w:r>
          </w:p>
        </w:tc>
        <w:tc>
          <w:tcPr>
            <w:tcW w:w="1560" w:type="dxa"/>
            <w:noWrap/>
          </w:tcPr>
          <w:p w14:paraId="0F194EFD"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84.8</w:t>
            </w:r>
          </w:p>
        </w:tc>
        <w:tc>
          <w:tcPr>
            <w:tcW w:w="1407" w:type="dxa"/>
            <w:noWrap/>
          </w:tcPr>
          <w:p w14:paraId="58F7F8EE"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84.9</w:t>
            </w:r>
          </w:p>
        </w:tc>
        <w:tc>
          <w:tcPr>
            <w:tcW w:w="1408" w:type="dxa"/>
            <w:noWrap/>
          </w:tcPr>
          <w:p w14:paraId="3C15A511"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90.8</w:t>
            </w:r>
          </w:p>
        </w:tc>
        <w:tc>
          <w:tcPr>
            <w:tcW w:w="1408" w:type="dxa"/>
            <w:noWrap/>
          </w:tcPr>
          <w:p w14:paraId="256A5884"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77.7</w:t>
            </w:r>
          </w:p>
        </w:tc>
        <w:tc>
          <w:tcPr>
            <w:tcW w:w="1408" w:type="dxa"/>
            <w:noWrap/>
          </w:tcPr>
          <w:p w14:paraId="7BD28389" w14:textId="77777777" w:rsidR="004E45CF" w:rsidRPr="00F8226E"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F8226E">
              <w:rPr>
                <w:rStyle w:val="TabletextBOLD"/>
                <w:b w:val="0"/>
                <w:bCs w:val="0"/>
                <w:color w:val="auto"/>
              </w:rPr>
              <w:t>88.1</w:t>
            </w:r>
          </w:p>
        </w:tc>
      </w:tr>
      <w:tr w:rsidR="004E45CF" w:rsidRPr="00CF3E3D" w14:paraId="074C688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4F7E52CF" w14:textId="77777777" w:rsidR="004E45CF" w:rsidRPr="00CF3E3D" w:rsidRDefault="004E45CF" w:rsidP="007007AC">
            <w:pPr>
              <w:pStyle w:val="Tabletext"/>
              <w:rPr>
                <w:rStyle w:val="TabletextBOLD"/>
                <w:color w:val="auto"/>
              </w:rPr>
            </w:pPr>
            <w:r w:rsidRPr="00CF3E3D">
              <w:rPr>
                <w:rStyle w:val="TabletextBOLD"/>
                <w:color w:val="auto"/>
              </w:rPr>
              <w:t>2022</w:t>
            </w:r>
          </w:p>
        </w:tc>
        <w:tc>
          <w:tcPr>
            <w:tcW w:w="1508" w:type="dxa"/>
            <w:noWrap/>
          </w:tcPr>
          <w:p w14:paraId="3C3BA837"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78.5</w:t>
            </w:r>
          </w:p>
        </w:tc>
        <w:tc>
          <w:tcPr>
            <w:tcW w:w="1560" w:type="dxa"/>
            <w:noWrap/>
          </w:tcPr>
          <w:p w14:paraId="57B117BA"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88.3</w:t>
            </w:r>
          </w:p>
        </w:tc>
        <w:tc>
          <w:tcPr>
            <w:tcW w:w="1407" w:type="dxa"/>
            <w:noWrap/>
          </w:tcPr>
          <w:p w14:paraId="3FE81AEE"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89.4</w:t>
            </w:r>
          </w:p>
        </w:tc>
        <w:tc>
          <w:tcPr>
            <w:tcW w:w="1408" w:type="dxa"/>
            <w:noWrap/>
          </w:tcPr>
          <w:p w14:paraId="465DE691"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93.3</w:t>
            </w:r>
          </w:p>
        </w:tc>
        <w:tc>
          <w:tcPr>
            <w:tcW w:w="1408" w:type="dxa"/>
            <w:noWrap/>
          </w:tcPr>
          <w:p w14:paraId="1B6314CE"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84.7</w:t>
            </w:r>
          </w:p>
        </w:tc>
        <w:tc>
          <w:tcPr>
            <w:tcW w:w="1408" w:type="dxa"/>
            <w:noWrap/>
          </w:tcPr>
          <w:p w14:paraId="4321EB4B" w14:textId="77777777" w:rsidR="004E45CF" w:rsidRPr="00F8226E"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F8226E">
              <w:rPr>
                <w:rStyle w:val="TabletextBOLD"/>
                <w:b w:val="0"/>
                <w:bCs w:val="0"/>
                <w:color w:val="auto"/>
              </w:rPr>
              <w:t>91.9</w:t>
            </w:r>
          </w:p>
        </w:tc>
      </w:tr>
    </w:tbl>
    <w:p w14:paraId="1952B313" w14:textId="77777777" w:rsidR="004E45CF" w:rsidRPr="00CF3E3D" w:rsidRDefault="004E45CF" w:rsidP="004E45CF">
      <w:pPr>
        <w:pStyle w:val="Body"/>
      </w:pPr>
    </w:p>
    <w:p w14:paraId="14ACA3F1" w14:textId="77777777" w:rsidR="004E45CF" w:rsidRPr="00CF3E3D" w:rsidRDefault="004E45CF" w:rsidP="004E45CF">
      <w:pPr>
        <w:pStyle w:val="Body"/>
        <w:rPr>
          <w:highlight w:val="yellow"/>
        </w:rPr>
      </w:pPr>
      <w:r w:rsidRPr="00CF3E3D">
        <w:t xml:space="preserve">Over the longer term the gender gap in graduate salaries has tended to narrow, though change has been slow, and the gender gap remains, as shown by </w:t>
      </w:r>
      <w:r w:rsidRPr="00CF3E3D">
        <w:fldChar w:fldCharType="begin"/>
      </w:r>
      <w:r w:rsidRPr="00CF3E3D">
        <w:instrText xml:space="preserve"> REF _Ref77864348 \h  \* MERGEFORMAT </w:instrText>
      </w:r>
      <w:r w:rsidRPr="00CF3E3D">
        <w:fldChar w:fldCharType="separate"/>
      </w:r>
      <w:r w:rsidRPr="00CF3E3D">
        <w:t xml:space="preserve">Table </w:t>
      </w:r>
      <w:r>
        <w:rPr>
          <w:noProof/>
        </w:rPr>
        <w:t>6</w:t>
      </w:r>
      <w:r w:rsidRPr="00CF3E3D">
        <w:fldChar w:fldCharType="end"/>
      </w:r>
      <w:r w:rsidRPr="00CF3E3D">
        <w:t>. In 2009, female undergraduates earned $47,000, which was $3,000 or 6.0 per cent lower than their male counterparts. As noted above, in 2022, the gender pay gap</w:t>
      </w:r>
      <w:r w:rsidRPr="00CF3E3D">
        <w:rPr>
          <w:rStyle w:val="FootnoteReference"/>
          <w:rFonts w:cs="Arial"/>
        </w:rPr>
        <w:footnoteReference w:id="2"/>
      </w:r>
      <w:r w:rsidRPr="00CF3E3D">
        <w:rPr>
          <w:rFonts w:cs="Arial"/>
        </w:rPr>
        <w:t xml:space="preserve"> </w:t>
      </w:r>
      <w:r w:rsidRPr="00CF3E3D">
        <w:t>in undergraduate median salaries had decreased to $2,000 or 2.9 per cent, down from 3.9 per cent in 2021. Similarly, the gender gap in postgraduate coursework salaries has declined over time, with females earning $15,000 or 19.2 per cent lower in 2009 in comparison with a gender pay gap of $10,800 or 10.8 per cent in 2022. The gender gap in postgraduate research graduate salaries has also tended to decline over time, falling from $3,000 or 4.3 per cent in 2009 to $2,100 or 1.0 per cent in 2022.</w:t>
      </w:r>
    </w:p>
    <w:p w14:paraId="3E1A0554" w14:textId="3FC5FF0B" w:rsidR="004E45CF" w:rsidRPr="00896E06" w:rsidRDefault="004E45CF" w:rsidP="004E45CF">
      <w:pPr>
        <w:pStyle w:val="Caption"/>
        <w:rPr>
          <w:rStyle w:val="Body02BOLD"/>
          <w:rFonts w:ascii="ArialMT" w:hAnsi="ArialMT" w:cs="ArialMT"/>
          <w:b/>
          <w:color w:val="000000" w:themeColor="text1"/>
        </w:rPr>
      </w:pPr>
      <w:bookmarkStart w:id="40" w:name="_Ref77864348"/>
      <w:bookmarkStart w:id="41" w:name="_Toc116035800"/>
      <w:bookmarkStart w:id="42" w:name="_Toc116040355"/>
      <w:r w:rsidRPr="00896E06">
        <w:rPr>
          <w:color w:val="000000" w:themeColor="text1"/>
        </w:rPr>
        <w:t xml:space="preserve">Table </w:t>
      </w:r>
      <w:r w:rsidRPr="00896E06">
        <w:rPr>
          <w:color w:val="000000" w:themeColor="text1"/>
        </w:rPr>
        <w:fldChar w:fldCharType="begin"/>
      </w:r>
      <w:r w:rsidRPr="00896E06">
        <w:rPr>
          <w:color w:val="000000" w:themeColor="text1"/>
        </w:rPr>
        <w:instrText xml:space="preserve"> SEQ Table \* ARABIC </w:instrText>
      </w:r>
      <w:r w:rsidRPr="00896E06">
        <w:rPr>
          <w:color w:val="000000" w:themeColor="text1"/>
        </w:rPr>
        <w:fldChar w:fldCharType="separate"/>
      </w:r>
      <w:r w:rsidR="00892AFB">
        <w:rPr>
          <w:noProof/>
          <w:color w:val="000000" w:themeColor="text1"/>
        </w:rPr>
        <w:t>6</w:t>
      </w:r>
      <w:r w:rsidRPr="00896E06">
        <w:rPr>
          <w:color w:val="000000" w:themeColor="text1"/>
        </w:rPr>
        <w:fldChar w:fldCharType="end"/>
      </w:r>
      <w:bookmarkEnd w:id="40"/>
      <w:r w:rsidRPr="00896E06">
        <w:rPr>
          <w:color w:val="000000" w:themeColor="text1"/>
        </w:rPr>
        <w:t xml:space="preserve"> </w:t>
      </w:r>
      <w:r w:rsidRPr="00896E06">
        <w:rPr>
          <w:rStyle w:val="Body02BOLD"/>
          <w:rFonts w:ascii="ArialMT" w:hAnsi="ArialMT" w:cs="ArialMT"/>
          <w:b/>
          <w:color w:val="000000" w:themeColor="text1"/>
        </w:rPr>
        <w:t>Median salaries by gender and level of study, 2009-2022</w:t>
      </w:r>
      <w:r w:rsidRPr="00896E06">
        <w:rPr>
          <w:rStyle w:val="FootnoteReference"/>
          <w:rFonts w:ascii="Arial" w:hAnsi="Arial"/>
          <w:color w:val="000000" w:themeColor="text1"/>
        </w:rPr>
        <w:footnoteReference w:id="3"/>
      </w:r>
      <w:r w:rsidRPr="00896E06">
        <w:rPr>
          <w:rStyle w:val="Body02BOLD"/>
          <w:rFonts w:ascii="ArialMT" w:hAnsi="ArialMT" w:cs="ArialMT"/>
          <w:b/>
          <w:color w:val="000000" w:themeColor="text1"/>
        </w:rPr>
        <w:t xml:space="preserve"> ($)</w:t>
      </w:r>
      <w:bookmarkEnd w:id="41"/>
      <w:bookmarkEnd w:id="42"/>
    </w:p>
    <w:tbl>
      <w:tblPr>
        <w:tblStyle w:val="SRC1"/>
        <w:tblW w:w="10021" w:type="dxa"/>
        <w:tblLayout w:type="fixed"/>
        <w:tblLook w:val="04A0" w:firstRow="1" w:lastRow="0" w:firstColumn="1" w:lastColumn="0" w:noHBand="0" w:noVBand="1"/>
      </w:tblPr>
      <w:tblGrid>
        <w:gridCol w:w="1322"/>
        <w:gridCol w:w="1508"/>
        <w:gridCol w:w="1560"/>
        <w:gridCol w:w="1407"/>
        <w:gridCol w:w="1408"/>
        <w:gridCol w:w="1408"/>
        <w:gridCol w:w="1408"/>
      </w:tblGrid>
      <w:tr w:rsidR="004E45CF" w:rsidRPr="00CF3E3D" w14:paraId="4CDEB67C"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322" w:type="dxa"/>
            <w:noWrap/>
          </w:tcPr>
          <w:p w14:paraId="074B4AE0" w14:textId="1BB7CB46" w:rsidR="004E45CF" w:rsidRPr="00CF3E3D" w:rsidRDefault="00AD3735" w:rsidP="007007AC">
            <w:pPr>
              <w:pStyle w:val="Tabletext"/>
              <w:rPr>
                <w:rStyle w:val="TabletextBOLD"/>
                <w:color w:val="auto"/>
              </w:rPr>
            </w:pPr>
            <w:bookmarkStart w:id="43" w:name="Title6"/>
            <w:bookmarkEnd w:id="43"/>
            <w:r w:rsidRPr="0021639B">
              <w:rPr>
                <w:rStyle w:val="TabletextBOLD"/>
                <w:b/>
                <w:bCs w:val="0"/>
                <w:color w:val="1F698E" w:themeColor="accent1"/>
              </w:rPr>
              <w:t>Category</w:t>
            </w:r>
          </w:p>
        </w:tc>
        <w:tc>
          <w:tcPr>
            <w:tcW w:w="1508" w:type="dxa"/>
            <w:noWrap/>
          </w:tcPr>
          <w:p w14:paraId="6E84214E" w14:textId="77777777" w:rsidR="004E45CF" w:rsidRPr="00896E06"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896E06">
              <w:rPr>
                <w:rStyle w:val="TabletextBOLD"/>
                <w:b/>
                <w:bCs w:val="0"/>
                <w:color w:val="FFFFFF" w:themeColor="background1"/>
              </w:rPr>
              <w:t xml:space="preserve">Undergraduate </w:t>
            </w:r>
          </w:p>
          <w:p w14:paraId="5DFE9470" w14:textId="77777777" w:rsidR="004E45CF" w:rsidRPr="00896E06"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896E06">
              <w:rPr>
                <w:rStyle w:val="TabletextBOLD"/>
                <w:b/>
                <w:bCs w:val="0"/>
                <w:color w:val="FFFFFF" w:themeColor="background1"/>
              </w:rPr>
              <w:t>Female</w:t>
            </w:r>
          </w:p>
        </w:tc>
        <w:tc>
          <w:tcPr>
            <w:tcW w:w="1560" w:type="dxa"/>
            <w:noWrap/>
          </w:tcPr>
          <w:p w14:paraId="0A916422" w14:textId="77777777" w:rsidR="004E45CF" w:rsidRPr="00896E06"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896E06">
              <w:rPr>
                <w:rStyle w:val="TabletextBOLD"/>
                <w:b/>
                <w:bCs w:val="0"/>
                <w:color w:val="FFFFFF" w:themeColor="background1"/>
              </w:rPr>
              <w:t xml:space="preserve">Undergraduate </w:t>
            </w:r>
          </w:p>
          <w:p w14:paraId="06BB1EDB" w14:textId="77777777" w:rsidR="004E45CF" w:rsidRPr="00896E06"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896E06">
              <w:rPr>
                <w:rStyle w:val="TabletextBOLD"/>
                <w:b/>
                <w:bCs w:val="0"/>
                <w:color w:val="FFFFFF" w:themeColor="background1"/>
              </w:rPr>
              <w:t>Male</w:t>
            </w:r>
          </w:p>
        </w:tc>
        <w:tc>
          <w:tcPr>
            <w:tcW w:w="1407" w:type="dxa"/>
            <w:noWrap/>
          </w:tcPr>
          <w:p w14:paraId="539B7B5E" w14:textId="77777777" w:rsidR="004E45CF" w:rsidRPr="00896E06"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896E06">
              <w:rPr>
                <w:rStyle w:val="TabletextBOLD"/>
                <w:b/>
                <w:bCs w:val="0"/>
                <w:color w:val="FFFFFF" w:themeColor="background1"/>
              </w:rPr>
              <w:t>Postgraduate coursework Female</w:t>
            </w:r>
          </w:p>
        </w:tc>
        <w:tc>
          <w:tcPr>
            <w:tcW w:w="1408" w:type="dxa"/>
            <w:noWrap/>
          </w:tcPr>
          <w:p w14:paraId="0ED8ADC0" w14:textId="77777777" w:rsidR="004E45CF" w:rsidRPr="00896E06"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896E06">
              <w:rPr>
                <w:rStyle w:val="TabletextBOLD"/>
                <w:b/>
                <w:bCs w:val="0"/>
                <w:color w:val="FFFFFF" w:themeColor="background1"/>
              </w:rPr>
              <w:t>Postgraduate coursework Male</w:t>
            </w:r>
          </w:p>
        </w:tc>
        <w:tc>
          <w:tcPr>
            <w:tcW w:w="1408" w:type="dxa"/>
            <w:noWrap/>
          </w:tcPr>
          <w:p w14:paraId="298E681B" w14:textId="77777777" w:rsidR="004E45CF" w:rsidRPr="00896E06"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896E06">
              <w:rPr>
                <w:rStyle w:val="TabletextBOLD"/>
                <w:b/>
                <w:bCs w:val="0"/>
                <w:color w:val="FFFFFF" w:themeColor="background1"/>
              </w:rPr>
              <w:t>Postgraduate research Female</w:t>
            </w:r>
          </w:p>
        </w:tc>
        <w:tc>
          <w:tcPr>
            <w:tcW w:w="1408" w:type="dxa"/>
            <w:noWrap/>
          </w:tcPr>
          <w:p w14:paraId="573CA6FA" w14:textId="77777777" w:rsidR="004E45CF" w:rsidRPr="00896E06" w:rsidRDefault="004E45CF" w:rsidP="007007AC">
            <w:pPr>
              <w:pStyle w:val="Tabletext"/>
              <w:jc w:val="center"/>
              <w:cnfStyle w:val="100000000000" w:firstRow="1" w:lastRow="0" w:firstColumn="0" w:lastColumn="0" w:oddVBand="0" w:evenVBand="0" w:oddHBand="0" w:evenHBand="0" w:firstRowFirstColumn="0" w:firstRowLastColumn="0" w:lastRowFirstColumn="0" w:lastRowLastColumn="0"/>
              <w:rPr>
                <w:rStyle w:val="TabletextBOLD"/>
                <w:b/>
                <w:bCs w:val="0"/>
                <w:color w:val="FFFFFF" w:themeColor="background1"/>
              </w:rPr>
            </w:pPr>
            <w:r w:rsidRPr="00896E06">
              <w:rPr>
                <w:rStyle w:val="TabletextBOLD"/>
                <w:b/>
                <w:bCs w:val="0"/>
                <w:color w:val="FFFFFF" w:themeColor="background1"/>
              </w:rPr>
              <w:t>Postgraduate research Male</w:t>
            </w:r>
          </w:p>
        </w:tc>
      </w:tr>
      <w:tr w:rsidR="004E45CF" w:rsidRPr="00CF3E3D" w14:paraId="7F11986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hideMark/>
          </w:tcPr>
          <w:p w14:paraId="170BA1F2" w14:textId="77777777" w:rsidR="004E45CF" w:rsidRPr="00CF3E3D" w:rsidRDefault="004E45CF" w:rsidP="007007AC">
            <w:pPr>
              <w:pStyle w:val="Tabletext"/>
              <w:rPr>
                <w:rStyle w:val="TabletextBOLD"/>
                <w:color w:val="auto"/>
              </w:rPr>
            </w:pPr>
            <w:r w:rsidRPr="00CF3E3D">
              <w:rPr>
                <w:rStyle w:val="TabletextBOLD"/>
                <w:color w:val="auto"/>
              </w:rPr>
              <w:t>2009</w:t>
            </w:r>
          </w:p>
        </w:tc>
        <w:tc>
          <w:tcPr>
            <w:tcW w:w="1508" w:type="dxa"/>
            <w:noWrap/>
          </w:tcPr>
          <w:p w14:paraId="34506DCC"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47,000</w:t>
            </w:r>
          </w:p>
        </w:tc>
        <w:tc>
          <w:tcPr>
            <w:tcW w:w="1560" w:type="dxa"/>
            <w:noWrap/>
          </w:tcPr>
          <w:p w14:paraId="0C90FD62"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50,000</w:t>
            </w:r>
          </w:p>
        </w:tc>
        <w:tc>
          <w:tcPr>
            <w:tcW w:w="1407" w:type="dxa"/>
            <w:noWrap/>
          </w:tcPr>
          <w:p w14:paraId="31555D03"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63,000</w:t>
            </w:r>
          </w:p>
        </w:tc>
        <w:tc>
          <w:tcPr>
            <w:tcW w:w="1408" w:type="dxa"/>
            <w:noWrap/>
          </w:tcPr>
          <w:p w14:paraId="32DE0FB6"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78,000</w:t>
            </w:r>
          </w:p>
        </w:tc>
        <w:tc>
          <w:tcPr>
            <w:tcW w:w="1408" w:type="dxa"/>
            <w:noWrap/>
          </w:tcPr>
          <w:p w14:paraId="0C0D87DF"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67,000</w:t>
            </w:r>
          </w:p>
        </w:tc>
        <w:tc>
          <w:tcPr>
            <w:tcW w:w="1408" w:type="dxa"/>
            <w:noWrap/>
          </w:tcPr>
          <w:p w14:paraId="7E2225D0"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70,000</w:t>
            </w:r>
          </w:p>
        </w:tc>
      </w:tr>
      <w:tr w:rsidR="004E45CF" w:rsidRPr="00CF3E3D" w14:paraId="31A0187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hideMark/>
          </w:tcPr>
          <w:p w14:paraId="61112473" w14:textId="77777777" w:rsidR="004E45CF" w:rsidRPr="00CF3E3D" w:rsidRDefault="004E45CF" w:rsidP="007007AC">
            <w:pPr>
              <w:pStyle w:val="Tabletext"/>
              <w:rPr>
                <w:rStyle w:val="TabletextBOLD"/>
                <w:color w:val="auto"/>
              </w:rPr>
            </w:pPr>
            <w:r w:rsidRPr="00CF3E3D">
              <w:rPr>
                <w:rStyle w:val="TabletextBOLD"/>
                <w:color w:val="auto"/>
              </w:rPr>
              <w:t>2010</w:t>
            </w:r>
          </w:p>
        </w:tc>
        <w:tc>
          <w:tcPr>
            <w:tcW w:w="1508" w:type="dxa"/>
            <w:noWrap/>
          </w:tcPr>
          <w:p w14:paraId="69B0390D"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48,000</w:t>
            </w:r>
          </w:p>
        </w:tc>
        <w:tc>
          <w:tcPr>
            <w:tcW w:w="1560" w:type="dxa"/>
            <w:noWrap/>
          </w:tcPr>
          <w:p w14:paraId="2889896E"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50,000</w:t>
            </w:r>
          </w:p>
        </w:tc>
        <w:tc>
          <w:tcPr>
            <w:tcW w:w="1407" w:type="dxa"/>
            <w:noWrap/>
          </w:tcPr>
          <w:p w14:paraId="3F6A1568"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65,000</w:t>
            </w:r>
          </w:p>
        </w:tc>
        <w:tc>
          <w:tcPr>
            <w:tcW w:w="1408" w:type="dxa"/>
            <w:noWrap/>
          </w:tcPr>
          <w:p w14:paraId="63C40574"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80,000</w:t>
            </w:r>
          </w:p>
        </w:tc>
        <w:tc>
          <w:tcPr>
            <w:tcW w:w="1408" w:type="dxa"/>
            <w:noWrap/>
          </w:tcPr>
          <w:p w14:paraId="721228B3"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70,000</w:t>
            </w:r>
          </w:p>
        </w:tc>
        <w:tc>
          <w:tcPr>
            <w:tcW w:w="1408" w:type="dxa"/>
            <w:noWrap/>
          </w:tcPr>
          <w:p w14:paraId="3DB05B01"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72,000</w:t>
            </w:r>
          </w:p>
        </w:tc>
      </w:tr>
      <w:tr w:rsidR="004E45CF" w:rsidRPr="00CF3E3D" w14:paraId="15ED930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65D87F86" w14:textId="77777777" w:rsidR="004E45CF" w:rsidRPr="00CF3E3D" w:rsidRDefault="004E45CF" w:rsidP="007007AC">
            <w:pPr>
              <w:pStyle w:val="Tabletext"/>
              <w:rPr>
                <w:rStyle w:val="TabletextBOLD"/>
                <w:color w:val="auto"/>
              </w:rPr>
            </w:pPr>
            <w:r w:rsidRPr="00CF3E3D">
              <w:rPr>
                <w:rStyle w:val="TabletextBOLD"/>
                <w:color w:val="auto"/>
              </w:rPr>
              <w:t>2011</w:t>
            </w:r>
          </w:p>
        </w:tc>
        <w:tc>
          <w:tcPr>
            <w:tcW w:w="1508" w:type="dxa"/>
            <w:noWrap/>
          </w:tcPr>
          <w:p w14:paraId="3DA12B25"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50,000</w:t>
            </w:r>
          </w:p>
        </w:tc>
        <w:tc>
          <w:tcPr>
            <w:tcW w:w="1560" w:type="dxa"/>
            <w:noWrap/>
          </w:tcPr>
          <w:p w14:paraId="6B0100C2"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52,000</w:t>
            </w:r>
          </w:p>
        </w:tc>
        <w:tc>
          <w:tcPr>
            <w:tcW w:w="1407" w:type="dxa"/>
            <w:noWrap/>
          </w:tcPr>
          <w:p w14:paraId="2086F5E9"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68,000</w:t>
            </w:r>
          </w:p>
        </w:tc>
        <w:tc>
          <w:tcPr>
            <w:tcW w:w="1408" w:type="dxa"/>
            <w:noWrap/>
          </w:tcPr>
          <w:p w14:paraId="7494A09E"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80,000</w:t>
            </w:r>
          </w:p>
        </w:tc>
        <w:tc>
          <w:tcPr>
            <w:tcW w:w="1408" w:type="dxa"/>
            <w:noWrap/>
          </w:tcPr>
          <w:p w14:paraId="04E2B75A"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73,000</w:t>
            </w:r>
          </w:p>
        </w:tc>
        <w:tc>
          <w:tcPr>
            <w:tcW w:w="1408" w:type="dxa"/>
            <w:noWrap/>
          </w:tcPr>
          <w:p w14:paraId="08A0A52E"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75,000</w:t>
            </w:r>
          </w:p>
        </w:tc>
      </w:tr>
      <w:tr w:rsidR="004E45CF" w:rsidRPr="00CF3E3D" w14:paraId="1D68232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562D572B" w14:textId="77777777" w:rsidR="004E45CF" w:rsidRPr="00CF3E3D" w:rsidRDefault="004E45CF" w:rsidP="007007AC">
            <w:pPr>
              <w:pStyle w:val="Tabletext"/>
              <w:rPr>
                <w:rStyle w:val="TabletextBOLD"/>
                <w:color w:val="auto"/>
              </w:rPr>
            </w:pPr>
            <w:r w:rsidRPr="00CF3E3D">
              <w:rPr>
                <w:rStyle w:val="TabletextBOLD"/>
                <w:color w:val="auto"/>
              </w:rPr>
              <w:t>2012</w:t>
            </w:r>
          </w:p>
        </w:tc>
        <w:tc>
          <w:tcPr>
            <w:tcW w:w="1508" w:type="dxa"/>
            <w:noWrap/>
          </w:tcPr>
          <w:p w14:paraId="2475E33D"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50,000</w:t>
            </w:r>
          </w:p>
        </w:tc>
        <w:tc>
          <w:tcPr>
            <w:tcW w:w="1560" w:type="dxa"/>
            <w:noWrap/>
          </w:tcPr>
          <w:p w14:paraId="599B7419"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55,000</w:t>
            </w:r>
          </w:p>
        </w:tc>
        <w:tc>
          <w:tcPr>
            <w:tcW w:w="1407" w:type="dxa"/>
            <w:noWrap/>
          </w:tcPr>
          <w:p w14:paraId="3BC1D439"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70,000</w:t>
            </w:r>
          </w:p>
        </w:tc>
        <w:tc>
          <w:tcPr>
            <w:tcW w:w="1408" w:type="dxa"/>
            <w:noWrap/>
          </w:tcPr>
          <w:p w14:paraId="15F77330"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85,000</w:t>
            </w:r>
          </w:p>
        </w:tc>
        <w:tc>
          <w:tcPr>
            <w:tcW w:w="1408" w:type="dxa"/>
            <w:noWrap/>
          </w:tcPr>
          <w:p w14:paraId="510AC22B"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75,000</w:t>
            </w:r>
          </w:p>
        </w:tc>
        <w:tc>
          <w:tcPr>
            <w:tcW w:w="1408" w:type="dxa"/>
            <w:noWrap/>
          </w:tcPr>
          <w:p w14:paraId="24C7BB46"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79,000</w:t>
            </w:r>
          </w:p>
        </w:tc>
      </w:tr>
      <w:tr w:rsidR="004E45CF" w:rsidRPr="00CF3E3D" w14:paraId="154DCF0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3F187364" w14:textId="77777777" w:rsidR="004E45CF" w:rsidRPr="00CF3E3D" w:rsidRDefault="004E45CF" w:rsidP="007007AC">
            <w:pPr>
              <w:pStyle w:val="Tabletext"/>
              <w:rPr>
                <w:rStyle w:val="TabletextBOLD"/>
                <w:color w:val="auto"/>
              </w:rPr>
            </w:pPr>
            <w:r w:rsidRPr="00CF3E3D">
              <w:rPr>
                <w:rStyle w:val="TabletextBOLD"/>
                <w:color w:val="auto"/>
              </w:rPr>
              <w:t>2013</w:t>
            </w:r>
          </w:p>
        </w:tc>
        <w:tc>
          <w:tcPr>
            <w:tcW w:w="1508" w:type="dxa"/>
            <w:noWrap/>
          </w:tcPr>
          <w:p w14:paraId="280FAB55"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51,630</w:t>
            </w:r>
          </w:p>
        </w:tc>
        <w:tc>
          <w:tcPr>
            <w:tcW w:w="1560" w:type="dxa"/>
            <w:noWrap/>
          </w:tcPr>
          <w:p w14:paraId="7C2C93D9"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55,000</w:t>
            </w:r>
          </w:p>
        </w:tc>
        <w:tc>
          <w:tcPr>
            <w:tcW w:w="1407" w:type="dxa"/>
            <w:noWrap/>
          </w:tcPr>
          <w:p w14:paraId="5530DFF8"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70,000</w:t>
            </w:r>
          </w:p>
        </w:tc>
        <w:tc>
          <w:tcPr>
            <w:tcW w:w="1408" w:type="dxa"/>
            <w:noWrap/>
          </w:tcPr>
          <w:p w14:paraId="4F0D1BE9"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87,000</w:t>
            </w:r>
          </w:p>
        </w:tc>
        <w:tc>
          <w:tcPr>
            <w:tcW w:w="1408" w:type="dxa"/>
            <w:noWrap/>
          </w:tcPr>
          <w:p w14:paraId="44F4AC49"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78,300</w:t>
            </w:r>
          </w:p>
        </w:tc>
        <w:tc>
          <w:tcPr>
            <w:tcW w:w="1408" w:type="dxa"/>
            <w:noWrap/>
          </w:tcPr>
          <w:p w14:paraId="798242E9"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80,000</w:t>
            </w:r>
          </w:p>
        </w:tc>
      </w:tr>
      <w:tr w:rsidR="004E45CF" w:rsidRPr="00CF3E3D" w14:paraId="31F691C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650CB023" w14:textId="77777777" w:rsidR="004E45CF" w:rsidRPr="00CF3E3D" w:rsidRDefault="004E45CF" w:rsidP="007007AC">
            <w:pPr>
              <w:pStyle w:val="Tabletext"/>
              <w:rPr>
                <w:rStyle w:val="TabletextBOLD"/>
                <w:color w:val="auto"/>
              </w:rPr>
            </w:pPr>
            <w:r w:rsidRPr="00CF3E3D">
              <w:rPr>
                <w:rStyle w:val="TabletextBOLD"/>
                <w:color w:val="auto"/>
              </w:rPr>
              <w:t>2014</w:t>
            </w:r>
          </w:p>
        </w:tc>
        <w:tc>
          <w:tcPr>
            <w:tcW w:w="1508" w:type="dxa"/>
            <w:noWrap/>
          </w:tcPr>
          <w:p w14:paraId="32CE1212"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51,600</w:t>
            </w:r>
          </w:p>
        </w:tc>
        <w:tc>
          <w:tcPr>
            <w:tcW w:w="1560" w:type="dxa"/>
            <w:noWrap/>
          </w:tcPr>
          <w:p w14:paraId="269810D6"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55,000</w:t>
            </w:r>
          </w:p>
        </w:tc>
        <w:tc>
          <w:tcPr>
            <w:tcW w:w="1407" w:type="dxa"/>
            <w:noWrap/>
          </w:tcPr>
          <w:p w14:paraId="32CAA27B"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72,000</w:t>
            </w:r>
          </w:p>
        </w:tc>
        <w:tc>
          <w:tcPr>
            <w:tcW w:w="1408" w:type="dxa"/>
            <w:noWrap/>
          </w:tcPr>
          <w:p w14:paraId="22C82021"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90,000</w:t>
            </w:r>
          </w:p>
        </w:tc>
        <w:tc>
          <w:tcPr>
            <w:tcW w:w="1408" w:type="dxa"/>
            <w:noWrap/>
          </w:tcPr>
          <w:p w14:paraId="7285447D"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80,000</w:t>
            </w:r>
          </w:p>
        </w:tc>
        <w:tc>
          <w:tcPr>
            <w:tcW w:w="1408" w:type="dxa"/>
            <w:noWrap/>
          </w:tcPr>
          <w:p w14:paraId="7DA15995"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82,000</w:t>
            </w:r>
          </w:p>
        </w:tc>
      </w:tr>
      <w:tr w:rsidR="004E45CF" w:rsidRPr="00CF3E3D" w14:paraId="124E6BC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5B445C3C" w14:textId="77777777" w:rsidR="004E45CF" w:rsidRPr="00CF3E3D" w:rsidRDefault="004E45CF" w:rsidP="007007AC">
            <w:pPr>
              <w:pStyle w:val="Tabletext"/>
              <w:rPr>
                <w:rStyle w:val="TabletextBOLD"/>
                <w:color w:val="auto"/>
              </w:rPr>
            </w:pPr>
            <w:r w:rsidRPr="00CF3E3D">
              <w:rPr>
                <w:rStyle w:val="TabletextBOLD"/>
                <w:color w:val="auto"/>
              </w:rPr>
              <w:lastRenderedPageBreak/>
              <w:t>2015</w:t>
            </w:r>
          </w:p>
        </w:tc>
        <w:tc>
          <w:tcPr>
            <w:tcW w:w="1508" w:type="dxa"/>
            <w:noWrap/>
          </w:tcPr>
          <w:p w14:paraId="68933FD0"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53,000</w:t>
            </w:r>
          </w:p>
        </w:tc>
        <w:tc>
          <w:tcPr>
            <w:tcW w:w="1560" w:type="dxa"/>
            <w:noWrap/>
          </w:tcPr>
          <w:p w14:paraId="7403FC7B"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55,000</w:t>
            </w:r>
          </w:p>
        </w:tc>
        <w:tc>
          <w:tcPr>
            <w:tcW w:w="1407" w:type="dxa"/>
            <w:noWrap/>
          </w:tcPr>
          <w:p w14:paraId="57F9E66E"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73,000</w:t>
            </w:r>
          </w:p>
        </w:tc>
        <w:tc>
          <w:tcPr>
            <w:tcW w:w="1408" w:type="dxa"/>
            <w:noWrap/>
          </w:tcPr>
          <w:p w14:paraId="2909EB98"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90,000</w:t>
            </w:r>
          </w:p>
        </w:tc>
        <w:tc>
          <w:tcPr>
            <w:tcW w:w="1408" w:type="dxa"/>
            <w:noWrap/>
          </w:tcPr>
          <w:p w14:paraId="7C9FF3B1"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80,300</w:t>
            </w:r>
          </w:p>
        </w:tc>
        <w:tc>
          <w:tcPr>
            <w:tcW w:w="1408" w:type="dxa"/>
            <w:noWrap/>
          </w:tcPr>
          <w:p w14:paraId="1F54C676"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84,000</w:t>
            </w:r>
          </w:p>
        </w:tc>
      </w:tr>
      <w:tr w:rsidR="004E45CF" w:rsidRPr="00CF3E3D" w14:paraId="73CA660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6589224E" w14:textId="77777777" w:rsidR="004E45CF" w:rsidRPr="00CF3E3D" w:rsidRDefault="004E45CF" w:rsidP="007007AC">
            <w:pPr>
              <w:pStyle w:val="Tabletext"/>
              <w:rPr>
                <w:rStyle w:val="TabletextBOLD"/>
                <w:color w:val="auto"/>
              </w:rPr>
            </w:pPr>
            <w:r w:rsidRPr="00CF3E3D">
              <w:rPr>
                <w:rStyle w:val="TabletextBOLD"/>
                <w:color w:val="auto"/>
              </w:rPr>
              <w:t>2016</w:t>
            </w:r>
          </w:p>
        </w:tc>
        <w:tc>
          <w:tcPr>
            <w:tcW w:w="1508" w:type="dxa"/>
            <w:noWrap/>
          </w:tcPr>
          <w:p w14:paraId="58F5FDF3"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56,400</w:t>
            </w:r>
          </w:p>
        </w:tc>
        <w:tc>
          <w:tcPr>
            <w:tcW w:w="1560" w:type="dxa"/>
            <w:noWrap/>
          </w:tcPr>
          <w:p w14:paraId="701C3787"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60,000</w:t>
            </w:r>
          </w:p>
        </w:tc>
        <w:tc>
          <w:tcPr>
            <w:tcW w:w="1407" w:type="dxa"/>
            <w:noWrap/>
          </w:tcPr>
          <w:p w14:paraId="058B3799"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75,700</w:t>
            </w:r>
          </w:p>
        </w:tc>
        <w:tc>
          <w:tcPr>
            <w:tcW w:w="1408" w:type="dxa"/>
            <w:noWrap/>
          </w:tcPr>
          <w:p w14:paraId="48E09E4E"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90,000</w:t>
            </w:r>
          </w:p>
        </w:tc>
        <w:tc>
          <w:tcPr>
            <w:tcW w:w="1408" w:type="dxa"/>
            <w:noWrap/>
          </w:tcPr>
          <w:p w14:paraId="6C25F93D"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83,300</w:t>
            </w:r>
          </w:p>
        </w:tc>
        <w:tc>
          <w:tcPr>
            <w:tcW w:w="1408" w:type="dxa"/>
            <w:noWrap/>
          </w:tcPr>
          <w:p w14:paraId="07D79060"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88,300</w:t>
            </w:r>
          </w:p>
        </w:tc>
      </w:tr>
      <w:tr w:rsidR="004E45CF" w:rsidRPr="00CF3E3D" w14:paraId="16B1133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36B9DCE3" w14:textId="77777777" w:rsidR="004E45CF" w:rsidRPr="00CF3E3D" w:rsidRDefault="004E45CF" w:rsidP="007007AC">
            <w:pPr>
              <w:pStyle w:val="Tabletext"/>
              <w:rPr>
                <w:rStyle w:val="TabletextBOLD"/>
                <w:color w:val="auto"/>
              </w:rPr>
            </w:pPr>
            <w:r w:rsidRPr="00CF3E3D">
              <w:rPr>
                <w:rStyle w:val="TabletextBOLD"/>
                <w:color w:val="auto"/>
              </w:rPr>
              <w:t>2017</w:t>
            </w:r>
          </w:p>
        </w:tc>
        <w:tc>
          <w:tcPr>
            <w:tcW w:w="1508" w:type="dxa"/>
            <w:noWrap/>
          </w:tcPr>
          <w:p w14:paraId="135BB421"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59,000</w:t>
            </w:r>
          </w:p>
        </w:tc>
        <w:tc>
          <w:tcPr>
            <w:tcW w:w="1560" w:type="dxa"/>
            <w:noWrap/>
          </w:tcPr>
          <w:p w14:paraId="401A0A4A"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60,100</w:t>
            </w:r>
          </w:p>
        </w:tc>
        <w:tc>
          <w:tcPr>
            <w:tcW w:w="1407" w:type="dxa"/>
            <w:noWrap/>
          </w:tcPr>
          <w:p w14:paraId="42098A7B"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76,000</w:t>
            </w:r>
          </w:p>
        </w:tc>
        <w:tc>
          <w:tcPr>
            <w:tcW w:w="1408" w:type="dxa"/>
            <w:noWrap/>
          </w:tcPr>
          <w:p w14:paraId="0312631C"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91,000</w:t>
            </w:r>
          </w:p>
        </w:tc>
        <w:tc>
          <w:tcPr>
            <w:tcW w:w="1408" w:type="dxa"/>
            <w:noWrap/>
          </w:tcPr>
          <w:p w14:paraId="7370D527"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86,000</w:t>
            </w:r>
          </w:p>
        </w:tc>
        <w:tc>
          <w:tcPr>
            <w:tcW w:w="1408" w:type="dxa"/>
            <w:noWrap/>
          </w:tcPr>
          <w:p w14:paraId="4AAE2AE9"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89,800</w:t>
            </w:r>
          </w:p>
        </w:tc>
      </w:tr>
      <w:tr w:rsidR="004E45CF" w:rsidRPr="00CF3E3D" w14:paraId="7537CC2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223B3EBC" w14:textId="77777777" w:rsidR="004E45CF" w:rsidRPr="00CF3E3D" w:rsidRDefault="004E45CF" w:rsidP="007007AC">
            <w:pPr>
              <w:pStyle w:val="Tabletext"/>
              <w:rPr>
                <w:rStyle w:val="TabletextBOLD"/>
                <w:color w:val="auto"/>
              </w:rPr>
            </w:pPr>
            <w:r w:rsidRPr="00CF3E3D">
              <w:rPr>
                <w:rStyle w:val="TabletextBOLD"/>
                <w:color w:val="auto"/>
              </w:rPr>
              <w:t>2018</w:t>
            </w:r>
          </w:p>
        </w:tc>
        <w:tc>
          <w:tcPr>
            <w:tcW w:w="1508" w:type="dxa"/>
            <w:noWrap/>
          </w:tcPr>
          <w:p w14:paraId="55E281A5"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60,000</w:t>
            </w:r>
          </w:p>
        </w:tc>
        <w:tc>
          <w:tcPr>
            <w:tcW w:w="1560" w:type="dxa"/>
            <w:noWrap/>
          </w:tcPr>
          <w:p w14:paraId="6D947E7D"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63,000</w:t>
            </w:r>
          </w:p>
        </w:tc>
        <w:tc>
          <w:tcPr>
            <w:tcW w:w="1407" w:type="dxa"/>
            <w:noWrap/>
          </w:tcPr>
          <w:p w14:paraId="74C582A9"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79,000</w:t>
            </w:r>
          </w:p>
        </w:tc>
        <w:tc>
          <w:tcPr>
            <w:tcW w:w="1408" w:type="dxa"/>
            <w:noWrap/>
          </w:tcPr>
          <w:p w14:paraId="583273F8"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92,500</w:t>
            </w:r>
          </w:p>
        </w:tc>
        <w:tc>
          <w:tcPr>
            <w:tcW w:w="1408" w:type="dxa"/>
            <w:noWrap/>
          </w:tcPr>
          <w:p w14:paraId="2297E48F"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90,000</w:t>
            </w:r>
          </w:p>
        </w:tc>
        <w:tc>
          <w:tcPr>
            <w:tcW w:w="1408" w:type="dxa"/>
            <w:noWrap/>
          </w:tcPr>
          <w:p w14:paraId="38281844"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90,200</w:t>
            </w:r>
          </w:p>
        </w:tc>
      </w:tr>
      <w:tr w:rsidR="004E45CF" w:rsidRPr="00CF3E3D" w14:paraId="1697262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789F0F9C" w14:textId="77777777" w:rsidR="004E45CF" w:rsidRPr="00CF3E3D" w:rsidRDefault="004E45CF" w:rsidP="007007AC">
            <w:pPr>
              <w:pStyle w:val="Tabletext"/>
              <w:rPr>
                <w:rStyle w:val="TabletextBOLD"/>
                <w:color w:val="auto"/>
              </w:rPr>
            </w:pPr>
            <w:r w:rsidRPr="00CF3E3D">
              <w:rPr>
                <w:rStyle w:val="TabletextBOLD"/>
                <w:color w:val="auto"/>
              </w:rPr>
              <w:t>2019</w:t>
            </w:r>
          </w:p>
        </w:tc>
        <w:tc>
          <w:tcPr>
            <w:tcW w:w="1508" w:type="dxa"/>
            <w:noWrap/>
          </w:tcPr>
          <w:p w14:paraId="0926DD2B"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61,500</w:t>
            </w:r>
          </w:p>
        </w:tc>
        <w:tc>
          <w:tcPr>
            <w:tcW w:w="1560" w:type="dxa"/>
            <w:noWrap/>
          </w:tcPr>
          <w:p w14:paraId="32FF7A16"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64,700</w:t>
            </w:r>
          </w:p>
        </w:tc>
        <w:tc>
          <w:tcPr>
            <w:tcW w:w="1407" w:type="dxa"/>
            <w:noWrap/>
          </w:tcPr>
          <w:p w14:paraId="0DFB7211"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81,300</w:t>
            </w:r>
          </w:p>
        </w:tc>
        <w:tc>
          <w:tcPr>
            <w:tcW w:w="1408" w:type="dxa"/>
            <w:noWrap/>
          </w:tcPr>
          <w:p w14:paraId="0253A203"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95,000</w:t>
            </w:r>
          </w:p>
        </w:tc>
        <w:tc>
          <w:tcPr>
            <w:tcW w:w="1408" w:type="dxa"/>
            <w:noWrap/>
          </w:tcPr>
          <w:p w14:paraId="5D7B0A88"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90,000</w:t>
            </w:r>
          </w:p>
        </w:tc>
        <w:tc>
          <w:tcPr>
            <w:tcW w:w="1408" w:type="dxa"/>
            <w:noWrap/>
          </w:tcPr>
          <w:p w14:paraId="544FDB26"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92,000</w:t>
            </w:r>
          </w:p>
        </w:tc>
      </w:tr>
      <w:tr w:rsidR="004E45CF" w:rsidRPr="00CF3E3D" w14:paraId="3484616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3FA0A9B3" w14:textId="77777777" w:rsidR="004E45CF" w:rsidRPr="00CF3E3D" w:rsidRDefault="004E45CF" w:rsidP="007007AC">
            <w:pPr>
              <w:pStyle w:val="Tabletext"/>
              <w:rPr>
                <w:rStyle w:val="TabletextBOLD"/>
                <w:color w:val="auto"/>
              </w:rPr>
            </w:pPr>
            <w:r w:rsidRPr="00CF3E3D">
              <w:rPr>
                <w:rStyle w:val="TabletextBOLD"/>
                <w:color w:val="auto"/>
              </w:rPr>
              <w:t>2020</w:t>
            </w:r>
          </w:p>
        </w:tc>
        <w:tc>
          <w:tcPr>
            <w:tcW w:w="1508" w:type="dxa"/>
            <w:noWrap/>
          </w:tcPr>
          <w:p w14:paraId="119AFC97"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63,400</w:t>
            </w:r>
          </w:p>
        </w:tc>
        <w:tc>
          <w:tcPr>
            <w:tcW w:w="1560" w:type="dxa"/>
            <w:noWrap/>
          </w:tcPr>
          <w:p w14:paraId="01D8E80E"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65,000</w:t>
            </w:r>
          </w:p>
        </w:tc>
        <w:tc>
          <w:tcPr>
            <w:tcW w:w="1407" w:type="dxa"/>
            <w:noWrap/>
          </w:tcPr>
          <w:p w14:paraId="794B013A"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83,500</w:t>
            </w:r>
          </w:p>
        </w:tc>
        <w:tc>
          <w:tcPr>
            <w:tcW w:w="1408" w:type="dxa"/>
            <w:noWrap/>
          </w:tcPr>
          <w:p w14:paraId="4D7B0B5A"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96,000</w:t>
            </w:r>
          </w:p>
        </w:tc>
        <w:tc>
          <w:tcPr>
            <w:tcW w:w="1408" w:type="dxa"/>
            <w:noWrap/>
          </w:tcPr>
          <w:p w14:paraId="046F613A"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91,900</w:t>
            </w:r>
          </w:p>
        </w:tc>
        <w:tc>
          <w:tcPr>
            <w:tcW w:w="1408" w:type="dxa"/>
            <w:noWrap/>
          </w:tcPr>
          <w:p w14:paraId="3FF1A644"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95,000</w:t>
            </w:r>
          </w:p>
        </w:tc>
      </w:tr>
      <w:tr w:rsidR="004E45CF" w:rsidRPr="00CF3E3D" w14:paraId="7820A7F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5598CEE8" w14:textId="77777777" w:rsidR="004E45CF" w:rsidRPr="00CF3E3D" w:rsidRDefault="004E45CF" w:rsidP="007007AC">
            <w:pPr>
              <w:pStyle w:val="Tabletext"/>
              <w:rPr>
                <w:rStyle w:val="TabletextBOLD"/>
                <w:color w:val="auto"/>
              </w:rPr>
            </w:pPr>
            <w:r w:rsidRPr="00CF3E3D">
              <w:rPr>
                <w:rStyle w:val="TabletextBOLD"/>
                <w:color w:val="auto"/>
              </w:rPr>
              <w:t>2021</w:t>
            </w:r>
          </w:p>
        </w:tc>
        <w:tc>
          <w:tcPr>
            <w:tcW w:w="1508" w:type="dxa"/>
            <w:noWrap/>
          </w:tcPr>
          <w:p w14:paraId="6246801B"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64,200</w:t>
            </w:r>
          </w:p>
        </w:tc>
        <w:tc>
          <w:tcPr>
            <w:tcW w:w="1560" w:type="dxa"/>
            <w:noWrap/>
          </w:tcPr>
          <w:p w14:paraId="45AD863E"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66,800</w:t>
            </w:r>
          </w:p>
        </w:tc>
        <w:tc>
          <w:tcPr>
            <w:tcW w:w="1407" w:type="dxa"/>
            <w:noWrap/>
          </w:tcPr>
          <w:p w14:paraId="2D03CAB9"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85,000</w:t>
            </w:r>
          </w:p>
        </w:tc>
        <w:tc>
          <w:tcPr>
            <w:tcW w:w="1408" w:type="dxa"/>
            <w:noWrap/>
          </w:tcPr>
          <w:p w14:paraId="0584D8A7"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99,000</w:t>
            </w:r>
          </w:p>
        </w:tc>
        <w:tc>
          <w:tcPr>
            <w:tcW w:w="1408" w:type="dxa"/>
            <w:noWrap/>
          </w:tcPr>
          <w:p w14:paraId="5478300B"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93,900</w:t>
            </w:r>
          </w:p>
        </w:tc>
        <w:tc>
          <w:tcPr>
            <w:tcW w:w="1408" w:type="dxa"/>
            <w:noWrap/>
          </w:tcPr>
          <w:p w14:paraId="21D80ABD" w14:textId="77777777" w:rsidR="004E45CF" w:rsidRPr="00E33B7F" w:rsidRDefault="004E45CF" w:rsidP="007007AC">
            <w:pPr>
              <w:pStyle w:val="Tabletext"/>
              <w:jc w:val="center"/>
              <w:cnfStyle w:val="000000100000" w:firstRow="0" w:lastRow="0" w:firstColumn="0" w:lastColumn="0" w:oddVBand="0" w:evenVBand="0" w:oddHBand="1" w:evenHBand="0" w:firstRowFirstColumn="0" w:firstRowLastColumn="0" w:lastRowFirstColumn="0" w:lastRowLastColumn="0"/>
              <w:rPr>
                <w:rStyle w:val="TabletextBOLD"/>
                <w:b w:val="0"/>
                <w:bCs w:val="0"/>
                <w:color w:val="auto"/>
              </w:rPr>
            </w:pPr>
            <w:r w:rsidRPr="00E33B7F">
              <w:rPr>
                <w:rStyle w:val="TabletextBOLD"/>
                <w:b w:val="0"/>
                <w:bCs w:val="0"/>
                <w:color w:val="auto"/>
              </w:rPr>
              <w:t>96,000</w:t>
            </w:r>
          </w:p>
        </w:tc>
      </w:tr>
      <w:tr w:rsidR="004E45CF" w:rsidRPr="00CF3E3D" w14:paraId="08E33ED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noWrap/>
          </w:tcPr>
          <w:p w14:paraId="17D958A6" w14:textId="77777777" w:rsidR="004E45CF" w:rsidRPr="00CF3E3D" w:rsidRDefault="004E45CF" w:rsidP="007007AC">
            <w:pPr>
              <w:pStyle w:val="Tabletext"/>
              <w:rPr>
                <w:rStyle w:val="TabletextBOLD"/>
                <w:color w:val="auto"/>
              </w:rPr>
            </w:pPr>
            <w:r w:rsidRPr="00CF3E3D">
              <w:rPr>
                <w:rStyle w:val="TabletextBOLD"/>
                <w:color w:val="auto"/>
              </w:rPr>
              <w:t>2022</w:t>
            </w:r>
          </w:p>
        </w:tc>
        <w:tc>
          <w:tcPr>
            <w:tcW w:w="1508" w:type="dxa"/>
            <w:noWrap/>
          </w:tcPr>
          <w:p w14:paraId="082A9394"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67,400</w:t>
            </w:r>
          </w:p>
        </w:tc>
        <w:tc>
          <w:tcPr>
            <w:tcW w:w="1560" w:type="dxa"/>
            <w:noWrap/>
          </w:tcPr>
          <w:p w14:paraId="646C3BE0"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69,400</w:t>
            </w:r>
          </w:p>
        </w:tc>
        <w:tc>
          <w:tcPr>
            <w:tcW w:w="1407" w:type="dxa"/>
            <w:noWrap/>
          </w:tcPr>
          <w:p w14:paraId="2741F989"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89,200</w:t>
            </w:r>
          </w:p>
        </w:tc>
        <w:tc>
          <w:tcPr>
            <w:tcW w:w="1408" w:type="dxa"/>
            <w:noWrap/>
          </w:tcPr>
          <w:p w14:paraId="290ECB99"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100,000</w:t>
            </w:r>
          </w:p>
        </w:tc>
        <w:tc>
          <w:tcPr>
            <w:tcW w:w="1408" w:type="dxa"/>
            <w:noWrap/>
          </w:tcPr>
          <w:p w14:paraId="37A5635B"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96,000</w:t>
            </w:r>
          </w:p>
        </w:tc>
        <w:tc>
          <w:tcPr>
            <w:tcW w:w="1408" w:type="dxa"/>
            <w:noWrap/>
          </w:tcPr>
          <w:p w14:paraId="5EE16B6E" w14:textId="77777777" w:rsidR="004E45CF" w:rsidRPr="00E33B7F" w:rsidRDefault="004E45CF" w:rsidP="007007AC">
            <w:pPr>
              <w:pStyle w:val="Tabletext"/>
              <w:jc w:val="center"/>
              <w:cnfStyle w:val="000000010000" w:firstRow="0" w:lastRow="0" w:firstColumn="0" w:lastColumn="0" w:oddVBand="0" w:evenVBand="0" w:oddHBand="0" w:evenHBand="1" w:firstRowFirstColumn="0" w:firstRowLastColumn="0" w:lastRowFirstColumn="0" w:lastRowLastColumn="0"/>
              <w:rPr>
                <w:rStyle w:val="TabletextBOLD"/>
                <w:b w:val="0"/>
                <w:bCs w:val="0"/>
                <w:color w:val="auto"/>
              </w:rPr>
            </w:pPr>
            <w:r w:rsidRPr="00E33B7F">
              <w:rPr>
                <w:rStyle w:val="TabletextBOLD"/>
                <w:b w:val="0"/>
                <w:bCs w:val="0"/>
                <w:color w:val="auto"/>
              </w:rPr>
              <w:t>97,000</w:t>
            </w:r>
          </w:p>
        </w:tc>
      </w:tr>
    </w:tbl>
    <w:p w14:paraId="10EE9CD1" w14:textId="77777777" w:rsidR="004E45CF" w:rsidRPr="002F77B2" w:rsidRDefault="004E45CF" w:rsidP="002F77B2">
      <w:pPr>
        <w:pStyle w:val="Heading3"/>
        <w:numPr>
          <w:ilvl w:val="0"/>
          <w:numId w:val="0"/>
        </w:numPr>
        <w:ind w:left="851" w:hanging="851"/>
        <w:rPr>
          <w:color w:val="000000" w:themeColor="text1"/>
        </w:rPr>
      </w:pPr>
      <w:bookmarkStart w:id="44" w:name="_Toc116035541"/>
      <w:bookmarkStart w:id="45" w:name="_Toc116039896"/>
      <w:r w:rsidRPr="002F77B2">
        <w:rPr>
          <w:color w:val="000000" w:themeColor="text1"/>
        </w:rPr>
        <w:t xml:space="preserve">2.4 </w:t>
      </w:r>
      <w:r w:rsidRPr="002F77B2">
        <w:rPr>
          <w:color w:val="000000" w:themeColor="text1"/>
        </w:rPr>
        <w:tab/>
        <w:t>Underemployment</w:t>
      </w:r>
      <w:bookmarkEnd w:id="44"/>
      <w:bookmarkEnd w:id="45"/>
    </w:p>
    <w:p w14:paraId="2D02C82E" w14:textId="1ECFE931" w:rsidR="004E45CF" w:rsidRPr="00CF3E3D" w:rsidRDefault="004E45CF" w:rsidP="004E45CF">
      <w:pPr>
        <w:pStyle w:val="Body"/>
      </w:pPr>
      <w:r w:rsidRPr="00CF3E3D">
        <w:t>In 2022, the proportion of employed undergraduates seeking more hours of work, that is, underemployed part-time workers, was 13.9 per cent, a decrease from 19.3 per cent in 2021 and the lowest reported since the GOS timeseries began in 2016. This decrease in part-time underemployment corresponds with the increased rate of undergraduate full-time employment previously discussed. In addition, 16.6 per cent of employed undergraduates were working part-time but were satisfied with the hours they were working.</w:t>
      </w:r>
    </w:p>
    <w:p w14:paraId="5EC666C6" w14:textId="77777777" w:rsidR="004E45CF" w:rsidRPr="00CF3E3D" w:rsidRDefault="004E45CF" w:rsidP="004E45CF">
      <w:r w:rsidRPr="00CF3E3D">
        <w:t>In 2022, the main reason that undergraduates were underemployed was because there were no more hours available in their current position, 41.1 per cent. Other common reasons were that they were studying, 18.1 per cent, or because there were no suitable jobs in area of expertise, 8.9 per cent.</w:t>
      </w:r>
    </w:p>
    <w:p w14:paraId="7C61A081" w14:textId="5602FFD3" w:rsidR="004E45CF" w:rsidRPr="002F77B2" w:rsidRDefault="004E45CF" w:rsidP="00896E06">
      <w:pPr>
        <w:pStyle w:val="Caption"/>
        <w:ind w:left="709" w:hanging="709"/>
        <w:rPr>
          <w:color w:val="000000" w:themeColor="text1"/>
        </w:rPr>
      </w:pPr>
      <w:bookmarkStart w:id="46" w:name="_Ref77867410"/>
      <w:bookmarkStart w:id="47" w:name="_Toc116035801"/>
      <w:bookmarkStart w:id="48" w:name="_Toc116040356"/>
      <w:r w:rsidRPr="002F77B2">
        <w:rPr>
          <w:color w:val="000000" w:themeColor="text1"/>
        </w:rPr>
        <w:t xml:space="preserve">Table </w:t>
      </w:r>
      <w:r w:rsidRPr="002F77B2">
        <w:rPr>
          <w:color w:val="000000" w:themeColor="text1"/>
        </w:rPr>
        <w:fldChar w:fldCharType="begin"/>
      </w:r>
      <w:r w:rsidRPr="002F77B2">
        <w:rPr>
          <w:color w:val="000000" w:themeColor="text1"/>
        </w:rPr>
        <w:instrText xml:space="preserve"> SEQ Table \* ARABIC </w:instrText>
      </w:r>
      <w:r w:rsidRPr="002F77B2">
        <w:rPr>
          <w:color w:val="000000" w:themeColor="text1"/>
        </w:rPr>
        <w:fldChar w:fldCharType="separate"/>
      </w:r>
      <w:r w:rsidR="002F77B2">
        <w:rPr>
          <w:noProof/>
          <w:color w:val="000000" w:themeColor="text1"/>
        </w:rPr>
        <w:t>7</w:t>
      </w:r>
      <w:r w:rsidRPr="002F77B2">
        <w:rPr>
          <w:color w:val="000000" w:themeColor="text1"/>
        </w:rPr>
        <w:fldChar w:fldCharType="end"/>
      </w:r>
      <w:bookmarkEnd w:id="46"/>
      <w:r w:rsidRPr="002F77B2">
        <w:rPr>
          <w:color w:val="000000" w:themeColor="text1"/>
        </w:rPr>
        <w:t xml:space="preserve"> Main reason not working more hours, of undergraduates employed part-time by preference for more hours, 2022 (%)</w:t>
      </w:r>
      <w:bookmarkEnd w:id="47"/>
      <w:bookmarkEnd w:id="48"/>
    </w:p>
    <w:tbl>
      <w:tblPr>
        <w:tblStyle w:val="SRC1"/>
        <w:tblW w:w="5063" w:type="pct"/>
        <w:tblLook w:val="0020" w:firstRow="1" w:lastRow="0" w:firstColumn="0" w:lastColumn="0" w:noHBand="0" w:noVBand="0"/>
        <w:tblCaption w:val="Table 5  Short- (2014) and medium-term (2017) outcomes for undergraduates by study area "/>
      </w:tblPr>
      <w:tblGrid>
        <w:gridCol w:w="3124"/>
        <w:gridCol w:w="1020"/>
        <w:gridCol w:w="1020"/>
        <w:gridCol w:w="1020"/>
        <w:gridCol w:w="1000"/>
        <w:gridCol w:w="1000"/>
        <w:gridCol w:w="1000"/>
      </w:tblGrid>
      <w:tr w:rsidR="004E45CF" w:rsidRPr="00CF3E3D" w14:paraId="644484F3"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799" w:type="pct"/>
          </w:tcPr>
          <w:p w14:paraId="48576841" w14:textId="55BBC0F4" w:rsidR="004E45CF" w:rsidRPr="00CF3E3D" w:rsidRDefault="001863B8" w:rsidP="007007AC">
            <w:pPr>
              <w:spacing w:before="85" w:line="288" w:lineRule="auto"/>
              <w:rPr>
                <w:sz w:val="18"/>
                <w:szCs w:val="18"/>
              </w:rPr>
            </w:pPr>
            <w:bookmarkStart w:id="49" w:name="Title7"/>
            <w:bookmarkEnd w:id="49"/>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533" w:type="pct"/>
          </w:tcPr>
          <w:p w14:paraId="5C4754F6" w14:textId="77777777" w:rsidR="004E45CF" w:rsidRPr="00896E06" w:rsidRDefault="004E45CF" w:rsidP="007007AC">
            <w:pPr>
              <w:spacing w:before="85" w:line="288" w:lineRule="auto"/>
              <w:jc w:val="center"/>
              <w:rPr>
                <w:b w:val="0"/>
                <w:bCs/>
                <w:color w:val="FFFFFF" w:themeColor="background1"/>
                <w:sz w:val="18"/>
                <w:szCs w:val="18"/>
              </w:rPr>
            </w:pPr>
            <w:r w:rsidRPr="00896E06">
              <w:rPr>
                <w:bCs/>
                <w:color w:val="FFFFFF" w:themeColor="background1"/>
                <w:sz w:val="18"/>
                <w:szCs w:val="18"/>
              </w:rPr>
              <w:t>Seeking more hours</w:t>
            </w:r>
            <w:r w:rsidRPr="00896E06">
              <w:rPr>
                <w:bCs/>
                <w:caps/>
                <w:color w:val="FFFFFF" w:themeColor="background1"/>
                <w:sz w:val="18"/>
                <w:szCs w:val="18"/>
              </w:rPr>
              <w:t xml:space="preserve"> </w:t>
            </w:r>
            <w:r w:rsidRPr="00896E06">
              <w:rPr>
                <w:bCs/>
                <w:color w:val="FFFFFF" w:themeColor="background1"/>
                <w:sz w:val="18"/>
                <w:szCs w:val="18"/>
              </w:rPr>
              <w:t>Female</w:t>
            </w:r>
          </w:p>
        </w:tc>
        <w:tc>
          <w:tcPr>
            <w:cnfStyle w:val="000010000000" w:firstRow="0" w:lastRow="0" w:firstColumn="0" w:lastColumn="0" w:oddVBand="1" w:evenVBand="0" w:oddHBand="0" w:evenHBand="0" w:firstRowFirstColumn="0" w:firstRowLastColumn="0" w:lastRowFirstColumn="0" w:lastRowLastColumn="0"/>
            <w:tcW w:w="534" w:type="pct"/>
          </w:tcPr>
          <w:p w14:paraId="379348EB" w14:textId="77777777" w:rsidR="004E45CF" w:rsidRPr="00896E06" w:rsidRDefault="004E45CF" w:rsidP="007007AC">
            <w:pPr>
              <w:spacing w:before="85" w:line="288" w:lineRule="auto"/>
              <w:jc w:val="center"/>
              <w:rPr>
                <w:b w:val="0"/>
                <w:bCs/>
                <w:color w:val="FFFFFF" w:themeColor="background1"/>
                <w:sz w:val="18"/>
                <w:szCs w:val="18"/>
              </w:rPr>
            </w:pPr>
            <w:r w:rsidRPr="00896E06">
              <w:rPr>
                <w:bCs/>
                <w:color w:val="FFFFFF" w:themeColor="background1"/>
                <w:sz w:val="18"/>
                <w:szCs w:val="18"/>
              </w:rPr>
              <w:t>Seeking more hours</w:t>
            </w:r>
            <w:r w:rsidRPr="00896E06">
              <w:rPr>
                <w:bCs/>
                <w:caps/>
                <w:color w:val="FFFFFF" w:themeColor="background1"/>
                <w:sz w:val="18"/>
                <w:szCs w:val="18"/>
              </w:rPr>
              <w:t xml:space="preserve"> </w:t>
            </w:r>
            <w:r w:rsidRPr="00896E06">
              <w:rPr>
                <w:bCs/>
                <w:color w:val="FFFFFF" w:themeColor="background1"/>
                <w:sz w:val="18"/>
                <w:szCs w:val="18"/>
              </w:rPr>
              <w:t>Male</w:t>
            </w:r>
          </w:p>
        </w:tc>
        <w:tc>
          <w:tcPr>
            <w:cnfStyle w:val="000001000000" w:firstRow="0" w:lastRow="0" w:firstColumn="0" w:lastColumn="0" w:oddVBand="0" w:evenVBand="1" w:oddHBand="0" w:evenHBand="0" w:firstRowFirstColumn="0" w:firstRowLastColumn="0" w:lastRowFirstColumn="0" w:lastRowLastColumn="0"/>
            <w:tcW w:w="533" w:type="pct"/>
          </w:tcPr>
          <w:p w14:paraId="28613A43" w14:textId="77777777" w:rsidR="004E45CF" w:rsidRPr="00896E06" w:rsidRDefault="004E45CF" w:rsidP="007007AC">
            <w:pPr>
              <w:spacing w:before="85" w:line="288" w:lineRule="auto"/>
              <w:jc w:val="center"/>
              <w:rPr>
                <w:b w:val="0"/>
                <w:bCs/>
                <w:color w:val="FFFFFF" w:themeColor="background1"/>
                <w:sz w:val="18"/>
                <w:szCs w:val="18"/>
              </w:rPr>
            </w:pPr>
            <w:r w:rsidRPr="00896E06">
              <w:rPr>
                <w:bCs/>
                <w:color w:val="FFFFFF" w:themeColor="background1"/>
                <w:sz w:val="18"/>
                <w:szCs w:val="18"/>
              </w:rPr>
              <w:t>Seeking more hours</w:t>
            </w:r>
            <w:r w:rsidRPr="00896E06">
              <w:rPr>
                <w:bCs/>
                <w:caps/>
                <w:color w:val="FFFFFF" w:themeColor="background1"/>
                <w:sz w:val="18"/>
                <w:szCs w:val="18"/>
              </w:rPr>
              <w:t xml:space="preserve"> </w:t>
            </w:r>
            <w:r w:rsidRPr="00896E06">
              <w:rPr>
                <w:bCs/>
                <w:color w:val="FFFFFF" w:themeColor="background1"/>
                <w:sz w:val="18"/>
                <w:szCs w:val="18"/>
              </w:rPr>
              <w:t>Total</w:t>
            </w:r>
          </w:p>
        </w:tc>
        <w:tc>
          <w:tcPr>
            <w:cnfStyle w:val="000010000000" w:firstRow="0" w:lastRow="0" w:firstColumn="0" w:lastColumn="0" w:oddVBand="1" w:evenVBand="0" w:oddHBand="0" w:evenHBand="0" w:firstRowFirstColumn="0" w:firstRowLastColumn="0" w:lastRowFirstColumn="0" w:lastRowLastColumn="0"/>
            <w:tcW w:w="534" w:type="pct"/>
          </w:tcPr>
          <w:p w14:paraId="3504DC7B" w14:textId="77777777" w:rsidR="004E45CF" w:rsidRPr="00896E06" w:rsidRDefault="004E45CF" w:rsidP="007007AC">
            <w:pPr>
              <w:spacing w:before="85" w:line="288" w:lineRule="auto"/>
              <w:jc w:val="center"/>
              <w:rPr>
                <w:b w:val="0"/>
                <w:bCs/>
                <w:color w:val="FFFFFF" w:themeColor="background1"/>
                <w:sz w:val="18"/>
                <w:szCs w:val="18"/>
              </w:rPr>
            </w:pPr>
            <w:r w:rsidRPr="00896E06">
              <w:rPr>
                <w:bCs/>
                <w:color w:val="FFFFFF" w:themeColor="background1"/>
                <w:sz w:val="18"/>
                <w:szCs w:val="18"/>
              </w:rPr>
              <w:t>Not seeking more hours</w:t>
            </w:r>
            <w:r w:rsidRPr="00896E06">
              <w:rPr>
                <w:bCs/>
                <w:caps/>
                <w:color w:val="FFFFFF" w:themeColor="background1"/>
                <w:sz w:val="18"/>
                <w:szCs w:val="18"/>
              </w:rPr>
              <w:t xml:space="preserve"> </w:t>
            </w:r>
            <w:r w:rsidRPr="00896E06">
              <w:rPr>
                <w:bCs/>
                <w:color w:val="FFFFFF" w:themeColor="background1"/>
                <w:sz w:val="18"/>
                <w:szCs w:val="18"/>
              </w:rPr>
              <w:t>Female</w:t>
            </w:r>
          </w:p>
        </w:tc>
        <w:tc>
          <w:tcPr>
            <w:cnfStyle w:val="000001000000" w:firstRow="0" w:lastRow="0" w:firstColumn="0" w:lastColumn="0" w:oddVBand="0" w:evenVBand="1" w:oddHBand="0" w:evenHBand="0" w:firstRowFirstColumn="0" w:firstRowLastColumn="0" w:lastRowFirstColumn="0" w:lastRowLastColumn="0"/>
            <w:tcW w:w="533" w:type="pct"/>
          </w:tcPr>
          <w:p w14:paraId="168B20BF" w14:textId="77777777" w:rsidR="004E45CF" w:rsidRPr="00896E06" w:rsidRDefault="004E45CF" w:rsidP="007007AC">
            <w:pPr>
              <w:spacing w:before="85" w:line="288" w:lineRule="auto"/>
              <w:jc w:val="center"/>
              <w:rPr>
                <w:b w:val="0"/>
                <w:bCs/>
                <w:color w:val="FFFFFF" w:themeColor="background1"/>
                <w:sz w:val="18"/>
                <w:szCs w:val="18"/>
              </w:rPr>
            </w:pPr>
            <w:r w:rsidRPr="00896E06">
              <w:rPr>
                <w:bCs/>
                <w:color w:val="FFFFFF" w:themeColor="background1"/>
                <w:sz w:val="18"/>
                <w:szCs w:val="18"/>
              </w:rPr>
              <w:t>Not seeking more hours</w:t>
            </w:r>
            <w:r w:rsidRPr="00896E06">
              <w:rPr>
                <w:bCs/>
                <w:caps/>
                <w:color w:val="FFFFFF" w:themeColor="background1"/>
                <w:sz w:val="18"/>
                <w:szCs w:val="18"/>
              </w:rPr>
              <w:t xml:space="preserve"> </w:t>
            </w:r>
            <w:r w:rsidRPr="00896E06">
              <w:rPr>
                <w:bCs/>
                <w:color w:val="FFFFFF" w:themeColor="background1"/>
                <w:sz w:val="18"/>
                <w:szCs w:val="18"/>
              </w:rPr>
              <w:t>Male</w:t>
            </w:r>
          </w:p>
        </w:tc>
        <w:tc>
          <w:tcPr>
            <w:cnfStyle w:val="000010000000" w:firstRow="0" w:lastRow="0" w:firstColumn="0" w:lastColumn="0" w:oddVBand="1" w:evenVBand="0" w:oddHBand="0" w:evenHBand="0" w:firstRowFirstColumn="0" w:firstRowLastColumn="0" w:lastRowFirstColumn="0" w:lastRowLastColumn="0"/>
            <w:tcW w:w="534" w:type="pct"/>
          </w:tcPr>
          <w:p w14:paraId="7273EC7E" w14:textId="77777777" w:rsidR="004E45CF" w:rsidRPr="00896E06" w:rsidRDefault="004E45CF" w:rsidP="007007AC">
            <w:pPr>
              <w:spacing w:before="85" w:line="288" w:lineRule="auto"/>
              <w:jc w:val="center"/>
              <w:rPr>
                <w:b w:val="0"/>
                <w:bCs/>
                <w:color w:val="FFFFFF" w:themeColor="background1"/>
                <w:sz w:val="18"/>
                <w:szCs w:val="18"/>
              </w:rPr>
            </w:pPr>
            <w:r w:rsidRPr="00896E06">
              <w:rPr>
                <w:bCs/>
                <w:color w:val="FFFFFF" w:themeColor="background1"/>
                <w:sz w:val="18"/>
                <w:szCs w:val="18"/>
              </w:rPr>
              <w:t>Not seeking more hours</w:t>
            </w:r>
            <w:r w:rsidRPr="00896E06">
              <w:rPr>
                <w:bCs/>
                <w:caps/>
                <w:color w:val="FFFFFF" w:themeColor="background1"/>
                <w:sz w:val="18"/>
                <w:szCs w:val="18"/>
              </w:rPr>
              <w:t xml:space="preserve"> </w:t>
            </w:r>
            <w:r w:rsidRPr="00896E06">
              <w:rPr>
                <w:bCs/>
                <w:color w:val="FFFFFF" w:themeColor="background1"/>
                <w:sz w:val="18"/>
                <w:szCs w:val="18"/>
              </w:rPr>
              <w:t>Total</w:t>
            </w:r>
          </w:p>
        </w:tc>
      </w:tr>
      <w:tr w:rsidR="004E45CF" w:rsidRPr="00CF3E3D" w14:paraId="1CDB992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33AD3CC3" w14:textId="77777777" w:rsidR="004E45CF" w:rsidRPr="00E46532" w:rsidRDefault="004E45CF" w:rsidP="007007AC">
            <w:pPr>
              <w:spacing w:before="85" w:line="288" w:lineRule="auto"/>
              <w:rPr>
                <w:b/>
                <w:bCs/>
                <w:sz w:val="18"/>
                <w:szCs w:val="18"/>
              </w:rPr>
            </w:pPr>
            <w:bookmarkStart w:id="50" w:name="_Hlk78885256"/>
            <w:r w:rsidRPr="00E46532">
              <w:rPr>
                <w:b/>
                <w:bCs/>
                <w:sz w:val="18"/>
                <w:szCs w:val="18"/>
              </w:rPr>
              <w:t>Studying</w:t>
            </w:r>
          </w:p>
        </w:tc>
        <w:tc>
          <w:tcPr>
            <w:cnfStyle w:val="000001000000" w:firstRow="0" w:lastRow="0" w:firstColumn="0" w:lastColumn="0" w:oddVBand="0" w:evenVBand="1" w:oddHBand="0" w:evenHBand="0" w:firstRowFirstColumn="0" w:firstRowLastColumn="0" w:lastRowFirstColumn="0" w:lastRowLastColumn="0"/>
            <w:tcW w:w="533" w:type="pct"/>
          </w:tcPr>
          <w:p w14:paraId="1800E08E" w14:textId="77777777" w:rsidR="004E45CF" w:rsidRPr="00CF3E3D" w:rsidRDefault="004E45CF" w:rsidP="007007AC">
            <w:pPr>
              <w:spacing w:before="85" w:line="288" w:lineRule="auto"/>
              <w:jc w:val="center"/>
              <w:rPr>
                <w:sz w:val="18"/>
                <w:szCs w:val="18"/>
              </w:rPr>
            </w:pPr>
            <w:r w:rsidRPr="00CF3E3D">
              <w:rPr>
                <w:sz w:val="18"/>
                <w:szCs w:val="18"/>
              </w:rPr>
              <w:t>17.2</w:t>
            </w:r>
          </w:p>
        </w:tc>
        <w:tc>
          <w:tcPr>
            <w:cnfStyle w:val="000010000000" w:firstRow="0" w:lastRow="0" w:firstColumn="0" w:lastColumn="0" w:oddVBand="1" w:evenVBand="0" w:oddHBand="0" w:evenHBand="0" w:firstRowFirstColumn="0" w:firstRowLastColumn="0" w:lastRowFirstColumn="0" w:lastRowLastColumn="0"/>
            <w:tcW w:w="534" w:type="pct"/>
          </w:tcPr>
          <w:p w14:paraId="74B367A6" w14:textId="77777777" w:rsidR="004E45CF" w:rsidRPr="00CF3E3D" w:rsidRDefault="004E45CF" w:rsidP="007007AC">
            <w:pPr>
              <w:spacing w:before="85" w:line="288" w:lineRule="auto"/>
              <w:jc w:val="center"/>
              <w:rPr>
                <w:sz w:val="18"/>
                <w:szCs w:val="18"/>
              </w:rPr>
            </w:pPr>
            <w:r w:rsidRPr="00CF3E3D">
              <w:rPr>
                <w:sz w:val="18"/>
                <w:szCs w:val="18"/>
              </w:rPr>
              <w:t>20.4</w:t>
            </w:r>
          </w:p>
        </w:tc>
        <w:tc>
          <w:tcPr>
            <w:cnfStyle w:val="000001000000" w:firstRow="0" w:lastRow="0" w:firstColumn="0" w:lastColumn="0" w:oddVBand="0" w:evenVBand="1" w:oddHBand="0" w:evenHBand="0" w:firstRowFirstColumn="0" w:firstRowLastColumn="0" w:lastRowFirstColumn="0" w:lastRowLastColumn="0"/>
            <w:tcW w:w="533" w:type="pct"/>
          </w:tcPr>
          <w:p w14:paraId="219C30C3" w14:textId="77777777" w:rsidR="004E45CF" w:rsidRPr="00CF3E3D" w:rsidRDefault="004E45CF" w:rsidP="007007AC">
            <w:pPr>
              <w:spacing w:before="85" w:line="288" w:lineRule="auto"/>
              <w:jc w:val="center"/>
              <w:rPr>
                <w:sz w:val="18"/>
                <w:szCs w:val="18"/>
              </w:rPr>
            </w:pPr>
            <w:r w:rsidRPr="00CF3E3D">
              <w:rPr>
                <w:sz w:val="18"/>
                <w:szCs w:val="18"/>
              </w:rPr>
              <w:t>18.1</w:t>
            </w:r>
          </w:p>
        </w:tc>
        <w:tc>
          <w:tcPr>
            <w:cnfStyle w:val="000010000000" w:firstRow="0" w:lastRow="0" w:firstColumn="0" w:lastColumn="0" w:oddVBand="1" w:evenVBand="0" w:oddHBand="0" w:evenHBand="0" w:firstRowFirstColumn="0" w:firstRowLastColumn="0" w:lastRowFirstColumn="0" w:lastRowLastColumn="0"/>
            <w:tcW w:w="534" w:type="pct"/>
          </w:tcPr>
          <w:p w14:paraId="00075A39" w14:textId="77777777" w:rsidR="004E45CF" w:rsidRPr="00CF3E3D" w:rsidRDefault="004E45CF" w:rsidP="007007AC">
            <w:pPr>
              <w:spacing w:before="85" w:line="288" w:lineRule="auto"/>
              <w:jc w:val="center"/>
              <w:rPr>
                <w:sz w:val="18"/>
                <w:szCs w:val="18"/>
              </w:rPr>
            </w:pPr>
            <w:r w:rsidRPr="00CF3E3D">
              <w:rPr>
                <w:sz w:val="18"/>
                <w:szCs w:val="18"/>
              </w:rPr>
              <w:t>38.4</w:t>
            </w:r>
          </w:p>
        </w:tc>
        <w:tc>
          <w:tcPr>
            <w:cnfStyle w:val="000001000000" w:firstRow="0" w:lastRow="0" w:firstColumn="0" w:lastColumn="0" w:oddVBand="0" w:evenVBand="1" w:oddHBand="0" w:evenHBand="0" w:firstRowFirstColumn="0" w:firstRowLastColumn="0" w:lastRowFirstColumn="0" w:lastRowLastColumn="0"/>
            <w:tcW w:w="533" w:type="pct"/>
          </w:tcPr>
          <w:p w14:paraId="351CE4B8" w14:textId="77777777" w:rsidR="004E45CF" w:rsidRPr="00CF3E3D" w:rsidRDefault="004E45CF" w:rsidP="007007AC">
            <w:pPr>
              <w:spacing w:before="85" w:line="288" w:lineRule="auto"/>
              <w:jc w:val="center"/>
              <w:rPr>
                <w:sz w:val="18"/>
                <w:szCs w:val="18"/>
              </w:rPr>
            </w:pPr>
            <w:r w:rsidRPr="00CF3E3D">
              <w:rPr>
                <w:sz w:val="18"/>
                <w:szCs w:val="18"/>
              </w:rPr>
              <w:t>51.1</w:t>
            </w:r>
          </w:p>
        </w:tc>
        <w:tc>
          <w:tcPr>
            <w:cnfStyle w:val="000010000000" w:firstRow="0" w:lastRow="0" w:firstColumn="0" w:lastColumn="0" w:oddVBand="1" w:evenVBand="0" w:oddHBand="0" w:evenHBand="0" w:firstRowFirstColumn="0" w:firstRowLastColumn="0" w:lastRowFirstColumn="0" w:lastRowLastColumn="0"/>
            <w:tcW w:w="534" w:type="pct"/>
          </w:tcPr>
          <w:p w14:paraId="307F4089" w14:textId="77777777" w:rsidR="004E45CF" w:rsidRPr="00CF3E3D" w:rsidRDefault="004E45CF" w:rsidP="007007AC">
            <w:pPr>
              <w:spacing w:before="85" w:line="288" w:lineRule="auto"/>
              <w:jc w:val="center"/>
              <w:rPr>
                <w:sz w:val="18"/>
                <w:szCs w:val="18"/>
              </w:rPr>
            </w:pPr>
            <w:r w:rsidRPr="00CF3E3D">
              <w:rPr>
                <w:sz w:val="18"/>
                <w:szCs w:val="18"/>
              </w:rPr>
              <w:t>41.3</w:t>
            </w:r>
          </w:p>
        </w:tc>
      </w:tr>
      <w:tr w:rsidR="004E45CF" w:rsidRPr="00CF3E3D" w14:paraId="36C1986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2F8EDDF5" w14:textId="77777777" w:rsidR="004E45CF" w:rsidRPr="00E46532" w:rsidRDefault="004E45CF" w:rsidP="007007AC">
            <w:pPr>
              <w:spacing w:before="85" w:line="288" w:lineRule="auto"/>
              <w:rPr>
                <w:b/>
                <w:bCs/>
                <w:sz w:val="18"/>
                <w:szCs w:val="18"/>
              </w:rPr>
            </w:pPr>
            <w:r w:rsidRPr="00E46532">
              <w:rPr>
                <w:b/>
                <w:bCs/>
                <w:sz w:val="18"/>
                <w:szCs w:val="18"/>
              </w:rPr>
              <w:t>Short-term illness or injury</w:t>
            </w:r>
          </w:p>
        </w:tc>
        <w:tc>
          <w:tcPr>
            <w:cnfStyle w:val="000001000000" w:firstRow="0" w:lastRow="0" w:firstColumn="0" w:lastColumn="0" w:oddVBand="0" w:evenVBand="1" w:oddHBand="0" w:evenHBand="0" w:firstRowFirstColumn="0" w:firstRowLastColumn="0" w:lastRowFirstColumn="0" w:lastRowLastColumn="0"/>
            <w:tcW w:w="533" w:type="pct"/>
          </w:tcPr>
          <w:p w14:paraId="16E5DEB7" w14:textId="77777777" w:rsidR="004E45CF" w:rsidRPr="00CF3E3D" w:rsidRDefault="004E45CF" w:rsidP="007007AC">
            <w:pPr>
              <w:spacing w:before="85" w:line="288" w:lineRule="auto"/>
              <w:jc w:val="center"/>
              <w:rPr>
                <w:sz w:val="18"/>
                <w:szCs w:val="18"/>
              </w:rPr>
            </w:pPr>
            <w:r w:rsidRPr="00CF3E3D">
              <w:rPr>
                <w:sz w:val="18"/>
                <w:szCs w:val="18"/>
              </w:rPr>
              <w:t>0.5</w:t>
            </w:r>
          </w:p>
        </w:tc>
        <w:tc>
          <w:tcPr>
            <w:cnfStyle w:val="000010000000" w:firstRow="0" w:lastRow="0" w:firstColumn="0" w:lastColumn="0" w:oddVBand="1" w:evenVBand="0" w:oddHBand="0" w:evenHBand="0" w:firstRowFirstColumn="0" w:firstRowLastColumn="0" w:lastRowFirstColumn="0" w:lastRowLastColumn="0"/>
            <w:tcW w:w="534" w:type="pct"/>
          </w:tcPr>
          <w:p w14:paraId="0B9DDCBD" w14:textId="77777777" w:rsidR="004E45CF" w:rsidRPr="00CF3E3D" w:rsidRDefault="004E45CF" w:rsidP="007007AC">
            <w:pPr>
              <w:spacing w:before="85" w:line="288" w:lineRule="auto"/>
              <w:jc w:val="center"/>
              <w:rPr>
                <w:sz w:val="18"/>
                <w:szCs w:val="18"/>
              </w:rPr>
            </w:pPr>
            <w:r w:rsidRPr="00CF3E3D">
              <w:rPr>
                <w:sz w:val="18"/>
                <w:szCs w:val="18"/>
              </w:rPr>
              <w:t>0.5</w:t>
            </w:r>
          </w:p>
        </w:tc>
        <w:tc>
          <w:tcPr>
            <w:cnfStyle w:val="000001000000" w:firstRow="0" w:lastRow="0" w:firstColumn="0" w:lastColumn="0" w:oddVBand="0" w:evenVBand="1" w:oddHBand="0" w:evenHBand="0" w:firstRowFirstColumn="0" w:firstRowLastColumn="0" w:lastRowFirstColumn="0" w:lastRowLastColumn="0"/>
            <w:tcW w:w="533" w:type="pct"/>
          </w:tcPr>
          <w:p w14:paraId="4229F25C" w14:textId="77777777" w:rsidR="004E45CF" w:rsidRPr="00CF3E3D" w:rsidRDefault="004E45CF" w:rsidP="007007AC">
            <w:pPr>
              <w:spacing w:before="85" w:line="288" w:lineRule="auto"/>
              <w:jc w:val="center"/>
              <w:rPr>
                <w:sz w:val="18"/>
                <w:szCs w:val="18"/>
              </w:rPr>
            </w:pPr>
            <w:r w:rsidRPr="00CF3E3D">
              <w:rPr>
                <w:sz w:val="18"/>
                <w:szCs w:val="18"/>
              </w:rPr>
              <w:t>0.5</w:t>
            </w:r>
          </w:p>
        </w:tc>
        <w:tc>
          <w:tcPr>
            <w:cnfStyle w:val="000010000000" w:firstRow="0" w:lastRow="0" w:firstColumn="0" w:lastColumn="0" w:oddVBand="1" w:evenVBand="0" w:oddHBand="0" w:evenHBand="0" w:firstRowFirstColumn="0" w:firstRowLastColumn="0" w:lastRowFirstColumn="0" w:lastRowLastColumn="0"/>
            <w:tcW w:w="534" w:type="pct"/>
          </w:tcPr>
          <w:p w14:paraId="5E4399FF" w14:textId="77777777" w:rsidR="004E45CF" w:rsidRPr="00CF3E3D" w:rsidRDefault="004E45CF" w:rsidP="007007AC">
            <w:pPr>
              <w:spacing w:before="85" w:line="288" w:lineRule="auto"/>
              <w:jc w:val="center"/>
              <w:rPr>
                <w:sz w:val="18"/>
                <w:szCs w:val="18"/>
              </w:rPr>
            </w:pPr>
            <w:r w:rsidRPr="00CF3E3D">
              <w:rPr>
                <w:sz w:val="18"/>
                <w:szCs w:val="18"/>
              </w:rPr>
              <w:t>0.1</w:t>
            </w:r>
          </w:p>
        </w:tc>
        <w:tc>
          <w:tcPr>
            <w:cnfStyle w:val="000001000000" w:firstRow="0" w:lastRow="0" w:firstColumn="0" w:lastColumn="0" w:oddVBand="0" w:evenVBand="1" w:oddHBand="0" w:evenHBand="0" w:firstRowFirstColumn="0" w:firstRowLastColumn="0" w:lastRowFirstColumn="0" w:lastRowLastColumn="0"/>
            <w:tcW w:w="533" w:type="pct"/>
          </w:tcPr>
          <w:p w14:paraId="6277BF06" w14:textId="77777777" w:rsidR="004E45CF" w:rsidRPr="00CF3E3D" w:rsidRDefault="004E45CF" w:rsidP="007007AC">
            <w:pPr>
              <w:spacing w:before="85" w:line="288" w:lineRule="auto"/>
              <w:jc w:val="center"/>
              <w:rPr>
                <w:sz w:val="18"/>
                <w:szCs w:val="18"/>
              </w:rPr>
            </w:pPr>
            <w:r w:rsidRPr="00CF3E3D">
              <w:rPr>
                <w:sz w:val="18"/>
                <w:szCs w:val="18"/>
              </w:rPr>
              <w:t>0.1</w:t>
            </w:r>
          </w:p>
        </w:tc>
        <w:tc>
          <w:tcPr>
            <w:cnfStyle w:val="000010000000" w:firstRow="0" w:lastRow="0" w:firstColumn="0" w:lastColumn="0" w:oddVBand="1" w:evenVBand="0" w:oddHBand="0" w:evenHBand="0" w:firstRowFirstColumn="0" w:firstRowLastColumn="0" w:lastRowFirstColumn="0" w:lastRowLastColumn="0"/>
            <w:tcW w:w="534" w:type="pct"/>
          </w:tcPr>
          <w:p w14:paraId="26E83EE5" w14:textId="77777777" w:rsidR="004E45CF" w:rsidRPr="00CF3E3D" w:rsidRDefault="004E45CF" w:rsidP="007007AC">
            <w:pPr>
              <w:spacing w:before="85" w:line="288" w:lineRule="auto"/>
              <w:jc w:val="center"/>
              <w:rPr>
                <w:sz w:val="18"/>
                <w:szCs w:val="18"/>
              </w:rPr>
            </w:pPr>
            <w:r w:rsidRPr="00CF3E3D">
              <w:rPr>
                <w:sz w:val="18"/>
                <w:szCs w:val="18"/>
              </w:rPr>
              <w:t>0.1</w:t>
            </w:r>
          </w:p>
        </w:tc>
      </w:tr>
      <w:tr w:rsidR="004E45CF" w:rsidRPr="00CF3E3D" w14:paraId="7F9E86F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3BFF9C20" w14:textId="77777777" w:rsidR="004E45CF" w:rsidRPr="00E46532" w:rsidRDefault="004E45CF" w:rsidP="007007AC">
            <w:pPr>
              <w:spacing w:before="85" w:line="288" w:lineRule="auto"/>
              <w:rPr>
                <w:b/>
                <w:bCs/>
                <w:sz w:val="18"/>
                <w:szCs w:val="18"/>
              </w:rPr>
            </w:pPr>
            <w:r w:rsidRPr="00E46532">
              <w:rPr>
                <w:b/>
                <w:bCs/>
                <w:sz w:val="18"/>
                <w:szCs w:val="18"/>
              </w:rPr>
              <w:t>Long-term health condition or disability</w:t>
            </w:r>
          </w:p>
        </w:tc>
        <w:tc>
          <w:tcPr>
            <w:cnfStyle w:val="000001000000" w:firstRow="0" w:lastRow="0" w:firstColumn="0" w:lastColumn="0" w:oddVBand="0" w:evenVBand="1" w:oddHBand="0" w:evenHBand="0" w:firstRowFirstColumn="0" w:firstRowLastColumn="0" w:lastRowFirstColumn="0" w:lastRowLastColumn="0"/>
            <w:tcW w:w="533" w:type="pct"/>
          </w:tcPr>
          <w:p w14:paraId="58155E20" w14:textId="77777777" w:rsidR="004E45CF" w:rsidRPr="00CF3E3D" w:rsidRDefault="004E45CF" w:rsidP="007007AC">
            <w:pPr>
              <w:spacing w:before="85" w:line="288" w:lineRule="auto"/>
              <w:jc w:val="center"/>
              <w:rPr>
                <w:sz w:val="18"/>
                <w:szCs w:val="18"/>
              </w:rPr>
            </w:pPr>
            <w:r w:rsidRPr="00CF3E3D">
              <w:rPr>
                <w:sz w:val="18"/>
                <w:szCs w:val="18"/>
              </w:rPr>
              <w:t>0.6</w:t>
            </w:r>
          </w:p>
        </w:tc>
        <w:tc>
          <w:tcPr>
            <w:cnfStyle w:val="000010000000" w:firstRow="0" w:lastRow="0" w:firstColumn="0" w:lastColumn="0" w:oddVBand="1" w:evenVBand="0" w:oddHBand="0" w:evenHBand="0" w:firstRowFirstColumn="0" w:firstRowLastColumn="0" w:lastRowFirstColumn="0" w:lastRowLastColumn="0"/>
            <w:tcW w:w="534" w:type="pct"/>
          </w:tcPr>
          <w:p w14:paraId="46C8DE0C" w14:textId="77777777" w:rsidR="004E45CF" w:rsidRPr="00CF3E3D" w:rsidRDefault="004E45CF" w:rsidP="007007AC">
            <w:pPr>
              <w:spacing w:before="85" w:line="288" w:lineRule="auto"/>
              <w:jc w:val="center"/>
              <w:rPr>
                <w:sz w:val="18"/>
                <w:szCs w:val="18"/>
              </w:rPr>
            </w:pPr>
            <w:r w:rsidRPr="00CF3E3D">
              <w:rPr>
                <w:sz w:val="18"/>
                <w:szCs w:val="18"/>
              </w:rPr>
              <w:t>0.2</w:t>
            </w:r>
          </w:p>
        </w:tc>
        <w:tc>
          <w:tcPr>
            <w:cnfStyle w:val="000001000000" w:firstRow="0" w:lastRow="0" w:firstColumn="0" w:lastColumn="0" w:oddVBand="0" w:evenVBand="1" w:oddHBand="0" w:evenHBand="0" w:firstRowFirstColumn="0" w:firstRowLastColumn="0" w:lastRowFirstColumn="0" w:lastRowLastColumn="0"/>
            <w:tcW w:w="533" w:type="pct"/>
          </w:tcPr>
          <w:p w14:paraId="22FB45D5" w14:textId="77777777" w:rsidR="004E45CF" w:rsidRPr="00CF3E3D" w:rsidRDefault="004E45CF" w:rsidP="007007AC">
            <w:pPr>
              <w:spacing w:before="85" w:line="288" w:lineRule="auto"/>
              <w:jc w:val="center"/>
              <w:rPr>
                <w:sz w:val="18"/>
                <w:szCs w:val="18"/>
              </w:rPr>
            </w:pPr>
            <w:r w:rsidRPr="00CF3E3D">
              <w:rPr>
                <w:sz w:val="18"/>
                <w:szCs w:val="18"/>
              </w:rPr>
              <w:t>0.4</w:t>
            </w:r>
          </w:p>
        </w:tc>
        <w:tc>
          <w:tcPr>
            <w:cnfStyle w:val="000010000000" w:firstRow="0" w:lastRow="0" w:firstColumn="0" w:lastColumn="0" w:oddVBand="1" w:evenVBand="0" w:oddHBand="0" w:evenHBand="0" w:firstRowFirstColumn="0" w:firstRowLastColumn="0" w:lastRowFirstColumn="0" w:lastRowLastColumn="0"/>
            <w:tcW w:w="534" w:type="pct"/>
          </w:tcPr>
          <w:p w14:paraId="1CB2BD32" w14:textId="77777777" w:rsidR="004E45CF" w:rsidRPr="00CF3E3D" w:rsidRDefault="004E45CF" w:rsidP="007007AC">
            <w:pPr>
              <w:spacing w:before="85" w:line="288" w:lineRule="auto"/>
              <w:jc w:val="center"/>
              <w:rPr>
                <w:sz w:val="18"/>
                <w:szCs w:val="18"/>
              </w:rPr>
            </w:pPr>
            <w:r w:rsidRPr="00CF3E3D">
              <w:rPr>
                <w:sz w:val="18"/>
                <w:szCs w:val="18"/>
              </w:rPr>
              <w:t>2.0</w:t>
            </w:r>
          </w:p>
        </w:tc>
        <w:tc>
          <w:tcPr>
            <w:cnfStyle w:val="000001000000" w:firstRow="0" w:lastRow="0" w:firstColumn="0" w:lastColumn="0" w:oddVBand="0" w:evenVBand="1" w:oddHBand="0" w:evenHBand="0" w:firstRowFirstColumn="0" w:firstRowLastColumn="0" w:lastRowFirstColumn="0" w:lastRowLastColumn="0"/>
            <w:tcW w:w="533" w:type="pct"/>
          </w:tcPr>
          <w:p w14:paraId="1010DF37" w14:textId="77777777" w:rsidR="004E45CF" w:rsidRPr="00CF3E3D" w:rsidRDefault="004E45CF" w:rsidP="007007AC">
            <w:pPr>
              <w:spacing w:before="85" w:line="288" w:lineRule="auto"/>
              <w:jc w:val="center"/>
              <w:rPr>
                <w:sz w:val="18"/>
                <w:szCs w:val="18"/>
              </w:rPr>
            </w:pPr>
            <w:r w:rsidRPr="00CF3E3D">
              <w:rPr>
                <w:sz w:val="18"/>
                <w:szCs w:val="18"/>
              </w:rPr>
              <w:t>1.5</w:t>
            </w:r>
          </w:p>
        </w:tc>
        <w:tc>
          <w:tcPr>
            <w:cnfStyle w:val="000010000000" w:firstRow="0" w:lastRow="0" w:firstColumn="0" w:lastColumn="0" w:oddVBand="1" w:evenVBand="0" w:oddHBand="0" w:evenHBand="0" w:firstRowFirstColumn="0" w:firstRowLastColumn="0" w:lastRowFirstColumn="0" w:lastRowLastColumn="0"/>
            <w:tcW w:w="534" w:type="pct"/>
          </w:tcPr>
          <w:p w14:paraId="724FEF5C" w14:textId="77777777" w:rsidR="004E45CF" w:rsidRPr="00CF3E3D" w:rsidRDefault="004E45CF" w:rsidP="007007AC">
            <w:pPr>
              <w:spacing w:before="85" w:line="288" w:lineRule="auto"/>
              <w:jc w:val="center"/>
              <w:rPr>
                <w:sz w:val="18"/>
                <w:szCs w:val="18"/>
              </w:rPr>
            </w:pPr>
            <w:r w:rsidRPr="00CF3E3D">
              <w:rPr>
                <w:sz w:val="18"/>
                <w:szCs w:val="18"/>
              </w:rPr>
              <w:t>1.9</w:t>
            </w:r>
          </w:p>
        </w:tc>
      </w:tr>
      <w:tr w:rsidR="004E45CF" w:rsidRPr="00CF3E3D" w14:paraId="262C40A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7FACBD51" w14:textId="77777777" w:rsidR="004E45CF" w:rsidRPr="00E46532" w:rsidRDefault="004E45CF" w:rsidP="007007AC">
            <w:pPr>
              <w:spacing w:before="85" w:line="288" w:lineRule="auto"/>
              <w:rPr>
                <w:b/>
                <w:bCs/>
                <w:sz w:val="18"/>
                <w:szCs w:val="18"/>
              </w:rPr>
            </w:pPr>
            <w:r w:rsidRPr="00E46532">
              <w:rPr>
                <w:b/>
                <w:bCs/>
                <w:sz w:val="18"/>
                <w:szCs w:val="18"/>
              </w:rPr>
              <w:t>Caring for children</w:t>
            </w:r>
          </w:p>
        </w:tc>
        <w:tc>
          <w:tcPr>
            <w:cnfStyle w:val="000001000000" w:firstRow="0" w:lastRow="0" w:firstColumn="0" w:lastColumn="0" w:oddVBand="0" w:evenVBand="1" w:oddHBand="0" w:evenHBand="0" w:firstRowFirstColumn="0" w:firstRowLastColumn="0" w:lastRowFirstColumn="0" w:lastRowLastColumn="0"/>
            <w:tcW w:w="533" w:type="pct"/>
          </w:tcPr>
          <w:p w14:paraId="20E7DBEA" w14:textId="77777777" w:rsidR="004E45CF" w:rsidRPr="00CF3E3D" w:rsidRDefault="004E45CF" w:rsidP="007007AC">
            <w:pPr>
              <w:spacing w:before="85" w:line="288" w:lineRule="auto"/>
              <w:jc w:val="center"/>
              <w:rPr>
                <w:sz w:val="18"/>
                <w:szCs w:val="18"/>
              </w:rPr>
            </w:pPr>
            <w:r w:rsidRPr="00CF3E3D">
              <w:rPr>
                <w:sz w:val="18"/>
                <w:szCs w:val="18"/>
              </w:rPr>
              <w:t>4.9</w:t>
            </w:r>
          </w:p>
        </w:tc>
        <w:tc>
          <w:tcPr>
            <w:cnfStyle w:val="000010000000" w:firstRow="0" w:lastRow="0" w:firstColumn="0" w:lastColumn="0" w:oddVBand="1" w:evenVBand="0" w:oddHBand="0" w:evenHBand="0" w:firstRowFirstColumn="0" w:firstRowLastColumn="0" w:lastRowFirstColumn="0" w:lastRowLastColumn="0"/>
            <w:tcW w:w="534" w:type="pct"/>
          </w:tcPr>
          <w:p w14:paraId="79EC73D9" w14:textId="77777777" w:rsidR="004E45CF" w:rsidRPr="00CF3E3D" w:rsidRDefault="004E45CF" w:rsidP="007007AC">
            <w:pPr>
              <w:spacing w:before="85" w:line="288" w:lineRule="auto"/>
              <w:jc w:val="center"/>
              <w:rPr>
                <w:sz w:val="18"/>
                <w:szCs w:val="18"/>
              </w:rPr>
            </w:pPr>
            <w:r w:rsidRPr="00CF3E3D">
              <w:rPr>
                <w:sz w:val="18"/>
                <w:szCs w:val="18"/>
              </w:rPr>
              <w:t>1.4</w:t>
            </w:r>
          </w:p>
        </w:tc>
        <w:tc>
          <w:tcPr>
            <w:cnfStyle w:val="000001000000" w:firstRow="0" w:lastRow="0" w:firstColumn="0" w:lastColumn="0" w:oddVBand="0" w:evenVBand="1" w:oddHBand="0" w:evenHBand="0" w:firstRowFirstColumn="0" w:firstRowLastColumn="0" w:lastRowFirstColumn="0" w:lastRowLastColumn="0"/>
            <w:tcW w:w="533" w:type="pct"/>
          </w:tcPr>
          <w:p w14:paraId="7F2555D9" w14:textId="77777777" w:rsidR="004E45CF" w:rsidRPr="00CF3E3D" w:rsidRDefault="004E45CF" w:rsidP="007007AC">
            <w:pPr>
              <w:spacing w:before="85" w:line="288" w:lineRule="auto"/>
              <w:jc w:val="center"/>
              <w:rPr>
                <w:sz w:val="18"/>
                <w:szCs w:val="18"/>
              </w:rPr>
            </w:pPr>
            <w:r w:rsidRPr="00CF3E3D">
              <w:rPr>
                <w:sz w:val="18"/>
                <w:szCs w:val="18"/>
              </w:rPr>
              <w:t>3.8</w:t>
            </w:r>
          </w:p>
        </w:tc>
        <w:tc>
          <w:tcPr>
            <w:cnfStyle w:val="000010000000" w:firstRow="0" w:lastRow="0" w:firstColumn="0" w:lastColumn="0" w:oddVBand="1" w:evenVBand="0" w:oddHBand="0" w:evenHBand="0" w:firstRowFirstColumn="0" w:firstRowLastColumn="0" w:lastRowFirstColumn="0" w:lastRowLastColumn="0"/>
            <w:tcW w:w="534" w:type="pct"/>
          </w:tcPr>
          <w:p w14:paraId="565B5626" w14:textId="77777777" w:rsidR="004E45CF" w:rsidRPr="00CF3E3D" w:rsidRDefault="004E45CF" w:rsidP="007007AC">
            <w:pPr>
              <w:spacing w:before="85" w:line="288" w:lineRule="auto"/>
              <w:jc w:val="center"/>
              <w:rPr>
                <w:sz w:val="18"/>
                <w:szCs w:val="18"/>
              </w:rPr>
            </w:pPr>
            <w:r w:rsidRPr="00CF3E3D">
              <w:rPr>
                <w:sz w:val="18"/>
                <w:szCs w:val="18"/>
              </w:rPr>
              <w:t>10.6</w:t>
            </w:r>
          </w:p>
        </w:tc>
        <w:tc>
          <w:tcPr>
            <w:cnfStyle w:val="000001000000" w:firstRow="0" w:lastRow="0" w:firstColumn="0" w:lastColumn="0" w:oddVBand="0" w:evenVBand="1" w:oddHBand="0" w:evenHBand="0" w:firstRowFirstColumn="0" w:firstRowLastColumn="0" w:lastRowFirstColumn="0" w:lastRowLastColumn="0"/>
            <w:tcW w:w="533" w:type="pct"/>
          </w:tcPr>
          <w:p w14:paraId="0904D470" w14:textId="77777777" w:rsidR="004E45CF" w:rsidRPr="00CF3E3D" w:rsidRDefault="004E45CF" w:rsidP="007007AC">
            <w:pPr>
              <w:spacing w:before="85" w:line="288" w:lineRule="auto"/>
              <w:jc w:val="center"/>
              <w:rPr>
                <w:sz w:val="18"/>
                <w:szCs w:val="18"/>
              </w:rPr>
            </w:pPr>
            <w:r w:rsidRPr="00CF3E3D">
              <w:rPr>
                <w:sz w:val="18"/>
                <w:szCs w:val="18"/>
              </w:rPr>
              <w:t>1.7</w:t>
            </w:r>
          </w:p>
        </w:tc>
        <w:tc>
          <w:tcPr>
            <w:cnfStyle w:val="000010000000" w:firstRow="0" w:lastRow="0" w:firstColumn="0" w:lastColumn="0" w:oddVBand="1" w:evenVBand="0" w:oddHBand="0" w:evenHBand="0" w:firstRowFirstColumn="0" w:firstRowLastColumn="0" w:lastRowFirstColumn="0" w:lastRowLastColumn="0"/>
            <w:tcW w:w="534" w:type="pct"/>
          </w:tcPr>
          <w:p w14:paraId="19567DFE" w14:textId="77777777" w:rsidR="004E45CF" w:rsidRPr="00CF3E3D" w:rsidRDefault="004E45CF" w:rsidP="007007AC">
            <w:pPr>
              <w:spacing w:before="85" w:line="288" w:lineRule="auto"/>
              <w:jc w:val="center"/>
              <w:rPr>
                <w:sz w:val="18"/>
                <w:szCs w:val="18"/>
              </w:rPr>
            </w:pPr>
            <w:r w:rsidRPr="00CF3E3D">
              <w:rPr>
                <w:sz w:val="18"/>
                <w:szCs w:val="18"/>
              </w:rPr>
              <w:t>8.5</w:t>
            </w:r>
          </w:p>
        </w:tc>
      </w:tr>
      <w:tr w:rsidR="004E45CF" w:rsidRPr="00CF3E3D" w14:paraId="54DBAF8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0ABA3106" w14:textId="77777777" w:rsidR="004E45CF" w:rsidRPr="00E46532" w:rsidRDefault="004E45CF" w:rsidP="007007AC">
            <w:pPr>
              <w:spacing w:before="85" w:line="288" w:lineRule="auto"/>
              <w:rPr>
                <w:b/>
                <w:bCs/>
                <w:sz w:val="18"/>
                <w:szCs w:val="18"/>
              </w:rPr>
            </w:pPr>
            <w:r w:rsidRPr="00E46532">
              <w:rPr>
                <w:b/>
                <w:bCs/>
                <w:sz w:val="18"/>
                <w:szCs w:val="18"/>
              </w:rPr>
              <w:t>Caring for family member with a health condition or disability</w:t>
            </w:r>
          </w:p>
        </w:tc>
        <w:tc>
          <w:tcPr>
            <w:cnfStyle w:val="000001000000" w:firstRow="0" w:lastRow="0" w:firstColumn="0" w:lastColumn="0" w:oddVBand="0" w:evenVBand="1" w:oddHBand="0" w:evenHBand="0" w:firstRowFirstColumn="0" w:firstRowLastColumn="0" w:lastRowFirstColumn="0" w:lastRowLastColumn="0"/>
            <w:tcW w:w="533" w:type="pct"/>
          </w:tcPr>
          <w:p w14:paraId="23F7768B" w14:textId="77777777" w:rsidR="004E45CF" w:rsidRPr="00CF3E3D" w:rsidRDefault="004E45CF" w:rsidP="007007AC">
            <w:pPr>
              <w:spacing w:before="85" w:line="288" w:lineRule="auto"/>
              <w:jc w:val="center"/>
              <w:rPr>
                <w:sz w:val="18"/>
                <w:szCs w:val="18"/>
              </w:rPr>
            </w:pPr>
            <w:r w:rsidRPr="00CF3E3D">
              <w:rPr>
                <w:sz w:val="18"/>
                <w:szCs w:val="18"/>
              </w:rPr>
              <w:t>0.1</w:t>
            </w:r>
          </w:p>
        </w:tc>
        <w:tc>
          <w:tcPr>
            <w:cnfStyle w:val="000010000000" w:firstRow="0" w:lastRow="0" w:firstColumn="0" w:lastColumn="0" w:oddVBand="1" w:evenVBand="0" w:oddHBand="0" w:evenHBand="0" w:firstRowFirstColumn="0" w:firstRowLastColumn="0" w:lastRowFirstColumn="0" w:lastRowLastColumn="0"/>
            <w:tcW w:w="534" w:type="pct"/>
          </w:tcPr>
          <w:p w14:paraId="678B7149" w14:textId="77777777" w:rsidR="004E45CF" w:rsidRPr="00CF3E3D" w:rsidRDefault="004E45CF" w:rsidP="007007AC">
            <w:pPr>
              <w:spacing w:before="85" w:line="288" w:lineRule="auto"/>
              <w:jc w:val="center"/>
              <w:rPr>
                <w:sz w:val="18"/>
                <w:szCs w:val="18"/>
              </w:rPr>
            </w:pPr>
            <w:r w:rsidRPr="00CF3E3D">
              <w:rPr>
                <w:sz w:val="18"/>
                <w:szCs w:val="18"/>
              </w:rPr>
              <w:t>0.1</w:t>
            </w:r>
          </w:p>
        </w:tc>
        <w:tc>
          <w:tcPr>
            <w:cnfStyle w:val="000001000000" w:firstRow="0" w:lastRow="0" w:firstColumn="0" w:lastColumn="0" w:oddVBand="0" w:evenVBand="1" w:oddHBand="0" w:evenHBand="0" w:firstRowFirstColumn="0" w:firstRowLastColumn="0" w:lastRowFirstColumn="0" w:lastRowLastColumn="0"/>
            <w:tcW w:w="533" w:type="pct"/>
          </w:tcPr>
          <w:p w14:paraId="6B85DF99" w14:textId="77777777" w:rsidR="004E45CF" w:rsidRPr="00CF3E3D" w:rsidRDefault="004E45CF" w:rsidP="007007AC">
            <w:pPr>
              <w:spacing w:before="85" w:line="288" w:lineRule="auto"/>
              <w:jc w:val="center"/>
              <w:rPr>
                <w:sz w:val="18"/>
                <w:szCs w:val="18"/>
              </w:rPr>
            </w:pPr>
            <w:r w:rsidRPr="00CF3E3D">
              <w:rPr>
                <w:sz w:val="18"/>
                <w:szCs w:val="18"/>
              </w:rPr>
              <w:t>0.1</w:t>
            </w:r>
          </w:p>
        </w:tc>
        <w:tc>
          <w:tcPr>
            <w:cnfStyle w:val="000010000000" w:firstRow="0" w:lastRow="0" w:firstColumn="0" w:lastColumn="0" w:oddVBand="1" w:evenVBand="0" w:oddHBand="0" w:evenHBand="0" w:firstRowFirstColumn="0" w:firstRowLastColumn="0" w:lastRowFirstColumn="0" w:lastRowLastColumn="0"/>
            <w:tcW w:w="534" w:type="pct"/>
          </w:tcPr>
          <w:p w14:paraId="09DFE7DF" w14:textId="77777777" w:rsidR="004E45CF" w:rsidRPr="00CF3E3D" w:rsidRDefault="004E45CF" w:rsidP="007007AC">
            <w:pPr>
              <w:spacing w:before="85" w:line="288" w:lineRule="auto"/>
              <w:jc w:val="center"/>
              <w:rPr>
                <w:sz w:val="18"/>
                <w:szCs w:val="18"/>
              </w:rPr>
            </w:pPr>
            <w:r w:rsidRPr="00CF3E3D">
              <w:rPr>
                <w:sz w:val="18"/>
                <w:szCs w:val="18"/>
              </w:rPr>
              <w:t>0.9</w:t>
            </w:r>
          </w:p>
        </w:tc>
        <w:tc>
          <w:tcPr>
            <w:cnfStyle w:val="000001000000" w:firstRow="0" w:lastRow="0" w:firstColumn="0" w:lastColumn="0" w:oddVBand="0" w:evenVBand="1" w:oddHBand="0" w:evenHBand="0" w:firstRowFirstColumn="0" w:firstRowLastColumn="0" w:lastRowFirstColumn="0" w:lastRowLastColumn="0"/>
            <w:tcW w:w="533" w:type="pct"/>
          </w:tcPr>
          <w:p w14:paraId="6DCF1014" w14:textId="77777777" w:rsidR="004E45CF" w:rsidRPr="00CF3E3D" w:rsidRDefault="004E45CF" w:rsidP="007007AC">
            <w:pPr>
              <w:spacing w:before="85" w:line="288" w:lineRule="auto"/>
              <w:jc w:val="center"/>
              <w:rPr>
                <w:sz w:val="18"/>
                <w:szCs w:val="18"/>
              </w:rPr>
            </w:pPr>
            <w:r w:rsidRPr="00CF3E3D">
              <w:rPr>
                <w:sz w:val="18"/>
                <w:szCs w:val="18"/>
              </w:rPr>
              <w:t>0.2</w:t>
            </w:r>
          </w:p>
        </w:tc>
        <w:tc>
          <w:tcPr>
            <w:cnfStyle w:val="000010000000" w:firstRow="0" w:lastRow="0" w:firstColumn="0" w:lastColumn="0" w:oddVBand="1" w:evenVBand="0" w:oddHBand="0" w:evenHBand="0" w:firstRowFirstColumn="0" w:firstRowLastColumn="0" w:lastRowFirstColumn="0" w:lastRowLastColumn="0"/>
            <w:tcW w:w="534" w:type="pct"/>
          </w:tcPr>
          <w:p w14:paraId="3BA8C6B4" w14:textId="77777777" w:rsidR="004E45CF" w:rsidRPr="00CF3E3D" w:rsidRDefault="004E45CF" w:rsidP="007007AC">
            <w:pPr>
              <w:spacing w:before="85" w:line="288" w:lineRule="auto"/>
              <w:jc w:val="center"/>
              <w:rPr>
                <w:sz w:val="18"/>
                <w:szCs w:val="18"/>
              </w:rPr>
            </w:pPr>
            <w:r w:rsidRPr="00CF3E3D">
              <w:rPr>
                <w:sz w:val="18"/>
                <w:szCs w:val="18"/>
              </w:rPr>
              <w:t>0.8</w:t>
            </w:r>
          </w:p>
        </w:tc>
      </w:tr>
      <w:tr w:rsidR="004E45CF" w:rsidRPr="00CF3E3D" w14:paraId="179AB29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0AEA64A1" w14:textId="77777777" w:rsidR="004E45CF" w:rsidRPr="00E46532" w:rsidRDefault="004E45CF" w:rsidP="007007AC">
            <w:pPr>
              <w:spacing w:before="85" w:line="288" w:lineRule="auto"/>
              <w:rPr>
                <w:b/>
                <w:bCs/>
                <w:sz w:val="18"/>
                <w:szCs w:val="18"/>
              </w:rPr>
            </w:pPr>
            <w:r w:rsidRPr="00E46532">
              <w:rPr>
                <w:b/>
                <w:bCs/>
                <w:sz w:val="18"/>
                <w:szCs w:val="18"/>
              </w:rPr>
              <w:lastRenderedPageBreak/>
              <w:t>Subtotal – Personal factors</w:t>
            </w:r>
          </w:p>
        </w:tc>
        <w:tc>
          <w:tcPr>
            <w:cnfStyle w:val="000001000000" w:firstRow="0" w:lastRow="0" w:firstColumn="0" w:lastColumn="0" w:oddVBand="0" w:evenVBand="1" w:oddHBand="0" w:evenHBand="0" w:firstRowFirstColumn="0" w:firstRowLastColumn="0" w:lastRowFirstColumn="0" w:lastRowLastColumn="0"/>
            <w:tcW w:w="533" w:type="pct"/>
          </w:tcPr>
          <w:p w14:paraId="5D233500" w14:textId="77777777" w:rsidR="004E45CF" w:rsidRPr="00E2669F" w:rsidRDefault="004E45CF" w:rsidP="007007AC">
            <w:pPr>
              <w:spacing w:before="85" w:line="288" w:lineRule="auto"/>
              <w:jc w:val="center"/>
              <w:rPr>
                <w:b/>
                <w:bCs/>
                <w:sz w:val="18"/>
                <w:szCs w:val="18"/>
              </w:rPr>
            </w:pPr>
            <w:r w:rsidRPr="00E2669F">
              <w:rPr>
                <w:b/>
                <w:bCs/>
                <w:sz w:val="18"/>
                <w:szCs w:val="18"/>
              </w:rPr>
              <w:t>23.3</w:t>
            </w:r>
          </w:p>
        </w:tc>
        <w:tc>
          <w:tcPr>
            <w:cnfStyle w:val="000010000000" w:firstRow="0" w:lastRow="0" w:firstColumn="0" w:lastColumn="0" w:oddVBand="1" w:evenVBand="0" w:oddHBand="0" w:evenHBand="0" w:firstRowFirstColumn="0" w:firstRowLastColumn="0" w:lastRowFirstColumn="0" w:lastRowLastColumn="0"/>
            <w:tcW w:w="534" w:type="pct"/>
          </w:tcPr>
          <w:p w14:paraId="2AB529E7" w14:textId="77777777" w:rsidR="004E45CF" w:rsidRPr="00E2669F" w:rsidRDefault="004E45CF" w:rsidP="007007AC">
            <w:pPr>
              <w:spacing w:before="85" w:line="288" w:lineRule="auto"/>
              <w:jc w:val="center"/>
              <w:rPr>
                <w:b/>
                <w:bCs/>
                <w:sz w:val="18"/>
                <w:szCs w:val="18"/>
              </w:rPr>
            </w:pPr>
            <w:r w:rsidRPr="00E2669F">
              <w:rPr>
                <w:b/>
                <w:bCs/>
                <w:sz w:val="18"/>
                <w:szCs w:val="18"/>
              </w:rPr>
              <w:t>22.5</w:t>
            </w:r>
          </w:p>
        </w:tc>
        <w:tc>
          <w:tcPr>
            <w:cnfStyle w:val="000001000000" w:firstRow="0" w:lastRow="0" w:firstColumn="0" w:lastColumn="0" w:oddVBand="0" w:evenVBand="1" w:oddHBand="0" w:evenHBand="0" w:firstRowFirstColumn="0" w:firstRowLastColumn="0" w:lastRowFirstColumn="0" w:lastRowLastColumn="0"/>
            <w:tcW w:w="533" w:type="pct"/>
          </w:tcPr>
          <w:p w14:paraId="031541C9" w14:textId="77777777" w:rsidR="004E45CF" w:rsidRPr="00E2669F" w:rsidRDefault="004E45CF" w:rsidP="007007AC">
            <w:pPr>
              <w:spacing w:before="85" w:line="288" w:lineRule="auto"/>
              <w:jc w:val="center"/>
              <w:rPr>
                <w:b/>
                <w:bCs/>
                <w:sz w:val="18"/>
                <w:szCs w:val="18"/>
              </w:rPr>
            </w:pPr>
            <w:r w:rsidRPr="00E2669F">
              <w:rPr>
                <w:b/>
                <w:bCs/>
                <w:sz w:val="18"/>
                <w:szCs w:val="18"/>
              </w:rPr>
              <w:t>23.0</w:t>
            </w:r>
          </w:p>
        </w:tc>
        <w:tc>
          <w:tcPr>
            <w:cnfStyle w:val="000010000000" w:firstRow="0" w:lastRow="0" w:firstColumn="0" w:lastColumn="0" w:oddVBand="1" w:evenVBand="0" w:oddHBand="0" w:evenHBand="0" w:firstRowFirstColumn="0" w:firstRowLastColumn="0" w:lastRowFirstColumn="0" w:lastRowLastColumn="0"/>
            <w:tcW w:w="534" w:type="pct"/>
          </w:tcPr>
          <w:p w14:paraId="61897EB4" w14:textId="77777777" w:rsidR="004E45CF" w:rsidRPr="00E2669F" w:rsidRDefault="004E45CF" w:rsidP="007007AC">
            <w:pPr>
              <w:spacing w:before="85" w:line="288" w:lineRule="auto"/>
              <w:jc w:val="center"/>
              <w:rPr>
                <w:b/>
                <w:bCs/>
                <w:sz w:val="18"/>
                <w:szCs w:val="18"/>
              </w:rPr>
            </w:pPr>
            <w:r w:rsidRPr="00E2669F">
              <w:rPr>
                <w:b/>
                <w:bCs/>
                <w:sz w:val="18"/>
                <w:szCs w:val="18"/>
              </w:rPr>
              <w:t>51.9</w:t>
            </w:r>
          </w:p>
        </w:tc>
        <w:tc>
          <w:tcPr>
            <w:cnfStyle w:val="000001000000" w:firstRow="0" w:lastRow="0" w:firstColumn="0" w:lastColumn="0" w:oddVBand="0" w:evenVBand="1" w:oddHBand="0" w:evenHBand="0" w:firstRowFirstColumn="0" w:firstRowLastColumn="0" w:lastRowFirstColumn="0" w:lastRowLastColumn="0"/>
            <w:tcW w:w="533" w:type="pct"/>
          </w:tcPr>
          <w:p w14:paraId="72CEB28E" w14:textId="77777777" w:rsidR="004E45CF" w:rsidRPr="00E2669F" w:rsidRDefault="004E45CF" w:rsidP="007007AC">
            <w:pPr>
              <w:spacing w:before="85" w:line="288" w:lineRule="auto"/>
              <w:jc w:val="center"/>
              <w:rPr>
                <w:b/>
                <w:bCs/>
                <w:sz w:val="18"/>
                <w:szCs w:val="18"/>
              </w:rPr>
            </w:pPr>
            <w:r w:rsidRPr="00E2669F">
              <w:rPr>
                <w:b/>
                <w:bCs/>
                <w:sz w:val="18"/>
                <w:szCs w:val="18"/>
              </w:rPr>
              <w:t>54.6</w:t>
            </w:r>
          </w:p>
        </w:tc>
        <w:tc>
          <w:tcPr>
            <w:cnfStyle w:val="000010000000" w:firstRow="0" w:lastRow="0" w:firstColumn="0" w:lastColumn="0" w:oddVBand="1" w:evenVBand="0" w:oddHBand="0" w:evenHBand="0" w:firstRowFirstColumn="0" w:firstRowLastColumn="0" w:lastRowFirstColumn="0" w:lastRowLastColumn="0"/>
            <w:tcW w:w="534" w:type="pct"/>
          </w:tcPr>
          <w:p w14:paraId="7EA4E965" w14:textId="77777777" w:rsidR="004E45CF" w:rsidRPr="00E2669F" w:rsidRDefault="004E45CF" w:rsidP="007007AC">
            <w:pPr>
              <w:spacing w:before="85" w:line="288" w:lineRule="auto"/>
              <w:jc w:val="center"/>
              <w:rPr>
                <w:b/>
                <w:bCs/>
                <w:sz w:val="18"/>
                <w:szCs w:val="18"/>
              </w:rPr>
            </w:pPr>
            <w:r w:rsidRPr="00E2669F">
              <w:rPr>
                <w:b/>
                <w:bCs/>
                <w:sz w:val="18"/>
                <w:szCs w:val="18"/>
              </w:rPr>
              <w:t>52.5</w:t>
            </w:r>
          </w:p>
        </w:tc>
      </w:tr>
      <w:tr w:rsidR="004E45CF" w:rsidRPr="00CF3E3D" w14:paraId="5CA971C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24C312AB" w14:textId="77777777" w:rsidR="004E45CF" w:rsidRPr="00E46532" w:rsidRDefault="004E45CF" w:rsidP="007007AC">
            <w:pPr>
              <w:spacing w:before="85" w:line="288" w:lineRule="auto"/>
              <w:rPr>
                <w:b/>
                <w:bCs/>
                <w:sz w:val="18"/>
                <w:szCs w:val="18"/>
              </w:rPr>
            </w:pPr>
            <w:r w:rsidRPr="00E46532">
              <w:rPr>
                <w:b/>
                <w:bCs/>
                <w:sz w:val="18"/>
                <w:szCs w:val="18"/>
              </w:rPr>
              <w:t>No suitable jobs in my area of expertise</w:t>
            </w:r>
          </w:p>
        </w:tc>
        <w:tc>
          <w:tcPr>
            <w:cnfStyle w:val="000001000000" w:firstRow="0" w:lastRow="0" w:firstColumn="0" w:lastColumn="0" w:oddVBand="0" w:evenVBand="1" w:oddHBand="0" w:evenHBand="0" w:firstRowFirstColumn="0" w:firstRowLastColumn="0" w:lastRowFirstColumn="0" w:lastRowLastColumn="0"/>
            <w:tcW w:w="533" w:type="pct"/>
          </w:tcPr>
          <w:p w14:paraId="6AAFF798" w14:textId="77777777" w:rsidR="004E45CF" w:rsidRPr="00CF3E3D" w:rsidRDefault="004E45CF" w:rsidP="007007AC">
            <w:pPr>
              <w:spacing w:before="85" w:line="288" w:lineRule="auto"/>
              <w:jc w:val="center"/>
              <w:rPr>
                <w:sz w:val="18"/>
                <w:szCs w:val="18"/>
              </w:rPr>
            </w:pPr>
            <w:r w:rsidRPr="00CF3E3D">
              <w:rPr>
                <w:sz w:val="18"/>
                <w:szCs w:val="18"/>
              </w:rPr>
              <w:t>8.2</w:t>
            </w:r>
          </w:p>
        </w:tc>
        <w:tc>
          <w:tcPr>
            <w:cnfStyle w:val="000010000000" w:firstRow="0" w:lastRow="0" w:firstColumn="0" w:lastColumn="0" w:oddVBand="1" w:evenVBand="0" w:oddHBand="0" w:evenHBand="0" w:firstRowFirstColumn="0" w:firstRowLastColumn="0" w:lastRowFirstColumn="0" w:lastRowLastColumn="0"/>
            <w:tcW w:w="534" w:type="pct"/>
          </w:tcPr>
          <w:p w14:paraId="7BBA7B60" w14:textId="77777777" w:rsidR="004E45CF" w:rsidRPr="00CF3E3D" w:rsidRDefault="004E45CF" w:rsidP="007007AC">
            <w:pPr>
              <w:spacing w:before="85" w:line="288" w:lineRule="auto"/>
              <w:jc w:val="center"/>
              <w:rPr>
                <w:sz w:val="18"/>
                <w:szCs w:val="18"/>
              </w:rPr>
            </w:pPr>
            <w:r w:rsidRPr="00CF3E3D">
              <w:rPr>
                <w:sz w:val="18"/>
                <w:szCs w:val="18"/>
              </w:rPr>
              <w:t>10.2</w:t>
            </w:r>
          </w:p>
        </w:tc>
        <w:tc>
          <w:tcPr>
            <w:cnfStyle w:val="000001000000" w:firstRow="0" w:lastRow="0" w:firstColumn="0" w:lastColumn="0" w:oddVBand="0" w:evenVBand="1" w:oddHBand="0" w:evenHBand="0" w:firstRowFirstColumn="0" w:firstRowLastColumn="0" w:lastRowFirstColumn="0" w:lastRowLastColumn="0"/>
            <w:tcW w:w="533" w:type="pct"/>
          </w:tcPr>
          <w:p w14:paraId="3C1C0710" w14:textId="77777777" w:rsidR="004E45CF" w:rsidRPr="00CF3E3D" w:rsidRDefault="004E45CF" w:rsidP="007007AC">
            <w:pPr>
              <w:spacing w:before="85" w:line="288" w:lineRule="auto"/>
              <w:jc w:val="center"/>
              <w:rPr>
                <w:sz w:val="18"/>
                <w:szCs w:val="18"/>
              </w:rPr>
            </w:pPr>
            <w:r w:rsidRPr="00CF3E3D">
              <w:rPr>
                <w:sz w:val="18"/>
                <w:szCs w:val="18"/>
              </w:rPr>
              <w:t>8.9</w:t>
            </w:r>
          </w:p>
        </w:tc>
        <w:tc>
          <w:tcPr>
            <w:cnfStyle w:val="000010000000" w:firstRow="0" w:lastRow="0" w:firstColumn="0" w:lastColumn="0" w:oddVBand="1" w:evenVBand="0" w:oddHBand="0" w:evenHBand="0" w:firstRowFirstColumn="0" w:firstRowLastColumn="0" w:lastRowFirstColumn="0" w:lastRowLastColumn="0"/>
            <w:tcW w:w="534" w:type="pct"/>
          </w:tcPr>
          <w:p w14:paraId="1A47CDF3" w14:textId="77777777" w:rsidR="004E45CF" w:rsidRPr="00CF3E3D" w:rsidRDefault="004E45CF" w:rsidP="007007AC">
            <w:pPr>
              <w:spacing w:before="85" w:line="288" w:lineRule="auto"/>
              <w:jc w:val="center"/>
              <w:rPr>
                <w:sz w:val="18"/>
                <w:szCs w:val="18"/>
              </w:rPr>
            </w:pPr>
            <w:r w:rsidRPr="00CF3E3D">
              <w:rPr>
                <w:sz w:val="18"/>
                <w:szCs w:val="18"/>
              </w:rPr>
              <w:t>0.6</w:t>
            </w:r>
          </w:p>
        </w:tc>
        <w:tc>
          <w:tcPr>
            <w:cnfStyle w:val="000001000000" w:firstRow="0" w:lastRow="0" w:firstColumn="0" w:lastColumn="0" w:oddVBand="0" w:evenVBand="1" w:oddHBand="0" w:evenHBand="0" w:firstRowFirstColumn="0" w:firstRowLastColumn="0" w:lastRowFirstColumn="0" w:lastRowLastColumn="0"/>
            <w:tcW w:w="533" w:type="pct"/>
          </w:tcPr>
          <w:p w14:paraId="4FB4B4A6" w14:textId="77777777" w:rsidR="004E45CF" w:rsidRPr="00CF3E3D" w:rsidRDefault="004E45CF" w:rsidP="007007AC">
            <w:pPr>
              <w:spacing w:before="85" w:line="288" w:lineRule="auto"/>
              <w:jc w:val="center"/>
              <w:rPr>
                <w:sz w:val="18"/>
                <w:szCs w:val="18"/>
              </w:rPr>
            </w:pPr>
            <w:r w:rsidRPr="00CF3E3D">
              <w:rPr>
                <w:sz w:val="18"/>
                <w:szCs w:val="18"/>
              </w:rPr>
              <w:t>0.9</w:t>
            </w:r>
          </w:p>
        </w:tc>
        <w:tc>
          <w:tcPr>
            <w:cnfStyle w:val="000010000000" w:firstRow="0" w:lastRow="0" w:firstColumn="0" w:lastColumn="0" w:oddVBand="1" w:evenVBand="0" w:oddHBand="0" w:evenHBand="0" w:firstRowFirstColumn="0" w:firstRowLastColumn="0" w:lastRowFirstColumn="0" w:lastRowLastColumn="0"/>
            <w:tcW w:w="534" w:type="pct"/>
          </w:tcPr>
          <w:p w14:paraId="6283282F" w14:textId="77777777" w:rsidR="004E45CF" w:rsidRPr="00CF3E3D" w:rsidRDefault="004E45CF" w:rsidP="007007AC">
            <w:pPr>
              <w:spacing w:before="85" w:line="288" w:lineRule="auto"/>
              <w:jc w:val="center"/>
              <w:rPr>
                <w:sz w:val="18"/>
                <w:szCs w:val="18"/>
              </w:rPr>
            </w:pPr>
            <w:r w:rsidRPr="00CF3E3D">
              <w:rPr>
                <w:sz w:val="18"/>
                <w:szCs w:val="18"/>
              </w:rPr>
              <w:t>0.7</w:t>
            </w:r>
          </w:p>
        </w:tc>
      </w:tr>
      <w:tr w:rsidR="004E45CF" w:rsidRPr="00CF3E3D" w14:paraId="567B397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6B7EF645" w14:textId="77777777" w:rsidR="004E45CF" w:rsidRPr="00E46532" w:rsidRDefault="004E45CF" w:rsidP="007007AC">
            <w:pPr>
              <w:spacing w:before="85" w:line="288" w:lineRule="auto"/>
              <w:rPr>
                <w:b/>
                <w:bCs/>
                <w:sz w:val="18"/>
                <w:szCs w:val="18"/>
              </w:rPr>
            </w:pPr>
            <w:r w:rsidRPr="00E46532">
              <w:rPr>
                <w:b/>
                <w:bCs/>
                <w:sz w:val="18"/>
                <w:szCs w:val="18"/>
              </w:rPr>
              <w:t>No suitable jobs in my local area</w:t>
            </w:r>
          </w:p>
        </w:tc>
        <w:tc>
          <w:tcPr>
            <w:cnfStyle w:val="000001000000" w:firstRow="0" w:lastRow="0" w:firstColumn="0" w:lastColumn="0" w:oddVBand="0" w:evenVBand="1" w:oddHBand="0" w:evenHBand="0" w:firstRowFirstColumn="0" w:firstRowLastColumn="0" w:lastRowFirstColumn="0" w:lastRowLastColumn="0"/>
            <w:tcW w:w="533" w:type="pct"/>
          </w:tcPr>
          <w:p w14:paraId="00BAB57F" w14:textId="77777777" w:rsidR="004E45CF" w:rsidRPr="00CF3E3D" w:rsidRDefault="004E45CF" w:rsidP="007007AC">
            <w:pPr>
              <w:spacing w:before="85" w:line="288" w:lineRule="auto"/>
              <w:jc w:val="center"/>
              <w:rPr>
                <w:sz w:val="18"/>
                <w:szCs w:val="18"/>
              </w:rPr>
            </w:pPr>
            <w:r w:rsidRPr="00CF3E3D">
              <w:rPr>
                <w:sz w:val="18"/>
                <w:szCs w:val="18"/>
              </w:rPr>
              <w:t>4.7</w:t>
            </w:r>
          </w:p>
        </w:tc>
        <w:tc>
          <w:tcPr>
            <w:cnfStyle w:val="000010000000" w:firstRow="0" w:lastRow="0" w:firstColumn="0" w:lastColumn="0" w:oddVBand="1" w:evenVBand="0" w:oddHBand="0" w:evenHBand="0" w:firstRowFirstColumn="0" w:firstRowLastColumn="0" w:lastRowFirstColumn="0" w:lastRowLastColumn="0"/>
            <w:tcW w:w="534" w:type="pct"/>
          </w:tcPr>
          <w:p w14:paraId="15D18981" w14:textId="77777777" w:rsidR="004E45CF" w:rsidRPr="00CF3E3D" w:rsidRDefault="004E45CF" w:rsidP="007007AC">
            <w:pPr>
              <w:spacing w:before="85" w:line="288" w:lineRule="auto"/>
              <w:jc w:val="center"/>
              <w:rPr>
                <w:sz w:val="18"/>
                <w:szCs w:val="18"/>
              </w:rPr>
            </w:pPr>
            <w:r w:rsidRPr="00CF3E3D">
              <w:rPr>
                <w:sz w:val="18"/>
                <w:szCs w:val="18"/>
              </w:rPr>
              <w:t>4.5</w:t>
            </w:r>
          </w:p>
        </w:tc>
        <w:tc>
          <w:tcPr>
            <w:cnfStyle w:val="000001000000" w:firstRow="0" w:lastRow="0" w:firstColumn="0" w:lastColumn="0" w:oddVBand="0" w:evenVBand="1" w:oddHBand="0" w:evenHBand="0" w:firstRowFirstColumn="0" w:firstRowLastColumn="0" w:lastRowFirstColumn="0" w:lastRowLastColumn="0"/>
            <w:tcW w:w="533" w:type="pct"/>
          </w:tcPr>
          <w:p w14:paraId="2294CE77" w14:textId="77777777" w:rsidR="004E45CF" w:rsidRPr="00CF3E3D" w:rsidRDefault="004E45CF" w:rsidP="007007AC">
            <w:pPr>
              <w:spacing w:before="85" w:line="288" w:lineRule="auto"/>
              <w:jc w:val="center"/>
              <w:rPr>
                <w:sz w:val="18"/>
                <w:szCs w:val="18"/>
              </w:rPr>
            </w:pPr>
            <w:r w:rsidRPr="00CF3E3D">
              <w:rPr>
                <w:sz w:val="18"/>
                <w:szCs w:val="18"/>
              </w:rPr>
              <w:t>4.6</w:t>
            </w:r>
          </w:p>
        </w:tc>
        <w:tc>
          <w:tcPr>
            <w:cnfStyle w:val="000010000000" w:firstRow="0" w:lastRow="0" w:firstColumn="0" w:lastColumn="0" w:oddVBand="1" w:evenVBand="0" w:oddHBand="0" w:evenHBand="0" w:firstRowFirstColumn="0" w:firstRowLastColumn="0" w:lastRowFirstColumn="0" w:lastRowLastColumn="0"/>
            <w:tcW w:w="534" w:type="pct"/>
          </w:tcPr>
          <w:p w14:paraId="41C17DD7" w14:textId="77777777" w:rsidR="004E45CF" w:rsidRPr="00CF3E3D" w:rsidRDefault="004E45CF" w:rsidP="007007AC">
            <w:pPr>
              <w:spacing w:before="85" w:line="288" w:lineRule="auto"/>
              <w:jc w:val="center"/>
              <w:rPr>
                <w:sz w:val="18"/>
                <w:szCs w:val="18"/>
              </w:rPr>
            </w:pPr>
            <w:r w:rsidRPr="00CF3E3D">
              <w:rPr>
                <w:sz w:val="18"/>
                <w:szCs w:val="18"/>
              </w:rPr>
              <w:t>0.2</w:t>
            </w:r>
          </w:p>
        </w:tc>
        <w:tc>
          <w:tcPr>
            <w:cnfStyle w:val="000001000000" w:firstRow="0" w:lastRow="0" w:firstColumn="0" w:lastColumn="0" w:oddVBand="0" w:evenVBand="1" w:oddHBand="0" w:evenHBand="0" w:firstRowFirstColumn="0" w:firstRowLastColumn="0" w:lastRowFirstColumn="0" w:lastRowLastColumn="0"/>
            <w:tcW w:w="533" w:type="pct"/>
          </w:tcPr>
          <w:p w14:paraId="370571B1" w14:textId="77777777" w:rsidR="004E45CF" w:rsidRPr="00CF3E3D" w:rsidRDefault="004E45CF" w:rsidP="007007AC">
            <w:pPr>
              <w:spacing w:before="85" w:line="288" w:lineRule="auto"/>
              <w:jc w:val="center"/>
              <w:rPr>
                <w:sz w:val="18"/>
                <w:szCs w:val="18"/>
              </w:rPr>
            </w:pPr>
            <w:r w:rsidRPr="00CF3E3D">
              <w:rPr>
                <w:sz w:val="18"/>
                <w:szCs w:val="18"/>
              </w:rPr>
              <w:t>0.5</w:t>
            </w:r>
          </w:p>
        </w:tc>
        <w:tc>
          <w:tcPr>
            <w:cnfStyle w:val="000010000000" w:firstRow="0" w:lastRow="0" w:firstColumn="0" w:lastColumn="0" w:oddVBand="1" w:evenVBand="0" w:oddHBand="0" w:evenHBand="0" w:firstRowFirstColumn="0" w:firstRowLastColumn="0" w:lastRowFirstColumn="0" w:lastRowLastColumn="0"/>
            <w:tcW w:w="534" w:type="pct"/>
          </w:tcPr>
          <w:p w14:paraId="66E76785" w14:textId="77777777" w:rsidR="004E45CF" w:rsidRPr="00CF3E3D" w:rsidRDefault="004E45CF" w:rsidP="007007AC">
            <w:pPr>
              <w:spacing w:before="85" w:line="288" w:lineRule="auto"/>
              <w:jc w:val="center"/>
              <w:rPr>
                <w:sz w:val="18"/>
                <w:szCs w:val="18"/>
              </w:rPr>
            </w:pPr>
            <w:r w:rsidRPr="00CF3E3D">
              <w:rPr>
                <w:sz w:val="18"/>
                <w:szCs w:val="18"/>
              </w:rPr>
              <w:t>0.3</w:t>
            </w:r>
          </w:p>
        </w:tc>
      </w:tr>
      <w:tr w:rsidR="004E45CF" w:rsidRPr="00CF3E3D" w14:paraId="6413179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5057CC57" w14:textId="77777777" w:rsidR="004E45CF" w:rsidRPr="00E46532" w:rsidRDefault="004E45CF" w:rsidP="007007AC">
            <w:pPr>
              <w:spacing w:before="85" w:line="288" w:lineRule="auto"/>
              <w:rPr>
                <w:b/>
                <w:bCs/>
                <w:sz w:val="18"/>
                <w:szCs w:val="18"/>
              </w:rPr>
            </w:pPr>
            <w:r w:rsidRPr="00E46532">
              <w:rPr>
                <w:b/>
                <w:bCs/>
                <w:sz w:val="18"/>
                <w:szCs w:val="18"/>
              </w:rPr>
              <w:t>Considered to be too young by employers</w:t>
            </w:r>
          </w:p>
        </w:tc>
        <w:tc>
          <w:tcPr>
            <w:cnfStyle w:val="000001000000" w:firstRow="0" w:lastRow="0" w:firstColumn="0" w:lastColumn="0" w:oddVBand="0" w:evenVBand="1" w:oddHBand="0" w:evenHBand="0" w:firstRowFirstColumn="0" w:firstRowLastColumn="0" w:lastRowFirstColumn="0" w:lastRowLastColumn="0"/>
            <w:tcW w:w="533" w:type="pct"/>
          </w:tcPr>
          <w:p w14:paraId="5346FE18" w14:textId="77777777" w:rsidR="004E45CF" w:rsidRPr="00CF3E3D" w:rsidRDefault="004E45CF" w:rsidP="007007AC">
            <w:pPr>
              <w:spacing w:before="85" w:line="288" w:lineRule="auto"/>
              <w:jc w:val="center"/>
              <w:rPr>
                <w:sz w:val="18"/>
                <w:szCs w:val="18"/>
              </w:rPr>
            </w:pPr>
            <w:r w:rsidRPr="00CF3E3D">
              <w:rPr>
                <w:sz w:val="18"/>
                <w:szCs w:val="18"/>
              </w:rPr>
              <w:t>1.0</w:t>
            </w:r>
          </w:p>
        </w:tc>
        <w:tc>
          <w:tcPr>
            <w:cnfStyle w:val="000010000000" w:firstRow="0" w:lastRow="0" w:firstColumn="0" w:lastColumn="0" w:oddVBand="1" w:evenVBand="0" w:oddHBand="0" w:evenHBand="0" w:firstRowFirstColumn="0" w:firstRowLastColumn="0" w:lastRowFirstColumn="0" w:lastRowLastColumn="0"/>
            <w:tcW w:w="534" w:type="pct"/>
          </w:tcPr>
          <w:p w14:paraId="658ECC69" w14:textId="77777777" w:rsidR="004E45CF" w:rsidRPr="00CF3E3D" w:rsidRDefault="004E45CF" w:rsidP="007007AC">
            <w:pPr>
              <w:spacing w:before="85" w:line="288" w:lineRule="auto"/>
              <w:jc w:val="center"/>
              <w:rPr>
                <w:sz w:val="18"/>
                <w:szCs w:val="18"/>
              </w:rPr>
            </w:pPr>
            <w:r w:rsidRPr="00CF3E3D">
              <w:rPr>
                <w:sz w:val="18"/>
                <w:szCs w:val="18"/>
              </w:rPr>
              <w:t>0.9</w:t>
            </w:r>
          </w:p>
        </w:tc>
        <w:tc>
          <w:tcPr>
            <w:cnfStyle w:val="000001000000" w:firstRow="0" w:lastRow="0" w:firstColumn="0" w:lastColumn="0" w:oddVBand="0" w:evenVBand="1" w:oddHBand="0" w:evenHBand="0" w:firstRowFirstColumn="0" w:firstRowLastColumn="0" w:lastRowFirstColumn="0" w:lastRowLastColumn="0"/>
            <w:tcW w:w="533" w:type="pct"/>
          </w:tcPr>
          <w:p w14:paraId="3244D55A" w14:textId="77777777" w:rsidR="004E45CF" w:rsidRPr="00CF3E3D" w:rsidRDefault="004E45CF" w:rsidP="007007AC">
            <w:pPr>
              <w:spacing w:before="85" w:line="288" w:lineRule="auto"/>
              <w:jc w:val="center"/>
              <w:rPr>
                <w:sz w:val="18"/>
                <w:szCs w:val="18"/>
              </w:rPr>
            </w:pPr>
            <w:r w:rsidRPr="00CF3E3D">
              <w:rPr>
                <w:sz w:val="18"/>
                <w:szCs w:val="18"/>
              </w:rPr>
              <w:t>1.0</w:t>
            </w:r>
          </w:p>
        </w:tc>
        <w:tc>
          <w:tcPr>
            <w:cnfStyle w:val="000010000000" w:firstRow="0" w:lastRow="0" w:firstColumn="0" w:lastColumn="0" w:oddVBand="1" w:evenVBand="0" w:oddHBand="0" w:evenHBand="0" w:firstRowFirstColumn="0" w:firstRowLastColumn="0" w:lastRowFirstColumn="0" w:lastRowLastColumn="0"/>
            <w:tcW w:w="534" w:type="pct"/>
          </w:tcPr>
          <w:p w14:paraId="15B9A52E" w14:textId="77777777" w:rsidR="004E45CF" w:rsidRPr="00CF3E3D" w:rsidRDefault="004E45CF" w:rsidP="007007AC">
            <w:pPr>
              <w:spacing w:before="85" w:line="288" w:lineRule="auto"/>
              <w:jc w:val="center"/>
              <w:rPr>
                <w:sz w:val="18"/>
                <w:szCs w:val="18"/>
              </w:rPr>
            </w:pPr>
            <w:r w:rsidRPr="00CF3E3D">
              <w:rPr>
                <w:sz w:val="18"/>
                <w:szCs w:val="18"/>
              </w:rPr>
              <w:t>0.0</w:t>
            </w:r>
          </w:p>
        </w:tc>
        <w:tc>
          <w:tcPr>
            <w:cnfStyle w:val="000001000000" w:firstRow="0" w:lastRow="0" w:firstColumn="0" w:lastColumn="0" w:oddVBand="0" w:evenVBand="1" w:oddHBand="0" w:evenHBand="0" w:firstRowFirstColumn="0" w:firstRowLastColumn="0" w:lastRowFirstColumn="0" w:lastRowLastColumn="0"/>
            <w:tcW w:w="533" w:type="pct"/>
          </w:tcPr>
          <w:p w14:paraId="0E029421" w14:textId="77777777" w:rsidR="004E45CF" w:rsidRPr="00CF3E3D" w:rsidRDefault="004E45CF" w:rsidP="007007AC">
            <w:pPr>
              <w:spacing w:before="85" w:line="288" w:lineRule="auto"/>
              <w:jc w:val="center"/>
              <w:rPr>
                <w:sz w:val="18"/>
                <w:szCs w:val="18"/>
              </w:rPr>
            </w:pPr>
            <w:r w:rsidRPr="00CF3E3D">
              <w:rPr>
                <w:sz w:val="18"/>
                <w:szCs w:val="18"/>
              </w:rPr>
              <w:t>0.0</w:t>
            </w:r>
          </w:p>
        </w:tc>
        <w:tc>
          <w:tcPr>
            <w:cnfStyle w:val="000010000000" w:firstRow="0" w:lastRow="0" w:firstColumn="0" w:lastColumn="0" w:oddVBand="1" w:evenVBand="0" w:oddHBand="0" w:evenHBand="0" w:firstRowFirstColumn="0" w:firstRowLastColumn="0" w:lastRowFirstColumn="0" w:lastRowLastColumn="0"/>
            <w:tcW w:w="534" w:type="pct"/>
          </w:tcPr>
          <w:p w14:paraId="13F9753B" w14:textId="77777777" w:rsidR="004E45CF" w:rsidRPr="00CF3E3D" w:rsidRDefault="004E45CF" w:rsidP="007007AC">
            <w:pPr>
              <w:spacing w:before="85" w:line="288" w:lineRule="auto"/>
              <w:jc w:val="center"/>
              <w:rPr>
                <w:sz w:val="18"/>
                <w:szCs w:val="18"/>
              </w:rPr>
            </w:pPr>
            <w:r w:rsidRPr="00CF3E3D">
              <w:rPr>
                <w:sz w:val="18"/>
                <w:szCs w:val="18"/>
              </w:rPr>
              <w:t>0.0</w:t>
            </w:r>
          </w:p>
        </w:tc>
      </w:tr>
      <w:tr w:rsidR="004E45CF" w:rsidRPr="00CF3E3D" w14:paraId="26FB32A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4B7D2724" w14:textId="77777777" w:rsidR="004E45CF" w:rsidRPr="00E46532" w:rsidRDefault="004E45CF" w:rsidP="007007AC">
            <w:pPr>
              <w:spacing w:before="85" w:line="288" w:lineRule="auto"/>
              <w:rPr>
                <w:b/>
                <w:bCs/>
                <w:sz w:val="18"/>
                <w:szCs w:val="18"/>
              </w:rPr>
            </w:pPr>
            <w:r w:rsidRPr="00E46532">
              <w:rPr>
                <w:b/>
                <w:bCs/>
                <w:sz w:val="18"/>
                <w:szCs w:val="18"/>
              </w:rPr>
              <w:t>Considered too old by employers</w:t>
            </w:r>
          </w:p>
        </w:tc>
        <w:tc>
          <w:tcPr>
            <w:cnfStyle w:val="000001000000" w:firstRow="0" w:lastRow="0" w:firstColumn="0" w:lastColumn="0" w:oddVBand="0" w:evenVBand="1" w:oddHBand="0" w:evenHBand="0" w:firstRowFirstColumn="0" w:firstRowLastColumn="0" w:lastRowFirstColumn="0" w:lastRowLastColumn="0"/>
            <w:tcW w:w="533" w:type="pct"/>
          </w:tcPr>
          <w:p w14:paraId="1B5372C3" w14:textId="77777777" w:rsidR="004E45CF" w:rsidRPr="00CF3E3D" w:rsidRDefault="004E45CF" w:rsidP="007007AC">
            <w:pPr>
              <w:spacing w:before="85" w:line="288" w:lineRule="auto"/>
              <w:jc w:val="center"/>
              <w:rPr>
                <w:sz w:val="18"/>
                <w:szCs w:val="18"/>
              </w:rPr>
            </w:pPr>
            <w:r w:rsidRPr="00CF3E3D">
              <w:rPr>
                <w:sz w:val="18"/>
                <w:szCs w:val="18"/>
              </w:rPr>
              <w:t>0.7</w:t>
            </w:r>
          </w:p>
        </w:tc>
        <w:tc>
          <w:tcPr>
            <w:cnfStyle w:val="000010000000" w:firstRow="0" w:lastRow="0" w:firstColumn="0" w:lastColumn="0" w:oddVBand="1" w:evenVBand="0" w:oddHBand="0" w:evenHBand="0" w:firstRowFirstColumn="0" w:firstRowLastColumn="0" w:lastRowFirstColumn="0" w:lastRowLastColumn="0"/>
            <w:tcW w:w="534" w:type="pct"/>
          </w:tcPr>
          <w:p w14:paraId="6B665EC8" w14:textId="77777777" w:rsidR="004E45CF" w:rsidRPr="00CF3E3D" w:rsidRDefault="004E45CF" w:rsidP="007007AC">
            <w:pPr>
              <w:spacing w:before="85" w:line="288" w:lineRule="auto"/>
              <w:jc w:val="center"/>
              <w:rPr>
                <w:sz w:val="18"/>
                <w:szCs w:val="18"/>
              </w:rPr>
            </w:pPr>
            <w:r w:rsidRPr="00CF3E3D">
              <w:rPr>
                <w:sz w:val="18"/>
                <w:szCs w:val="18"/>
              </w:rPr>
              <w:t>0.8</w:t>
            </w:r>
          </w:p>
        </w:tc>
        <w:tc>
          <w:tcPr>
            <w:cnfStyle w:val="000001000000" w:firstRow="0" w:lastRow="0" w:firstColumn="0" w:lastColumn="0" w:oddVBand="0" w:evenVBand="1" w:oddHBand="0" w:evenHBand="0" w:firstRowFirstColumn="0" w:firstRowLastColumn="0" w:lastRowFirstColumn="0" w:lastRowLastColumn="0"/>
            <w:tcW w:w="533" w:type="pct"/>
          </w:tcPr>
          <w:p w14:paraId="514F047C" w14:textId="77777777" w:rsidR="004E45CF" w:rsidRPr="00CF3E3D" w:rsidRDefault="004E45CF" w:rsidP="007007AC">
            <w:pPr>
              <w:spacing w:before="85" w:line="288" w:lineRule="auto"/>
              <w:jc w:val="center"/>
              <w:rPr>
                <w:sz w:val="18"/>
                <w:szCs w:val="18"/>
              </w:rPr>
            </w:pPr>
            <w:r w:rsidRPr="00CF3E3D">
              <w:rPr>
                <w:sz w:val="18"/>
                <w:szCs w:val="18"/>
              </w:rPr>
              <w:t>0.7</w:t>
            </w:r>
          </w:p>
        </w:tc>
        <w:tc>
          <w:tcPr>
            <w:cnfStyle w:val="000010000000" w:firstRow="0" w:lastRow="0" w:firstColumn="0" w:lastColumn="0" w:oddVBand="1" w:evenVBand="0" w:oddHBand="0" w:evenHBand="0" w:firstRowFirstColumn="0" w:firstRowLastColumn="0" w:lastRowFirstColumn="0" w:lastRowLastColumn="0"/>
            <w:tcW w:w="534" w:type="pct"/>
          </w:tcPr>
          <w:p w14:paraId="5F6BDD31" w14:textId="77777777" w:rsidR="004E45CF" w:rsidRPr="00CF3E3D" w:rsidRDefault="004E45CF" w:rsidP="007007AC">
            <w:pPr>
              <w:spacing w:before="85" w:line="288" w:lineRule="auto"/>
              <w:jc w:val="center"/>
              <w:rPr>
                <w:sz w:val="18"/>
                <w:szCs w:val="18"/>
              </w:rPr>
            </w:pPr>
            <w:r w:rsidRPr="00CF3E3D">
              <w:rPr>
                <w:sz w:val="18"/>
                <w:szCs w:val="18"/>
              </w:rPr>
              <w:t>0.1</w:t>
            </w:r>
          </w:p>
        </w:tc>
        <w:tc>
          <w:tcPr>
            <w:cnfStyle w:val="000001000000" w:firstRow="0" w:lastRow="0" w:firstColumn="0" w:lastColumn="0" w:oddVBand="0" w:evenVBand="1" w:oddHBand="0" w:evenHBand="0" w:firstRowFirstColumn="0" w:firstRowLastColumn="0" w:lastRowFirstColumn="0" w:lastRowLastColumn="0"/>
            <w:tcW w:w="533" w:type="pct"/>
          </w:tcPr>
          <w:p w14:paraId="481179F7" w14:textId="77777777" w:rsidR="004E45CF" w:rsidRPr="00CF3E3D" w:rsidRDefault="004E45CF" w:rsidP="007007AC">
            <w:pPr>
              <w:spacing w:before="85" w:line="288" w:lineRule="auto"/>
              <w:jc w:val="center"/>
              <w:rPr>
                <w:sz w:val="18"/>
                <w:szCs w:val="18"/>
              </w:rPr>
            </w:pPr>
            <w:r w:rsidRPr="00CF3E3D">
              <w:rPr>
                <w:sz w:val="18"/>
                <w:szCs w:val="18"/>
              </w:rPr>
              <w:t>0.2</w:t>
            </w:r>
          </w:p>
        </w:tc>
        <w:tc>
          <w:tcPr>
            <w:cnfStyle w:val="000010000000" w:firstRow="0" w:lastRow="0" w:firstColumn="0" w:lastColumn="0" w:oddVBand="1" w:evenVBand="0" w:oddHBand="0" w:evenHBand="0" w:firstRowFirstColumn="0" w:firstRowLastColumn="0" w:lastRowFirstColumn="0" w:lastRowLastColumn="0"/>
            <w:tcW w:w="534" w:type="pct"/>
          </w:tcPr>
          <w:p w14:paraId="6180D86A" w14:textId="77777777" w:rsidR="004E45CF" w:rsidRPr="00CF3E3D" w:rsidRDefault="004E45CF" w:rsidP="007007AC">
            <w:pPr>
              <w:spacing w:before="85" w:line="288" w:lineRule="auto"/>
              <w:jc w:val="center"/>
              <w:rPr>
                <w:sz w:val="18"/>
                <w:szCs w:val="18"/>
              </w:rPr>
            </w:pPr>
            <w:r w:rsidRPr="00CF3E3D">
              <w:rPr>
                <w:sz w:val="18"/>
                <w:szCs w:val="18"/>
              </w:rPr>
              <w:t>0.1</w:t>
            </w:r>
          </w:p>
        </w:tc>
      </w:tr>
      <w:tr w:rsidR="004E45CF" w:rsidRPr="00CF3E3D" w14:paraId="1E108CF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0DD1EEFB" w14:textId="77777777" w:rsidR="004E45CF" w:rsidRPr="00E46532" w:rsidRDefault="004E45CF" w:rsidP="007007AC">
            <w:pPr>
              <w:spacing w:before="85" w:line="288" w:lineRule="auto"/>
              <w:rPr>
                <w:b/>
                <w:bCs/>
                <w:sz w:val="18"/>
                <w:szCs w:val="18"/>
              </w:rPr>
            </w:pPr>
            <w:r w:rsidRPr="00E46532">
              <w:rPr>
                <w:b/>
                <w:bCs/>
                <w:sz w:val="18"/>
                <w:szCs w:val="18"/>
              </w:rPr>
              <w:t>No jobs with a suitable number of hours</w:t>
            </w:r>
          </w:p>
        </w:tc>
        <w:tc>
          <w:tcPr>
            <w:cnfStyle w:val="000001000000" w:firstRow="0" w:lastRow="0" w:firstColumn="0" w:lastColumn="0" w:oddVBand="0" w:evenVBand="1" w:oddHBand="0" w:evenHBand="0" w:firstRowFirstColumn="0" w:firstRowLastColumn="0" w:lastRowFirstColumn="0" w:lastRowLastColumn="0"/>
            <w:tcW w:w="533" w:type="pct"/>
          </w:tcPr>
          <w:p w14:paraId="49C9D844" w14:textId="77777777" w:rsidR="004E45CF" w:rsidRPr="00CF3E3D" w:rsidRDefault="004E45CF" w:rsidP="007007AC">
            <w:pPr>
              <w:spacing w:before="85" w:line="288" w:lineRule="auto"/>
              <w:jc w:val="center"/>
              <w:rPr>
                <w:sz w:val="18"/>
                <w:szCs w:val="18"/>
              </w:rPr>
            </w:pPr>
            <w:r w:rsidRPr="00CF3E3D">
              <w:rPr>
                <w:sz w:val="18"/>
                <w:szCs w:val="18"/>
              </w:rPr>
              <w:t>4.1</w:t>
            </w:r>
          </w:p>
        </w:tc>
        <w:tc>
          <w:tcPr>
            <w:cnfStyle w:val="000010000000" w:firstRow="0" w:lastRow="0" w:firstColumn="0" w:lastColumn="0" w:oddVBand="1" w:evenVBand="0" w:oddHBand="0" w:evenHBand="0" w:firstRowFirstColumn="0" w:firstRowLastColumn="0" w:lastRowFirstColumn="0" w:lastRowLastColumn="0"/>
            <w:tcW w:w="534" w:type="pct"/>
          </w:tcPr>
          <w:p w14:paraId="5F7A94AC" w14:textId="77777777" w:rsidR="004E45CF" w:rsidRPr="00CF3E3D" w:rsidRDefault="004E45CF" w:rsidP="007007AC">
            <w:pPr>
              <w:spacing w:before="85" w:line="288" w:lineRule="auto"/>
              <w:jc w:val="center"/>
              <w:rPr>
                <w:sz w:val="18"/>
                <w:szCs w:val="18"/>
              </w:rPr>
            </w:pPr>
            <w:r w:rsidRPr="00CF3E3D">
              <w:rPr>
                <w:sz w:val="18"/>
                <w:szCs w:val="18"/>
              </w:rPr>
              <w:t>4.0</w:t>
            </w:r>
          </w:p>
        </w:tc>
        <w:tc>
          <w:tcPr>
            <w:cnfStyle w:val="000001000000" w:firstRow="0" w:lastRow="0" w:firstColumn="0" w:lastColumn="0" w:oddVBand="0" w:evenVBand="1" w:oddHBand="0" w:evenHBand="0" w:firstRowFirstColumn="0" w:firstRowLastColumn="0" w:lastRowFirstColumn="0" w:lastRowLastColumn="0"/>
            <w:tcW w:w="533" w:type="pct"/>
          </w:tcPr>
          <w:p w14:paraId="7CA680DE" w14:textId="77777777" w:rsidR="004E45CF" w:rsidRPr="00CF3E3D" w:rsidRDefault="004E45CF" w:rsidP="007007AC">
            <w:pPr>
              <w:spacing w:before="85" w:line="288" w:lineRule="auto"/>
              <w:jc w:val="center"/>
              <w:rPr>
                <w:sz w:val="18"/>
                <w:szCs w:val="18"/>
              </w:rPr>
            </w:pPr>
            <w:r w:rsidRPr="00CF3E3D">
              <w:rPr>
                <w:sz w:val="18"/>
                <w:szCs w:val="18"/>
              </w:rPr>
              <w:t>4.0</w:t>
            </w:r>
          </w:p>
        </w:tc>
        <w:tc>
          <w:tcPr>
            <w:cnfStyle w:val="000010000000" w:firstRow="0" w:lastRow="0" w:firstColumn="0" w:lastColumn="0" w:oddVBand="1" w:evenVBand="0" w:oddHBand="0" w:evenHBand="0" w:firstRowFirstColumn="0" w:firstRowLastColumn="0" w:lastRowFirstColumn="0" w:lastRowLastColumn="0"/>
            <w:tcW w:w="534" w:type="pct"/>
          </w:tcPr>
          <w:p w14:paraId="1AAAC48E" w14:textId="77777777" w:rsidR="004E45CF" w:rsidRPr="00CF3E3D" w:rsidRDefault="004E45CF" w:rsidP="007007AC">
            <w:pPr>
              <w:spacing w:before="85" w:line="288" w:lineRule="auto"/>
              <w:jc w:val="center"/>
              <w:rPr>
                <w:sz w:val="18"/>
                <w:szCs w:val="18"/>
              </w:rPr>
            </w:pPr>
            <w:r w:rsidRPr="00CF3E3D">
              <w:rPr>
                <w:sz w:val="18"/>
                <w:szCs w:val="18"/>
              </w:rPr>
              <w:t>0.1</w:t>
            </w:r>
          </w:p>
        </w:tc>
        <w:tc>
          <w:tcPr>
            <w:cnfStyle w:val="000001000000" w:firstRow="0" w:lastRow="0" w:firstColumn="0" w:lastColumn="0" w:oddVBand="0" w:evenVBand="1" w:oddHBand="0" w:evenHBand="0" w:firstRowFirstColumn="0" w:firstRowLastColumn="0" w:lastRowFirstColumn="0" w:lastRowLastColumn="0"/>
            <w:tcW w:w="533" w:type="pct"/>
          </w:tcPr>
          <w:p w14:paraId="24433176" w14:textId="77777777" w:rsidR="004E45CF" w:rsidRPr="00CF3E3D" w:rsidRDefault="004E45CF" w:rsidP="007007AC">
            <w:pPr>
              <w:spacing w:before="85" w:line="288" w:lineRule="auto"/>
              <w:jc w:val="center"/>
              <w:rPr>
                <w:sz w:val="18"/>
                <w:szCs w:val="18"/>
              </w:rPr>
            </w:pPr>
            <w:r w:rsidRPr="00CF3E3D">
              <w:rPr>
                <w:sz w:val="18"/>
                <w:szCs w:val="18"/>
              </w:rPr>
              <w:t>0.5</w:t>
            </w:r>
          </w:p>
        </w:tc>
        <w:tc>
          <w:tcPr>
            <w:cnfStyle w:val="000010000000" w:firstRow="0" w:lastRow="0" w:firstColumn="0" w:lastColumn="0" w:oddVBand="1" w:evenVBand="0" w:oddHBand="0" w:evenHBand="0" w:firstRowFirstColumn="0" w:firstRowLastColumn="0" w:lastRowFirstColumn="0" w:lastRowLastColumn="0"/>
            <w:tcW w:w="534" w:type="pct"/>
          </w:tcPr>
          <w:p w14:paraId="40CD4659" w14:textId="77777777" w:rsidR="004E45CF" w:rsidRPr="00CF3E3D" w:rsidRDefault="004E45CF" w:rsidP="007007AC">
            <w:pPr>
              <w:spacing w:before="85" w:line="288" w:lineRule="auto"/>
              <w:jc w:val="center"/>
              <w:rPr>
                <w:sz w:val="18"/>
                <w:szCs w:val="18"/>
              </w:rPr>
            </w:pPr>
            <w:r w:rsidRPr="00CF3E3D">
              <w:rPr>
                <w:sz w:val="18"/>
                <w:szCs w:val="18"/>
              </w:rPr>
              <w:t>0.2</w:t>
            </w:r>
          </w:p>
        </w:tc>
      </w:tr>
      <w:tr w:rsidR="004E45CF" w:rsidRPr="00CF3E3D" w14:paraId="0ACDFA66"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7BFBAD66" w14:textId="77777777" w:rsidR="004E45CF" w:rsidRPr="00E46532" w:rsidRDefault="004E45CF" w:rsidP="007007AC">
            <w:pPr>
              <w:spacing w:before="85" w:line="288" w:lineRule="auto"/>
              <w:rPr>
                <w:b/>
                <w:bCs/>
                <w:sz w:val="18"/>
                <w:szCs w:val="18"/>
              </w:rPr>
            </w:pPr>
            <w:r w:rsidRPr="00E46532">
              <w:rPr>
                <w:b/>
                <w:bCs/>
                <w:sz w:val="18"/>
                <w:szCs w:val="18"/>
              </w:rPr>
              <w:t>No more hours available in current position</w:t>
            </w:r>
          </w:p>
        </w:tc>
        <w:tc>
          <w:tcPr>
            <w:cnfStyle w:val="000001000000" w:firstRow="0" w:lastRow="0" w:firstColumn="0" w:lastColumn="0" w:oddVBand="0" w:evenVBand="1" w:oddHBand="0" w:evenHBand="0" w:firstRowFirstColumn="0" w:firstRowLastColumn="0" w:lastRowFirstColumn="0" w:lastRowLastColumn="0"/>
            <w:tcW w:w="533" w:type="pct"/>
          </w:tcPr>
          <w:p w14:paraId="01381693" w14:textId="77777777" w:rsidR="004E45CF" w:rsidRPr="00CF3E3D" w:rsidRDefault="004E45CF" w:rsidP="007007AC">
            <w:pPr>
              <w:spacing w:before="85" w:line="288" w:lineRule="auto"/>
              <w:jc w:val="center"/>
              <w:rPr>
                <w:sz w:val="18"/>
                <w:szCs w:val="18"/>
              </w:rPr>
            </w:pPr>
            <w:r w:rsidRPr="00CF3E3D">
              <w:rPr>
                <w:sz w:val="18"/>
                <w:szCs w:val="18"/>
              </w:rPr>
              <w:t>42.5</w:t>
            </w:r>
          </w:p>
        </w:tc>
        <w:tc>
          <w:tcPr>
            <w:cnfStyle w:val="000010000000" w:firstRow="0" w:lastRow="0" w:firstColumn="0" w:lastColumn="0" w:oddVBand="1" w:evenVBand="0" w:oddHBand="0" w:evenHBand="0" w:firstRowFirstColumn="0" w:firstRowLastColumn="0" w:lastRowFirstColumn="0" w:lastRowLastColumn="0"/>
            <w:tcW w:w="534" w:type="pct"/>
          </w:tcPr>
          <w:p w14:paraId="5FC6A3E6" w14:textId="77777777" w:rsidR="004E45CF" w:rsidRPr="00CF3E3D" w:rsidRDefault="004E45CF" w:rsidP="007007AC">
            <w:pPr>
              <w:spacing w:before="85" w:line="288" w:lineRule="auto"/>
              <w:jc w:val="center"/>
              <w:rPr>
                <w:sz w:val="18"/>
                <w:szCs w:val="18"/>
              </w:rPr>
            </w:pPr>
            <w:r w:rsidRPr="00CF3E3D">
              <w:rPr>
                <w:sz w:val="18"/>
                <w:szCs w:val="18"/>
              </w:rPr>
              <w:t>38.0</w:t>
            </w:r>
          </w:p>
        </w:tc>
        <w:tc>
          <w:tcPr>
            <w:cnfStyle w:val="000001000000" w:firstRow="0" w:lastRow="0" w:firstColumn="0" w:lastColumn="0" w:oddVBand="0" w:evenVBand="1" w:oddHBand="0" w:evenHBand="0" w:firstRowFirstColumn="0" w:firstRowLastColumn="0" w:lastRowFirstColumn="0" w:lastRowLastColumn="0"/>
            <w:tcW w:w="533" w:type="pct"/>
          </w:tcPr>
          <w:p w14:paraId="628A859F" w14:textId="77777777" w:rsidR="004E45CF" w:rsidRPr="00CF3E3D" w:rsidRDefault="004E45CF" w:rsidP="007007AC">
            <w:pPr>
              <w:spacing w:before="85" w:line="288" w:lineRule="auto"/>
              <w:jc w:val="center"/>
              <w:rPr>
                <w:sz w:val="18"/>
                <w:szCs w:val="18"/>
              </w:rPr>
            </w:pPr>
            <w:r w:rsidRPr="00CF3E3D">
              <w:rPr>
                <w:sz w:val="18"/>
                <w:szCs w:val="18"/>
              </w:rPr>
              <w:t>41.1</w:t>
            </w:r>
          </w:p>
        </w:tc>
        <w:tc>
          <w:tcPr>
            <w:cnfStyle w:val="000010000000" w:firstRow="0" w:lastRow="0" w:firstColumn="0" w:lastColumn="0" w:oddVBand="1" w:evenVBand="0" w:oddHBand="0" w:evenHBand="0" w:firstRowFirstColumn="0" w:firstRowLastColumn="0" w:lastRowFirstColumn="0" w:lastRowLastColumn="0"/>
            <w:tcW w:w="534" w:type="pct"/>
          </w:tcPr>
          <w:p w14:paraId="77350C9C" w14:textId="77777777" w:rsidR="004E45CF" w:rsidRPr="00CF3E3D" w:rsidRDefault="004E45CF" w:rsidP="007007AC">
            <w:pPr>
              <w:spacing w:before="85" w:line="288" w:lineRule="auto"/>
              <w:jc w:val="center"/>
              <w:rPr>
                <w:sz w:val="18"/>
                <w:szCs w:val="18"/>
              </w:rPr>
            </w:pPr>
            <w:r w:rsidRPr="00CF3E3D">
              <w:rPr>
                <w:sz w:val="18"/>
                <w:szCs w:val="18"/>
              </w:rPr>
              <w:t>1.8</w:t>
            </w:r>
          </w:p>
        </w:tc>
        <w:tc>
          <w:tcPr>
            <w:cnfStyle w:val="000001000000" w:firstRow="0" w:lastRow="0" w:firstColumn="0" w:lastColumn="0" w:oddVBand="0" w:evenVBand="1" w:oddHBand="0" w:evenHBand="0" w:firstRowFirstColumn="0" w:firstRowLastColumn="0" w:lastRowFirstColumn="0" w:lastRowLastColumn="0"/>
            <w:tcW w:w="533" w:type="pct"/>
          </w:tcPr>
          <w:p w14:paraId="4931B36F" w14:textId="77777777" w:rsidR="004E45CF" w:rsidRPr="00CF3E3D" w:rsidRDefault="004E45CF" w:rsidP="007007AC">
            <w:pPr>
              <w:spacing w:before="85" w:line="288" w:lineRule="auto"/>
              <w:jc w:val="center"/>
              <w:rPr>
                <w:sz w:val="18"/>
                <w:szCs w:val="18"/>
              </w:rPr>
            </w:pPr>
            <w:r w:rsidRPr="00CF3E3D">
              <w:rPr>
                <w:sz w:val="18"/>
                <w:szCs w:val="18"/>
              </w:rPr>
              <w:t>2.0</w:t>
            </w:r>
          </w:p>
        </w:tc>
        <w:tc>
          <w:tcPr>
            <w:cnfStyle w:val="000010000000" w:firstRow="0" w:lastRow="0" w:firstColumn="0" w:lastColumn="0" w:oddVBand="1" w:evenVBand="0" w:oddHBand="0" w:evenHBand="0" w:firstRowFirstColumn="0" w:firstRowLastColumn="0" w:lastRowFirstColumn="0" w:lastRowLastColumn="0"/>
            <w:tcW w:w="534" w:type="pct"/>
          </w:tcPr>
          <w:p w14:paraId="12BD7F6B" w14:textId="77777777" w:rsidR="004E45CF" w:rsidRPr="00CF3E3D" w:rsidRDefault="004E45CF" w:rsidP="007007AC">
            <w:pPr>
              <w:spacing w:before="85" w:line="288" w:lineRule="auto"/>
              <w:jc w:val="center"/>
              <w:rPr>
                <w:sz w:val="18"/>
                <w:szCs w:val="18"/>
              </w:rPr>
            </w:pPr>
            <w:r w:rsidRPr="00CF3E3D">
              <w:rPr>
                <w:sz w:val="18"/>
                <w:szCs w:val="18"/>
              </w:rPr>
              <w:t>1.9</w:t>
            </w:r>
          </w:p>
        </w:tc>
      </w:tr>
      <w:tr w:rsidR="004E45CF" w:rsidRPr="00CF3E3D" w14:paraId="35E8606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1B0BDC52" w14:textId="77777777" w:rsidR="004E45CF" w:rsidRPr="00E46532" w:rsidRDefault="004E45CF" w:rsidP="007007AC">
            <w:pPr>
              <w:spacing w:before="85" w:line="288" w:lineRule="auto"/>
              <w:rPr>
                <w:b/>
                <w:bCs/>
                <w:sz w:val="18"/>
                <w:szCs w:val="18"/>
              </w:rPr>
            </w:pPr>
            <w:r w:rsidRPr="00E46532">
              <w:rPr>
                <w:b/>
                <w:bCs/>
                <w:sz w:val="18"/>
                <w:szCs w:val="18"/>
              </w:rPr>
              <w:t>Subtotal – Labour market factors</w:t>
            </w:r>
          </w:p>
        </w:tc>
        <w:tc>
          <w:tcPr>
            <w:cnfStyle w:val="000001000000" w:firstRow="0" w:lastRow="0" w:firstColumn="0" w:lastColumn="0" w:oddVBand="0" w:evenVBand="1" w:oddHBand="0" w:evenHBand="0" w:firstRowFirstColumn="0" w:firstRowLastColumn="0" w:lastRowFirstColumn="0" w:lastRowLastColumn="0"/>
            <w:tcW w:w="533" w:type="pct"/>
          </w:tcPr>
          <w:p w14:paraId="310FF149" w14:textId="77777777" w:rsidR="004E45CF" w:rsidRPr="00E2669F" w:rsidRDefault="004E45CF" w:rsidP="007007AC">
            <w:pPr>
              <w:spacing w:before="85" w:line="288" w:lineRule="auto"/>
              <w:jc w:val="center"/>
              <w:rPr>
                <w:b/>
                <w:bCs/>
                <w:sz w:val="18"/>
                <w:szCs w:val="18"/>
              </w:rPr>
            </w:pPr>
            <w:r w:rsidRPr="00E2669F">
              <w:rPr>
                <w:b/>
                <w:bCs/>
                <w:sz w:val="18"/>
                <w:szCs w:val="18"/>
              </w:rPr>
              <w:t>61.2</w:t>
            </w:r>
          </w:p>
        </w:tc>
        <w:tc>
          <w:tcPr>
            <w:cnfStyle w:val="000010000000" w:firstRow="0" w:lastRow="0" w:firstColumn="0" w:lastColumn="0" w:oddVBand="1" w:evenVBand="0" w:oddHBand="0" w:evenHBand="0" w:firstRowFirstColumn="0" w:firstRowLastColumn="0" w:lastRowFirstColumn="0" w:lastRowLastColumn="0"/>
            <w:tcW w:w="534" w:type="pct"/>
          </w:tcPr>
          <w:p w14:paraId="4BA83989" w14:textId="77777777" w:rsidR="004E45CF" w:rsidRPr="00E2669F" w:rsidRDefault="004E45CF" w:rsidP="007007AC">
            <w:pPr>
              <w:spacing w:before="85" w:line="288" w:lineRule="auto"/>
              <w:jc w:val="center"/>
              <w:rPr>
                <w:b/>
                <w:bCs/>
                <w:sz w:val="18"/>
                <w:szCs w:val="18"/>
              </w:rPr>
            </w:pPr>
            <w:r w:rsidRPr="00E2669F">
              <w:rPr>
                <w:b/>
                <w:bCs/>
                <w:sz w:val="18"/>
                <w:szCs w:val="18"/>
              </w:rPr>
              <w:t>58.4</w:t>
            </w:r>
          </w:p>
        </w:tc>
        <w:tc>
          <w:tcPr>
            <w:cnfStyle w:val="000001000000" w:firstRow="0" w:lastRow="0" w:firstColumn="0" w:lastColumn="0" w:oddVBand="0" w:evenVBand="1" w:oddHBand="0" w:evenHBand="0" w:firstRowFirstColumn="0" w:firstRowLastColumn="0" w:lastRowFirstColumn="0" w:lastRowLastColumn="0"/>
            <w:tcW w:w="533" w:type="pct"/>
          </w:tcPr>
          <w:p w14:paraId="0FB42992" w14:textId="77777777" w:rsidR="004E45CF" w:rsidRPr="00E2669F" w:rsidRDefault="004E45CF" w:rsidP="007007AC">
            <w:pPr>
              <w:spacing w:before="85" w:line="288" w:lineRule="auto"/>
              <w:jc w:val="center"/>
              <w:rPr>
                <w:b/>
                <w:bCs/>
                <w:sz w:val="18"/>
                <w:szCs w:val="18"/>
              </w:rPr>
            </w:pPr>
            <w:r w:rsidRPr="00E2669F">
              <w:rPr>
                <w:b/>
                <w:bCs/>
                <w:sz w:val="18"/>
                <w:szCs w:val="18"/>
              </w:rPr>
              <w:t>60.3</w:t>
            </w:r>
          </w:p>
        </w:tc>
        <w:tc>
          <w:tcPr>
            <w:cnfStyle w:val="000010000000" w:firstRow="0" w:lastRow="0" w:firstColumn="0" w:lastColumn="0" w:oddVBand="1" w:evenVBand="0" w:oddHBand="0" w:evenHBand="0" w:firstRowFirstColumn="0" w:firstRowLastColumn="0" w:lastRowFirstColumn="0" w:lastRowLastColumn="0"/>
            <w:tcW w:w="534" w:type="pct"/>
          </w:tcPr>
          <w:p w14:paraId="0DAB6FA1" w14:textId="77777777" w:rsidR="004E45CF" w:rsidRPr="00E2669F" w:rsidRDefault="004E45CF" w:rsidP="007007AC">
            <w:pPr>
              <w:spacing w:before="85" w:line="288" w:lineRule="auto"/>
              <w:jc w:val="center"/>
              <w:rPr>
                <w:b/>
                <w:bCs/>
                <w:sz w:val="18"/>
                <w:szCs w:val="18"/>
              </w:rPr>
            </w:pPr>
            <w:r w:rsidRPr="00E2669F">
              <w:rPr>
                <w:b/>
                <w:bCs/>
                <w:sz w:val="18"/>
                <w:szCs w:val="18"/>
              </w:rPr>
              <w:t>2.8</w:t>
            </w:r>
          </w:p>
        </w:tc>
        <w:tc>
          <w:tcPr>
            <w:cnfStyle w:val="000001000000" w:firstRow="0" w:lastRow="0" w:firstColumn="0" w:lastColumn="0" w:oddVBand="0" w:evenVBand="1" w:oddHBand="0" w:evenHBand="0" w:firstRowFirstColumn="0" w:firstRowLastColumn="0" w:lastRowFirstColumn="0" w:lastRowLastColumn="0"/>
            <w:tcW w:w="533" w:type="pct"/>
          </w:tcPr>
          <w:p w14:paraId="04E61FB3" w14:textId="77777777" w:rsidR="004E45CF" w:rsidRPr="00E2669F" w:rsidRDefault="004E45CF" w:rsidP="007007AC">
            <w:pPr>
              <w:spacing w:before="85" w:line="288" w:lineRule="auto"/>
              <w:jc w:val="center"/>
              <w:rPr>
                <w:b/>
                <w:bCs/>
                <w:sz w:val="18"/>
                <w:szCs w:val="18"/>
              </w:rPr>
            </w:pPr>
            <w:r w:rsidRPr="00E2669F">
              <w:rPr>
                <w:b/>
                <w:bCs/>
                <w:sz w:val="18"/>
                <w:szCs w:val="18"/>
              </w:rPr>
              <w:t>4.1</w:t>
            </w:r>
          </w:p>
        </w:tc>
        <w:tc>
          <w:tcPr>
            <w:cnfStyle w:val="000010000000" w:firstRow="0" w:lastRow="0" w:firstColumn="0" w:lastColumn="0" w:oddVBand="1" w:evenVBand="0" w:oddHBand="0" w:evenHBand="0" w:firstRowFirstColumn="0" w:firstRowLastColumn="0" w:lastRowFirstColumn="0" w:lastRowLastColumn="0"/>
            <w:tcW w:w="534" w:type="pct"/>
          </w:tcPr>
          <w:p w14:paraId="0B5ACFF3" w14:textId="77777777" w:rsidR="004E45CF" w:rsidRPr="00E2669F" w:rsidRDefault="004E45CF" w:rsidP="007007AC">
            <w:pPr>
              <w:spacing w:before="85" w:line="288" w:lineRule="auto"/>
              <w:jc w:val="center"/>
              <w:rPr>
                <w:b/>
                <w:bCs/>
                <w:sz w:val="18"/>
                <w:szCs w:val="18"/>
              </w:rPr>
            </w:pPr>
            <w:r w:rsidRPr="00E2669F">
              <w:rPr>
                <w:b/>
                <w:bCs/>
                <w:sz w:val="18"/>
                <w:szCs w:val="18"/>
              </w:rPr>
              <w:t>3.1</w:t>
            </w:r>
          </w:p>
        </w:tc>
      </w:tr>
      <w:tr w:rsidR="004E45CF" w:rsidRPr="00CF3E3D" w14:paraId="2F3901A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2EC792C2" w14:textId="77777777" w:rsidR="004E45CF" w:rsidRPr="00E46532" w:rsidRDefault="004E45CF" w:rsidP="007007AC">
            <w:pPr>
              <w:spacing w:before="85" w:line="288" w:lineRule="auto"/>
              <w:rPr>
                <w:b/>
                <w:bCs/>
                <w:sz w:val="18"/>
                <w:szCs w:val="18"/>
              </w:rPr>
            </w:pPr>
            <w:r w:rsidRPr="00E46532">
              <w:rPr>
                <w:b/>
                <w:bCs/>
                <w:sz w:val="18"/>
                <w:szCs w:val="18"/>
              </w:rPr>
              <w:t>Other</w:t>
            </w:r>
          </w:p>
        </w:tc>
        <w:tc>
          <w:tcPr>
            <w:cnfStyle w:val="000001000000" w:firstRow="0" w:lastRow="0" w:firstColumn="0" w:lastColumn="0" w:oddVBand="0" w:evenVBand="1" w:oddHBand="0" w:evenHBand="0" w:firstRowFirstColumn="0" w:firstRowLastColumn="0" w:lastRowFirstColumn="0" w:lastRowLastColumn="0"/>
            <w:tcW w:w="533" w:type="pct"/>
          </w:tcPr>
          <w:p w14:paraId="3955E48F" w14:textId="77777777" w:rsidR="004E45CF" w:rsidRPr="00CF3E3D" w:rsidRDefault="004E45CF" w:rsidP="007007AC">
            <w:pPr>
              <w:spacing w:before="85" w:line="288" w:lineRule="auto"/>
              <w:jc w:val="center"/>
              <w:rPr>
                <w:sz w:val="18"/>
                <w:szCs w:val="18"/>
              </w:rPr>
            </w:pPr>
            <w:r w:rsidRPr="00CF3E3D">
              <w:rPr>
                <w:sz w:val="18"/>
                <w:szCs w:val="18"/>
              </w:rPr>
              <w:t>15.5</w:t>
            </w:r>
          </w:p>
        </w:tc>
        <w:tc>
          <w:tcPr>
            <w:cnfStyle w:val="000010000000" w:firstRow="0" w:lastRow="0" w:firstColumn="0" w:lastColumn="0" w:oddVBand="1" w:evenVBand="0" w:oddHBand="0" w:evenHBand="0" w:firstRowFirstColumn="0" w:firstRowLastColumn="0" w:lastRowFirstColumn="0" w:lastRowLastColumn="0"/>
            <w:tcW w:w="534" w:type="pct"/>
          </w:tcPr>
          <w:p w14:paraId="2F2E11C0" w14:textId="77777777" w:rsidR="004E45CF" w:rsidRPr="00CF3E3D" w:rsidRDefault="004E45CF" w:rsidP="007007AC">
            <w:pPr>
              <w:spacing w:before="85" w:line="288" w:lineRule="auto"/>
              <w:jc w:val="center"/>
              <w:rPr>
                <w:sz w:val="18"/>
                <w:szCs w:val="18"/>
              </w:rPr>
            </w:pPr>
            <w:r w:rsidRPr="00CF3E3D">
              <w:rPr>
                <w:sz w:val="18"/>
                <w:szCs w:val="18"/>
              </w:rPr>
              <w:t>19.2</w:t>
            </w:r>
          </w:p>
        </w:tc>
        <w:tc>
          <w:tcPr>
            <w:cnfStyle w:val="000001000000" w:firstRow="0" w:lastRow="0" w:firstColumn="0" w:lastColumn="0" w:oddVBand="0" w:evenVBand="1" w:oddHBand="0" w:evenHBand="0" w:firstRowFirstColumn="0" w:firstRowLastColumn="0" w:lastRowFirstColumn="0" w:lastRowLastColumn="0"/>
            <w:tcW w:w="533" w:type="pct"/>
          </w:tcPr>
          <w:p w14:paraId="156BB763" w14:textId="77777777" w:rsidR="004E45CF" w:rsidRPr="00CF3E3D" w:rsidRDefault="004E45CF" w:rsidP="007007AC">
            <w:pPr>
              <w:spacing w:before="85" w:line="288" w:lineRule="auto"/>
              <w:jc w:val="center"/>
              <w:rPr>
                <w:sz w:val="18"/>
                <w:szCs w:val="18"/>
              </w:rPr>
            </w:pPr>
            <w:r w:rsidRPr="00CF3E3D">
              <w:rPr>
                <w:sz w:val="18"/>
                <w:szCs w:val="18"/>
              </w:rPr>
              <w:t>16.7</w:t>
            </w:r>
          </w:p>
        </w:tc>
        <w:tc>
          <w:tcPr>
            <w:cnfStyle w:val="000010000000" w:firstRow="0" w:lastRow="0" w:firstColumn="0" w:lastColumn="0" w:oddVBand="1" w:evenVBand="0" w:oddHBand="0" w:evenHBand="0" w:firstRowFirstColumn="0" w:firstRowLastColumn="0" w:lastRowFirstColumn="0" w:lastRowLastColumn="0"/>
            <w:tcW w:w="534" w:type="pct"/>
          </w:tcPr>
          <w:p w14:paraId="60671320" w14:textId="77777777" w:rsidR="004E45CF" w:rsidRPr="00CF3E3D" w:rsidRDefault="004E45CF" w:rsidP="007007AC">
            <w:pPr>
              <w:spacing w:before="85" w:line="288" w:lineRule="auto"/>
              <w:jc w:val="center"/>
              <w:rPr>
                <w:sz w:val="18"/>
                <w:szCs w:val="18"/>
              </w:rPr>
            </w:pPr>
            <w:r w:rsidRPr="00CF3E3D">
              <w:rPr>
                <w:sz w:val="18"/>
                <w:szCs w:val="18"/>
              </w:rPr>
              <w:t>45.2</w:t>
            </w:r>
          </w:p>
        </w:tc>
        <w:tc>
          <w:tcPr>
            <w:cnfStyle w:val="000001000000" w:firstRow="0" w:lastRow="0" w:firstColumn="0" w:lastColumn="0" w:oddVBand="0" w:evenVBand="1" w:oddHBand="0" w:evenHBand="0" w:firstRowFirstColumn="0" w:firstRowLastColumn="0" w:lastRowFirstColumn="0" w:lastRowLastColumn="0"/>
            <w:tcW w:w="533" w:type="pct"/>
          </w:tcPr>
          <w:p w14:paraId="6D559B5F" w14:textId="77777777" w:rsidR="004E45CF" w:rsidRPr="00CF3E3D" w:rsidRDefault="004E45CF" w:rsidP="007007AC">
            <w:pPr>
              <w:spacing w:before="85" w:line="288" w:lineRule="auto"/>
              <w:jc w:val="center"/>
              <w:rPr>
                <w:sz w:val="18"/>
                <w:szCs w:val="18"/>
              </w:rPr>
            </w:pPr>
            <w:r w:rsidRPr="00CF3E3D">
              <w:rPr>
                <w:sz w:val="18"/>
                <w:szCs w:val="18"/>
              </w:rPr>
              <w:t>41.4</w:t>
            </w:r>
          </w:p>
        </w:tc>
        <w:tc>
          <w:tcPr>
            <w:cnfStyle w:val="000010000000" w:firstRow="0" w:lastRow="0" w:firstColumn="0" w:lastColumn="0" w:oddVBand="1" w:evenVBand="0" w:oddHBand="0" w:evenHBand="0" w:firstRowFirstColumn="0" w:firstRowLastColumn="0" w:lastRowFirstColumn="0" w:lastRowLastColumn="0"/>
            <w:tcW w:w="534" w:type="pct"/>
          </w:tcPr>
          <w:p w14:paraId="0836892C" w14:textId="77777777" w:rsidR="004E45CF" w:rsidRPr="00CF3E3D" w:rsidRDefault="004E45CF" w:rsidP="007007AC">
            <w:pPr>
              <w:spacing w:before="85" w:line="288" w:lineRule="auto"/>
              <w:jc w:val="center"/>
              <w:rPr>
                <w:sz w:val="18"/>
                <w:szCs w:val="18"/>
              </w:rPr>
            </w:pPr>
            <w:r w:rsidRPr="00CF3E3D">
              <w:rPr>
                <w:sz w:val="18"/>
                <w:szCs w:val="18"/>
              </w:rPr>
              <w:t>44.4</w:t>
            </w:r>
          </w:p>
        </w:tc>
      </w:tr>
      <w:tr w:rsidR="004E45CF" w:rsidRPr="00CF3E3D" w14:paraId="71FDF2A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99" w:type="pct"/>
          </w:tcPr>
          <w:p w14:paraId="39002A25" w14:textId="77777777" w:rsidR="004E45CF" w:rsidRPr="00E46532" w:rsidRDefault="004E45CF" w:rsidP="007007AC">
            <w:pPr>
              <w:spacing w:before="85" w:line="288" w:lineRule="auto"/>
              <w:rPr>
                <w:b/>
                <w:bCs/>
                <w:sz w:val="18"/>
                <w:szCs w:val="18"/>
                <w:highlight w:val="green"/>
              </w:rPr>
            </w:pPr>
            <w:r w:rsidRPr="00E46532">
              <w:rPr>
                <w:b/>
                <w:bCs/>
                <w:sz w:val="18"/>
                <w:szCs w:val="18"/>
              </w:rPr>
              <w:t>Employed part-time (as % of all employed)</w:t>
            </w:r>
          </w:p>
        </w:tc>
        <w:tc>
          <w:tcPr>
            <w:cnfStyle w:val="000001000000" w:firstRow="0" w:lastRow="0" w:firstColumn="0" w:lastColumn="0" w:oddVBand="0" w:evenVBand="1" w:oddHBand="0" w:evenHBand="0" w:firstRowFirstColumn="0" w:firstRowLastColumn="0" w:lastRowFirstColumn="0" w:lastRowLastColumn="0"/>
            <w:tcW w:w="533" w:type="pct"/>
          </w:tcPr>
          <w:p w14:paraId="565DB12C" w14:textId="77777777" w:rsidR="004E45CF" w:rsidRPr="00CF3E3D" w:rsidRDefault="004E45CF" w:rsidP="007007AC">
            <w:pPr>
              <w:spacing w:before="85" w:line="288" w:lineRule="auto"/>
              <w:jc w:val="center"/>
              <w:rPr>
                <w:b/>
                <w:bCs/>
                <w:sz w:val="18"/>
                <w:szCs w:val="18"/>
              </w:rPr>
            </w:pPr>
            <w:r w:rsidRPr="00CF3E3D">
              <w:rPr>
                <w:b/>
                <w:bCs/>
                <w:sz w:val="18"/>
                <w:szCs w:val="18"/>
              </w:rPr>
              <w:t>14.3</w:t>
            </w:r>
          </w:p>
        </w:tc>
        <w:tc>
          <w:tcPr>
            <w:cnfStyle w:val="000010000000" w:firstRow="0" w:lastRow="0" w:firstColumn="0" w:lastColumn="0" w:oddVBand="1" w:evenVBand="0" w:oddHBand="0" w:evenHBand="0" w:firstRowFirstColumn="0" w:firstRowLastColumn="0" w:lastRowFirstColumn="0" w:lastRowLastColumn="0"/>
            <w:tcW w:w="534" w:type="pct"/>
          </w:tcPr>
          <w:p w14:paraId="6362B5C1" w14:textId="77777777" w:rsidR="004E45CF" w:rsidRPr="00CF3E3D" w:rsidRDefault="004E45CF" w:rsidP="007007AC">
            <w:pPr>
              <w:spacing w:before="85" w:line="288" w:lineRule="auto"/>
              <w:jc w:val="center"/>
              <w:rPr>
                <w:b/>
                <w:bCs/>
                <w:sz w:val="18"/>
                <w:szCs w:val="18"/>
              </w:rPr>
            </w:pPr>
            <w:r w:rsidRPr="00CF3E3D">
              <w:rPr>
                <w:b/>
                <w:bCs/>
                <w:sz w:val="18"/>
                <w:szCs w:val="18"/>
              </w:rPr>
              <w:t>13.2</w:t>
            </w:r>
          </w:p>
        </w:tc>
        <w:tc>
          <w:tcPr>
            <w:cnfStyle w:val="000001000000" w:firstRow="0" w:lastRow="0" w:firstColumn="0" w:lastColumn="0" w:oddVBand="0" w:evenVBand="1" w:oddHBand="0" w:evenHBand="0" w:firstRowFirstColumn="0" w:firstRowLastColumn="0" w:lastRowFirstColumn="0" w:lastRowLastColumn="0"/>
            <w:tcW w:w="533" w:type="pct"/>
          </w:tcPr>
          <w:p w14:paraId="5CE3A5F9" w14:textId="77777777" w:rsidR="004E45CF" w:rsidRPr="00CF3E3D" w:rsidRDefault="004E45CF" w:rsidP="007007AC">
            <w:pPr>
              <w:spacing w:before="85" w:line="288" w:lineRule="auto"/>
              <w:jc w:val="center"/>
              <w:rPr>
                <w:b/>
                <w:bCs/>
                <w:sz w:val="18"/>
                <w:szCs w:val="18"/>
              </w:rPr>
            </w:pPr>
            <w:r w:rsidRPr="00CF3E3D">
              <w:rPr>
                <w:b/>
                <w:bCs/>
                <w:sz w:val="18"/>
                <w:szCs w:val="18"/>
              </w:rPr>
              <w:t>13.9</w:t>
            </w:r>
          </w:p>
        </w:tc>
        <w:tc>
          <w:tcPr>
            <w:cnfStyle w:val="000010000000" w:firstRow="0" w:lastRow="0" w:firstColumn="0" w:lastColumn="0" w:oddVBand="1" w:evenVBand="0" w:oddHBand="0" w:evenHBand="0" w:firstRowFirstColumn="0" w:firstRowLastColumn="0" w:lastRowFirstColumn="0" w:lastRowLastColumn="0"/>
            <w:tcW w:w="534" w:type="pct"/>
          </w:tcPr>
          <w:p w14:paraId="24631AC6" w14:textId="77777777" w:rsidR="004E45CF" w:rsidRPr="00CF3E3D" w:rsidRDefault="004E45CF" w:rsidP="007007AC">
            <w:pPr>
              <w:spacing w:before="85" w:line="288" w:lineRule="auto"/>
              <w:jc w:val="center"/>
              <w:rPr>
                <w:b/>
                <w:bCs/>
                <w:sz w:val="18"/>
                <w:szCs w:val="18"/>
              </w:rPr>
            </w:pPr>
            <w:r w:rsidRPr="00CF3E3D">
              <w:rPr>
                <w:b/>
                <w:bCs/>
                <w:sz w:val="18"/>
                <w:szCs w:val="18"/>
              </w:rPr>
              <w:t>19.2</w:t>
            </w:r>
          </w:p>
        </w:tc>
        <w:tc>
          <w:tcPr>
            <w:cnfStyle w:val="000001000000" w:firstRow="0" w:lastRow="0" w:firstColumn="0" w:lastColumn="0" w:oddVBand="0" w:evenVBand="1" w:oddHBand="0" w:evenHBand="0" w:firstRowFirstColumn="0" w:firstRowLastColumn="0" w:lastRowFirstColumn="0" w:lastRowLastColumn="0"/>
            <w:tcW w:w="533" w:type="pct"/>
          </w:tcPr>
          <w:p w14:paraId="0906E531" w14:textId="77777777" w:rsidR="004E45CF" w:rsidRPr="00CF3E3D" w:rsidRDefault="004E45CF" w:rsidP="007007AC">
            <w:pPr>
              <w:spacing w:before="85" w:line="288" w:lineRule="auto"/>
              <w:jc w:val="center"/>
              <w:rPr>
                <w:b/>
                <w:bCs/>
                <w:sz w:val="18"/>
                <w:szCs w:val="18"/>
              </w:rPr>
            </w:pPr>
            <w:r w:rsidRPr="00CF3E3D">
              <w:rPr>
                <w:b/>
                <w:bCs/>
                <w:sz w:val="18"/>
                <w:szCs w:val="18"/>
              </w:rPr>
              <w:t>11.4</w:t>
            </w:r>
          </w:p>
        </w:tc>
        <w:tc>
          <w:tcPr>
            <w:cnfStyle w:val="000010000000" w:firstRow="0" w:lastRow="0" w:firstColumn="0" w:lastColumn="0" w:oddVBand="1" w:evenVBand="0" w:oddHBand="0" w:evenHBand="0" w:firstRowFirstColumn="0" w:firstRowLastColumn="0" w:lastRowFirstColumn="0" w:lastRowLastColumn="0"/>
            <w:tcW w:w="534" w:type="pct"/>
          </w:tcPr>
          <w:p w14:paraId="6893324F" w14:textId="77777777" w:rsidR="004E45CF" w:rsidRPr="00CF3E3D" w:rsidRDefault="004E45CF" w:rsidP="007007AC">
            <w:pPr>
              <w:spacing w:before="85" w:line="288" w:lineRule="auto"/>
              <w:jc w:val="center"/>
              <w:rPr>
                <w:b/>
                <w:bCs/>
                <w:sz w:val="18"/>
                <w:szCs w:val="18"/>
              </w:rPr>
            </w:pPr>
            <w:r w:rsidRPr="00CF3E3D">
              <w:rPr>
                <w:b/>
                <w:bCs/>
                <w:sz w:val="18"/>
                <w:szCs w:val="18"/>
              </w:rPr>
              <w:t>16.6</w:t>
            </w:r>
          </w:p>
        </w:tc>
      </w:tr>
    </w:tbl>
    <w:p w14:paraId="3653482A" w14:textId="77777777" w:rsidR="004E45CF" w:rsidRPr="002F77B2" w:rsidRDefault="004E45CF" w:rsidP="002F77B2">
      <w:pPr>
        <w:pStyle w:val="Heading3"/>
        <w:numPr>
          <w:ilvl w:val="0"/>
          <w:numId w:val="0"/>
        </w:numPr>
        <w:ind w:left="851" w:hanging="851"/>
        <w:rPr>
          <w:color w:val="000000" w:themeColor="text1"/>
        </w:rPr>
      </w:pPr>
      <w:bookmarkStart w:id="51" w:name="_Toc116035542"/>
      <w:bookmarkStart w:id="52" w:name="_Toc116039897"/>
      <w:bookmarkEnd w:id="50"/>
      <w:r w:rsidRPr="002F77B2">
        <w:rPr>
          <w:color w:val="000000" w:themeColor="text1"/>
        </w:rPr>
        <w:t xml:space="preserve">2.5 </w:t>
      </w:r>
      <w:r w:rsidRPr="002F77B2">
        <w:rPr>
          <w:color w:val="000000" w:themeColor="text1"/>
        </w:rPr>
        <w:tab/>
        <w:t>Demographic group</w:t>
      </w:r>
      <w:bookmarkStart w:id="53" w:name="_Toc22810092"/>
      <w:bookmarkEnd w:id="51"/>
      <w:bookmarkEnd w:id="52"/>
    </w:p>
    <w:p w14:paraId="529250EE" w14:textId="77777777" w:rsidR="006B216A" w:rsidRPr="00712E7A" w:rsidRDefault="006B216A" w:rsidP="006B216A">
      <w:pPr>
        <w:pStyle w:val="Body"/>
        <w:rPr>
          <w:highlight w:val="yellow"/>
        </w:rPr>
      </w:pPr>
      <w:r w:rsidRPr="00B16F61">
        <w:t>As was the case in previous years, older undergraduates and undergraduates that studied externally</w:t>
      </w:r>
      <w:r>
        <w:t xml:space="preserve"> (undertaken all their study off-campus)</w:t>
      </w:r>
      <w:r w:rsidRPr="00B16F61">
        <w:t xml:space="preserve"> were more likely to be in full-time employment in 202</w:t>
      </w:r>
      <w:r>
        <w:t>2</w:t>
      </w:r>
      <w:r w:rsidRPr="00B16F61">
        <w:t>, with rates of 7</w:t>
      </w:r>
      <w:r>
        <w:t>9</w:t>
      </w:r>
      <w:r w:rsidRPr="00B16F61">
        <w:t>.</w:t>
      </w:r>
      <w:r>
        <w:t>5</w:t>
      </w:r>
      <w:r w:rsidRPr="00B16F61">
        <w:t xml:space="preserve"> per cent and </w:t>
      </w:r>
      <w:r>
        <w:t>84</w:t>
      </w:r>
      <w:r w:rsidRPr="00B16F61">
        <w:t>.</w:t>
      </w:r>
      <w:r>
        <w:t>1</w:t>
      </w:r>
      <w:r w:rsidRPr="00B16F61">
        <w:t xml:space="preserve"> per cent respectively, as shown in </w:t>
      </w:r>
      <w:r w:rsidR="004E45CF" w:rsidRPr="00CF3E3D">
        <w:fldChar w:fldCharType="begin"/>
      </w:r>
      <w:r w:rsidR="004E45CF" w:rsidRPr="00CF3E3D">
        <w:instrText xml:space="preserve"> REF _Ref79072404 \h  \* MERGEFORMAT </w:instrText>
      </w:r>
      <w:r w:rsidR="004E45CF" w:rsidRPr="00CF3E3D">
        <w:fldChar w:fldCharType="separate"/>
      </w:r>
      <w:r w:rsidR="004E45CF" w:rsidRPr="00CF3E3D">
        <w:t xml:space="preserve">Table </w:t>
      </w:r>
      <w:r w:rsidR="004E45CF">
        <w:rPr>
          <w:noProof/>
        </w:rPr>
        <w:t>8</w:t>
      </w:r>
      <w:r w:rsidR="004E45CF" w:rsidRPr="00CF3E3D">
        <w:fldChar w:fldCharType="end"/>
      </w:r>
      <w:r w:rsidR="004E45CF" w:rsidRPr="00CF3E3D">
        <w:t xml:space="preserve">. </w:t>
      </w:r>
      <w:r w:rsidRPr="00B16F61">
        <w:t xml:space="preserve">This may be associated with these graduates being more likely to have an ongoing relationship with an employer while studying. Older graduates were </w:t>
      </w:r>
      <w:r>
        <w:t>1</w:t>
      </w:r>
      <w:r w:rsidRPr="00B16F61">
        <w:t>.</w:t>
      </w:r>
      <w:r>
        <w:t>2</w:t>
      </w:r>
      <w:r w:rsidRPr="00B16F61">
        <w:t xml:space="preserve"> percentage points more likely to be employed full-time than graduates aged 30 or younger</w:t>
      </w:r>
      <w:r>
        <w:t xml:space="preserve">, but 3.9 percentage points less likely </w:t>
      </w:r>
      <w:r w:rsidRPr="00B16F61">
        <w:t xml:space="preserve">to be participating in the labour force. Graduates who completed their studies externally were </w:t>
      </w:r>
      <w:r>
        <w:t>6</w:t>
      </w:r>
      <w:r w:rsidRPr="00B16F61">
        <w:t>.</w:t>
      </w:r>
      <w:r>
        <w:t>9</w:t>
      </w:r>
      <w:r w:rsidRPr="00B16F61">
        <w:t xml:space="preserve"> percentage points more likely to be employed full-time than those who had completed internal or mixed mode studies</w:t>
      </w:r>
      <w:r>
        <w:t xml:space="preserve"> (attended some or all their classes on-campus)</w:t>
      </w:r>
      <w:r w:rsidRPr="00B16F61">
        <w:t xml:space="preserve"> and were also </w:t>
      </w:r>
      <w:r>
        <w:t>2</w:t>
      </w:r>
      <w:r w:rsidRPr="00B16F61">
        <w:t>.</w:t>
      </w:r>
      <w:r>
        <w:t>1</w:t>
      </w:r>
      <w:r w:rsidRPr="00B16F61">
        <w:t xml:space="preserve"> per</w:t>
      </w:r>
      <w:r>
        <w:t xml:space="preserve">centage points </w:t>
      </w:r>
      <w:r w:rsidRPr="00B16F61">
        <w:t>more likely to be employed</w:t>
      </w:r>
      <w:r>
        <w:t>,</w:t>
      </w:r>
      <w:r w:rsidRPr="00B16F61">
        <w:t xml:space="preserve"> but </w:t>
      </w:r>
      <w:r>
        <w:t xml:space="preserve">2.0 percentage points </w:t>
      </w:r>
      <w:r w:rsidRPr="00B16F61">
        <w:t>less likely to participate in the labour force.</w:t>
      </w:r>
    </w:p>
    <w:p w14:paraId="20993197" w14:textId="52379C17" w:rsidR="004E45CF" w:rsidRPr="00CF3E3D" w:rsidRDefault="004E45CF" w:rsidP="004E45CF">
      <w:pPr>
        <w:pStyle w:val="Body"/>
      </w:pPr>
      <w:r w:rsidRPr="00CF3E3D">
        <w:t xml:space="preserve">Indigenous undergraduates were more likely to be in full-time employment than non-Indigenous undergraduates, at 81.5 per cent and 78.5 per cent respectively, and more likely to be employed, at 89.5 per cent and 88.3 per cent respectively. Undergraduates with a reported disability had a full-time employment rate of 68.4 per cent, which was 11.1 percentage points lower than the 79.5 per cent for undergraduates who reported no disability. Similarly, undergraduates whose home language was something other than English had a substantially lower rate of full-time employment, at 66.0 per cent, in comparison with the 78.9 per cent for undergraduates whose home language was English. </w:t>
      </w:r>
    </w:p>
    <w:p w14:paraId="4479FB1B" w14:textId="47DF508D" w:rsidR="00AB596C" w:rsidRPr="00AB596C" w:rsidRDefault="00AB596C" w:rsidP="00AB596C">
      <w:pPr>
        <w:pStyle w:val="Body"/>
      </w:pPr>
      <w:bookmarkStart w:id="54" w:name="_Ref79072404"/>
      <w:bookmarkStart w:id="55" w:name="_Toc116035802"/>
      <w:bookmarkStart w:id="56" w:name="_Toc116040357"/>
      <w:r w:rsidRPr="00AB596C">
        <w:t xml:space="preserve">In 2022, graduates from higher socio-economic status (SES) categories had a better rate of full-time employment, with 79.8 per cent of high SES undergraduates employed full-time compared with 78.9 </w:t>
      </w:r>
      <w:r w:rsidRPr="00AB596C">
        <w:lastRenderedPageBreak/>
        <w:t>per cent of those in medium SES and 76.6 per cent in the low SES category. In a change from 2021, medium SES graduates had the highest rate of overall employment, with 89.1 per cent. Labour force participation followed a similar pattern, with 92.9 per cent of medium SES undergraduates participating in the labour force compared to 92.1 per cent and 91.9 per cent for high or low SES undergraduates respectively.</w:t>
      </w:r>
    </w:p>
    <w:p w14:paraId="16A30391" w14:textId="77777777" w:rsidR="00AB596C" w:rsidRDefault="00AB596C" w:rsidP="00AB596C">
      <w:pPr>
        <w:pStyle w:val="Body"/>
      </w:pPr>
      <w:r w:rsidRPr="00AB596C">
        <w:t>Full-time and overall employment rates of undergraduates from regional or remote areas remained higher than for those from metropolitan areas. Regional / remote graduates’ full-time employment rate was 83.0 per cent compared with 77.6 per cent for metropolitan graduates, a difference of 5.4 percentage points. Similarly, 90.9 per cent of regional/remote graduates were employed overall, compared with 87.9 per cent for metropolitan areas. Those in regional/remote areas were marginally more likely to participate in the labour force, with a participation rate of 92.5 per cent compared with 92.4 per cent for metropolitan areas.</w:t>
      </w:r>
    </w:p>
    <w:p w14:paraId="60F93175" w14:textId="0C8941AE" w:rsidR="004E45CF" w:rsidRPr="002F77B2" w:rsidRDefault="004E45CF" w:rsidP="004E45CF">
      <w:pPr>
        <w:pStyle w:val="Caption"/>
        <w:rPr>
          <w:color w:val="000000" w:themeColor="text1"/>
        </w:rPr>
      </w:pPr>
      <w:r w:rsidRPr="002F77B2">
        <w:rPr>
          <w:color w:val="000000" w:themeColor="text1"/>
        </w:rPr>
        <w:t xml:space="preserve">Table </w:t>
      </w:r>
      <w:r w:rsidRPr="002F77B2">
        <w:rPr>
          <w:color w:val="000000" w:themeColor="text1"/>
        </w:rPr>
        <w:fldChar w:fldCharType="begin"/>
      </w:r>
      <w:r w:rsidRPr="002F77B2">
        <w:rPr>
          <w:color w:val="000000" w:themeColor="text1"/>
        </w:rPr>
        <w:instrText xml:space="preserve"> SEQ Table \* ARABIC </w:instrText>
      </w:r>
      <w:r w:rsidRPr="002F77B2">
        <w:rPr>
          <w:color w:val="000000" w:themeColor="text1"/>
        </w:rPr>
        <w:fldChar w:fldCharType="separate"/>
      </w:r>
      <w:r w:rsidR="002F77B2" w:rsidRPr="002F77B2">
        <w:rPr>
          <w:noProof/>
          <w:color w:val="000000" w:themeColor="text1"/>
        </w:rPr>
        <w:t>8</w:t>
      </w:r>
      <w:r w:rsidRPr="002F77B2">
        <w:rPr>
          <w:color w:val="000000" w:themeColor="text1"/>
        </w:rPr>
        <w:fldChar w:fldCharType="end"/>
      </w:r>
      <w:bookmarkEnd w:id="54"/>
      <w:r w:rsidRPr="002F77B2">
        <w:rPr>
          <w:color w:val="000000" w:themeColor="text1"/>
        </w:rPr>
        <w:t xml:space="preserve"> Undergraduate employment outcomes by demographic group, 2021-2022</w:t>
      </w:r>
      <w:bookmarkEnd w:id="55"/>
      <w:bookmarkEnd w:id="56"/>
      <w:r w:rsidRPr="002F77B2">
        <w:rPr>
          <w:color w:val="000000" w:themeColor="text1"/>
        </w:rPr>
        <w:t xml:space="preserve"> </w:t>
      </w:r>
    </w:p>
    <w:tbl>
      <w:tblPr>
        <w:tblStyle w:val="SRC1"/>
        <w:tblW w:w="5592" w:type="pct"/>
        <w:tblLayout w:type="fixed"/>
        <w:tblCellMar>
          <w:left w:w="28" w:type="dxa"/>
          <w:right w:w="28" w:type="dxa"/>
        </w:tblCellMar>
        <w:tblLook w:val="0020" w:firstRow="1" w:lastRow="0" w:firstColumn="0" w:lastColumn="0" w:noHBand="0" w:noVBand="0"/>
        <w:tblCaption w:val="Table 5  Short- (2014) and medium-term (2017) outcomes for undergraduates by study area "/>
      </w:tblPr>
      <w:tblGrid>
        <w:gridCol w:w="1916"/>
        <w:gridCol w:w="964"/>
        <w:gridCol w:w="838"/>
        <w:gridCol w:w="1136"/>
        <w:gridCol w:w="1136"/>
        <w:gridCol w:w="1156"/>
        <w:gridCol w:w="1156"/>
        <w:gridCol w:w="921"/>
        <w:gridCol w:w="921"/>
      </w:tblGrid>
      <w:tr w:rsidR="002F77B2" w:rsidRPr="00CF3E3D" w14:paraId="3BE17639" w14:textId="77777777" w:rsidTr="00AB596C">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944" w:type="pct"/>
          </w:tcPr>
          <w:p w14:paraId="52EB320A" w14:textId="45E1CC41" w:rsidR="004E45CF" w:rsidRPr="00CF3E3D" w:rsidRDefault="002626EB" w:rsidP="007007AC">
            <w:pPr>
              <w:rPr>
                <w:b w:val="0"/>
                <w:sz w:val="18"/>
                <w:szCs w:val="18"/>
              </w:rPr>
            </w:pPr>
            <w:bookmarkStart w:id="57" w:name="Title8"/>
            <w:bookmarkStart w:id="58" w:name="_Hlk109741912"/>
            <w:bookmarkEnd w:id="57"/>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475" w:type="pct"/>
          </w:tcPr>
          <w:p w14:paraId="23EB8FFD" w14:textId="77777777" w:rsidR="004E45CF" w:rsidRPr="002F77B2" w:rsidRDefault="004E45CF" w:rsidP="007007AC">
            <w:pPr>
              <w:pStyle w:val="TablecolumnheadCENTRETABLES"/>
              <w:jc w:val="center"/>
              <w:rPr>
                <w:rFonts w:ascii="Arial" w:hAnsi="Arial" w:cs="Arial"/>
                <w:b/>
                <w:caps w:val="0"/>
                <w:color w:val="FFFFFF" w:themeColor="background1"/>
                <w:sz w:val="18"/>
                <w:szCs w:val="18"/>
              </w:rPr>
            </w:pPr>
            <w:r w:rsidRPr="002F77B2">
              <w:rPr>
                <w:rFonts w:ascii="Arial" w:hAnsi="Arial" w:cs="Arial"/>
                <w:b/>
                <w:caps w:val="0"/>
                <w:color w:val="FFFFFF" w:themeColor="background1"/>
                <w:sz w:val="18"/>
                <w:szCs w:val="18"/>
              </w:rPr>
              <w:t>Full-time</w:t>
            </w:r>
          </w:p>
          <w:p w14:paraId="1EFF9509" w14:textId="77777777" w:rsidR="004E45CF" w:rsidRPr="002F77B2" w:rsidRDefault="004E45CF" w:rsidP="007007AC">
            <w:pPr>
              <w:pStyle w:val="TablecolumnheadCENTRETABLES"/>
              <w:jc w:val="center"/>
              <w:rPr>
                <w:rFonts w:ascii="Arial" w:hAnsi="Arial" w:cs="Arial"/>
                <w:b/>
                <w:color w:val="FFFFFF" w:themeColor="background1"/>
                <w:sz w:val="18"/>
                <w:szCs w:val="18"/>
              </w:rPr>
            </w:pPr>
            <w:r w:rsidRPr="002F77B2">
              <w:rPr>
                <w:rFonts w:ascii="Arial" w:hAnsi="Arial" w:cs="Arial"/>
                <w:b/>
                <w:caps w:val="0"/>
                <w:color w:val="FFFFFF" w:themeColor="background1"/>
                <w:sz w:val="18"/>
                <w:szCs w:val="18"/>
              </w:rPr>
              <w:t xml:space="preserve">employment (%) </w:t>
            </w:r>
            <w:r w:rsidRPr="002F77B2">
              <w:rPr>
                <w:rFonts w:ascii="Arial" w:hAnsi="Arial" w:cs="Arial"/>
                <w:b/>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413" w:type="pct"/>
          </w:tcPr>
          <w:p w14:paraId="4E052F9E" w14:textId="77777777" w:rsidR="004E45CF" w:rsidRPr="002F77B2" w:rsidRDefault="004E45CF" w:rsidP="007007AC">
            <w:pPr>
              <w:pStyle w:val="TablecolumnheadCENTRETABLES"/>
              <w:jc w:val="center"/>
              <w:rPr>
                <w:rFonts w:ascii="Arial" w:hAnsi="Arial" w:cs="Arial"/>
                <w:b/>
                <w:caps w:val="0"/>
                <w:color w:val="FFFFFF" w:themeColor="background1"/>
                <w:sz w:val="18"/>
                <w:szCs w:val="18"/>
              </w:rPr>
            </w:pPr>
            <w:r w:rsidRPr="002F77B2">
              <w:rPr>
                <w:rFonts w:ascii="Arial" w:hAnsi="Arial" w:cs="Arial"/>
                <w:b/>
                <w:caps w:val="0"/>
                <w:color w:val="FFFFFF" w:themeColor="background1"/>
                <w:sz w:val="18"/>
                <w:szCs w:val="18"/>
              </w:rPr>
              <w:t>Full-time</w:t>
            </w:r>
          </w:p>
          <w:p w14:paraId="3800A6D4" w14:textId="77777777" w:rsidR="004E45CF" w:rsidRPr="002F77B2" w:rsidRDefault="004E45CF" w:rsidP="007007AC">
            <w:pPr>
              <w:pStyle w:val="TablecolumnheadCENTRETABLES"/>
              <w:jc w:val="center"/>
              <w:rPr>
                <w:rFonts w:ascii="Arial" w:hAnsi="Arial" w:cs="Arial"/>
                <w:b/>
                <w:color w:val="FFFFFF" w:themeColor="background1"/>
                <w:sz w:val="18"/>
                <w:szCs w:val="18"/>
              </w:rPr>
            </w:pPr>
            <w:r w:rsidRPr="002F77B2">
              <w:rPr>
                <w:rFonts w:ascii="Arial" w:hAnsi="Arial" w:cs="Arial"/>
                <w:b/>
                <w:caps w:val="0"/>
                <w:color w:val="FFFFFF" w:themeColor="background1"/>
                <w:sz w:val="18"/>
                <w:szCs w:val="18"/>
              </w:rPr>
              <w:t xml:space="preserve">employment (%) </w:t>
            </w:r>
            <w:r w:rsidRPr="002F77B2">
              <w:rPr>
                <w:rFonts w:ascii="Arial" w:hAnsi="Arial" w:cs="Arial"/>
                <w:b/>
                <w:color w:val="FFFFFF" w:themeColor="background1"/>
                <w:sz w:val="18"/>
                <w:szCs w:val="18"/>
              </w:rPr>
              <w:t>2022</w:t>
            </w:r>
          </w:p>
        </w:tc>
        <w:tc>
          <w:tcPr>
            <w:cnfStyle w:val="000001000000" w:firstRow="0" w:lastRow="0" w:firstColumn="0" w:lastColumn="0" w:oddVBand="0" w:evenVBand="1" w:oddHBand="0" w:evenHBand="0" w:firstRowFirstColumn="0" w:firstRowLastColumn="0" w:lastRowFirstColumn="0" w:lastRowLastColumn="0"/>
            <w:tcW w:w="560" w:type="pct"/>
          </w:tcPr>
          <w:p w14:paraId="0C0CD21C" w14:textId="77777777" w:rsidR="004E45CF" w:rsidRPr="002F77B2" w:rsidRDefault="004E45CF" w:rsidP="007007AC">
            <w:pPr>
              <w:pStyle w:val="TablecolumnheadCENTRETABLES"/>
              <w:jc w:val="center"/>
              <w:rPr>
                <w:rFonts w:ascii="Arial" w:hAnsi="Arial" w:cs="Arial"/>
                <w:b/>
                <w:caps w:val="0"/>
                <w:color w:val="FFFFFF" w:themeColor="background1"/>
                <w:sz w:val="18"/>
                <w:szCs w:val="18"/>
              </w:rPr>
            </w:pPr>
            <w:r w:rsidRPr="002F77B2">
              <w:rPr>
                <w:rFonts w:ascii="Arial" w:hAnsi="Arial" w:cs="Arial"/>
                <w:b/>
                <w:caps w:val="0"/>
                <w:color w:val="FFFFFF" w:themeColor="background1"/>
                <w:sz w:val="18"/>
                <w:szCs w:val="18"/>
              </w:rPr>
              <w:t xml:space="preserve">Overall </w:t>
            </w:r>
          </w:p>
          <w:p w14:paraId="62E52D66" w14:textId="77777777" w:rsidR="004E45CF" w:rsidRPr="002F77B2" w:rsidRDefault="004E45CF" w:rsidP="007007AC">
            <w:pPr>
              <w:pStyle w:val="TablecolumnheadCENTRETABLES"/>
              <w:jc w:val="center"/>
              <w:rPr>
                <w:rFonts w:ascii="Arial" w:hAnsi="Arial" w:cs="Arial"/>
                <w:b/>
                <w:color w:val="FFFFFF" w:themeColor="background1"/>
                <w:sz w:val="18"/>
                <w:szCs w:val="18"/>
              </w:rPr>
            </w:pPr>
            <w:r w:rsidRPr="002F77B2">
              <w:rPr>
                <w:rFonts w:ascii="Arial" w:hAnsi="Arial" w:cs="Arial"/>
                <w:b/>
                <w:caps w:val="0"/>
                <w:color w:val="FFFFFF" w:themeColor="background1"/>
                <w:sz w:val="18"/>
                <w:szCs w:val="18"/>
              </w:rPr>
              <w:t>employment (%)</w:t>
            </w:r>
            <w:r w:rsidRPr="002F77B2">
              <w:rPr>
                <w:rFonts w:ascii="Arial" w:hAnsi="Arial" w:cs="Arial"/>
                <w:b/>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560" w:type="pct"/>
          </w:tcPr>
          <w:p w14:paraId="0D0B88DC" w14:textId="77777777" w:rsidR="004E45CF" w:rsidRPr="002F77B2" w:rsidRDefault="004E45CF" w:rsidP="007007AC">
            <w:pPr>
              <w:pStyle w:val="TablecolumnheadCENTRETABLES"/>
              <w:jc w:val="center"/>
              <w:rPr>
                <w:rFonts w:ascii="Arial" w:hAnsi="Arial" w:cs="Arial"/>
                <w:b/>
                <w:caps w:val="0"/>
                <w:color w:val="FFFFFF" w:themeColor="background1"/>
                <w:sz w:val="18"/>
                <w:szCs w:val="18"/>
              </w:rPr>
            </w:pPr>
            <w:r w:rsidRPr="002F77B2">
              <w:rPr>
                <w:rFonts w:ascii="Arial" w:hAnsi="Arial" w:cs="Arial"/>
                <w:b/>
                <w:caps w:val="0"/>
                <w:color w:val="FFFFFF" w:themeColor="background1"/>
                <w:sz w:val="18"/>
                <w:szCs w:val="18"/>
              </w:rPr>
              <w:t xml:space="preserve">Overall </w:t>
            </w:r>
          </w:p>
          <w:p w14:paraId="0E8E1B7E" w14:textId="77777777" w:rsidR="004E45CF" w:rsidRPr="002F77B2" w:rsidRDefault="004E45CF" w:rsidP="007007AC">
            <w:pPr>
              <w:pStyle w:val="TablecolumnheadCENTRETABLES"/>
              <w:jc w:val="center"/>
              <w:rPr>
                <w:rFonts w:ascii="Arial" w:hAnsi="Arial" w:cs="Arial"/>
                <w:b/>
                <w:color w:val="FFFFFF" w:themeColor="background1"/>
                <w:sz w:val="18"/>
                <w:szCs w:val="18"/>
              </w:rPr>
            </w:pPr>
            <w:r w:rsidRPr="002F77B2">
              <w:rPr>
                <w:rFonts w:ascii="Arial" w:hAnsi="Arial" w:cs="Arial"/>
                <w:b/>
                <w:caps w:val="0"/>
                <w:color w:val="FFFFFF" w:themeColor="background1"/>
                <w:sz w:val="18"/>
                <w:szCs w:val="18"/>
              </w:rPr>
              <w:t xml:space="preserve">employment (%) </w:t>
            </w:r>
            <w:r w:rsidRPr="002F77B2">
              <w:rPr>
                <w:rFonts w:ascii="Arial" w:hAnsi="Arial" w:cs="Arial"/>
                <w:b/>
                <w:color w:val="FFFFFF" w:themeColor="background1"/>
                <w:sz w:val="18"/>
                <w:szCs w:val="18"/>
              </w:rPr>
              <w:t>2022</w:t>
            </w:r>
          </w:p>
        </w:tc>
        <w:tc>
          <w:tcPr>
            <w:cnfStyle w:val="000001000000" w:firstRow="0" w:lastRow="0" w:firstColumn="0" w:lastColumn="0" w:oddVBand="0" w:evenVBand="1" w:oddHBand="0" w:evenHBand="0" w:firstRowFirstColumn="0" w:firstRowLastColumn="0" w:lastRowFirstColumn="0" w:lastRowLastColumn="0"/>
            <w:tcW w:w="570" w:type="pct"/>
          </w:tcPr>
          <w:p w14:paraId="7CC173C2" w14:textId="77777777" w:rsidR="004E45CF" w:rsidRPr="002F77B2" w:rsidRDefault="004E45CF" w:rsidP="007007AC">
            <w:pPr>
              <w:pStyle w:val="TablecolumnheadCENTRETABLES"/>
              <w:jc w:val="center"/>
              <w:rPr>
                <w:rFonts w:ascii="Arial" w:hAnsi="Arial" w:cs="Arial"/>
                <w:b/>
                <w:color w:val="FFFFFF" w:themeColor="background1"/>
                <w:sz w:val="18"/>
                <w:szCs w:val="18"/>
              </w:rPr>
            </w:pPr>
            <w:r w:rsidRPr="002F77B2">
              <w:rPr>
                <w:rFonts w:ascii="Arial" w:hAnsi="Arial" w:cs="Arial"/>
                <w:b/>
                <w:caps w:val="0"/>
                <w:color w:val="FFFFFF" w:themeColor="background1"/>
                <w:sz w:val="18"/>
                <w:szCs w:val="18"/>
              </w:rPr>
              <w:t xml:space="preserve">Labour force participation rate (%) </w:t>
            </w:r>
            <w:r w:rsidRPr="002F77B2">
              <w:rPr>
                <w:rFonts w:ascii="Arial" w:hAnsi="Arial" w:cs="Arial"/>
                <w:b/>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570" w:type="pct"/>
          </w:tcPr>
          <w:p w14:paraId="2482C227" w14:textId="77777777" w:rsidR="004E45CF" w:rsidRPr="002F77B2" w:rsidRDefault="004E45CF" w:rsidP="007007AC">
            <w:pPr>
              <w:pStyle w:val="TablecolumnheadCENTRETABLES"/>
              <w:jc w:val="center"/>
              <w:rPr>
                <w:rFonts w:ascii="Arial" w:hAnsi="Arial" w:cs="Arial"/>
                <w:b/>
                <w:color w:val="FFFFFF" w:themeColor="background1"/>
                <w:sz w:val="18"/>
                <w:szCs w:val="18"/>
              </w:rPr>
            </w:pPr>
            <w:r w:rsidRPr="002F77B2">
              <w:rPr>
                <w:rFonts w:ascii="Arial" w:hAnsi="Arial" w:cs="Arial"/>
                <w:b/>
                <w:caps w:val="0"/>
                <w:color w:val="FFFFFF" w:themeColor="background1"/>
                <w:sz w:val="18"/>
                <w:szCs w:val="18"/>
              </w:rPr>
              <w:t xml:space="preserve">Labour force participation rate (%) </w:t>
            </w:r>
            <w:r w:rsidRPr="002F77B2">
              <w:rPr>
                <w:rFonts w:ascii="Arial" w:hAnsi="Arial" w:cs="Arial"/>
                <w:b/>
                <w:color w:val="FFFFFF" w:themeColor="background1"/>
                <w:sz w:val="18"/>
                <w:szCs w:val="18"/>
              </w:rPr>
              <w:t>2022</w:t>
            </w:r>
          </w:p>
        </w:tc>
        <w:tc>
          <w:tcPr>
            <w:cnfStyle w:val="000001000000" w:firstRow="0" w:lastRow="0" w:firstColumn="0" w:lastColumn="0" w:oddVBand="0" w:evenVBand="1" w:oddHBand="0" w:evenHBand="0" w:firstRowFirstColumn="0" w:firstRowLastColumn="0" w:lastRowFirstColumn="0" w:lastRowLastColumn="0"/>
            <w:tcW w:w="454" w:type="pct"/>
          </w:tcPr>
          <w:p w14:paraId="475F2291" w14:textId="77777777" w:rsidR="004E45CF" w:rsidRPr="002F77B2" w:rsidRDefault="004E45CF" w:rsidP="007007AC">
            <w:pPr>
              <w:pStyle w:val="TablecolumnheadCENTRETABLES"/>
              <w:jc w:val="center"/>
              <w:rPr>
                <w:rFonts w:ascii="Arial" w:hAnsi="Arial" w:cs="Arial"/>
                <w:b/>
                <w:color w:val="FFFFFF" w:themeColor="background1"/>
                <w:sz w:val="18"/>
                <w:szCs w:val="18"/>
              </w:rPr>
            </w:pPr>
            <w:r w:rsidRPr="002F77B2">
              <w:rPr>
                <w:rFonts w:ascii="Arial" w:hAnsi="Arial" w:cs="Arial"/>
                <w:b/>
                <w:caps w:val="0"/>
                <w:color w:val="FFFFFF" w:themeColor="background1"/>
                <w:sz w:val="18"/>
                <w:szCs w:val="18"/>
              </w:rPr>
              <w:t xml:space="preserve">Median salary, employed full-time ($) </w:t>
            </w:r>
            <w:r w:rsidRPr="002F77B2">
              <w:rPr>
                <w:rFonts w:ascii="Arial" w:hAnsi="Arial" w:cs="Arial"/>
                <w:b/>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454" w:type="pct"/>
          </w:tcPr>
          <w:p w14:paraId="27BDEAB2" w14:textId="77777777" w:rsidR="004E45CF" w:rsidRPr="002F77B2" w:rsidRDefault="004E45CF" w:rsidP="007007AC">
            <w:pPr>
              <w:pStyle w:val="TablecolumnheadCENTRETABLES"/>
              <w:jc w:val="center"/>
              <w:rPr>
                <w:rFonts w:ascii="Arial" w:hAnsi="Arial" w:cs="Arial"/>
                <w:b/>
                <w:color w:val="FFFFFF" w:themeColor="background1"/>
                <w:sz w:val="18"/>
                <w:szCs w:val="18"/>
              </w:rPr>
            </w:pPr>
            <w:r w:rsidRPr="002F77B2">
              <w:rPr>
                <w:rFonts w:ascii="Arial" w:hAnsi="Arial" w:cs="Arial"/>
                <w:b/>
                <w:caps w:val="0"/>
                <w:color w:val="FFFFFF" w:themeColor="background1"/>
                <w:sz w:val="18"/>
                <w:szCs w:val="18"/>
              </w:rPr>
              <w:t xml:space="preserve">Median salary, employed full-time ($) </w:t>
            </w:r>
            <w:r w:rsidRPr="002F77B2">
              <w:rPr>
                <w:rFonts w:ascii="Arial" w:hAnsi="Arial" w:cs="Arial"/>
                <w:b/>
                <w:color w:val="FFFFFF" w:themeColor="background1"/>
                <w:sz w:val="18"/>
                <w:szCs w:val="18"/>
              </w:rPr>
              <w:t>2022</w:t>
            </w:r>
          </w:p>
        </w:tc>
      </w:tr>
      <w:tr w:rsidR="002F77B2" w:rsidRPr="00CF3E3D" w14:paraId="6AAA3573" w14:textId="77777777" w:rsidTr="00AB596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53812E17" w14:textId="77777777" w:rsidR="004E45CF" w:rsidRPr="004277E6" w:rsidRDefault="004E45CF" w:rsidP="007007AC">
            <w:pPr>
              <w:spacing w:before="85" w:line="288" w:lineRule="auto"/>
              <w:rPr>
                <w:b/>
                <w:bCs/>
                <w:sz w:val="18"/>
                <w:szCs w:val="18"/>
              </w:rPr>
            </w:pPr>
            <w:r w:rsidRPr="004277E6">
              <w:rPr>
                <w:b/>
                <w:bCs/>
                <w:sz w:val="18"/>
                <w:szCs w:val="18"/>
              </w:rPr>
              <w:t>Age - 30 years or under</w:t>
            </w:r>
          </w:p>
        </w:tc>
        <w:tc>
          <w:tcPr>
            <w:cnfStyle w:val="000001000000" w:firstRow="0" w:lastRow="0" w:firstColumn="0" w:lastColumn="0" w:oddVBand="0" w:evenVBand="1" w:oddHBand="0" w:evenHBand="0" w:firstRowFirstColumn="0" w:firstRowLastColumn="0" w:lastRowFirstColumn="0" w:lastRowLastColumn="0"/>
            <w:tcW w:w="475" w:type="pct"/>
          </w:tcPr>
          <w:p w14:paraId="1DD209D7" w14:textId="77777777" w:rsidR="004E45CF" w:rsidRPr="00CF3E3D" w:rsidRDefault="004E45CF" w:rsidP="007007AC">
            <w:pPr>
              <w:spacing w:before="85" w:line="288" w:lineRule="auto"/>
              <w:jc w:val="center"/>
              <w:rPr>
                <w:sz w:val="18"/>
                <w:szCs w:val="18"/>
              </w:rPr>
            </w:pPr>
            <w:r w:rsidRPr="00CF3E3D">
              <w:rPr>
                <w:sz w:val="18"/>
                <w:szCs w:val="18"/>
              </w:rPr>
              <w:t>67.9</w:t>
            </w:r>
          </w:p>
        </w:tc>
        <w:tc>
          <w:tcPr>
            <w:cnfStyle w:val="000010000000" w:firstRow="0" w:lastRow="0" w:firstColumn="0" w:lastColumn="0" w:oddVBand="1" w:evenVBand="0" w:oddHBand="0" w:evenHBand="0" w:firstRowFirstColumn="0" w:firstRowLastColumn="0" w:lastRowFirstColumn="0" w:lastRowLastColumn="0"/>
            <w:tcW w:w="413" w:type="pct"/>
          </w:tcPr>
          <w:p w14:paraId="1DD03CA6" w14:textId="77777777" w:rsidR="004E45CF" w:rsidRPr="00CF3E3D" w:rsidRDefault="004E45CF" w:rsidP="007007AC">
            <w:pPr>
              <w:spacing w:before="85" w:line="288" w:lineRule="auto"/>
              <w:jc w:val="center"/>
              <w:rPr>
                <w:sz w:val="18"/>
                <w:szCs w:val="18"/>
              </w:rPr>
            </w:pPr>
            <w:r w:rsidRPr="00CF3E3D">
              <w:rPr>
                <w:sz w:val="18"/>
                <w:szCs w:val="18"/>
              </w:rPr>
              <w:t>78.3</w:t>
            </w:r>
          </w:p>
        </w:tc>
        <w:tc>
          <w:tcPr>
            <w:cnfStyle w:val="000001000000" w:firstRow="0" w:lastRow="0" w:firstColumn="0" w:lastColumn="0" w:oddVBand="0" w:evenVBand="1" w:oddHBand="0" w:evenHBand="0" w:firstRowFirstColumn="0" w:firstRowLastColumn="0" w:lastRowFirstColumn="0" w:lastRowLastColumn="0"/>
            <w:tcW w:w="560" w:type="pct"/>
          </w:tcPr>
          <w:p w14:paraId="58B360FA" w14:textId="77777777" w:rsidR="004E45CF" w:rsidRPr="00CF3E3D" w:rsidRDefault="004E45CF" w:rsidP="007007AC">
            <w:pPr>
              <w:spacing w:before="85" w:line="288" w:lineRule="auto"/>
              <w:jc w:val="center"/>
              <w:rPr>
                <w:sz w:val="18"/>
                <w:szCs w:val="18"/>
              </w:rPr>
            </w:pPr>
            <w:r w:rsidRPr="00CF3E3D">
              <w:rPr>
                <w:sz w:val="18"/>
                <w:szCs w:val="18"/>
              </w:rPr>
              <w:t>84.6</w:t>
            </w:r>
          </w:p>
        </w:tc>
        <w:tc>
          <w:tcPr>
            <w:cnfStyle w:val="000010000000" w:firstRow="0" w:lastRow="0" w:firstColumn="0" w:lastColumn="0" w:oddVBand="1" w:evenVBand="0" w:oddHBand="0" w:evenHBand="0" w:firstRowFirstColumn="0" w:firstRowLastColumn="0" w:lastRowFirstColumn="0" w:lastRowLastColumn="0"/>
            <w:tcW w:w="560" w:type="pct"/>
          </w:tcPr>
          <w:p w14:paraId="749C4B42" w14:textId="77777777" w:rsidR="004E45CF" w:rsidRPr="00CF3E3D" w:rsidRDefault="004E45CF" w:rsidP="007007AC">
            <w:pPr>
              <w:spacing w:before="85" w:line="288" w:lineRule="auto"/>
              <w:jc w:val="center"/>
              <w:rPr>
                <w:sz w:val="18"/>
                <w:szCs w:val="18"/>
              </w:rPr>
            </w:pPr>
            <w:r w:rsidRPr="00CF3E3D">
              <w:rPr>
                <w:sz w:val="18"/>
                <w:szCs w:val="18"/>
              </w:rPr>
              <w:t>88.3</w:t>
            </w:r>
          </w:p>
        </w:tc>
        <w:tc>
          <w:tcPr>
            <w:cnfStyle w:val="000001000000" w:firstRow="0" w:lastRow="0" w:firstColumn="0" w:lastColumn="0" w:oddVBand="0" w:evenVBand="1" w:oddHBand="0" w:evenHBand="0" w:firstRowFirstColumn="0" w:firstRowLastColumn="0" w:lastRowFirstColumn="0" w:lastRowLastColumn="0"/>
            <w:tcW w:w="570" w:type="pct"/>
          </w:tcPr>
          <w:p w14:paraId="2B000728" w14:textId="77777777" w:rsidR="004E45CF" w:rsidRPr="00CF3E3D" w:rsidRDefault="004E45CF" w:rsidP="007007AC">
            <w:pPr>
              <w:spacing w:before="85" w:line="288" w:lineRule="auto"/>
              <w:jc w:val="center"/>
              <w:rPr>
                <w:sz w:val="18"/>
                <w:szCs w:val="18"/>
              </w:rPr>
            </w:pPr>
            <w:r w:rsidRPr="00CF3E3D">
              <w:rPr>
                <w:sz w:val="18"/>
                <w:szCs w:val="18"/>
              </w:rPr>
              <w:t>92.6</w:t>
            </w:r>
          </w:p>
        </w:tc>
        <w:tc>
          <w:tcPr>
            <w:cnfStyle w:val="000010000000" w:firstRow="0" w:lastRow="0" w:firstColumn="0" w:lastColumn="0" w:oddVBand="1" w:evenVBand="0" w:oddHBand="0" w:evenHBand="0" w:firstRowFirstColumn="0" w:firstRowLastColumn="0" w:lastRowFirstColumn="0" w:lastRowLastColumn="0"/>
            <w:tcW w:w="570" w:type="pct"/>
          </w:tcPr>
          <w:p w14:paraId="3B1F5DD4" w14:textId="77777777" w:rsidR="004E45CF" w:rsidRPr="00CF3E3D" w:rsidRDefault="004E45CF" w:rsidP="007007AC">
            <w:pPr>
              <w:spacing w:before="85" w:line="288" w:lineRule="auto"/>
              <w:jc w:val="center"/>
              <w:rPr>
                <w:sz w:val="18"/>
                <w:szCs w:val="18"/>
              </w:rPr>
            </w:pPr>
            <w:r w:rsidRPr="00CF3E3D">
              <w:rPr>
                <w:sz w:val="18"/>
                <w:szCs w:val="18"/>
              </w:rPr>
              <w:t>93.3</w:t>
            </w:r>
          </w:p>
        </w:tc>
        <w:tc>
          <w:tcPr>
            <w:cnfStyle w:val="000001000000" w:firstRow="0" w:lastRow="0" w:firstColumn="0" w:lastColumn="0" w:oddVBand="0" w:evenVBand="1" w:oddHBand="0" w:evenHBand="0" w:firstRowFirstColumn="0" w:firstRowLastColumn="0" w:lastRowFirstColumn="0" w:lastRowLastColumn="0"/>
            <w:tcW w:w="454" w:type="pct"/>
          </w:tcPr>
          <w:p w14:paraId="3D5F4EC1" w14:textId="77777777" w:rsidR="004E45CF" w:rsidRPr="00CF3E3D" w:rsidRDefault="004E45CF" w:rsidP="007007AC">
            <w:pPr>
              <w:spacing w:before="85" w:line="288" w:lineRule="auto"/>
              <w:jc w:val="center"/>
              <w:rPr>
                <w:sz w:val="18"/>
                <w:szCs w:val="18"/>
              </w:rPr>
            </w:pPr>
            <w:r w:rsidRPr="00CF3E3D">
              <w:rPr>
                <w:sz w:val="18"/>
                <w:szCs w:val="18"/>
              </w:rPr>
              <w:t>63,400</w:t>
            </w:r>
          </w:p>
        </w:tc>
        <w:tc>
          <w:tcPr>
            <w:cnfStyle w:val="000010000000" w:firstRow="0" w:lastRow="0" w:firstColumn="0" w:lastColumn="0" w:oddVBand="1" w:evenVBand="0" w:oddHBand="0" w:evenHBand="0" w:firstRowFirstColumn="0" w:firstRowLastColumn="0" w:lastRowFirstColumn="0" w:lastRowLastColumn="0"/>
            <w:tcW w:w="454" w:type="pct"/>
          </w:tcPr>
          <w:p w14:paraId="0C5D198F" w14:textId="77777777" w:rsidR="004E45CF" w:rsidRPr="00CF3E3D" w:rsidRDefault="004E45CF" w:rsidP="007007AC">
            <w:pPr>
              <w:spacing w:before="85" w:line="288" w:lineRule="auto"/>
              <w:jc w:val="center"/>
              <w:rPr>
                <w:sz w:val="18"/>
                <w:szCs w:val="18"/>
              </w:rPr>
            </w:pPr>
            <w:r w:rsidRPr="00CF3E3D">
              <w:rPr>
                <w:sz w:val="18"/>
                <w:szCs w:val="18"/>
              </w:rPr>
              <w:t>65,700</w:t>
            </w:r>
          </w:p>
        </w:tc>
      </w:tr>
      <w:tr w:rsidR="004E45CF" w:rsidRPr="00CF3E3D" w14:paraId="6C3F4F34" w14:textId="77777777" w:rsidTr="00AB596C">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1ED166F4" w14:textId="77777777" w:rsidR="004E45CF" w:rsidRPr="004277E6" w:rsidRDefault="004E45CF" w:rsidP="007007AC">
            <w:pPr>
              <w:spacing w:before="85" w:line="288" w:lineRule="auto"/>
              <w:rPr>
                <w:b/>
                <w:bCs/>
                <w:sz w:val="18"/>
                <w:szCs w:val="18"/>
              </w:rPr>
            </w:pPr>
            <w:r w:rsidRPr="004277E6">
              <w:rPr>
                <w:b/>
                <w:bCs/>
                <w:sz w:val="18"/>
                <w:szCs w:val="18"/>
              </w:rPr>
              <w:t>Age - Over 30 years</w:t>
            </w:r>
          </w:p>
        </w:tc>
        <w:tc>
          <w:tcPr>
            <w:cnfStyle w:val="000001000000" w:firstRow="0" w:lastRow="0" w:firstColumn="0" w:lastColumn="0" w:oddVBand="0" w:evenVBand="1" w:oddHBand="0" w:evenHBand="0" w:firstRowFirstColumn="0" w:firstRowLastColumn="0" w:lastRowFirstColumn="0" w:lastRowLastColumn="0"/>
            <w:tcW w:w="475" w:type="pct"/>
          </w:tcPr>
          <w:p w14:paraId="626760E0" w14:textId="77777777" w:rsidR="004E45CF" w:rsidRPr="00CF3E3D" w:rsidRDefault="004E45CF" w:rsidP="007007AC">
            <w:pPr>
              <w:spacing w:before="85" w:line="288" w:lineRule="auto"/>
              <w:jc w:val="center"/>
              <w:rPr>
                <w:sz w:val="18"/>
                <w:szCs w:val="18"/>
              </w:rPr>
            </w:pPr>
            <w:r w:rsidRPr="00CF3E3D">
              <w:rPr>
                <w:sz w:val="18"/>
                <w:szCs w:val="18"/>
              </w:rPr>
              <w:t>73.3</w:t>
            </w:r>
          </w:p>
        </w:tc>
        <w:tc>
          <w:tcPr>
            <w:cnfStyle w:val="000010000000" w:firstRow="0" w:lastRow="0" w:firstColumn="0" w:lastColumn="0" w:oddVBand="1" w:evenVBand="0" w:oddHBand="0" w:evenHBand="0" w:firstRowFirstColumn="0" w:firstRowLastColumn="0" w:lastRowFirstColumn="0" w:lastRowLastColumn="0"/>
            <w:tcW w:w="413" w:type="pct"/>
          </w:tcPr>
          <w:p w14:paraId="32FC6118" w14:textId="77777777" w:rsidR="004E45CF" w:rsidRPr="00CF3E3D" w:rsidRDefault="004E45CF" w:rsidP="007007AC">
            <w:pPr>
              <w:spacing w:before="85" w:line="288" w:lineRule="auto"/>
              <w:jc w:val="center"/>
              <w:rPr>
                <w:sz w:val="18"/>
                <w:szCs w:val="18"/>
              </w:rPr>
            </w:pPr>
            <w:r w:rsidRPr="00CF3E3D">
              <w:rPr>
                <w:sz w:val="18"/>
                <w:szCs w:val="18"/>
              </w:rPr>
              <w:t>79.5</w:t>
            </w:r>
          </w:p>
        </w:tc>
        <w:tc>
          <w:tcPr>
            <w:cnfStyle w:val="000001000000" w:firstRow="0" w:lastRow="0" w:firstColumn="0" w:lastColumn="0" w:oddVBand="0" w:evenVBand="1" w:oddHBand="0" w:evenHBand="0" w:firstRowFirstColumn="0" w:firstRowLastColumn="0" w:lastRowFirstColumn="0" w:lastRowLastColumn="0"/>
            <w:tcW w:w="560" w:type="pct"/>
          </w:tcPr>
          <w:p w14:paraId="1725A8E4" w14:textId="77777777" w:rsidR="004E45CF" w:rsidRPr="00CF3E3D" w:rsidRDefault="004E45CF" w:rsidP="007007AC">
            <w:pPr>
              <w:spacing w:before="85" w:line="288" w:lineRule="auto"/>
              <w:jc w:val="center"/>
              <w:rPr>
                <w:sz w:val="18"/>
                <w:szCs w:val="18"/>
              </w:rPr>
            </w:pPr>
            <w:r w:rsidRPr="00CF3E3D">
              <w:rPr>
                <w:sz w:val="18"/>
                <w:szCs w:val="18"/>
              </w:rPr>
              <w:t>85.4</w:t>
            </w:r>
          </w:p>
        </w:tc>
        <w:tc>
          <w:tcPr>
            <w:cnfStyle w:val="000010000000" w:firstRow="0" w:lastRow="0" w:firstColumn="0" w:lastColumn="0" w:oddVBand="1" w:evenVBand="0" w:oddHBand="0" w:evenHBand="0" w:firstRowFirstColumn="0" w:firstRowLastColumn="0" w:lastRowFirstColumn="0" w:lastRowLastColumn="0"/>
            <w:tcW w:w="560" w:type="pct"/>
          </w:tcPr>
          <w:p w14:paraId="1ACCFE22" w14:textId="77777777" w:rsidR="004E45CF" w:rsidRPr="00CF3E3D" w:rsidRDefault="004E45CF" w:rsidP="007007AC">
            <w:pPr>
              <w:spacing w:before="85" w:line="288" w:lineRule="auto"/>
              <w:jc w:val="center"/>
              <w:rPr>
                <w:sz w:val="18"/>
                <w:szCs w:val="18"/>
              </w:rPr>
            </w:pPr>
            <w:r w:rsidRPr="00CF3E3D">
              <w:rPr>
                <w:sz w:val="18"/>
                <w:szCs w:val="18"/>
              </w:rPr>
              <w:t>88.2</w:t>
            </w:r>
          </w:p>
        </w:tc>
        <w:tc>
          <w:tcPr>
            <w:cnfStyle w:val="000001000000" w:firstRow="0" w:lastRow="0" w:firstColumn="0" w:lastColumn="0" w:oddVBand="0" w:evenVBand="1" w:oddHBand="0" w:evenHBand="0" w:firstRowFirstColumn="0" w:firstRowLastColumn="0" w:lastRowFirstColumn="0" w:lastRowLastColumn="0"/>
            <w:tcW w:w="570" w:type="pct"/>
          </w:tcPr>
          <w:p w14:paraId="453E26E2" w14:textId="77777777" w:rsidR="004E45CF" w:rsidRPr="00CF3E3D" w:rsidRDefault="004E45CF" w:rsidP="007007AC">
            <w:pPr>
              <w:spacing w:before="85" w:line="288" w:lineRule="auto"/>
              <w:jc w:val="center"/>
              <w:rPr>
                <w:sz w:val="18"/>
                <w:szCs w:val="18"/>
              </w:rPr>
            </w:pPr>
            <w:r w:rsidRPr="00CF3E3D">
              <w:rPr>
                <w:sz w:val="18"/>
                <w:szCs w:val="18"/>
              </w:rPr>
              <w:t>89.3</w:t>
            </w:r>
          </w:p>
        </w:tc>
        <w:tc>
          <w:tcPr>
            <w:cnfStyle w:val="000010000000" w:firstRow="0" w:lastRow="0" w:firstColumn="0" w:lastColumn="0" w:oddVBand="1" w:evenVBand="0" w:oddHBand="0" w:evenHBand="0" w:firstRowFirstColumn="0" w:firstRowLastColumn="0" w:lastRowFirstColumn="0" w:lastRowLastColumn="0"/>
            <w:tcW w:w="570" w:type="pct"/>
          </w:tcPr>
          <w:p w14:paraId="7C667F58" w14:textId="77777777" w:rsidR="004E45CF" w:rsidRPr="00CF3E3D" w:rsidRDefault="004E45CF" w:rsidP="007007AC">
            <w:pPr>
              <w:spacing w:before="85" w:line="288" w:lineRule="auto"/>
              <w:jc w:val="center"/>
              <w:rPr>
                <w:sz w:val="18"/>
                <w:szCs w:val="18"/>
              </w:rPr>
            </w:pPr>
            <w:r w:rsidRPr="00CF3E3D">
              <w:rPr>
                <w:sz w:val="18"/>
                <w:szCs w:val="18"/>
              </w:rPr>
              <w:t>89.4</w:t>
            </w:r>
          </w:p>
        </w:tc>
        <w:tc>
          <w:tcPr>
            <w:cnfStyle w:val="000001000000" w:firstRow="0" w:lastRow="0" w:firstColumn="0" w:lastColumn="0" w:oddVBand="0" w:evenVBand="1" w:oddHBand="0" w:evenHBand="0" w:firstRowFirstColumn="0" w:firstRowLastColumn="0" w:lastRowFirstColumn="0" w:lastRowLastColumn="0"/>
            <w:tcW w:w="454" w:type="pct"/>
          </w:tcPr>
          <w:p w14:paraId="03304B9B" w14:textId="77777777" w:rsidR="004E45CF" w:rsidRPr="00CF3E3D" w:rsidRDefault="004E45CF" w:rsidP="007007AC">
            <w:pPr>
              <w:spacing w:before="85" w:line="288" w:lineRule="auto"/>
              <w:jc w:val="center"/>
              <w:rPr>
                <w:sz w:val="18"/>
                <w:szCs w:val="18"/>
              </w:rPr>
            </w:pPr>
            <w:r w:rsidRPr="00CF3E3D">
              <w:rPr>
                <w:sz w:val="18"/>
                <w:szCs w:val="18"/>
              </w:rPr>
              <w:t>73,100</w:t>
            </w:r>
          </w:p>
        </w:tc>
        <w:tc>
          <w:tcPr>
            <w:cnfStyle w:val="000010000000" w:firstRow="0" w:lastRow="0" w:firstColumn="0" w:lastColumn="0" w:oddVBand="1" w:evenVBand="0" w:oddHBand="0" w:evenHBand="0" w:firstRowFirstColumn="0" w:firstRowLastColumn="0" w:lastRowFirstColumn="0" w:lastRowLastColumn="0"/>
            <w:tcW w:w="454" w:type="pct"/>
          </w:tcPr>
          <w:p w14:paraId="6ED13DDE" w14:textId="77777777" w:rsidR="004E45CF" w:rsidRPr="00CF3E3D" w:rsidRDefault="004E45CF" w:rsidP="007007AC">
            <w:pPr>
              <w:spacing w:before="85" w:line="288" w:lineRule="auto"/>
              <w:jc w:val="center"/>
              <w:rPr>
                <w:sz w:val="18"/>
                <w:szCs w:val="18"/>
              </w:rPr>
            </w:pPr>
            <w:r w:rsidRPr="00CF3E3D">
              <w:rPr>
                <w:sz w:val="18"/>
                <w:szCs w:val="18"/>
              </w:rPr>
              <w:t>75,300</w:t>
            </w:r>
          </w:p>
        </w:tc>
      </w:tr>
      <w:tr w:rsidR="002F77B2" w:rsidRPr="00CF3E3D" w14:paraId="33B0FAE8" w14:textId="77777777" w:rsidTr="00AB596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53CE81D7" w14:textId="77777777" w:rsidR="004E45CF" w:rsidRPr="004277E6" w:rsidRDefault="004E45CF" w:rsidP="007007AC">
            <w:pPr>
              <w:spacing w:before="85" w:line="288" w:lineRule="auto"/>
              <w:rPr>
                <w:b/>
                <w:bCs/>
                <w:sz w:val="18"/>
                <w:szCs w:val="18"/>
              </w:rPr>
            </w:pPr>
            <w:r w:rsidRPr="004277E6">
              <w:rPr>
                <w:b/>
                <w:bCs/>
                <w:sz w:val="18"/>
                <w:szCs w:val="18"/>
              </w:rPr>
              <w:t>Mode of attendance code -Internal / Multi Mode</w:t>
            </w:r>
          </w:p>
        </w:tc>
        <w:tc>
          <w:tcPr>
            <w:cnfStyle w:val="000001000000" w:firstRow="0" w:lastRow="0" w:firstColumn="0" w:lastColumn="0" w:oddVBand="0" w:evenVBand="1" w:oddHBand="0" w:evenHBand="0" w:firstRowFirstColumn="0" w:firstRowLastColumn="0" w:lastRowFirstColumn="0" w:lastRowLastColumn="0"/>
            <w:tcW w:w="475" w:type="pct"/>
          </w:tcPr>
          <w:p w14:paraId="3457EA00" w14:textId="77777777" w:rsidR="004E45CF" w:rsidRPr="00CF3E3D" w:rsidRDefault="004E45CF" w:rsidP="007007AC">
            <w:pPr>
              <w:spacing w:before="85" w:line="288" w:lineRule="auto"/>
              <w:jc w:val="center"/>
              <w:rPr>
                <w:sz w:val="18"/>
                <w:szCs w:val="18"/>
              </w:rPr>
            </w:pPr>
            <w:r w:rsidRPr="00CF3E3D">
              <w:rPr>
                <w:sz w:val="18"/>
                <w:szCs w:val="18"/>
              </w:rPr>
              <w:t>67.1</w:t>
            </w:r>
          </w:p>
        </w:tc>
        <w:tc>
          <w:tcPr>
            <w:cnfStyle w:val="000010000000" w:firstRow="0" w:lastRow="0" w:firstColumn="0" w:lastColumn="0" w:oddVBand="1" w:evenVBand="0" w:oddHBand="0" w:evenHBand="0" w:firstRowFirstColumn="0" w:firstRowLastColumn="0" w:lastRowFirstColumn="0" w:lastRowLastColumn="0"/>
            <w:tcW w:w="413" w:type="pct"/>
          </w:tcPr>
          <w:p w14:paraId="2BB8D41F" w14:textId="77777777" w:rsidR="004E45CF" w:rsidRPr="00CF3E3D" w:rsidRDefault="004E45CF" w:rsidP="007007AC">
            <w:pPr>
              <w:spacing w:before="85" w:line="288" w:lineRule="auto"/>
              <w:jc w:val="center"/>
              <w:rPr>
                <w:sz w:val="18"/>
                <w:szCs w:val="18"/>
              </w:rPr>
            </w:pPr>
            <w:r w:rsidRPr="00CF3E3D">
              <w:rPr>
                <w:sz w:val="18"/>
                <w:szCs w:val="18"/>
              </w:rPr>
              <w:t>77.2</w:t>
            </w:r>
          </w:p>
        </w:tc>
        <w:tc>
          <w:tcPr>
            <w:cnfStyle w:val="000001000000" w:firstRow="0" w:lastRow="0" w:firstColumn="0" w:lastColumn="0" w:oddVBand="0" w:evenVBand="1" w:oddHBand="0" w:evenHBand="0" w:firstRowFirstColumn="0" w:firstRowLastColumn="0" w:lastRowFirstColumn="0" w:lastRowLastColumn="0"/>
            <w:tcW w:w="560" w:type="pct"/>
          </w:tcPr>
          <w:p w14:paraId="6CAE8618" w14:textId="77777777" w:rsidR="004E45CF" w:rsidRPr="00CF3E3D" w:rsidRDefault="004E45CF" w:rsidP="007007AC">
            <w:pPr>
              <w:spacing w:before="85" w:line="288" w:lineRule="auto"/>
              <w:jc w:val="center"/>
              <w:rPr>
                <w:sz w:val="18"/>
                <w:szCs w:val="18"/>
              </w:rPr>
            </w:pPr>
            <w:r w:rsidRPr="00CF3E3D">
              <w:rPr>
                <w:sz w:val="18"/>
                <w:szCs w:val="18"/>
              </w:rPr>
              <w:t>84.2</w:t>
            </w:r>
          </w:p>
        </w:tc>
        <w:tc>
          <w:tcPr>
            <w:cnfStyle w:val="000010000000" w:firstRow="0" w:lastRow="0" w:firstColumn="0" w:lastColumn="0" w:oddVBand="1" w:evenVBand="0" w:oddHBand="0" w:evenHBand="0" w:firstRowFirstColumn="0" w:firstRowLastColumn="0" w:lastRowFirstColumn="0" w:lastRowLastColumn="0"/>
            <w:tcW w:w="560" w:type="pct"/>
          </w:tcPr>
          <w:p w14:paraId="7E5B48F1" w14:textId="77777777" w:rsidR="004E45CF" w:rsidRPr="00CF3E3D" w:rsidRDefault="004E45CF" w:rsidP="007007AC">
            <w:pPr>
              <w:spacing w:before="85" w:line="288" w:lineRule="auto"/>
              <w:jc w:val="center"/>
              <w:rPr>
                <w:sz w:val="18"/>
                <w:szCs w:val="18"/>
              </w:rPr>
            </w:pPr>
            <w:r w:rsidRPr="00CF3E3D">
              <w:rPr>
                <w:sz w:val="18"/>
                <w:szCs w:val="18"/>
              </w:rPr>
              <w:t>87.9</w:t>
            </w:r>
          </w:p>
        </w:tc>
        <w:tc>
          <w:tcPr>
            <w:cnfStyle w:val="000001000000" w:firstRow="0" w:lastRow="0" w:firstColumn="0" w:lastColumn="0" w:oddVBand="0" w:evenVBand="1" w:oddHBand="0" w:evenHBand="0" w:firstRowFirstColumn="0" w:firstRowLastColumn="0" w:lastRowFirstColumn="0" w:lastRowLastColumn="0"/>
            <w:tcW w:w="570" w:type="pct"/>
          </w:tcPr>
          <w:p w14:paraId="0F0A3A11" w14:textId="77777777" w:rsidR="004E45CF" w:rsidRPr="00CF3E3D" w:rsidRDefault="004E45CF" w:rsidP="007007AC">
            <w:pPr>
              <w:spacing w:before="85" w:line="288" w:lineRule="auto"/>
              <w:jc w:val="center"/>
              <w:rPr>
                <w:sz w:val="18"/>
                <w:szCs w:val="18"/>
              </w:rPr>
            </w:pPr>
            <w:r w:rsidRPr="00CF3E3D">
              <w:rPr>
                <w:sz w:val="18"/>
                <w:szCs w:val="18"/>
              </w:rPr>
              <w:t>92.3</w:t>
            </w:r>
          </w:p>
        </w:tc>
        <w:tc>
          <w:tcPr>
            <w:cnfStyle w:val="000010000000" w:firstRow="0" w:lastRow="0" w:firstColumn="0" w:lastColumn="0" w:oddVBand="1" w:evenVBand="0" w:oddHBand="0" w:evenHBand="0" w:firstRowFirstColumn="0" w:firstRowLastColumn="0" w:lastRowFirstColumn="0" w:lastRowLastColumn="0"/>
            <w:tcW w:w="570" w:type="pct"/>
          </w:tcPr>
          <w:p w14:paraId="1662630A" w14:textId="77777777" w:rsidR="004E45CF" w:rsidRPr="00CF3E3D" w:rsidRDefault="004E45CF" w:rsidP="007007AC">
            <w:pPr>
              <w:spacing w:before="85" w:line="288" w:lineRule="auto"/>
              <w:jc w:val="center"/>
              <w:rPr>
                <w:sz w:val="18"/>
                <w:szCs w:val="18"/>
              </w:rPr>
            </w:pPr>
            <w:r w:rsidRPr="00CF3E3D">
              <w:rPr>
                <w:sz w:val="18"/>
                <w:szCs w:val="18"/>
              </w:rPr>
              <w:t>92.8</w:t>
            </w:r>
          </w:p>
        </w:tc>
        <w:tc>
          <w:tcPr>
            <w:cnfStyle w:val="000001000000" w:firstRow="0" w:lastRow="0" w:firstColumn="0" w:lastColumn="0" w:oddVBand="0" w:evenVBand="1" w:oddHBand="0" w:evenHBand="0" w:firstRowFirstColumn="0" w:firstRowLastColumn="0" w:lastRowFirstColumn="0" w:lastRowLastColumn="0"/>
            <w:tcW w:w="454" w:type="pct"/>
          </w:tcPr>
          <w:p w14:paraId="577E2756" w14:textId="77777777" w:rsidR="004E45CF" w:rsidRPr="00CF3E3D" w:rsidRDefault="004E45CF" w:rsidP="007007AC">
            <w:pPr>
              <w:spacing w:before="85" w:line="288" w:lineRule="auto"/>
              <w:jc w:val="center"/>
              <w:rPr>
                <w:sz w:val="18"/>
                <w:szCs w:val="18"/>
              </w:rPr>
            </w:pPr>
            <w:r w:rsidRPr="00CF3E3D">
              <w:rPr>
                <w:sz w:val="18"/>
                <w:szCs w:val="18"/>
              </w:rPr>
              <w:t>64,000</w:t>
            </w:r>
          </w:p>
        </w:tc>
        <w:tc>
          <w:tcPr>
            <w:cnfStyle w:val="000010000000" w:firstRow="0" w:lastRow="0" w:firstColumn="0" w:lastColumn="0" w:oddVBand="1" w:evenVBand="0" w:oddHBand="0" w:evenHBand="0" w:firstRowFirstColumn="0" w:firstRowLastColumn="0" w:lastRowFirstColumn="0" w:lastRowLastColumn="0"/>
            <w:tcW w:w="454" w:type="pct"/>
          </w:tcPr>
          <w:p w14:paraId="1DB7EAA2" w14:textId="77777777" w:rsidR="004E45CF" w:rsidRPr="00CF3E3D" w:rsidRDefault="004E45CF" w:rsidP="007007AC">
            <w:pPr>
              <w:spacing w:before="85" w:line="288" w:lineRule="auto"/>
              <w:jc w:val="center"/>
              <w:rPr>
                <w:sz w:val="18"/>
                <w:szCs w:val="18"/>
              </w:rPr>
            </w:pPr>
            <w:r w:rsidRPr="00CF3E3D">
              <w:rPr>
                <w:sz w:val="18"/>
                <w:szCs w:val="18"/>
              </w:rPr>
              <w:t>66,700</w:t>
            </w:r>
          </w:p>
        </w:tc>
      </w:tr>
      <w:tr w:rsidR="004E45CF" w:rsidRPr="00CF3E3D" w14:paraId="04CEEA2D" w14:textId="77777777" w:rsidTr="00AB596C">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279656A5" w14:textId="77777777" w:rsidR="004E45CF" w:rsidRPr="004277E6" w:rsidRDefault="004E45CF" w:rsidP="007007AC">
            <w:pPr>
              <w:spacing w:before="85" w:line="288" w:lineRule="auto"/>
              <w:rPr>
                <w:b/>
                <w:bCs/>
                <w:sz w:val="18"/>
                <w:szCs w:val="18"/>
              </w:rPr>
            </w:pPr>
            <w:r w:rsidRPr="004277E6">
              <w:rPr>
                <w:b/>
                <w:bCs/>
                <w:sz w:val="18"/>
                <w:szCs w:val="18"/>
              </w:rPr>
              <w:t>Mode of attendance code - External / Distance</w:t>
            </w:r>
          </w:p>
        </w:tc>
        <w:tc>
          <w:tcPr>
            <w:cnfStyle w:val="000001000000" w:firstRow="0" w:lastRow="0" w:firstColumn="0" w:lastColumn="0" w:oddVBand="0" w:evenVBand="1" w:oddHBand="0" w:evenHBand="0" w:firstRowFirstColumn="0" w:firstRowLastColumn="0" w:lastRowFirstColumn="0" w:lastRowLastColumn="0"/>
            <w:tcW w:w="475" w:type="pct"/>
          </w:tcPr>
          <w:p w14:paraId="4D86D2E7" w14:textId="77777777" w:rsidR="004E45CF" w:rsidRPr="00CF3E3D" w:rsidRDefault="004E45CF" w:rsidP="007007AC">
            <w:pPr>
              <w:spacing w:before="85" w:line="288" w:lineRule="auto"/>
              <w:jc w:val="center"/>
              <w:rPr>
                <w:sz w:val="18"/>
                <w:szCs w:val="18"/>
              </w:rPr>
            </w:pPr>
            <w:r w:rsidRPr="00CF3E3D">
              <w:rPr>
                <w:sz w:val="18"/>
                <w:szCs w:val="18"/>
              </w:rPr>
              <w:t>79.7</w:t>
            </w:r>
          </w:p>
        </w:tc>
        <w:tc>
          <w:tcPr>
            <w:cnfStyle w:val="000010000000" w:firstRow="0" w:lastRow="0" w:firstColumn="0" w:lastColumn="0" w:oddVBand="1" w:evenVBand="0" w:oddHBand="0" w:evenHBand="0" w:firstRowFirstColumn="0" w:firstRowLastColumn="0" w:lastRowFirstColumn="0" w:lastRowLastColumn="0"/>
            <w:tcW w:w="413" w:type="pct"/>
          </w:tcPr>
          <w:p w14:paraId="4855D563" w14:textId="77777777" w:rsidR="004E45CF" w:rsidRPr="00CF3E3D" w:rsidRDefault="004E45CF" w:rsidP="007007AC">
            <w:pPr>
              <w:spacing w:before="85" w:line="288" w:lineRule="auto"/>
              <w:jc w:val="center"/>
              <w:rPr>
                <w:sz w:val="18"/>
                <w:szCs w:val="18"/>
              </w:rPr>
            </w:pPr>
            <w:r w:rsidRPr="00CF3E3D">
              <w:rPr>
                <w:sz w:val="18"/>
                <w:szCs w:val="18"/>
              </w:rPr>
              <w:t>84.1</w:t>
            </w:r>
          </w:p>
        </w:tc>
        <w:tc>
          <w:tcPr>
            <w:cnfStyle w:val="000001000000" w:firstRow="0" w:lastRow="0" w:firstColumn="0" w:lastColumn="0" w:oddVBand="0" w:evenVBand="1" w:oddHBand="0" w:evenHBand="0" w:firstRowFirstColumn="0" w:firstRowLastColumn="0" w:lastRowFirstColumn="0" w:lastRowLastColumn="0"/>
            <w:tcW w:w="560" w:type="pct"/>
          </w:tcPr>
          <w:p w14:paraId="1FE81F44" w14:textId="77777777" w:rsidR="004E45CF" w:rsidRPr="00CF3E3D" w:rsidRDefault="004E45CF" w:rsidP="007007AC">
            <w:pPr>
              <w:spacing w:before="85" w:line="288" w:lineRule="auto"/>
              <w:jc w:val="center"/>
              <w:rPr>
                <w:sz w:val="18"/>
                <w:szCs w:val="18"/>
              </w:rPr>
            </w:pPr>
            <w:r w:rsidRPr="00CF3E3D">
              <w:rPr>
                <w:sz w:val="18"/>
                <w:szCs w:val="18"/>
              </w:rPr>
              <w:t>88.6</w:t>
            </w:r>
          </w:p>
        </w:tc>
        <w:tc>
          <w:tcPr>
            <w:cnfStyle w:val="000010000000" w:firstRow="0" w:lastRow="0" w:firstColumn="0" w:lastColumn="0" w:oddVBand="1" w:evenVBand="0" w:oddHBand="0" w:evenHBand="0" w:firstRowFirstColumn="0" w:firstRowLastColumn="0" w:lastRowFirstColumn="0" w:lastRowLastColumn="0"/>
            <w:tcW w:w="560" w:type="pct"/>
          </w:tcPr>
          <w:p w14:paraId="2704478D" w14:textId="77777777" w:rsidR="004E45CF" w:rsidRPr="00CF3E3D" w:rsidRDefault="004E45CF" w:rsidP="007007AC">
            <w:pPr>
              <w:spacing w:before="85" w:line="288" w:lineRule="auto"/>
              <w:jc w:val="center"/>
              <w:rPr>
                <w:sz w:val="18"/>
                <w:szCs w:val="18"/>
              </w:rPr>
            </w:pPr>
            <w:r w:rsidRPr="00CF3E3D">
              <w:rPr>
                <w:sz w:val="18"/>
                <w:szCs w:val="18"/>
              </w:rPr>
              <w:t>90.0</w:t>
            </w:r>
          </w:p>
        </w:tc>
        <w:tc>
          <w:tcPr>
            <w:cnfStyle w:val="000001000000" w:firstRow="0" w:lastRow="0" w:firstColumn="0" w:lastColumn="0" w:oddVBand="0" w:evenVBand="1" w:oddHBand="0" w:evenHBand="0" w:firstRowFirstColumn="0" w:firstRowLastColumn="0" w:lastRowFirstColumn="0" w:lastRowLastColumn="0"/>
            <w:tcW w:w="570" w:type="pct"/>
          </w:tcPr>
          <w:p w14:paraId="6A39A983" w14:textId="77777777" w:rsidR="004E45CF" w:rsidRPr="00CF3E3D" w:rsidRDefault="004E45CF" w:rsidP="007007AC">
            <w:pPr>
              <w:spacing w:before="85" w:line="288" w:lineRule="auto"/>
              <w:jc w:val="center"/>
              <w:rPr>
                <w:sz w:val="18"/>
                <w:szCs w:val="18"/>
              </w:rPr>
            </w:pPr>
            <w:r w:rsidRPr="00CF3E3D">
              <w:rPr>
                <w:sz w:val="18"/>
                <w:szCs w:val="18"/>
              </w:rPr>
              <w:t>90.6</w:t>
            </w:r>
          </w:p>
        </w:tc>
        <w:tc>
          <w:tcPr>
            <w:cnfStyle w:val="000010000000" w:firstRow="0" w:lastRow="0" w:firstColumn="0" w:lastColumn="0" w:oddVBand="1" w:evenVBand="0" w:oddHBand="0" w:evenHBand="0" w:firstRowFirstColumn="0" w:firstRowLastColumn="0" w:lastRowFirstColumn="0" w:lastRowLastColumn="0"/>
            <w:tcW w:w="570" w:type="pct"/>
          </w:tcPr>
          <w:p w14:paraId="4128F6C2" w14:textId="77777777" w:rsidR="004E45CF" w:rsidRPr="00CF3E3D" w:rsidRDefault="004E45CF" w:rsidP="007007AC">
            <w:pPr>
              <w:spacing w:before="85" w:line="288" w:lineRule="auto"/>
              <w:jc w:val="center"/>
              <w:rPr>
                <w:sz w:val="18"/>
                <w:szCs w:val="18"/>
              </w:rPr>
            </w:pPr>
            <w:r w:rsidRPr="00CF3E3D">
              <w:rPr>
                <w:sz w:val="18"/>
                <w:szCs w:val="18"/>
              </w:rPr>
              <w:t>90.8</w:t>
            </w:r>
          </w:p>
        </w:tc>
        <w:tc>
          <w:tcPr>
            <w:cnfStyle w:val="000001000000" w:firstRow="0" w:lastRow="0" w:firstColumn="0" w:lastColumn="0" w:oddVBand="0" w:evenVBand="1" w:oddHBand="0" w:evenHBand="0" w:firstRowFirstColumn="0" w:firstRowLastColumn="0" w:lastRowFirstColumn="0" w:lastRowLastColumn="0"/>
            <w:tcW w:w="454" w:type="pct"/>
          </w:tcPr>
          <w:p w14:paraId="5B8F4718" w14:textId="77777777" w:rsidR="004E45CF" w:rsidRPr="00CF3E3D" w:rsidRDefault="004E45CF" w:rsidP="007007AC">
            <w:pPr>
              <w:spacing w:before="85" w:line="288" w:lineRule="auto"/>
              <w:jc w:val="center"/>
              <w:rPr>
                <w:sz w:val="18"/>
                <w:szCs w:val="18"/>
              </w:rPr>
            </w:pPr>
            <w:r w:rsidRPr="00CF3E3D">
              <w:rPr>
                <w:sz w:val="18"/>
                <w:szCs w:val="18"/>
              </w:rPr>
              <w:t>72,500</w:t>
            </w:r>
          </w:p>
        </w:tc>
        <w:tc>
          <w:tcPr>
            <w:cnfStyle w:val="000010000000" w:firstRow="0" w:lastRow="0" w:firstColumn="0" w:lastColumn="0" w:oddVBand="1" w:evenVBand="0" w:oddHBand="0" w:evenHBand="0" w:firstRowFirstColumn="0" w:firstRowLastColumn="0" w:lastRowFirstColumn="0" w:lastRowLastColumn="0"/>
            <w:tcW w:w="454" w:type="pct"/>
          </w:tcPr>
          <w:p w14:paraId="22A73CA9" w14:textId="77777777" w:rsidR="004E45CF" w:rsidRPr="00CF3E3D" w:rsidRDefault="004E45CF" w:rsidP="007007AC">
            <w:pPr>
              <w:spacing w:before="85" w:line="288" w:lineRule="auto"/>
              <w:jc w:val="center"/>
              <w:rPr>
                <w:sz w:val="18"/>
                <w:szCs w:val="18"/>
              </w:rPr>
            </w:pPr>
            <w:r w:rsidRPr="00CF3E3D">
              <w:rPr>
                <w:sz w:val="18"/>
                <w:szCs w:val="18"/>
              </w:rPr>
              <w:t>74,000</w:t>
            </w:r>
          </w:p>
        </w:tc>
      </w:tr>
      <w:tr w:rsidR="002F77B2" w:rsidRPr="00CF3E3D" w14:paraId="5F82363C" w14:textId="77777777" w:rsidTr="00AB596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10FA7E77" w14:textId="77777777" w:rsidR="004E45CF" w:rsidRPr="004277E6" w:rsidRDefault="004E45CF" w:rsidP="007007AC">
            <w:pPr>
              <w:spacing w:before="85" w:line="288" w:lineRule="auto"/>
              <w:rPr>
                <w:b/>
                <w:bCs/>
                <w:sz w:val="18"/>
                <w:szCs w:val="18"/>
              </w:rPr>
            </w:pPr>
            <w:r w:rsidRPr="004277E6">
              <w:rPr>
                <w:b/>
                <w:bCs/>
                <w:sz w:val="18"/>
                <w:szCs w:val="18"/>
              </w:rPr>
              <w:t>Aboriginal and Torres Strait Islander -Indigenous</w:t>
            </w:r>
          </w:p>
        </w:tc>
        <w:tc>
          <w:tcPr>
            <w:cnfStyle w:val="000001000000" w:firstRow="0" w:lastRow="0" w:firstColumn="0" w:lastColumn="0" w:oddVBand="0" w:evenVBand="1" w:oddHBand="0" w:evenHBand="0" w:firstRowFirstColumn="0" w:firstRowLastColumn="0" w:lastRowFirstColumn="0" w:lastRowLastColumn="0"/>
            <w:tcW w:w="475" w:type="pct"/>
          </w:tcPr>
          <w:p w14:paraId="74D264F5" w14:textId="77777777" w:rsidR="004E45CF" w:rsidRPr="00CF3E3D" w:rsidRDefault="004E45CF" w:rsidP="007007AC">
            <w:pPr>
              <w:spacing w:before="85" w:line="288" w:lineRule="auto"/>
              <w:jc w:val="center"/>
              <w:rPr>
                <w:sz w:val="18"/>
                <w:szCs w:val="18"/>
              </w:rPr>
            </w:pPr>
            <w:r w:rsidRPr="00CF3E3D">
              <w:rPr>
                <w:sz w:val="18"/>
                <w:szCs w:val="18"/>
              </w:rPr>
              <w:t>76.8</w:t>
            </w:r>
          </w:p>
        </w:tc>
        <w:tc>
          <w:tcPr>
            <w:cnfStyle w:val="000010000000" w:firstRow="0" w:lastRow="0" w:firstColumn="0" w:lastColumn="0" w:oddVBand="1" w:evenVBand="0" w:oddHBand="0" w:evenHBand="0" w:firstRowFirstColumn="0" w:firstRowLastColumn="0" w:lastRowFirstColumn="0" w:lastRowLastColumn="0"/>
            <w:tcW w:w="413" w:type="pct"/>
          </w:tcPr>
          <w:p w14:paraId="46780104" w14:textId="77777777" w:rsidR="004E45CF" w:rsidRPr="00CF3E3D" w:rsidRDefault="004E45CF" w:rsidP="007007AC">
            <w:pPr>
              <w:spacing w:before="85" w:line="288" w:lineRule="auto"/>
              <w:jc w:val="center"/>
              <w:rPr>
                <w:sz w:val="18"/>
                <w:szCs w:val="18"/>
              </w:rPr>
            </w:pPr>
            <w:r w:rsidRPr="00CF3E3D">
              <w:rPr>
                <w:sz w:val="18"/>
                <w:szCs w:val="18"/>
              </w:rPr>
              <w:t>81.5</w:t>
            </w:r>
          </w:p>
        </w:tc>
        <w:tc>
          <w:tcPr>
            <w:cnfStyle w:val="000001000000" w:firstRow="0" w:lastRow="0" w:firstColumn="0" w:lastColumn="0" w:oddVBand="0" w:evenVBand="1" w:oddHBand="0" w:evenHBand="0" w:firstRowFirstColumn="0" w:firstRowLastColumn="0" w:lastRowFirstColumn="0" w:lastRowLastColumn="0"/>
            <w:tcW w:w="560" w:type="pct"/>
          </w:tcPr>
          <w:p w14:paraId="04CBD398" w14:textId="77777777" w:rsidR="004E45CF" w:rsidRPr="00CF3E3D" w:rsidRDefault="004E45CF" w:rsidP="007007AC">
            <w:pPr>
              <w:spacing w:before="85" w:line="288" w:lineRule="auto"/>
              <w:jc w:val="center"/>
              <w:rPr>
                <w:sz w:val="18"/>
                <w:szCs w:val="18"/>
              </w:rPr>
            </w:pPr>
            <w:r w:rsidRPr="00CF3E3D">
              <w:rPr>
                <w:sz w:val="18"/>
                <w:szCs w:val="18"/>
              </w:rPr>
              <w:t>85.7</w:t>
            </w:r>
          </w:p>
        </w:tc>
        <w:tc>
          <w:tcPr>
            <w:cnfStyle w:val="000010000000" w:firstRow="0" w:lastRow="0" w:firstColumn="0" w:lastColumn="0" w:oddVBand="1" w:evenVBand="0" w:oddHBand="0" w:evenHBand="0" w:firstRowFirstColumn="0" w:firstRowLastColumn="0" w:lastRowFirstColumn="0" w:lastRowLastColumn="0"/>
            <w:tcW w:w="560" w:type="pct"/>
          </w:tcPr>
          <w:p w14:paraId="1A81193B" w14:textId="77777777" w:rsidR="004E45CF" w:rsidRPr="00CF3E3D" w:rsidRDefault="004E45CF" w:rsidP="007007AC">
            <w:pPr>
              <w:spacing w:before="85" w:line="288" w:lineRule="auto"/>
              <w:jc w:val="center"/>
              <w:rPr>
                <w:sz w:val="18"/>
                <w:szCs w:val="18"/>
              </w:rPr>
            </w:pPr>
            <w:r w:rsidRPr="00CF3E3D">
              <w:rPr>
                <w:sz w:val="18"/>
                <w:szCs w:val="18"/>
              </w:rPr>
              <w:t>89.5</w:t>
            </w:r>
          </w:p>
        </w:tc>
        <w:tc>
          <w:tcPr>
            <w:cnfStyle w:val="000001000000" w:firstRow="0" w:lastRow="0" w:firstColumn="0" w:lastColumn="0" w:oddVBand="0" w:evenVBand="1" w:oddHBand="0" w:evenHBand="0" w:firstRowFirstColumn="0" w:firstRowLastColumn="0" w:lastRowFirstColumn="0" w:lastRowLastColumn="0"/>
            <w:tcW w:w="570" w:type="pct"/>
          </w:tcPr>
          <w:p w14:paraId="65B1A9F3" w14:textId="77777777" w:rsidR="004E45CF" w:rsidRPr="00CF3E3D" w:rsidRDefault="004E45CF" w:rsidP="007007AC">
            <w:pPr>
              <w:spacing w:before="85" w:line="288" w:lineRule="auto"/>
              <w:jc w:val="center"/>
              <w:rPr>
                <w:sz w:val="18"/>
                <w:szCs w:val="18"/>
              </w:rPr>
            </w:pPr>
            <w:r w:rsidRPr="00CF3E3D">
              <w:rPr>
                <w:sz w:val="18"/>
                <w:szCs w:val="18"/>
              </w:rPr>
              <w:t>90.7</w:t>
            </w:r>
          </w:p>
        </w:tc>
        <w:tc>
          <w:tcPr>
            <w:cnfStyle w:val="000010000000" w:firstRow="0" w:lastRow="0" w:firstColumn="0" w:lastColumn="0" w:oddVBand="1" w:evenVBand="0" w:oddHBand="0" w:evenHBand="0" w:firstRowFirstColumn="0" w:firstRowLastColumn="0" w:lastRowFirstColumn="0" w:lastRowLastColumn="0"/>
            <w:tcW w:w="570" w:type="pct"/>
          </w:tcPr>
          <w:p w14:paraId="6BD1ADFC" w14:textId="77777777" w:rsidR="004E45CF" w:rsidRPr="00CF3E3D" w:rsidRDefault="004E45CF" w:rsidP="007007AC">
            <w:pPr>
              <w:spacing w:before="85" w:line="288" w:lineRule="auto"/>
              <w:jc w:val="center"/>
              <w:rPr>
                <w:sz w:val="18"/>
                <w:szCs w:val="18"/>
              </w:rPr>
            </w:pPr>
            <w:r w:rsidRPr="00CF3E3D">
              <w:rPr>
                <w:sz w:val="18"/>
                <w:szCs w:val="18"/>
              </w:rPr>
              <w:t>90.8</w:t>
            </w:r>
          </w:p>
        </w:tc>
        <w:tc>
          <w:tcPr>
            <w:cnfStyle w:val="000001000000" w:firstRow="0" w:lastRow="0" w:firstColumn="0" w:lastColumn="0" w:oddVBand="0" w:evenVBand="1" w:oddHBand="0" w:evenHBand="0" w:firstRowFirstColumn="0" w:firstRowLastColumn="0" w:lastRowFirstColumn="0" w:lastRowLastColumn="0"/>
            <w:tcW w:w="454" w:type="pct"/>
          </w:tcPr>
          <w:p w14:paraId="660C8D29" w14:textId="77777777" w:rsidR="004E45CF" w:rsidRPr="00CF3E3D" w:rsidRDefault="004E45CF" w:rsidP="007007AC">
            <w:pPr>
              <w:spacing w:before="85" w:line="288" w:lineRule="auto"/>
              <w:jc w:val="center"/>
              <w:rPr>
                <w:sz w:val="18"/>
                <w:szCs w:val="18"/>
              </w:rPr>
            </w:pPr>
            <w:r w:rsidRPr="00CF3E3D">
              <w:rPr>
                <w:sz w:val="18"/>
                <w:szCs w:val="18"/>
              </w:rPr>
              <w:t>67,000</w:t>
            </w:r>
          </w:p>
        </w:tc>
        <w:tc>
          <w:tcPr>
            <w:cnfStyle w:val="000010000000" w:firstRow="0" w:lastRow="0" w:firstColumn="0" w:lastColumn="0" w:oddVBand="1" w:evenVBand="0" w:oddHBand="0" w:evenHBand="0" w:firstRowFirstColumn="0" w:firstRowLastColumn="0" w:lastRowFirstColumn="0" w:lastRowLastColumn="0"/>
            <w:tcW w:w="454" w:type="pct"/>
          </w:tcPr>
          <w:p w14:paraId="0A905E66" w14:textId="77777777" w:rsidR="004E45CF" w:rsidRPr="00CF3E3D" w:rsidRDefault="004E45CF" w:rsidP="007007AC">
            <w:pPr>
              <w:spacing w:before="85" w:line="288" w:lineRule="auto"/>
              <w:jc w:val="center"/>
              <w:rPr>
                <w:sz w:val="18"/>
                <w:szCs w:val="18"/>
              </w:rPr>
            </w:pPr>
            <w:r w:rsidRPr="00CF3E3D">
              <w:rPr>
                <w:sz w:val="18"/>
                <w:szCs w:val="18"/>
              </w:rPr>
              <w:t>72,000</w:t>
            </w:r>
          </w:p>
        </w:tc>
      </w:tr>
      <w:tr w:rsidR="004E45CF" w:rsidRPr="00CF3E3D" w14:paraId="7C917296" w14:textId="77777777" w:rsidTr="00AB596C">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21678B11" w14:textId="77777777" w:rsidR="004E45CF" w:rsidRPr="004277E6" w:rsidRDefault="004E45CF" w:rsidP="007007AC">
            <w:pPr>
              <w:spacing w:before="85" w:line="288" w:lineRule="auto"/>
              <w:rPr>
                <w:b/>
                <w:bCs/>
                <w:sz w:val="18"/>
                <w:szCs w:val="18"/>
              </w:rPr>
            </w:pPr>
            <w:r w:rsidRPr="004277E6">
              <w:rPr>
                <w:b/>
                <w:bCs/>
                <w:sz w:val="18"/>
                <w:szCs w:val="18"/>
              </w:rPr>
              <w:t>Aboriginal and Torres Strait Islander - Non-Indigenous</w:t>
            </w:r>
          </w:p>
        </w:tc>
        <w:tc>
          <w:tcPr>
            <w:cnfStyle w:val="000001000000" w:firstRow="0" w:lastRow="0" w:firstColumn="0" w:lastColumn="0" w:oddVBand="0" w:evenVBand="1" w:oddHBand="0" w:evenHBand="0" w:firstRowFirstColumn="0" w:firstRowLastColumn="0" w:lastRowFirstColumn="0" w:lastRowLastColumn="0"/>
            <w:tcW w:w="475" w:type="pct"/>
          </w:tcPr>
          <w:p w14:paraId="1C4EDAE7" w14:textId="77777777" w:rsidR="004E45CF" w:rsidRPr="00CF3E3D" w:rsidRDefault="004E45CF" w:rsidP="007007AC">
            <w:pPr>
              <w:spacing w:before="85" w:line="288" w:lineRule="auto"/>
              <w:jc w:val="center"/>
              <w:rPr>
                <w:sz w:val="18"/>
                <w:szCs w:val="18"/>
              </w:rPr>
            </w:pPr>
            <w:r w:rsidRPr="00CF3E3D">
              <w:rPr>
                <w:sz w:val="18"/>
                <w:szCs w:val="18"/>
              </w:rPr>
              <w:t>68.8</w:t>
            </w:r>
          </w:p>
        </w:tc>
        <w:tc>
          <w:tcPr>
            <w:cnfStyle w:val="000010000000" w:firstRow="0" w:lastRow="0" w:firstColumn="0" w:lastColumn="0" w:oddVBand="1" w:evenVBand="0" w:oddHBand="0" w:evenHBand="0" w:firstRowFirstColumn="0" w:firstRowLastColumn="0" w:lastRowFirstColumn="0" w:lastRowLastColumn="0"/>
            <w:tcW w:w="413" w:type="pct"/>
          </w:tcPr>
          <w:p w14:paraId="18308D96" w14:textId="77777777" w:rsidR="004E45CF" w:rsidRPr="00CF3E3D" w:rsidRDefault="004E45CF" w:rsidP="007007AC">
            <w:pPr>
              <w:spacing w:before="85" w:line="288" w:lineRule="auto"/>
              <w:jc w:val="center"/>
              <w:rPr>
                <w:sz w:val="18"/>
                <w:szCs w:val="18"/>
              </w:rPr>
            </w:pPr>
            <w:r w:rsidRPr="00CF3E3D">
              <w:rPr>
                <w:sz w:val="18"/>
                <w:szCs w:val="18"/>
              </w:rPr>
              <w:t>78.5</w:t>
            </w:r>
          </w:p>
        </w:tc>
        <w:tc>
          <w:tcPr>
            <w:cnfStyle w:val="000001000000" w:firstRow="0" w:lastRow="0" w:firstColumn="0" w:lastColumn="0" w:oddVBand="0" w:evenVBand="1" w:oddHBand="0" w:evenHBand="0" w:firstRowFirstColumn="0" w:firstRowLastColumn="0" w:lastRowFirstColumn="0" w:lastRowLastColumn="0"/>
            <w:tcW w:w="560" w:type="pct"/>
          </w:tcPr>
          <w:p w14:paraId="19B479C7" w14:textId="77777777" w:rsidR="004E45CF" w:rsidRPr="00CF3E3D" w:rsidRDefault="004E45CF" w:rsidP="007007AC">
            <w:pPr>
              <w:spacing w:before="85" w:line="288" w:lineRule="auto"/>
              <w:jc w:val="center"/>
              <w:rPr>
                <w:sz w:val="18"/>
                <w:szCs w:val="18"/>
              </w:rPr>
            </w:pPr>
            <w:r w:rsidRPr="00CF3E3D">
              <w:rPr>
                <w:sz w:val="18"/>
                <w:szCs w:val="18"/>
              </w:rPr>
              <w:t>84.7</w:t>
            </w:r>
          </w:p>
        </w:tc>
        <w:tc>
          <w:tcPr>
            <w:cnfStyle w:val="000010000000" w:firstRow="0" w:lastRow="0" w:firstColumn="0" w:lastColumn="0" w:oddVBand="1" w:evenVBand="0" w:oddHBand="0" w:evenHBand="0" w:firstRowFirstColumn="0" w:firstRowLastColumn="0" w:lastRowFirstColumn="0" w:lastRowLastColumn="0"/>
            <w:tcW w:w="560" w:type="pct"/>
          </w:tcPr>
          <w:p w14:paraId="3BB0894E" w14:textId="77777777" w:rsidR="004E45CF" w:rsidRPr="00CF3E3D" w:rsidRDefault="004E45CF" w:rsidP="007007AC">
            <w:pPr>
              <w:spacing w:before="85" w:line="288" w:lineRule="auto"/>
              <w:jc w:val="center"/>
              <w:rPr>
                <w:sz w:val="18"/>
                <w:szCs w:val="18"/>
              </w:rPr>
            </w:pPr>
            <w:r w:rsidRPr="00CF3E3D">
              <w:rPr>
                <w:sz w:val="18"/>
                <w:szCs w:val="18"/>
              </w:rPr>
              <w:t>88.3</w:t>
            </w:r>
          </w:p>
        </w:tc>
        <w:tc>
          <w:tcPr>
            <w:cnfStyle w:val="000001000000" w:firstRow="0" w:lastRow="0" w:firstColumn="0" w:lastColumn="0" w:oddVBand="0" w:evenVBand="1" w:oddHBand="0" w:evenHBand="0" w:firstRowFirstColumn="0" w:firstRowLastColumn="0" w:lastRowFirstColumn="0" w:lastRowLastColumn="0"/>
            <w:tcW w:w="570" w:type="pct"/>
          </w:tcPr>
          <w:p w14:paraId="7E905025" w14:textId="77777777" w:rsidR="004E45CF" w:rsidRPr="00CF3E3D" w:rsidRDefault="004E45CF" w:rsidP="007007AC">
            <w:pPr>
              <w:spacing w:before="85" w:line="288" w:lineRule="auto"/>
              <w:jc w:val="center"/>
              <w:rPr>
                <w:sz w:val="18"/>
                <w:szCs w:val="18"/>
              </w:rPr>
            </w:pPr>
            <w:r w:rsidRPr="00CF3E3D">
              <w:rPr>
                <w:sz w:val="18"/>
                <w:szCs w:val="18"/>
              </w:rPr>
              <w:t>92.0</w:t>
            </w:r>
          </w:p>
        </w:tc>
        <w:tc>
          <w:tcPr>
            <w:cnfStyle w:val="000010000000" w:firstRow="0" w:lastRow="0" w:firstColumn="0" w:lastColumn="0" w:oddVBand="1" w:evenVBand="0" w:oddHBand="0" w:evenHBand="0" w:firstRowFirstColumn="0" w:firstRowLastColumn="0" w:lastRowFirstColumn="0" w:lastRowLastColumn="0"/>
            <w:tcW w:w="570" w:type="pct"/>
          </w:tcPr>
          <w:p w14:paraId="015FA158" w14:textId="77777777" w:rsidR="004E45CF" w:rsidRPr="00CF3E3D" w:rsidRDefault="004E45CF" w:rsidP="007007AC">
            <w:pPr>
              <w:spacing w:before="85" w:line="288" w:lineRule="auto"/>
              <w:jc w:val="center"/>
              <w:rPr>
                <w:sz w:val="18"/>
                <w:szCs w:val="18"/>
              </w:rPr>
            </w:pPr>
            <w:r w:rsidRPr="00CF3E3D">
              <w:rPr>
                <w:sz w:val="18"/>
                <w:szCs w:val="18"/>
              </w:rPr>
              <w:t>92.4</w:t>
            </w:r>
          </w:p>
        </w:tc>
        <w:tc>
          <w:tcPr>
            <w:cnfStyle w:val="000001000000" w:firstRow="0" w:lastRow="0" w:firstColumn="0" w:lastColumn="0" w:oddVBand="0" w:evenVBand="1" w:oddHBand="0" w:evenHBand="0" w:firstRowFirstColumn="0" w:firstRowLastColumn="0" w:lastRowFirstColumn="0" w:lastRowLastColumn="0"/>
            <w:tcW w:w="454" w:type="pct"/>
          </w:tcPr>
          <w:p w14:paraId="4CBD50DC" w14:textId="77777777" w:rsidR="004E45CF" w:rsidRPr="00CF3E3D" w:rsidRDefault="004E45CF" w:rsidP="007007AC">
            <w:pPr>
              <w:spacing w:before="85" w:line="288" w:lineRule="auto"/>
              <w:jc w:val="center"/>
              <w:rPr>
                <w:sz w:val="18"/>
                <w:szCs w:val="18"/>
              </w:rPr>
            </w:pPr>
            <w:r w:rsidRPr="00CF3E3D">
              <w:rPr>
                <w:sz w:val="18"/>
                <w:szCs w:val="18"/>
              </w:rPr>
              <w:t>65,000</w:t>
            </w:r>
          </w:p>
        </w:tc>
        <w:tc>
          <w:tcPr>
            <w:cnfStyle w:val="000010000000" w:firstRow="0" w:lastRow="0" w:firstColumn="0" w:lastColumn="0" w:oddVBand="1" w:evenVBand="0" w:oddHBand="0" w:evenHBand="0" w:firstRowFirstColumn="0" w:firstRowLastColumn="0" w:lastRowFirstColumn="0" w:lastRowLastColumn="0"/>
            <w:tcW w:w="454" w:type="pct"/>
          </w:tcPr>
          <w:p w14:paraId="15D3E1FD" w14:textId="77777777" w:rsidR="004E45CF" w:rsidRPr="00CF3E3D" w:rsidRDefault="004E45CF" w:rsidP="007007AC">
            <w:pPr>
              <w:spacing w:before="85" w:line="288" w:lineRule="auto"/>
              <w:jc w:val="center"/>
              <w:rPr>
                <w:sz w:val="18"/>
                <w:szCs w:val="18"/>
              </w:rPr>
            </w:pPr>
            <w:r w:rsidRPr="00CF3E3D">
              <w:rPr>
                <w:sz w:val="18"/>
                <w:szCs w:val="18"/>
              </w:rPr>
              <w:t>68,000</w:t>
            </w:r>
          </w:p>
        </w:tc>
      </w:tr>
      <w:tr w:rsidR="002F77B2" w:rsidRPr="00CF3E3D" w14:paraId="312004B0" w14:textId="77777777" w:rsidTr="00AB596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72E5CFDD" w14:textId="77777777" w:rsidR="004E45CF" w:rsidRPr="004277E6" w:rsidRDefault="004E45CF" w:rsidP="007007AC">
            <w:pPr>
              <w:spacing w:before="85" w:line="288" w:lineRule="auto"/>
              <w:rPr>
                <w:b/>
                <w:bCs/>
                <w:sz w:val="18"/>
                <w:szCs w:val="18"/>
              </w:rPr>
            </w:pPr>
            <w:r w:rsidRPr="004277E6">
              <w:rPr>
                <w:b/>
                <w:bCs/>
                <w:sz w:val="18"/>
                <w:szCs w:val="18"/>
              </w:rPr>
              <w:t>Disability - Reported disability</w:t>
            </w:r>
          </w:p>
        </w:tc>
        <w:tc>
          <w:tcPr>
            <w:cnfStyle w:val="000001000000" w:firstRow="0" w:lastRow="0" w:firstColumn="0" w:lastColumn="0" w:oddVBand="0" w:evenVBand="1" w:oddHBand="0" w:evenHBand="0" w:firstRowFirstColumn="0" w:firstRowLastColumn="0" w:lastRowFirstColumn="0" w:lastRowLastColumn="0"/>
            <w:tcW w:w="475" w:type="pct"/>
          </w:tcPr>
          <w:p w14:paraId="7564365C" w14:textId="77777777" w:rsidR="004E45CF" w:rsidRPr="00CF3E3D" w:rsidRDefault="004E45CF" w:rsidP="007007AC">
            <w:pPr>
              <w:spacing w:before="85" w:line="288" w:lineRule="auto"/>
              <w:jc w:val="center"/>
              <w:rPr>
                <w:sz w:val="18"/>
                <w:szCs w:val="18"/>
              </w:rPr>
            </w:pPr>
            <w:r w:rsidRPr="00CF3E3D">
              <w:rPr>
                <w:sz w:val="18"/>
                <w:szCs w:val="18"/>
              </w:rPr>
              <w:t>58.7</w:t>
            </w:r>
          </w:p>
        </w:tc>
        <w:tc>
          <w:tcPr>
            <w:cnfStyle w:val="000010000000" w:firstRow="0" w:lastRow="0" w:firstColumn="0" w:lastColumn="0" w:oddVBand="1" w:evenVBand="0" w:oddHBand="0" w:evenHBand="0" w:firstRowFirstColumn="0" w:firstRowLastColumn="0" w:lastRowFirstColumn="0" w:lastRowLastColumn="0"/>
            <w:tcW w:w="413" w:type="pct"/>
          </w:tcPr>
          <w:p w14:paraId="208668FA" w14:textId="77777777" w:rsidR="004E45CF" w:rsidRPr="00CF3E3D" w:rsidRDefault="004E45CF" w:rsidP="007007AC">
            <w:pPr>
              <w:spacing w:before="85" w:line="288" w:lineRule="auto"/>
              <w:jc w:val="center"/>
              <w:rPr>
                <w:sz w:val="18"/>
                <w:szCs w:val="18"/>
              </w:rPr>
            </w:pPr>
            <w:r w:rsidRPr="00CF3E3D">
              <w:rPr>
                <w:sz w:val="18"/>
                <w:szCs w:val="18"/>
              </w:rPr>
              <w:t>68.4</w:t>
            </w:r>
          </w:p>
        </w:tc>
        <w:tc>
          <w:tcPr>
            <w:cnfStyle w:val="000001000000" w:firstRow="0" w:lastRow="0" w:firstColumn="0" w:lastColumn="0" w:oddVBand="0" w:evenVBand="1" w:oddHBand="0" w:evenHBand="0" w:firstRowFirstColumn="0" w:firstRowLastColumn="0" w:lastRowFirstColumn="0" w:lastRowLastColumn="0"/>
            <w:tcW w:w="560" w:type="pct"/>
          </w:tcPr>
          <w:p w14:paraId="5F75F48B" w14:textId="77777777" w:rsidR="004E45CF" w:rsidRPr="00CF3E3D" w:rsidRDefault="004E45CF" w:rsidP="007007AC">
            <w:pPr>
              <w:spacing w:before="85" w:line="288" w:lineRule="auto"/>
              <w:jc w:val="center"/>
              <w:rPr>
                <w:sz w:val="18"/>
                <w:szCs w:val="18"/>
              </w:rPr>
            </w:pPr>
            <w:r w:rsidRPr="00CF3E3D">
              <w:rPr>
                <w:sz w:val="18"/>
                <w:szCs w:val="18"/>
              </w:rPr>
              <w:t>77.4</w:t>
            </w:r>
          </w:p>
        </w:tc>
        <w:tc>
          <w:tcPr>
            <w:cnfStyle w:val="000010000000" w:firstRow="0" w:lastRow="0" w:firstColumn="0" w:lastColumn="0" w:oddVBand="1" w:evenVBand="0" w:oddHBand="0" w:evenHBand="0" w:firstRowFirstColumn="0" w:firstRowLastColumn="0" w:lastRowFirstColumn="0" w:lastRowLastColumn="0"/>
            <w:tcW w:w="560" w:type="pct"/>
          </w:tcPr>
          <w:p w14:paraId="4B335B67" w14:textId="77777777" w:rsidR="004E45CF" w:rsidRPr="00CF3E3D" w:rsidRDefault="004E45CF" w:rsidP="007007AC">
            <w:pPr>
              <w:spacing w:before="85" w:line="288" w:lineRule="auto"/>
              <w:jc w:val="center"/>
              <w:rPr>
                <w:sz w:val="18"/>
                <w:szCs w:val="18"/>
              </w:rPr>
            </w:pPr>
            <w:r w:rsidRPr="00CF3E3D">
              <w:rPr>
                <w:sz w:val="18"/>
                <w:szCs w:val="18"/>
              </w:rPr>
              <w:t>82.2</w:t>
            </w:r>
          </w:p>
        </w:tc>
        <w:tc>
          <w:tcPr>
            <w:cnfStyle w:val="000001000000" w:firstRow="0" w:lastRow="0" w:firstColumn="0" w:lastColumn="0" w:oddVBand="0" w:evenVBand="1" w:oddHBand="0" w:evenHBand="0" w:firstRowFirstColumn="0" w:firstRowLastColumn="0" w:lastRowFirstColumn="0" w:lastRowLastColumn="0"/>
            <w:tcW w:w="570" w:type="pct"/>
          </w:tcPr>
          <w:p w14:paraId="0C464F45" w14:textId="77777777" w:rsidR="004E45CF" w:rsidRPr="00CF3E3D" w:rsidRDefault="004E45CF" w:rsidP="007007AC">
            <w:pPr>
              <w:spacing w:before="85" w:line="288" w:lineRule="auto"/>
              <w:jc w:val="center"/>
              <w:rPr>
                <w:sz w:val="18"/>
                <w:szCs w:val="18"/>
              </w:rPr>
            </w:pPr>
            <w:r w:rsidRPr="00CF3E3D">
              <w:rPr>
                <w:sz w:val="18"/>
                <w:szCs w:val="18"/>
              </w:rPr>
              <w:t>88.8</w:t>
            </w:r>
          </w:p>
        </w:tc>
        <w:tc>
          <w:tcPr>
            <w:cnfStyle w:val="000010000000" w:firstRow="0" w:lastRow="0" w:firstColumn="0" w:lastColumn="0" w:oddVBand="1" w:evenVBand="0" w:oddHBand="0" w:evenHBand="0" w:firstRowFirstColumn="0" w:firstRowLastColumn="0" w:lastRowFirstColumn="0" w:lastRowLastColumn="0"/>
            <w:tcW w:w="570" w:type="pct"/>
          </w:tcPr>
          <w:p w14:paraId="005BBD2C" w14:textId="77777777" w:rsidR="004E45CF" w:rsidRPr="00CF3E3D" w:rsidRDefault="004E45CF" w:rsidP="007007AC">
            <w:pPr>
              <w:spacing w:before="85" w:line="288" w:lineRule="auto"/>
              <w:jc w:val="center"/>
              <w:rPr>
                <w:sz w:val="18"/>
                <w:szCs w:val="18"/>
              </w:rPr>
            </w:pPr>
            <w:r w:rsidRPr="00CF3E3D">
              <w:rPr>
                <w:sz w:val="18"/>
                <w:szCs w:val="18"/>
              </w:rPr>
              <w:t>88.9</w:t>
            </w:r>
          </w:p>
        </w:tc>
        <w:tc>
          <w:tcPr>
            <w:cnfStyle w:val="000001000000" w:firstRow="0" w:lastRow="0" w:firstColumn="0" w:lastColumn="0" w:oddVBand="0" w:evenVBand="1" w:oddHBand="0" w:evenHBand="0" w:firstRowFirstColumn="0" w:firstRowLastColumn="0" w:lastRowFirstColumn="0" w:lastRowLastColumn="0"/>
            <w:tcW w:w="454" w:type="pct"/>
          </w:tcPr>
          <w:p w14:paraId="5A74EFD0" w14:textId="77777777" w:rsidR="004E45CF" w:rsidRPr="00CF3E3D" w:rsidRDefault="004E45CF" w:rsidP="007007AC">
            <w:pPr>
              <w:spacing w:before="85" w:line="288" w:lineRule="auto"/>
              <w:jc w:val="center"/>
              <w:rPr>
                <w:sz w:val="18"/>
                <w:szCs w:val="18"/>
              </w:rPr>
            </w:pPr>
            <w:r w:rsidRPr="00CF3E3D">
              <w:rPr>
                <w:sz w:val="18"/>
                <w:szCs w:val="18"/>
              </w:rPr>
              <w:t>65,000</w:t>
            </w:r>
          </w:p>
        </w:tc>
        <w:tc>
          <w:tcPr>
            <w:cnfStyle w:val="000010000000" w:firstRow="0" w:lastRow="0" w:firstColumn="0" w:lastColumn="0" w:oddVBand="1" w:evenVBand="0" w:oddHBand="0" w:evenHBand="0" w:firstRowFirstColumn="0" w:firstRowLastColumn="0" w:lastRowFirstColumn="0" w:lastRowLastColumn="0"/>
            <w:tcW w:w="454" w:type="pct"/>
          </w:tcPr>
          <w:p w14:paraId="5320EC8F" w14:textId="77777777" w:rsidR="004E45CF" w:rsidRPr="00CF3E3D" w:rsidRDefault="004E45CF" w:rsidP="007007AC">
            <w:pPr>
              <w:spacing w:before="85" w:line="288" w:lineRule="auto"/>
              <w:jc w:val="center"/>
              <w:rPr>
                <w:sz w:val="18"/>
                <w:szCs w:val="18"/>
              </w:rPr>
            </w:pPr>
            <w:r w:rsidRPr="00CF3E3D">
              <w:rPr>
                <w:sz w:val="18"/>
                <w:szCs w:val="18"/>
              </w:rPr>
              <w:t>66,000</w:t>
            </w:r>
          </w:p>
        </w:tc>
      </w:tr>
      <w:tr w:rsidR="004E45CF" w:rsidRPr="00CF3E3D" w14:paraId="62B5C2C3" w14:textId="77777777" w:rsidTr="00AB596C">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3460AC81" w14:textId="77777777" w:rsidR="004E45CF" w:rsidRPr="004277E6" w:rsidRDefault="004E45CF" w:rsidP="007007AC">
            <w:pPr>
              <w:spacing w:before="85" w:line="288" w:lineRule="auto"/>
              <w:rPr>
                <w:b/>
                <w:bCs/>
                <w:sz w:val="18"/>
                <w:szCs w:val="18"/>
              </w:rPr>
            </w:pPr>
            <w:r w:rsidRPr="004277E6">
              <w:rPr>
                <w:b/>
                <w:bCs/>
                <w:sz w:val="18"/>
                <w:szCs w:val="18"/>
              </w:rPr>
              <w:t>Disability - No disability</w:t>
            </w:r>
          </w:p>
        </w:tc>
        <w:tc>
          <w:tcPr>
            <w:cnfStyle w:val="000001000000" w:firstRow="0" w:lastRow="0" w:firstColumn="0" w:lastColumn="0" w:oddVBand="0" w:evenVBand="1" w:oddHBand="0" w:evenHBand="0" w:firstRowFirstColumn="0" w:firstRowLastColumn="0" w:lastRowFirstColumn="0" w:lastRowLastColumn="0"/>
            <w:tcW w:w="475" w:type="pct"/>
          </w:tcPr>
          <w:p w14:paraId="7BC69F29" w14:textId="77777777" w:rsidR="004E45CF" w:rsidRPr="00CF3E3D" w:rsidRDefault="004E45CF" w:rsidP="007007AC">
            <w:pPr>
              <w:spacing w:before="85" w:line="288" w:lineRule="auto"/>
              <w:jc w:val="center"/>
              <w:rPr>
                <w:sz w:val="18"/>
                <w:szCs w:val="18"/>
              </w:rPr>
            </w:pPr>
            <w:r w:rsidRPr="00CF3E3D">
              <w:rPr>
                <w:sz w:val="18"/>
                <w:szCs w:val="18"/>
              </w:rPr>
              <w:t>70.0</w:t>
            </w:r>
          </w:p>
        </w:tc>
        <w:tc>
          <w:tcPr>
            <w:cnfStyle w:val="000010000000" w:firstRow="0" w:lastRow="0" w:firstColumn="0" w:lastColumn="0" w:oddVBand="1" w:evenVBand="0" w:oddHBand="0" w:evenHBand="0" w:firstRowFirstColumn="0" w:firstRowLastColumn="0" w:lastRowFirstColumn="0" w:lastRowLastColumn="0"/>
            <w:tcW w:w="413" w:type="pct"/>
          </w:tcPr>
          <w:p w14:paraId="0DD4E0FB" w14:textId="77777777" w:rsidR="004E45CF" w:rsidRPr="00CF3E3D" w:rsidRDefault="004E45CF" w:rsidP="007007AC">
            <w:pPr>
              <w:spacing w:before="85" w:line="288" w:lineRule="auto"/>
              <w:jc w:val="center"/>
              <w:rPr>
                <w:sz w:val="18"/>
                <w:szCs w:val="18"/>
              </w:rPr>
            </w:pPr>
            <w:r w:rsidRPr="00CF3E3D">
              <w:rPr>
                <w:sz w:val="18"/>
                <w:szCs w:val="18"/>
              </w:rPr>
              <w:t>79.5</w:t>
            </w:r>
          </w:p>
        </w:tc>
        <w:tc>
          <w:tcPr>
            <w:cnfStyle w:val="000001000000" w:firstRow="0" w:lastRow="0" w:firstColumn="0" w:lastColumn="0" w:oddVBand="0" w:evenVBand="1" w:oddHBand="0" w:evenHBand="0" w:firstRowFirstColumn="0" w:firstRowLastColumn="0" w:lastRowFirstColumn="0" w:lastRowLastColumn="0"/>
            <w:tcW w:w="560" w:type="pct"/>
          </w:tcPr>
          <w:p w14:paraId="3AC7C50A" w14:textId="77777777" w:rsidR="004E45CF" w:rsidRPr="00CF3E3D" w:rsidRDefault="004E45CF" w:rsidP="007007AC">
            <w:pPr>
              <w:spacing w:before="85" w:line="288" w:lineRule="auto"/>
              <w:jc w:val="center"/>
              <w:rPr>
                <w:sz w:val="18"/>
                <w:szCs w:val="18"/>
              </w:rPr>
            </w:pPr>
            <w:r w:rsidRPr="00CF3E3D">
              <w:rPr>
                <w:sz w:val="18"/>
                <w:szCs w:val="18"/>
              </w:rPr>
              <w:t>85.6</w:t>
            </w:r>
          </w:p>
        </w:tc>
        <w:tc>
          <w:tcPr>
            <w:cnfStyle w:val="000010000000" w:firstRow="0" w:lastRow="0" w:firstColumn="0" w:lastColumn="0" w:oddVBand="1" w:evenVBand="0" w:oddHBand="0" w:evenHBand="0" w:firstRowFirstColumn="0" w:firstRowLastColumn="0" w:lastRowFirstColumn="0" w:lastRowLastColumn="0"/>
            <w:tcW w:w="560" w:type="pct"/>
          </w:tcPr>
          <w:p w14:paraId="1CDEF1E4" w14:textId="77777777" w:rsidR="004E45CF" w:rsidRPr="00CF3E3D" w:rsidRDefault="004E45CF" w:rsidP="007007AC">
            <w:pPr>
              <w:spacing w:before="85" w:line="288" w:lineRule="auto"/>
              <w:jc w:val="center"/>
              <w:rPr>
                <w:sz w:val="18"/>
                <w:szCs w:val="18"/>
              </w:rPr>
            </w:pPr>
            <w:r w:rsidRPr="00CF3E3D">
              <w:rPr>
                <w:sz w:val="18"/>
                <w:szCs w:val="18"/>
              </w:rPr>
              <w:t>88.9</w:t>
            </w:r>
          </w:p>
        </w:tc>
        <w:tc>
          <w:tcPr>
            <w:cnfStyle w:val="000001000000" w:firstRow="0" w:lastRow="0" w:firstColumn="0" w:lastColumn="0" w:oddVBand="0" w:evenVBand="1" w:oddHBand="0" w:evenHBand="0" w:firstRowFirstColumn="0" w:firstRowLastColumn="0" w:lastRowFirstColumn="0" w:lastRowLastColumn="0"/>
            <w:tcW w:w="570" w:type="pct"/>
          </w:tcPr>
          <w:p w14:paraId="2FF288D4" w14:textId="77777777" w:rsidR="004E45CF" w:rsidRPr="00CF3E3D" w:rsidRDefault="004E45CF" w:rsidP="007007AC">
            <w:pPr>
              <w:spacing w:before="85" w:line="288" w:lineRule="auto"/>
              <w:jc w:val="center"/>
              <w:rPr>
                <w:sz w:val="18"/>
                <w:szCs w:val="18"/>
              </w:rPr>
            </w:pPr>
            <w:r w:rsidRPr="00CF3E3D">
              <w:rPr>
                <w:sz w:val="18"/>
                <w:szCs w:val="18"/>
              </w:rPr>
              <w:t>92.4</w:t>
            </w:r>
          </w:p>
        </w:tc>
        <w:tc>
          <w:tcPr>
            <w:cnfStyle w:val="000010000000" w:firstRow="0" w:lastRow="0" w:firstColumn="0" w:lastColumn="0" w:oddVBand="1" w:evenVBand="0" w:oddHBand="0" w:evenHBand="0" w:firstRowFirstColumn="0" w:firstRowLastColumn="0" w:lastRowFirstColumn="0" w:lastRowLastColumn="0"/>
            <w:tcW w:w="570" w:type="pct"/>
          </w:tcPr>
          <w:p w14:paraId="0677EE0F" w14:textId="77777777" w:rsidR="004E45CF" w:rsidRPr="00CF3E3D" w:rsidRDefault="004E45CF" w:rsidP="007007AC">
            <w:pPr>
              <w:spacing w:before="85" w:line="288" w:lineRule="auto"/>
              <w:jc w:val="center"/>
              <w:rPr>
                <w:sz w:val="18"/>
                <w:szCs w:val="18"/>
              </w:rPr>
            </w:pPr>
            <w:r w:rsidRPr="00CF3E3D">
              <w:rPr>
                <w:sz w:val="18"/>
                <w:szCs w:val="18"/>
              </w:rPr>
              <w:t>92.8</w:t>
            </w:r>
          </w:p>
        </w:tc>
        <w:tc>
          <w:tcPr>
            <w:cnfStyle w:val="000001000000" w:firstRow="0" w:lastRow="0" w:firstColumn="0" w:lastColumn="0" w:oddVBand="0" w:evenVBand="1" w:oddHBand="0" w:evenHBand="0" w:firstRowFirstColumn="0" w:firstRowLastColumn="0" w:lastRowFirstColumn="0" w:lastRowLastColumn="0"/>
            <w:tcW w:w="454" w:type="pct"/>
          </w:tcPr>
          <w:p w14:paraId="41F45C0A" w14:textId="77777777" w:rsidR="004E45CF" w:rsidRPr="00CF3E3D" w:rsidRDefault="004E45CF" w:rsidP="007007AC">
            <w:pPr>
              <w:spacing w:before="85" w:line="288" w:lineRule="auto"/>
              <w:jc w:val="center"/>
              <w:rPr>
                <w:sz w:val="18"/>
                <w:szCs w:val="18"/>
              </w:rPr>
            </w:pPr>
            <w:r w:rsidRPr="00CF3E3D">
              <w:rPr>
                <w:sz w:val="18"/>
                <w:szCs w:val="18"/>
              </w:rPr>
              <w:t>65,000</w:t>
            </w:r>
          </w:p>
        </w:tc>
        <w:tc>
          <w:tcPr>
            <w:cnfStyle w:val="000010000000" w:firstRow="0" w:lastRow="0" w:firstColumn="0" w:lastColumn="0" w:oddVBand="1" w:evenVBand="0" w:oddHBand="0" w:evenHBand="0" w:firstRowFirstColumn="0" w:firstRowLastColumn="0" w:lastRowFirstColumn="0" w:lastRowLastColumn="0"/>
            <w:tcW w:w="454" w:type="pct"/>
          </w:tcPr>
          <w:p w14:paraId="567BB403" w14:textId="77777777" w:rsidR="004E45CF" w:rsidRPr="00CF3E3D" w:rsidRDefault="004E45CF" w:rsidP="007007AC">
            <w:pPr>
              <w:spacing w:before="85" w:line="288" w:lineRule="auto"/>
              <w:jc w:val="center"/>
              <w:rPr>
                <w:sz w:val="18"/>
                <w:szCs w:val="18"/>
              </w:rPr>
            </w:pPr>
            <w:r w:rsidRPr="00CF3E3D">
              <w:rPr>
                <w:sz w:val="18"/>
                <w:szCs w:val="18"/>
              </w:rPr>
              <w:t>68,000</w:t>
            </w:r>
          </w:p>
        </w:tc>
      </w:tr>
      <w:tr w:rsidR="002F77B2" w:rsidRPr="00CF3E3D" w14:paraId="2A7D9CBB" w14:textId="77777777" w:rsidTr="00AB596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71FD8D5A" w14:textId="77777777" w:rsidR="004E45CF" w:rsidRPr="004277E6" w:rsidRDefault="004E45CF" w:rsidP="007007AC">
            <w:pPr>
              <w:spacing w:before="85" w:line="288" w:lineRule="auto"/>
              <w:rPr>
                <w:b/>
                <w:bCs/>
                <w:sz w:val="18"/>
                <w:szCs w:val="18"/>
              </w:rPr>
            </w:pPr>
            <w:r w:rsidRPr="004277E6">
              <w:rPr>
                <w:b/>
                <w:bCs/>
                <w:sz w:val="18"/>
                <w:szCs w:val="18"/>
              </w:rPr>
              <w:t>Main language spoken at home - English</w:t>
            </w:r>
          </w:p>
        </w:tc>
        <w:tc>
          <w:tcPr>
            <w:cnfStyle w:val="000001000000" w:firstRow="0" w:lastRow="0" w:firstColumn="0" w:lastColumn="0" w:oddVBand="0" w:evenVBand="1" w:oddHBand="0" w:evenHBand="0" w:firstRowFirstColumn="0" w:firstRowLastColumn="0" w:lastRowFirstColumn="0" w:lastRowLastColumn="0"/>
            <w:tcW w:w="475" w:type="pct"/>
          </w:tcPr>
          <w:p w14:paraId="27249FB8" w14:textId="77777777" w:rsidR="004E45CF" w:rsidRPr="00CF3E3D" w:rsidRDefault="004E45CF" w:rsidP="007007AC">
            <w:pPr>
              <w:spacing w:before="85" w:line="288" w:lineRule="auto"/>
              <w:jc w:val="center"/>
              <w:rPr>
                <w:sz w:val="18"/>
                <w:szCs w:val="18"/>
              </w:rPr>
            </w:pPr>
            <w:r w:rsidRPr="00CF3E3D">
              <w:rPr>
                <w:sz w:val="18"/>
                <w:szCs w:val="18"/>
              </w:rPr>
              <w:t>69.3</w:t>
            </w:r>
          </w:p>
        </w:tc>
        <w:tc>
          <w:tcPr>
            <w:cnfStyle w:val="000010000000" w:firstRow="0" w:lastRow="0" w:firstColumn="0" w:lastColumn="0" w:oddVBand="1" w:evenVBand="0" w:oddHBand="0" w:evenHBand="0" w:firstRowFirstColumn="0" w:firstRowLastColumn="0" w:lastRowFirstColumn="0" w:lastRowLastColumn="0"/>
            <w:tcW w:w="413" w:type="pct"/>
          </w:tcPr>
          <w:p w14:paraId="43103095" w14:textId="77777777" w:rsidR="004E45CF" w:rsidRPr="00CF3E3D" w:rsidRDefault="004E45CF" w:rsidP="007007AC">
            <w:pPr>
              <w:spacing w:before="85" w:line="288" w:lineRule="auto"/>
              <w:jc w:val="center"/>
              <w:rPr>
                <w:sz w:val="18"/>
                <w:szCs w:val="18"/>
              </w:rPr>
            </w:pPr>
            <w:r w:rsidRPr="00CF3E3D">
              <w:rPr>
                <w:sz w:val="18"/>
                <w:szCs w:val="18"/>
              </w:rPr>
              <w:t>78.9</w:t>
            </w:r>
          </w:p>
        </w:tc>
        <w:tc>
          <w:tcPr>
            <w:cnfStyle w:val="000001000000" w:firstRow="0" w:lastRow="0" w:firstColumn="0" w:lastColumn="0" w:oddVBand="0" w:evenVBand="1" w:oddHBand="0" w:evenHBand="0" w:firstRowFirstColumn="0" w:firstRowLastColumn="0" w:lastRowFirstColumn="0" w:lastRowLastColumn="0"/>
            <w:tcW w:w="560" w:type="pct"/>
          </w:tcPr>
          <w:p w14:paraId="5F249CB1" w14:textId="77777777" w:rsidR="004E45CF" w:rsidRPr="00CF3E3D" w:rsidRDefault="004E45CF" w:rsidP="007007AC">
            <w:pPr>
              <w:spacing w:before="85" w:line="288" w:lineRule="auto"/>
              <w:jc w:val="center"/>
              <w:rPr>
                <w:sz w:val="18"/>
                <w:szCs w:val="18"/>
              </w:rPr>
            </w:pPr>
            <w:r w:rsidRPr="00CF3E3D">
              <w:rPr>
                <w:sz w:val="18"/>
                <w:szCs w:val="18"/>
              </w:rPr>
              <w:t>85.2</w:t>
            </w:r>
          </w:p>
        </w:tc>
        <w:tc>
          <w:tcPr>
            <w:cnfStyle w:val="000010000000" w:firstRow="0" w:lastRow="0" w:firstColumn="0" w:lastColumn="0" w:oddVBand="1" w:evenVBand="0" w:oddHBand="0" w:evenHBand="0" w:firstRowFirstColumn="0" w:firstRowLastColumn="0" w:lastRowFirstColumn="0" w:lastRowLastColumn="0"/>
            <w:tcW w:w="560" w:type="pct"/>
          </w:tcPr>
          <w:p w14:paraId="1A9C26F7" w14:textId="77777777" w:rsidR="004E45CF" w:rsidRPr="00CF3E3D" w:rsidRDefault="004E45CF" w:rsidP="007007AC">
            <w:pPr>
              <w:spacing w:before="85" w:line="288" w:lineRule="auto"/>
              <w:jc w:val="center"/>
              <w:rPr>
                <w:sz w:val="18"/>
                <w:szCs w:val="18"/>
              </w:rPr>
            </w:pPr>
            <w:r w:rsidRPr="00CF3E3D">
              <w:rPr>
                <w:sz w:val="18"/>
                <w:szCs w:val="18"/>
              </w:rPr>
              <w:t>88.6</w:t>
            </w:r>
          </w:p>
        </w:tc>
        <w:tc>
          <w:tcPr>
            <w:cnfStyle w:val="000001000000" w:firstRow="0" w:lastRow="0" w:firstColumn="0" w:lastColumn="0" w:oddVBand="0" w:evenVBand="1" w:oddHBand="0" w:evenHBand="0" w:firstRowFirstColumn="0" w:firstRowLastColumn="0" w:lastRowFirstColumn="0" w:lastRowLastColumn="0"/>
            <w:tcW w:w="570" w:type="pct"/>
          </w:tcPr>
          <w:p w14:paraId="738FA473" w14:textId="77777777" w:rsidR="004E45CF" w:rsidRPr="00CF3E3D" w:rsidRDefault="004E45CF" w:rsidP="007007AC">
            <w:pPr>
              <w:spacing w:before="85" w:line="288" w:lineRule="auto"/>
              <w:jc w:val="center"/>
              <w:rPr>
                <w:sz w:val="18"/>
                <w:szCs w:val="18"/>
              </w:rPr>
            </w:pPr>
            <w:r w:rsidRPr="00CF3E3D">
              <w:rPr>
                <w:sz w:val="18"/>
                <w:szCs w:val="18"/>
              </w:rPr>
              <w:t>92.1</w:t>
            </w:r>
          </w:p>
        </w:tc>
        <w:tc>
          <w:tcPr>
            <w:cnfStyle w:val="000010000000" w:firstRow="0" w:lastRow="0" w:firstColumn="0" w:lastColumn="0" w:oddVBand="1" w:evenVBand="0" w:oddHBand="0" w:evenHBand="0" w:firstRowFirstColumn="0" w:firstRowLastColumn="0" w:lastRowFirstColumn="0" w:lastRowLastColumn="0"/>
            <w:tcW w:w="570" w:type="pct"/>
          </w:tcPr>
          <w:p w14:paraId="68A4BDFF" w14:textId="77777777" w:rsidR="004E45CF" w:rsidRPr="00CF3E3D" w:rsidRDefault="004E45CF" w:rsidP="007007AC">
            <w:pPr>
              <w:spacing w:before="85" w:line="288" w:lineRule="auto"/>
              <w:jc w:val="center"/>
              <w:rPr>
                <w:sz w:val="18"/>
                <w:szCs w:val="18"/>
              </w:rPr>
            </w:pPr>
            <w:r w:rsidRPr="00CF3E3D">
              <w:rPr>
                <w:sz w:val="18"/>
                <w:szCs w:val="18"/>
              </w:rPr>
              <w:t>92.5</w:t>
            </w:r>
          </w:p>
        </w:tc>
        <w:tc>
          <w:tcPr>
            <w:cnfStyle w:val="000001000000" w:firstRow="0" w:lastRow="0" w:firstColumn="0" w:lastColumn="0" w:oddVBand="0" w:evenVBand="1" w:oddHBand="0" w:evenHBand="0" w:firstRowFirstColumn="0" w:firstRowLastColumn="0" w:lastRowFirstColumn="0" w:lastRowLastColumn="0"/>
            <w:tcW w:w="454" w:type="pct"/>
          </w:tcPr>
          <w:p w14:paraId="1319C0F9" w14:textId="77777777" w:rsidR="004E45CF" w:rsidRPr="00CF3E3D" w:rsidRDefault="004E45CF" w:rsidP="007007AC">
            <w:pPr>
              <w:spacing w:before="85" w:line="288" w:lineRule="auto"/>
              <w:jc w:val="center"/>
              <w:rPr>
                <w:sz w:val="18"/>
                <w:szCs w:val="18"/>
              </w:rPr>
            </w:pPr>
            <w:r w:rsidRPr="00CF3E3D">
              <w:rPr>
                <w:sz w:val="18"/>
                <w:szCs w:val="18"/>
              </w:rPr>
              <w:t>65,000</w:t>
            </w:r>
          </w:p>
        </w:tc>
        <w:tc>
          <w:tcPr>
            <w:cnfStyle w:val="000010000000" w:firstRow="0" w:lastRow="0" w:firstColumn="0" w:lastColumn="0" w:oddVBand="1" w:evenVBand="0" w:oddHBand="0" w:evenHBand="0" w:firstRowFirstColumn="0" w:firstRowLastColumn="0" w:lastRowFirstColumn="0" w:lastRowLastColumn="0"/>
            <w:tcW w:w="454" w:type="pct"/>
          </w:tcPr>
          <w:p w14:paraId="5E0CC20F" w14:textId="77777777" w:rsidR="004E45CF" w:rsidRPr="00CF3E3D" w:rsidRDefault="004E45CF" w:rsidP="007007AC">
            <w:pPr>
              <w:spacing w:before="85" w:line="288" w:lineRule="auto"/>
              <w:jc w:val="center"/>
              <w:rPr>
                <w:sz w:val="18"/>
                <w:szCs w:val="18"/>
              </w:rPr>
            </w:pPr>
            <w:r w:rsidRPr="00CF3E3D">
              <w:rPr>
                <w:sz w:val="18"/>
                <w:szCs w:val="18"/>
              </w:rPr>
              <w:t>68,000</w:t>
            </w:r>
          </w:p>
        </w:tc>
      </w:tr>
      <w:tr w:rsidR="004E45CF" w:rsidRPr="00CF3E3D" w14:paraId="13BC7B0F" w14:textId="77777777" w:rsidTr="00AB596C">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2FF27F43" w14:textId="77777777" w:rsidR="004E45CF" w:rsidRPr="004277E6" w:rsidRDefault="004E45CF" w:rsidP="007007AC">
            <w:pPr>
              <w:spacing w:before="85" w:line="288" w:lineRule="auto"/>
              <w:rPr>
                <w:b/>
                <w:bCs/>
                <w:sz w:val="18"/>
                <w:szCs w:val="18"/>
              </w:rPr>
            </w:pPr>
            <w:r w:rsidRPr="004277E6">
              <w:rPr>
                <w:b/>
                <w:bCs/>
                <w:sz w:val="18"/>
                <w:szCs w:val="18"/>
              </w:rPr>
              <w:t xml:space="preserve">Main language spoken at home - </w:t>
            </w:r>
            <w:r w:rsidRPr="004277E6">
              <w:rPr>
                <w:b/>
                <w:bCs/>
                <w:sz w:val="18"/>
                <w:szCs w:val="18"/>
              </w:rPr>
              <w:lastRenderedPageBreak/>
              <w:t>Language other than English</w:t>
            </w:r>
          </w:p>
        </w:tc>
        <w:tc>
          <w:tcPr>
            <w:cnfStyle w:val="000001000000" w:firstRow="0" w:lastRow="0" w:firstColumn="0" w:lastColumn="0" w:oddVBand="0" w:evenVBand="1" w:oddHBand="0" w:evenHBand="0" w:firstRowFirstColumn="0" w:firstRowLastColumn="0" w:lastRowFirstColumn="0" w:lastRowLastColumn="0"/>
            <w:tcW w:w="475" w:type="pct"/>
          </w:tcPr>
          <w:p w14:paraId="0508F234" w14:textId="77777777" w:rsidR="004E45CF" w:rsidRPr="00CF3E3D" w:rsidRDefault="004E45CF" w:rsidP="007007AC">
            <w:pPr>
              <w:spacing w:before="85" w:line="288" w:lineRule="auto"/>
              <w:jc w:val="center"/>
              <w:rPr>
                <w:sz w:val="18"/>
                <w:szCs w:val="18"/>
              </w:rPr>
            </w:pPr>
            <w:r w:rsidRPr="00CF3E3D">
              <w:rPr>
                <w:sz w:val="18"/>
                <w:szCs w:val="18"/>
              </w:rPr>
              <w:lastRenderedPageBreak/>
              <w:t>52.8</w:t>
            </w:r>
          </w:p>
        </w:tc>
        <w:tc>
          <w:tcPr>
            <w:cnfStyle w:val="000010000000" w:firstRow="0" w:lastRow="0" w:firstColumn="0" w:lastColumn="0" w:oddVBand="1" w:evenVBand="0" w:oddHBand="0" w:evenHBand="0" w:firstRowFirstColumn="0" w:firstRowLastColumn="0" w:lastRowFirstColumn="0" w:lastRowLastColumn="0"/>
            <w:tcW w:w="413" w:type="pct"/>
          </w:tcPr>
          <w:p w14:paraId="43406598" w14:textId="77777777" w:rsidR="004E45CF" w:rsidRPr="00CF3E3D" w:rsidRDefault="004E45CF" w:rsidP="007007AC">
            <w:pPr>
              <w:spacing w:before="85" w:line="288" w:lineRule="auto"/>
              <w:jc w:val="center"/>
              <w:rPr>
                <w:sz w:val="18"/>
                <w:szCs w:val="18"/>
              </w:rPr>
            </w:pPr>
            <w:r w:rsidRPr="00CF3E3D">
              <w:rPr>
                <w:sz w:val="18"/>
                <w:szCs w:val="18"/>
              </w:rPr>
              <w:t>66.0</w:t>
            </w:r>
          </w:p>
        </w:tc>
        <w:tc>
          <w:tcPr>
            <w:cnfStyle w:val="000001000000" w:firstRow="0" w:lastRow="0" w:firstColumn="0" w:lastColumn="0" w:oddVBand="0" w:evenVBand="1" w:oddHBand="0" w:evenHBand="0" w:firstRowFirstColumn="0" w:firstRowLastColumn="0" w:lastRowFirstColumn="0" w:lastRowLastColumn="0"/>
            <w:tcW w:w="560" w:type="pct"/>
          </w:tcPr>
          <w:p w14:paraId="1886549C" w14:textId="77777777" w:rsidR="004E45CF" w:rsidRPr="00CF3E3D" w:rsidRDefault="004E45CF" w:rsidP="007007AC">
            <w:pPr>
              <w:spacing w:before="85" w:line="288" w:lineRule="auto"/>
              <w:jc w:val="center"/>
              <w:rPr>
                <w:sz w:val="18"/>
                <w:szCs w:val="18"/>
              </w:rPr>
            </w:pPr>
            <w:r w:rsidRPr="00CF3E3D">
              <w:rPr>
                <w:sz w:val="18"/>
                <w:szCs w:val="18"/>
              </w:rPr>
              <w:t>69.8</w:t>
            </w:r>
          </w:p>
        </w:tc>
        <w:tc>
          <w:tcPr>
            <w:cnfStyle w:val="000010000000" w:firstRow="0" w:lastRow="0" w:firstColumn="0" w:lastColumn="0" w:oddVBand="1" w:evenVBand="0" w:oddHBand="0" w:evenHBand="0" w:firstRowFirstColumn="0" w:firstRowLastColumn="0" w:lastRowFirstColumn="0" w:lastRowLastColumn="0"/>
            <w:tcW w:w="560" w:type="pct"/>
          </w:tcPr>
          <w:p w14:paraId="746896B9" w14:textId="77777777" w:rsidR="004E45CF" w:rsidRPr="00CF3E3D" w:rsidRDefault="004E45CF" w:rsidP="007007AC">
            <w:pPr>
              <w:spacing w:before="85" w:line="288" w:lineRule="auto"/>
              <w:jc w:val="center"/>
              <w:rPr>
                <w:sz w:val="18"/>
                <w:szCs w:val="18"/>
              </w:rPr>
            </w:pPr>
            <w:r w:rsidRPr="00CF3E3D">
              <w:rPr>
                <w:sz w:val="18"/>
                <w:szCs w:val="18"/>
              </w:rPr>
              <w:t>75.2</w:t>
            </w:r>
          </w:p>
        </w:tc>
        <w:tc>
          <w:tcPr>
            <w:cnfStyle w:val="000001000000" w:firstRow="0" w:lastRow="0" w:firstColumn="0" w:lastColumn="0" w:oddVBand="0" w:evenVBand="1" w:oddHBand="0" w:evenHBand="0" w:firstRowFirstColumn="0" w:firstRowLastColumn="0" w:lastRowFirstColumn="0" w:lastRowLastColumn="0"/>
            <w:tcW w:w="570" w:type="pct"/>
          </w:tcPr>
          <w:p w14:paraId="6B6B1DEE" w14:textId="77777777" w:rsidR="004E45CF" w:rsidRPr="00CF3E3D" w:rsidRDefault="004E45CF" w:rsidP="007007AC">
            <w:pPr>
              <w:spacing w:before="85" w:line="288" w:lineRule="auto"/>
              <w:jc w:val="center"/>
              <w:rPr>
                <w:sz w:val="18"/>
                <w:szCs w:val="18"/>
              </w:rPr>
            </w:pPr>
            <w:r w:rsidRPr="00CF3E3D">
              <w:rPr>
                <w:sz w:val="18"/>
                <w:szCs w:val="18"/>
              </w:rPr>
              <w:t>88.7</w:t>
            </w:r>
          </w:p>
        </w:tc>
        <w:tc>
          <w:tcPr>
            <w:cnfStyle w:val="000010000000" w:firstRow="0" w:lastRow="0" w:firstColumn="0" w:lastColumn="0" w:oddVBand="1" w:evenVBand="0" w:oddHBand="0" w:evenHBand="0" w:firstRowFirstColumn="0" w:firstRowLastColumn="0" w:lastRowFirstColumn="0" w:lastRowLastColumn="0"/>
            <w:tcW w:w="570" w:type="pct"/>
          </w:tcPr>
          <w:p w14:paraId="076834DE" w14:textId="77777777" w:rsidR="004E45CF" w:rsidRPr="00CF3E3D" w:rsidRDefault="004E45CF" w:rsidP="007007AC">
            <w:pPr>
              <w:spacing w:before="85" w:line="288" w:lineRule="auto"/>
              <w:jc w:val="center"/>
              <w:rPr>
                <w:sz w:val="18"/>
                <w:szCs w:val="18"/>
              </w:rPr>
            </w:pPr>
            <w:r w:rsidRPr="00CF3E3D">
              <w:rPr>
                <w:sz w:val="18"/>
                <w:szCs w:val="18"/>
              </w:rPr>
              <w:t>87.7</w:t>
            </w:r>
          </w:p>
        </w:tc>
        <w:tc>
          <w:tcPr>
            <w:cnfStyle w:val="000001000000" w:firstRow="0" w:lastRow="0" w:firstColumn="0" w:lastColumn="0" w:oddVBand="0" w:evenVBand="1" w:oddHBand="0" w:evenHBand="0" w:firstRowFirstColumn="0" w:firstRowLastColumn="0" w:lastRowFirstColumn="0" w:lastRowLastColumn="0"/>
            <w:tcW w:w="454" w:type="pct"/>
          </w:tcPr>
          <w:p w14:paraId="43C0D06F" w14:textId="77777777" w:rsidR="004E45CF" w:rsidRPr="00CF3E3D" w:rsidRDefault="004E45CF" w:rsidP="007007AC">
            <w:pPr>
              <w:spacing w:before="85" w:line="288" w:lineRule="auto"/>
              <w:jc w:val="center"/>
              <w:rPr>
                <w:sz w:val="18"/>
                <w:szCs w:val="18"/>
              </w:rPr>
            </w:pPr>
            <w:r w:rsidRPr="00CF3E3D">
              <w:rPr>
                <w:sz w:val="18"/>
                <w:szCs w:val="18"/>
              </w:rPr>
              <w:t>62,600</w:t>
            </w:r>
          </w:p>
        </w:tc>
        <w:tc>
          <w:tcPr>
            <w:cnfStyle w:val="000010000000" w:firstRow="0" w:lastRow="0" w:firstColumn="0" w:lastColumn="0" w:oddVBand="1" w:evenVBand="0" w:oddHBand="0" w:evenHBand="0" w:firstRowFirstColumn="0" w:firstRowLastColumn="0" w:lastRowFirstColumn="0" w:lastRowLastColumn="0"/>
            <w:tcW w:w="454" w:type="pct"/>
          </w:tcPr>
          <w:p w14:paraId="57091D78" w14:textId="77777777" w:rsidR="004E45CF" w:rsidRPr="00CF3E3D" w:rsidRDefault="004E45CF" w:rsidP="007007AC">
            <w:pPr>
              <w:spacing w:before="85" w:line="288" w:lineRule="auto"/>
              <w:jc w:val="center"/>
              <w:rPr>
                <w:sz w:val="18"/>
                <w:szCs w:val="18"/>
              </w:rPr>
            </w:pPr>
            <w:r w:rsidRPr="00CF3E3D">
              <w:rPr>
                <w:sz w:val="18"/>
                <w:szCs w:val="18"/>
              </w:rPr>
              <w:t>64,800</w:t>
            </w:r>
          </w:p>
        </w:tc>
      </w:tr>
      <w:tr w:rsidR="00AB596C" w:rsidRPr="00CF3E3D" w14:paraId="67704360" w14:textId="77777777" w:rsidTr="00AB596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049C9D98" w14:textId="7F855E16" w:rsidR="00AB596C" w:rsidRPr="00AB596C" w:rsidRDefault="00AB596C" w:rsidP="00AB596C">
            <w:pPr>
              <w:spacing w:before="85" w:line="288" w:lineRule="auto"/>
              <w:rPr>
                <w:b/>
                <w:bCs/>
                <w:sz w:val="18"/>
                <w:szCs w:val="18"/>
              </w:rPr>
            </w:pPr>
            <w:r w:rsidRPr="00AB596C">
              <w:rPr>
                <w:b/>
                <w:bCs/>
                <w:sz w:val="18"/>
                <w:szCs w:val="18"/>
              </w:rPr>
              <w:t>Socio-economic status -High</w:t>
            </w:r>
          </w:p>
        </w:tc>
        <w:tc>
          <w:tcPr>
            <w:cnfStyle w:val="000001000000" w:firstRow="0" w:lastRow="0" w:firstColumn="0" w:lastColumn="0" w:oddVBand="0" w:evenVBand="1" w:oddHBand="0" w:evenHBand="0" w:firstRowFirstColumn="0" w:firstRowLastColumn="0" w:lastRowFirstColumn="0" w:lastRowLastColumn="0"/>
            <w:tcW w:w="475" w:type="pct"/>
          </w:tcPr>
          <w:p w14:paraId="075686D8" w14:textId="5236AD35" w:rsidR="00AB596C" w:rsidRPr="00CF3E3D" w:rsidRDefault="00AB596C" w:rsidP="00AB596C">
            <w:pPr>
              <w:spacing w:before="85" w:line="288" w:lineRule="auto"/>
              <w:jc w:val="center"/>
              <w:rPr>
                <w:sz w:val="18"/>
                <w:szCs w:val="18"/>
              </w:rPr>
            </w:pPr>
            <w:r w:rsidRPr="00246A91">
              <w:rPr>
                <w:sz w:val="18"/>
                <w:szCs w:val="18"/>
              </w:rPr>
              <w:t>70.0</w:t>
            </w:r>
          </w:p>
        </w:tc>
        <w:tc>
          <w:tcPr>
            <w:cnfStyle w:val="000010000000" w:firstRow="0" w:lastRow="0" w:firstColumn="0" w:lastColumn="0" w:oddVBand="1" w:evenVBand="0" w:oddHBand="0" w:evenHBand="0" w:firstRowFirstColumn="0" w:firstRowLastColumn="0" w:lastRowFirstColumn="0" w:lastRowLastColumn="0"/>
            <w:tcW w:w="413" w:type="pct"/>
          </w:tcPr>
          <w:p w14:paraId="1D7FCFE8" w14:textId="169FBE3F" w:rsidR="00AB596C" w:rsidRPr="00CF3E3D" w:rsidRDefault="00AB596C" w:rsidP="00AB596C">
            <w:pPr>
              <w:spacing w:before="85" w:line="288" w:lineRule="auto"/>
              <w:jc w:val="center"/>
              <w:rPr>
                <w:sz w:val="18"/>
                <w:szCs w:val="18"/>
                <w:highlight w:val="yellow"/>
              </w:rPr>
            </w:pPr>
            <w:r w:rsidRPr="00246A91">
              <w:rPr>
                <w:sz w:val="18"/>
                <w:szCs w:val="18"/>
              </w:rPr>
              <w:t>79.8</w:t>
            </w:r>
          </w:p>
        </w:tc>
        <w:tc>
          <w:tcPr>
            <w:cnfStyle w:val="000001000000" w:firstRow="0" w:lastRow="0" w:firstColumn="0" w:lastColumn="0" w:oddVBand="0" w:evenVBand="1" w:oddHBand="0" w:evenHBand="0" w:firstRowFirstColumn="0" w:firstRowLastColumn="0" w:lastRowFirstColumn="0" w:lastRowLastColumn="0"/>
            <w:tcW w:w="560" w:type="pct"/>
          </w:tcPr>
          <w:p w14:paraId="4B57BD0A" w14:textId="09523142" w:rsidR="00AB596C" w:rsidRPr="00CF3E3D" w:rsidRDefault="00AB596C" w:rsidP="00AB596C">
            <w:pPr>
              <w:spacing w:before="85" w:line="288" w:lineRule="auto"/>
              <w:jc w:val="center"/>
              <w:rPr>
                <w:sz w:val="18"/>
                <w:szCs w:val="18"/>
              </w:rPr>
            </w:pPr>
            <w:r w:rsidRPr="00246A91">
              <w:rPr>
                <w:sz w:val="18"/>
                <w:szCs w:val="18"/>
              </w:rPr>
              <w:t>85.7</w:t>
            </w:r>
          </w:p>
        </w:tc>
        <w:tc>
          <w:tcPr>
            <w:cnfStyle w:val="000010000000" w:firstRow="0" w:lastRow="0" w:firstColumn="0" w:lastColumn="0" w:oddVBand="1" w:evenVBand="0" w:oddHBand="0" w:evenHBand="0" w:firstRowFirstColumn="0" w:firstRowLastColumn="0" w:lastRowFirstColumn="0" w:lastRowLastColumn="0"/>
            <w:tcW w:w="560" w:type="pct"/>
          </w:tcPr>
          <w:p w14:paraId="7FFC0697" w14:textId="3138778F" w:rsidR="00AB596C" w:rsidRPr="00CF3E3D" w:rsidRDefault="00AB596C" w:rsidP="00AB596C">
            <w:pPr>
              <w:spacing w:before="85" w:line="288" w:lineRule="auto"/>
              <w:jc w:val="center"/>
              <w:rPr>
                <w:sz w:val="18"/>
                <w:szCs w:val="18"/>
                <w:highlight w:val="yellow"/>
              </w:rPr>
            </w:pPr>
            <w:r w:rsidRPr="00246A91">
              <w:rPr>
                <w:sz w:val="18"/>
                <w:szCs w:val="18"/>
              </w:rPr>
              <w:t>88.8</w:t>
            </w:r>
          </w:p>
        </w:tc>
        <w:tc>
          <w:tcPr>
            <w:cnfStyle w:val="000001000000" w:firstRow="0" w:lastRow="0" w:firstColumn="0" w:lastColumn="0" w:oddVBand="0" w:evenVBand="1" w:oddHBand="0" w:evenHBand="0" w:firstRowFirstColumn="0" w:firstRowLastColumn="0" w:lastRowFirstColumn="0" w:lastRowLastColumn="0"/>
            <w:tcW w:w="570" w:type="pct"/>
          </w:tcPr>
          <w:p w14:paraId="0295C685" w14:textId="5E4F86D5" w:rsidR="00AB596C" w:rsidRPr="00CF3E3D" w:rsidRDefault="00AB596C" w:rsidP="00AB596C">
            <w:pPr>
              <w:spacing w:before="85" w:line="288" w:lineRule="auto"/>
              <w:jc w:val="center"/>
              <w:rPr>
                <w:sz w:val="18"/>
                <w:szCs w:val="18"/>
              </w:rPr>
            </w:pPr>
            <w:r w:rsidRPr="00246A91">
              <w:rPr>
                <w:sz w:val="18"/>
                <w:szCs w:val="18"/>
              </w:rPr>
              <w:t>92.1</w:t>
            </w:r>
          </w:p>
        </w:tc>
        <w:tc>
          <w:tcPr>
            <w:cnfStyle w:val="000010000000" w:firstRow="0" w:lastRow="0" w:firstColumn="0" w:lastColumn="0" w:oddVBand="1" w:evenVBand="0" w:oddHBand="0" w:evenHBand="0" w:firstRowFirstColumn="0" w:firstRowLastColumn="0" w:lastRowFirstColumn="0" w:lastRowLastColumn="0"/>
            <w:tcW w:w="570" w:type="pct"/>
          </w:tcPr>
          <w:p w14:paraId="46ED92F0" w14:textId="2BF48A13" w:rsidR="00AB596C" w:rsidRPr="00CF3E3D" w:rsidRDefault="00AB596C" w:rsidP="00AB596C">
            <w:pPr>
              <w:spacing w:before="85" w:line="288" w:lineRule="auto"/>
              <w:jc w:val="center"/>
              <w:rPr>
                <w:sz w:val="18"/>
                <w:szCs w:val="18"/>
                <w:highlight w:val="yellow"/>
              </w:rPr>
            </w:pPr>
            <w:r w:rsidRPr="00246A91">
              <w:rPr>
                <w:sz w:val="18"/>
                <w:szCs w:val="18"/>
              </w:rPr>
              <w:t>92.1</w:t>
            </w:r>
          </w:p>
        </w:tc>
        <w:tc>
          <w:tcPr>
            <w:cnfStyle w:val="000001000000" w:firstRow="0" w:lastRow="0" w:firstColumn="0" w:lastColumn="0" w:oddVBand="0" w:evenVBand="1" w:oddHBand="0" w:evenHBand="0" w:firstRowFirstColumn="0" w:firstRowLastColumn="0" w:lastRowFirstColumn="0" w:lastRowLastColumn="0"/>
            <w:tcW w:w="454" w:type="pct"/>
          </w:tcPr>
          <w:p w14:paraId="232AEAFE" w14:textId="5F61B592" w:rsidR="00AB596C" w:rsidRPr="00CF3E3D" w:rsidRDefault="00AB596C" w:rsidP="00AB596C">
            <w:pPr>
              <w:spacing w:before="85" w:line="288" w:lineRule="auto"/>
              <w:jc w:val="center"/>
              <w:rPr>
                <w:sz w:val="18"/>
                <w:szCs w:val="18"/>
              </w:rPr>
            </w:pPr>
            <w:r w:rsidRPr="00246A91">
              <w:rPr>
                <w:sz w:val="18"/>
                <w:szCs w:val="18"/>
              </w:rPr>
              <w:t>65</w:t>
            </w:r>
            <w:r>
              <w:rPr>
                <w:sz w:val="18"/>
                <w:szCs w:val="18"/>
              </w:rPr>
              <w:t>,</w:t>
            </w:r>
            <w:r w:rsidRPr="00246A91">
              <w:rPr>
                <w:sz w:val="18"/>
                <w:szCs w:val="18"/>
              </w:rPr>
              <w:t>000</w:t>
            </w:r>
          </w:p>
        </w:tc>
        <w:tc>
          <w:tcPr>
            <w:cnfStyle w:val="000010000000" w:firstRow="0" w:lastRow="0" w:firstColumn="0" w:lastColumn="0" w:oddVBand="1" w:evenVBand="0" w:oddHBand="0" w:evenHBand="0" w:firstRowFirstColumn="0" w:firstRowLastColumn="0" w:lastRowFirstColumn="0" w:lastRowLastColumn="0"/>
            <w:tcW w:w="454" w:type="pct"/>
          </w:tcPr>
          <w:p w14:paraId="4085C8AC" w14:textId="427F847F" w:rsidR="00AB596C" w:rsidRPr="00CF3E3D" w:rsidRDefault="00AB596C" w:rsidP="00AB596C">
            <w:pPr>
              <w:spacing w:before="85" w:line="288" w:lineRule="auto"/>
              <w:jc w:val="center"/>
              <w:rPr>
                <w:sz w:val="18"/>
                <w:szCs w:val="18"/>
                <w:highlight w:val="yellow"/>
              </w:rPr>
            </w:pPr>
            <w:r w:rsidRPr="00246A91">
              <w:rPr>
                <w:sz w:val="18"/>
                <w:szCs w:val="18"/>
              </w:rPr>
              <w:t>68</w:t>
            </w:r>
            <w:r>
              <w:rPr>
                <w:sz w:val="18"/>
                <w:szCs w:val="18"/>
              </w:rPr>
              <w:t>,</w:t>
            </w:r>
            <w:r w:rsidRPr="00246A91">
              <w:rPr>
                <w:sz w:val="18"/>
                <w:szCs w:val="18"/>
              </w:rPr>
              <w:t>000</w:t>
            </w:r>
          </w:p>
        </w:tc>
      </w:tr>
      <w:tr w:rsidR="00AB596C" w:rsidRPr="00CF3E3D" w14:paraId="65EF9F41" w14:textId="77777777" w:rsidTr="00AB596C">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58D5B25C" w14:textId="08D578DB" w:rsidR="00AB596C" w:rsidRPr="00AB596C" w:rsidRDefault="00AB596C" w:rsidP="00AB596C">
            <w:pPr>
              <w:spacing w:before="85" w:line="288" w:lineRule="auto"/>
              <w:rPr>
                <w:b/>
                <w:bCs/>
                <w:sz w:val="18"/>
                <w:szCs w:val="18"/>
              </w:rPr>
            </w:pPr>
            <w:r w:rsidRPr="00AB596C">
              <w:rPr>
                <w:b/>
                <w:bCs/>
                <w:sz w:val="18"/>
                <w:szCs w:val="18"/>
              </w:rPr>
              <w:t>Socio-economic status - Medium</w:t>
            </w:r>
          </w:p>
        </w:tc>
        <w:tc>
          <w:tcPr>
            <w:cnfStyle w:val="000001000000" w:firstRow="0" w:lastRow="0" w:firstColumn="0" w:lastColumn="0" w:oddVBand="0" w:evenVBand="1" w:oddHBand="0" w:evenHBand="0" w:firstRowFirstColumn="0" w:firstRowLastColumn="0" w:lastRowFirstColumn="0" w:lastRowLastColumn="0"/>
            <w:tcW w:w="475" w:type="pct"/>
          </w:tcPr>
          <w:p w14:paraId="19285043" w14:textId="310AC98A" w:rsidR="00AB596C" w:rsidRPr="00CF3E3D" w:rsidRDefault="00AB596C" w:rsidP="00AB596C">
            <w:pPr>
              <w:spacing w:before="85" w:line="288" w:lineRule="auto"/>
              <w:jc w:val="center"/>
              <w:rPr>
                <w:sz w:val="18"/>
                <w:szCs w:val="18"/>
              </w:rPr>
            </w:pPr>
            <w:r w:rsidRPr="00246A91">
              <w:rPr>
                <w:sz w:val="18"/>
                <w:szCs w:val="18"/>
              </w:rPr>
              <w:t>68.7</w:t>
            </w:r>
          </w:p>
        </w:tc>
        <w:tc>
          <w:tcPr>
            <w:cnfStyle w:val="000010000000" w:firstRow="0" w:lastRow="0" w:firstColumn="0" w:lastColumn="0" w:oddVBand="1" w:evenVBand="0" w:oddHBand="0" w:evenHBand="0" w:firstRowFirstColumn="0" w:firstRowLastColumn="0" w:lastRowFirstColumn="0" w:lastRowLastColumn="0"/>
            <w:tcW w:w="413" w:type="pct"/>
          </w:tcPr>
          <w:p w14:paraId="3A9BCFD7" w14:textId="05E27EF7" w:rsidR="00AB596C" w:rsidRPr="00CF3E3D" w:rsidRDefault="00AB596C" w:rsidP="00AB596C">
            <w:pPr>
              <w:spacing w:before="85" w:line="288" w:lineRule="auto"/>
              <w:jc w:val="center"/>
              <w:rPr>
                <w:sz w:val="18"/>
                <w:szCs w:val="18"/>
                <w:highlight w:val="yellow"/>
              </w:rPr>
            </w:pPr>
            <w:r w:rsidRPr="00246A91">
              <w:rPr>
                <w:sz w:val="18"/>
                <w:szCs w:val="18"/>
              </w:rPr>
              <w:t>78.9</w:t>
            </w:r>
          </w:p>
        </w:tc>
        <w:tc>
          <w:tcPr>
            <w:cnfStyle w:val="000001000000" w:firstRow="0" w:lastRow="0" w:firstColumn="0" w:lastColumn="0" w:oddVBand="0" w:evenVBand="1" w:oddHBand="0" w:evenHBand="0" w:firstRowFirstColumn="0" w:firstRowLastColumn="0" w:lastRowFirstColumn="0" w:lastRowLastColumn="0"/>
            <w:tcW w:w="560" w:type="pct"/>
          </w:tcPr>
          <w:p w14:paraId="0681391C" w14:textId="5D2D7650" w:rsidR="00AB596C" w:rsidRPr="00CF3E3D" w:rsidRDefault="00AB596C" w:rsidP="00AB596C">
            <w:pPr>
              <w:spacing w:before="85" w:line="288" w:lineRule="auto"/>
              <w:jc w:val="center"/>
              <w:rPr>
                <w:sz w:val="18"/>
                <w:szCs w:val="18"/>
              </w:rPr>
            </w:pPr>
            <w:r w:rsidRPr="00246A91">
              <w:rPr>
                <w:sz w:val="18"/>
                <w:szCs w:val="18"/>
              </w:rPr>
              <w:t>85.0</w:t>
            </w:r>
          </w:p>
        </w:tc>
        <w:tc>
          <w:tcPr>
            <w:cnfStyle w:val="000010000000" w:firstRow="0" w:lastRow="0" w:firstColumn="0" w:lastColumn="0" w:oddVBand="1" w:evenVBand="0" w:oddHBand="0" w:evenHBand="0" w:firstRowFirstColumn="0" w:firstRowLastColumn="0" w:lastRowFirstColumn="0" w:lastRowLastColumn="0"/>
            <w:tcW w:w="560" w:type="pct"/>
          </w:tcPr>
          <w:p w14:paraId="26789E05" w14:textId="3420B7D3" w:rsidR="00AB596C" w:rsidRPr="00CF3E3D" w:rsidRDefault="00AB596C" w:rsidP="00AB596C">
            <w:pPr>
              <w:spacing w:before="85" w:line="288" w:lineRule="auto"/>
              <w:jc w:val="center"/>
              <w:rPr>
                <w:sz w:val="18"/>
                <w:szCs w:val="18"/>
                <w:highlight w:val="yellow"/>
              </w:rPr>
            </w:pPr>
            <w:r w:rsidRPr="00246A91">
              <w:rPr>
                <w:sz w:val="18"/>
                <w:szCs w:val="18"/>
              </w:rPr>
              <w:t>89.1</w:t>
            </w:r>
          </w:p>
        </w:tc>
        <w:tc>
          <w:tcPr>
            <w:cnfStyle w:val="000001000000" w:firstRow="0" w:lastRow="0" w:firstColumn="0" w:lastColumn="0" w:oddVBand="0" w:evenVBand="1" w:oddHBand="0" w:evenHBand="0" w:firstRowFirstColumn="0" w:firstRowLastColumn="0" w:lastRowFirstColumn="0" w:lastRowLastColumn="0"/>
            <w:tcW w:w="570" w:type="pct"/>
          </w:tcPr>
          <w:p w14:paraId="7C52FE27" w14:textId="6638EE8B" w:rsidR="00AB596C" w:rsidRPr="00CF3E3D" w:rsidRDefault="00AB596C" w:rsidP="00AB596C">
            <w:pPr>
              <w:spacing w:before="85" w:line="288" w:lineRule="auto"/>
              <w:jc w:val="center"/>
              <w:rPr>
                <w:sz w:val="18"/>
                <w:szCs w:val="18"/>
              </w:rPr>
            </w:pPr>
            <w:r w:rsidRPr="00246A91">
              <w:rPr>
                <w:sz w:val="18"/>
                <w:szCs w:val="18"/>
              </w:rPr>
              <w:t>92.3</w:t>
            </w:r>
          </w:p>
        </w:tc>
        <w:tc>
          <w:tcPr>
            <w:cnfStyle w:val="000010000000" w:firstRow="0" w:lastRow="0" w:firstColumn="0" w:lastColumn="0" w:oddVBand="1" w:evenVBand="0" w:oddHBand="0" w:evenHBand="0" w:firstRowFirstColumn="0" w:firstRowLastColumn="0" w:lastRowFirstColumn="0" w:lastRowLastColumn="0"/>
            <w:tcW w:w="570" w:type="pct"/>
          </w:tcPr>
          <w:p w14:paraId="16ED244B" w14:textId="312442FB" w:rsidR="00AB596C" w:rsidRPr="00CF3E3D" w:rsidRDefault="00AB596C" w:rsidP="00AB596C">
            <w:pPr>
              <w:spacing w:before="85" w:line="288" w:lineRule="auto"/>
              <w:jc w:val="center"/>
              <w:rPr>
                <w:sz w:val="18"/>
                <w:szCs w:val="18"/>
                <w:highlight w:val="yellow"/>
              </w:rPr>
            </w:pPr>
            <w:r w:rsidRPr="00246A91">
              <w:rPr>
                <w:sz w:val="18"/>
                <w:szCs w:val="18"/>
              </w:rPr>
              <w:t>92.9</w:t>
            </w:r>
          </w:p>
        </w:tc>
        <w:tc>
          <w:tcPr>
            <w:cnfStyle w:val="000001000000" w:firstRow="0" w:lastRow="0" w:firstColumn="0" w:lastColumn="0" w:oddVBand="0" w:evenVBand="1" w:oddHBand="0" w:evenHBand="0" w:firstRowFirstColumn="0" w:firstRowLastColumn="0" w:lastRowFirstColumn="0" w:lastRowLastColumn="0"/>
            <w:tcW w:w="454" w:type="pct"/>
          </w:tcPr>
          <w:p w14:paraId="22960A1E" w14:textId="572A7405" w:rsidR="00AB596C" w:rsidRPr="00CF3E3D" w:rsidRDefault="00AB596C" w:rsidP="00AB596C">
            <w:pPr>
              <w:spacing w:before="85" w:line="288" w:lineRule="auto"/>
              <w:jc w:val="center"/>
              <w:rPr>
                <w:sz w:val="18"/>
                <w:szCs w:val="18"/>
              </w:rPr>
            </w:pPr>
            <w:r w:rsidRPr="00246A91">
              <w:rPr>
                <w:sz w:val="18"/>
                <w:szCs w:val="18"/>
              </w:rPr>
              <w:t>65</w:t>
            </w:r>
            <w:r>
              <w:rPr>
                <w:sz w:val="18"/>
                <w:szCs w:val="18"/>
              </w:rPr>
              <w:t>,</w:t>
            </w:r>
            <w:r w:rsidRPr="00246A91">
              <w:rPr>
                <w:sz w:val="18"/>
                <w:szCs w:val="18"/>
              </w:rPr>
              <w:t>000</w:t>
            </w:r>
          </w:p>
        </w:tc>
        <w:tc>
          <w:tcPr>
            <w:cnfStyle w:val="000010000000" w:firstRow="0" w:lastRow="0" w:firstColumn="0" w:lastColumn="0" w:oddVBand="1" w:evenVBand="0" w:oddHBand="0" w:evenHBand="0" w:firstRowFirstColumn="0" w:firstRowLastColumn="0" w:lastRowFirstColumn="0" w:lastRowLastColumn="0"/>
            <w:tcW w:w="454" w:type="pct"/>
          </w:tcPr>
          <w:p w14:paraId="710EF591" w14:textId="12B1BFAE" w:rsidR="00AB596C" w:rsidRPr="00CF3E3D" w:rsidRDefault="00AB596C" w:rsidP="00AB596C">
            <w:pPr>
              <w:spacing w:before="85" w:line="288" w:lineRule="auto"/>
              <w:jc w:val="center"/>
              <w:rPr>
                <w:sz w:val="18"/>
                <w:szCs w:val="18"/>
                <w:highlight w:val="yellow"/>
              </w:rPr>
            </w:pPr>
            <w:r w:rsidRPr="00246A91">
              <w:rPr>
                <w:sz w:val="18"/>
                <w:szCs w:val="18"/>
              </w:rPr>
              <w:t>68</w:t>
            </w:r>
            <w:r>
              <w:rPr>
                <w:sz w:val="18"/>
                <w:szCs w:val="18"/>
              </w:rPr>
              <w:t>,</w:t>
            </w:r>
            <w:r w:rsidRPr="00246A91">
              <w:rPr>
                <w:sz w:val="18"/>
                <w:szCs w:val="18"/>
              </w:rPr>
              <w:t>000</w:t>
            </w:r>
          </w:p>
        </w:tc>
      </w:tr>
      <w:tr w:rsidR="00AB596C" w:rsidRPr="00CF3E3D" w14:paraId="4BC3C09F" w14:textId="77777777" w:rsidTr="00AB596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34BD69E3" w14:textId="387FC3C2" w:rsidR="00AB596C" w:rsidRPr="00AB596C" w:rsidRDefault="00AB596C" w:rsidP="00AB596C">
            <w:pPr>
              <w:spacing w:before="85" w:line="288" w:lineRule="auto"/>
              <w:rPr>
                <w:b/>
                <w:bCs/>
                <w:sz w:val="18"/>
                <w:szCs w:val="18"/>
              </w:rPr>
            </w:pPr>
            <w:r w:rsidRPr="00AB596C">
              <w:rPr>
                <w:b/>
                <w:bCs/>
                <w:sz w:val="18"/>
                <w:szCs w:val="18"/>
              </w:rPr>
              <w:t>Socio-economic status - Low</w:t>
            </w:r>
          </w:p>
        </w:tc>
        <w:tc>
          <w:tcPr>
            <w:cnfStyle w:val="000001000000" w:firstRow="0" w:lastRow="0" w:firstColumn="0" w:lastColumn="0" w:oddVBand="0" w:evenVBand="1" w:oddHBand="0" w:evenHBand="0" w:firstRowFirstColumn="0" w:firstRowLastColumn="0" w:lastRowFirstColumn="0" w:lastRowLastColumn="0"/>
            <w:tcW w:w="475" w:type="pct"/>
          </w:tcPr>
          <w:p w14:paraId="61940B2B" w14:textId="48134436" w:rsidR="00AB596C" w:rsidRPr="00CF3E3D" w:rsidRDefault="00AB596C" w:rsidP="00AB596C">
            <w:pPr>
              <w:spacing w:before="85" w:line="288" w:lineRule="auto"/>
              <w:jc w:val="center"/>
              <w:rPr>
                <w:sz w:val="18"/>
                <w:szCs w:val="18"/>
              </w:rPr>
            </w:pPr>
            <w:r w:rsidRPr="00246A91">
              <w:rPr>
                <w:sz w:val="18"/>
                <w:szCs w:val="18"/>
              </w:rPr>
              <w:t>67.6</w:t>
            </w:r>
          </w:p>
        </w:tc>
        <w:tc>
          <w:tcPr>
            <w:cnfStyle w:val="000010000000" w:firstRow="0" w:lastRow="0" w:firstColumn="0" w:lastColumn="0" w:oddVBand="1" w:evenVBand="0" w:oddHBand="0" w:evenHBand="0" w:firstRowFirstColumn="0" w:firstRowLastColumn="0" w:lastRowFirstColumn="0" w:lastRowLastColumn="0"/>
            <w:tcW w:w="413" w:type="pct"/>
          </w:tcPr>
          <w:p w14:paraId="077D6B6F" w14:textId="262CA8D4" w:rsidR="00AB596C" w:rsidRPr="00CF3E3D" w:rsidRDefault="00AB596C" w:rsidP="00AB596C">
            <w:pPr>
              <w:spacing w:before="85" w:line="288" w:lineRule="auto"/>
              <w:jc w:val="center"/>
              <w:rPr>
                <w:sz w:val="18"/>
                <w:szCs w:val="18"/>
                <w:highlight w:val="yellow"/>
              </w:rPr>
            </w:pPr>
            <w:r w:rsidRPr="00246A91">
              <w:rPr>
                <w:sz w:val="18"/>
                <w:szCs w:val="18"/>
              </w:rPr>
              <w:t>76.6</w:t>
            </w:r>
          </w:p>
        </w:tc>
        <w:tc>
          <w:tcPr>
            <w:cnfStyle w:val="000001000000" w:firstRow="0" w:lastRow="0" w:firstColumn="0" w:lastColumn="0" w:oddVBand="0" w:evenVBand="1" w:oddHBand="0" w:evenHBand="0" w:firstRowFirstColumn="0" w:firstRowLastColumn="0" w:lastRowFirstColumn="0" w:lastRowLastColumn="0"/>
            <w:tcW w:w="560" w:type="pct"/>
          </w:tcPr>
          <w:p w14:paraId="718F29A2" w14:textId="1A55A55C" w:rsidR="00AB596C" w:rsidRPr="00CF3E3D" w:rsidRDefault="00AB596C" w:rsidP="00AB596C">
            <w:pPr>
              <w:spacing w:before="85" w:line="288" w:lineRule="auto"/>
              <w:jc w:val="center"/>
              <w:rPr>
                <w:sz w:val="18"/>
                <w:szCs w:val="18"/>
              </w:rPr>
            </w:pPr>
            <w:r w:rsidRPr="00246A91">
              <w:rPr>
                <w:sz w:val="18"/>
                <w:szCs w:val="18"/>
              </w:rPr>
              <w:t>82.6</w:t>
            </w:r>
          </w:p>
        </w:tc>
        <w:tc>
          <w:tcPr>
            <w:cnfStyle w:val="000010000000" w:firstRow="0" w:lastRow="0" w:firstColumn="0" w:lastColumn="0" w:oddVBand="1" w:evenVBand="0" w:oddHBand="0" w:evenHBand="0" w:firstRowFirstColumn="0" w:firstRowLastColumn="0" w:lastRowFirstColumn="0" w:lastRowLastColumn="0"/>
            <w:tcW w:w="560" w:type="pct"/>
          </w:tcPr>
          <w:p w14:paraId="1C3D216B" w14:textId="62B573D1" w:rsidR="00AB596C" w:rsidRPr="00CF3E3D" w:rsidRDefault="00AB596C" w:rsidP="00AB596C">
            <w:pPr>
              <w:spacing w:before="85" w:line="288" w:lineRule="auto"/>
              <w:jc w:val="center"/>
              <w:rPr>
                <w:sz w:val="18"/>
                <w:szCs w:val="18"/>
                <w:highlight w:val="yellow"/>
              </w:rPr>
            </w:pPr>
            <w:r w:rsidRPr="00246A91">
              <w:rPr>
                <w:sz w:val="18"/>
                <w:szCs w:val="18"/>
              </w:rPr>
              <w:t>86.4</w:t>
            </w:r>
          </w:p>
        </w:tc>
        <w:tc>
          <w:tcPr>
            <w:cnfStyle w:val="000001000000" w:firstRow="0" w:lastRow="0" w:firstColumn="0" w:lastColumn="0" w:oddVBand="0" w:evenVBand="1" w:oddHBand="0" w:evenHBand="0" w:firstRowFirstColumn="0" w:firstRowLastColumn="0" w:lastRowFirstColumn="0" w:lastRowLastColumn="0"/>
            <w:tcW w:w="570" w:type="pct"/>
          </w:tcPr>
          <w:p w14:paraId="7037B932" w14:textId="6628F802" w:rsidR="00AB596C" w:rsidRPr="00CF3E3D" w:rsidRDefault="00AB596C" w:rsidP="00AB596C">
            <w:pPr>
              <w:spacing w:before="85" w:line="288" w:lineRule="auto"/>
              <w:jc w:val="center"/>
              <w:rPr>
                <w:sz w:val="18"/>
                <w:szCs w:val="18"/>
              </w:rPr>
            </w:pPr>
            <w:r w:rsidRPr="00246A91">
              <w:rPr>
                <w:sz w:val="18"/>
                <w:szCs w:val="18"/>
              </w:rPr>
              <w:t>91.4</w:t>
            </w:r>
          </w:p>
        </w:tc>
        <w:tc>
          <w:tcPr>
            <w:cnfStyle w:val="000010000000" w:firstRow="0" w:lastRow="0" w:firstColumn="0" w:lastColumn="0" w:oddVBand="1" w:evenVBand="0" w:oddHBand="0" w:evenHBand="0" w:firstRowFirstColumn="0" w:firstRowLastColumn="0" w:lastRowFirstColumn="0" w:lastRowLastColumn="0"/>
            <w:tcW w:w="570" w:type="pct"/>
          </w:tcPr>
          <w:p w14:paraId="24C89D44" w14:textId="4CBF51D2" w:rsidR="00AB596C" w:rsidRPr="00CF3E3D" w:rsidRDefault="00AB596C" w:rsidP="00AB596C">
            <w:pPr>
              <w:spacing w:before="85" w:line="288" w:lineRule="auto"/>
              <w:jc w:val="center"/>
              <w:rPr>
                <w:sz w:val="18"/>
                <w:szCs w:val="18"/>
                <w:highlight w:val="yellow"/>
              </w:rPr>
            </w:pPr>
            <w:r w:rsidRPr="00246A91">
              <w:rPr>
                <w:sz w:val="18"/>
                <w:szCs w:val="18"/>
              </w:rPr>
              <w:t>91.9</w:t>
            </w:r>
          </w:p>
        </w:tc>
        <w:tc>
          <w:tcPr>
            <w:cnfStyle w:val="000001000000" w:firstRow="0" w:lastRow="0" w:firstColumn="0" w:lastColumn="0" w:oddVBand="0" w:evenVBand="1" w:oddHBand="0" w:evenHBand="0" w:firstRowFirstColumn="0" w:firstRowLastColumn="0" w:lastRowFirstColumn="0" w:lastRowLastColumn="0"/>
            <w:tcW w:w="454" w:type="pct"/>
          </w:tcPr>
          <w:p w14:paraId="3F45F4F9" w14:textId="62B2D11C" w:rsidR="00AB596C" w:rsidRPr="00CF3E3D" w:rsidRDefault="00AB596C" w:rsidP="00AB596C">
            <w:pPr>
              <w:spacing w:before="85" w:line="288" w:lineRule="auto"/>
              <w:jc w:val="center"/>
              <w:rPr>
                <w:sz w:val="18"/>
                <w:szCs w:val="18"/>
              </w:rPr>
            </w:pPr>
            <w:r w:rsidRPr="00246A91">
              <w:rPr>
                <w:sz w:val="18"/>
                <w:szCs w:val="18"/>
              </w:rPr>
              <w:t>65</w:t>
            </w:r>
            <w:r>
              <w:rPr>
                <w:sz w:val="18"/>
                <w:szCs w:val="18"/>
              </w:rPr>
              <w:t>,</w:t>
            </w:r>
            <w:r w:rsidRPr="00246A91">
              <w:rPr>
                <w:sz w:val="18"/>
                <w:szCs w:val="18"/>
              </w:rPr>
              <w:t>000</w:t>
            </w:r>
          </w:p>
        </w:tc>
        <w:tc>
          <w:tcPr>
            <w:cnfStyle w:val="000010000000" w:firstRow="0" w:lastRow="0" w:firstColumn="0" w:lastColumn="0" w:oddVBand="1" w:evenVBand="0" w:oddHBand="0" w:evenHBand="0" w:firstRowFirstColumn="0" w:firstRowLastColumn="0" w:lastRowFirstColumn="0" w:lastRowLastColumn="0"/>
            <w:tcW w:w="454" w:type="pct"/>
          </w:tcPr>
          <w:p w14:paraId="79D3C1EE" w14:textId="010D07A0" w:rsidR="00AB596C" w:rsidRPr="00CF3E3D" w:rsidRDefault="00AB596C" w:rsidP="00AB596C">
            <w:pPr>
              <w:spacing w:before="85" w:line="288" w:lineRule="auto"/>
              <w:jc w:val="center"/>
              <w:rPr>
                <w:sz w:val="18"/>
                <w:szCs w:val="18"/>
                <w:highlight w:val="yellow"/>
              </w:rPr>
            </w:pPr>
            <w:r w:rsidRPr="00246A91">
              <w:rPr>
                <w:sz w:val="18"/>
                <w:szCs w:val="18"/>
              </w:rPr>
              <w:t>68</w:t>
            </w:r>
            <w:r>
              <w:rPr>
                <w:sz w:val="18"/>
                <w:szCs w:val="18"/>
              </w:rPr>
              <w:t>,</w:t>
            </w:r>
            <w:r w:rsidRPr="00246A91">
              <w:rPr>
                <w:sz w:val="18"/>
                <w:szCs w:val="18"/>
              </w:rPr>
              <w:t>000</w:t>
            </w:r>
          </w:p>
        </w:tc>
      </w:tr>
      <w:tr w:rsidR="00AB596C" w:rsidRPr="00CF3E3D" w14:paraId="2BF6B757" w14:textId="77777777" w:rsidTr="00AB596C">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4DBC6432" w14:textId="25FBB206" w:rsidR="00AB596C" w:rsidRPr="00AB596C" w:rsidRDefault="00AB596C" w:rsidP="00AB596C">
            <w:pPr>
              <w:spacing w:before="85" w:line="288" w:lineRule="auto"/>
              <w:rPr>
                <w:b/>
                <w:bCs/>
                <w:sz w:val="18"/>
                <w:szCs w:val="18"/>
              </w:rPr>
            </w:pPr>
            <w:r w:rsidRPr="00AB596C">
              <w:rPr>
                <w:b/>
                <w:bCs/>
                <w:sz w:val="18"/>
                <w:szCs w:val="18"/>
              </w:rPr>
              <w:t>Location - Metropolitan</w:t>
            </w:r>
          </w:p>
        </w:tc>
        <w:tc>
          <w:tcPr>
            <w:cnfStyle w:val="000001000000" w:firstRow="0" w:lastRow="0" w:firstColumn="0" w:lastColumn="0" w:oddVBand="0" w:evenVBand="1" w:oddHBand="0" w:evenHBand="0" w:firstRowFirstColumn="0" w:firstRowLastColumn="0" w:lastRowFirstColumn="0" w:lastRowLastColumn="0"/>
            <w:tcW w:w="475" w:type="pct"/>
          </w:tcPr>
          <w:p w14:paraId="4F5CBFDC" w14:textId="7BFBD11B" w:rsidR="00AB596C" w:rsidRPr="00CF3E3D" w:rsidRDefault="00AB596C" w:rsidP="00AB596C">
            <w:pPr>
              <w:spacing w:before="85" w:line="288" w:lineRule="auto"/>
              <w:jc w:val="center"/>
              <w:rPr>
                <w:sz w:val="18"/>
                <w:szCs w:val="18"/>
              </w:rPr>
            </w:pPr>
            <w:r w:rsidRPr="00246A91">
              <w:rPr>
                <w:sz w:val="18"/>
                <w:szCs w:val="18"/>
              </w:rPr>
              <w:t>67.5</w:t>
            </w:r>
          </w:p>
        </w:tc>
        <w:tc>
          <w:tcPr>
            <w:cnfStyle w:val="000010000000" w:firstRow="0" w:lastRow="0" w:firstColumn="0" w:lastColumn="0" w:oddVBand="1" w:evenVBand="0" w:oddHBand="0" w:evenHBand="0" w:firstRowFirstColumn="0" w:firstRowLastColumn="0" w:lastRowFirstColumn="0" w:lastRowLastColumn="0"/>
            <w:tcW w:w="413" w:type="pct"/>
          </w:tcPr>
          <w:p w14:paraId="343931C4" w14:textId="0691F45F" w:rsidR="00AB596C" w:rsidRPr="00CF3E3D" w:rsidRDefault="00AB596C" w:rsidP="00AB596C">
            <w:pPr>
              <w:spacing w:before="85" w:line="288" w:lineRule="auto"/>
              <w:jc w:val="center"/>
              <w:rPr>
                <w:sz w:val="18"/>
                <w:szCs w:val="18"/>
                <w:highlight w:val="yellow"/>
              </w:rPr>
            </w:pPr>
            <w:r w:rsidRPr="00246A91">
              <w:rPr>
                <w:sz w:val="18"/>
                <w:szCs w:val="18"/>
              </w:rPr>
              <w:t>77.6</w:t>
            </w:r>
          </w:p>
        </w:tc>
        <w:tc>
          <w:tcPr>
            <w:cnfStyle w:val="000001000000" w:firstRow="0" w:lastRow="0" w:firstColumn="0" w:lastColumn="0" w:oddVBand="0" w:evenVBand="1" w:oddHBand="0" w:evenHBand="0" w:firstRowFirstColumn="0" w:firstRowLastColumn="0" w:lastRowFirstColumn="0" w:lastRowLastColumn="0"/>
            <w:tcW w:w="560" w:type="pct"/>
          </w:tcPr>
          <w:p w14:paraId="1136F3B0" w14:textId="285881DB" w:rsidR="00AB596C" w:rsidRPr="00CF3E3D" w:rsidRDefault="00AB596C" w:rsidP="00AB596C">
            <w:pPr>
              <w:spacing w:before="85" w:line="288" w:lineRule="auto"/>
              <w:jc w:val="center"/>
              <w:rPr>
                <w:sz w:val="18"/>
                <w:szCs w:val="18"/>
              </w:rPr>
            </w:pPr>
            <w:r w:rsidRPr="00246A91">
              <w:rPr>
                <w:sz w:val="18"/>
                <w:szCs w:val="18"/>
              </w:rPr>
              <w:t>84.2</w:t>
            </w:r>
          </w:p>
        </w:tc>
        <w:tc>
          <w:tcPr>
            <w:cnfStyle w:val="000010000000" w:firstRow="0" w:lastRow="0" w:firstColumn="0" w:lastColumn="0" w:oddVBand="1" w:evenVBand="0" w:oddHBand="0" w:evenHBand="0" w:firstRowFirstColumn="0" w:firstRowLastColumn="0" w:lastRowFirstColumn="0" w:lastRowLastColumn="0"/>
            <w:tcW w:w="560" w:type="pct"/>
          </w:tcPr>
          <w:p w14:paraId="042F655B" w14:textId="667A81E0" w:rsidR="00AB596C" w:rsidRPr="00CF3E3D" w:rsidRDefault="00AB596C" w:rsidP="00AB596C">
            <w:pPr>
              <w:spacing w:before="85" w:line="288" w:lineRule="auto"/>
              <w:jc w:val="center"/>
              <w:rPr>
                <w:sz w:val="18"/>
                <w:szCs w:val="18"/>
                <w:highlight w:val="yellow"/>
              </w:rPr>
            </w:pPr>
            <w:r w:rsidRPr="00246A91">
              <w:rPr>
                <w:sz w:val="18"/>
                <w:szCs w:val="18"/>
              </w:rPr>
              <w:t>87.9</w:t>
            </w:r>
          </w:p>
        </w:tc>
        <w:tc>
          <w:tcPr>
            <w:cnfStyle w:val="000001000000" w:firstRow="0" w:lastRow="0" w:firstColumn="0" w:lastColumn="0" w:oddVBand="0" w:evenVBand="1" w:oddHBand="0" w:evenHBand="0" w:firstRowFirstColumn="0" w:firstRowLastColumn="0" w:lastRowFirstColumn="0" w:lastRowLastColumn="0"/>
            <w:tcW w:w="570" w:type="pct"/>
          </w:tcPr>
          <w:p w14:paraId="2950134D" w14:textId="04D56DFB" w:rsidR="00AB596C" w:rsidRPr="00CF3E3D" w:rsidRDefault="00AB596C" w:rsidP="00AB596C">
            <w:pPr>
              <w:spacing w:before="85" w:line="288" w:lineRule="auto"/>
              <w:jc w:val="center"/>
              <w:rPr>
                <w:sz w:val="18"/>
                <w:szCs w:val="18"/>
              </w:rPr>
            </w:pPr>
            <w:r w:rsidRPr="00246A91">
              <w:rPr>
                <w:sz w:val="18"/>
                <w:szCs w:val="18"/>
              </w:rPr>
              <w:t>92.2</w:t>
            </w:r>
          </w:p>
        </w:tc>
        <w:tc>
          <w:tcPr>
            <w:cnfStyle w:val="000010000000" w:firstRow="0" w:lastRow="0" w:firstColumn="0" w:lastColumn="0" w:oddVBand="1" w:evenVBand="0" w:oddHBand="0" w:evenHBand="0" w:firstRowFirstColumn="0" w:firstRowLastColumn="0" w:lastRowFirstColumn="0" w:lastRowLastColumn="0"/>
            <w:tcW w:w="570" w:type="pct"/>
          </w:tcPr>
          <w:p w14:paraId="00013024" w14:textId="0AE8F67A" w:rsidR="00AB596C" w:rsidRPr="00CF3E3D" w:rsidRDefault="00AB596C" w:rsidP="00AB596C">
            <w:pPr>
              <w:spacing w:before="85" w:line="288" w:lineRule="auto"/>
              <w:jc w:val="center"/>
              <w:rPr>
                <w:sz w:val="18"/>
                <w:szCs w:val="18"/>
                <w:highlight w:val="yellow"/>
              </w:rPr>
            </w:pPr>
            <w:r w:rsidRPr="00246A91">
              <w:rPr>
                <w:sz w:val="18"/>
                <w:szCs w:val="18"/>
              </w:rPr>
              <w:t>92.4</w:t>
            </w:r>
          </w:p>
        </w:tc>
        <w:tc>
          <w:tcPr>
            <w:cnfStyle w:val="000001000000" w:firstRow="0" w:lastRow="0" w:firstColumn="0" w:lastColumn="0" w:oddVBand="0" w:evenVBand="1" w:oddHBand="0" w:evenHBand="0" w:firstRowFirstColumn="0" w:firstRowLastColumn="0" w:lastRowFirstColumn="0" w:lastRowLastColumn="0"/>
            <w:tcW w:w="454" w:type="pct"/>
          </w:tcPr>
          <w:p w14:paraId="48A08D46" w14:textId="264453F4" w:rsidR="00AB596C" w:rsidRPr="00CF3E3D" w:rsidRDefault="00AB596C" w:rsidP="00AB596C">
            <w:pPr>
              <w:spacing w:before="85" w:line="288" w:lineRule="auto"/>
              <w:jc w:val="center"/>
              <w:rPr>
                <w:sz w:val="18"/>
                <w:szCs w:val="18"/>
              </w:rPr>
            </w:pPr>
            <w:r w:rsidRPr="00246A91">
              <w:rPr>
                <w:sz w:val="18"/>
                <w:szCs w:val="18"/>
              </w:rPr>
              <w:t>65</w:t>
            </w:r>
            <w:r>
              <w:rPr>
                <w:sz w:val="18"/>
                <w:szCs w:val="18"/>
              </w:rPr>
              <w:t>,</w:t>
            </w:r>
            <w:r w:rsidRPr="00246A91">
              <w:rPr>
                <w:sz w:val="18"/>
                <w:szCs w:val="18"/>
              </w:rPr>
              <w:t>000</w:t>
            </w:r>
          </w:p>
        </w:tc>
        <w:tc>
          <w:tcPr>
            <w:cnfStyle w:val="000010000000" w:firstRow="0" w:lastRow="0" w:firstColumn="0" w:lastColumn="0" w:oddVBand="1" w:evenVBand="0" w:oddHBand="0" w:evenHBand="0" w:firstRowFirstColumn="0" w:firstRowLastColumn="0" w:lastRowFirstColumn="0" w:lastRowLastColumn="0"/>
            <w:tcW w:w="454" w:type="pct"/>
          </w:tcPr>
          <w:p w14:paraId="5258991C" w14:textId="265582DF" w:rsidR="00AB596C" w:rsidRPr="00CF3E3D" w:rsidRDefault="00AB596C" w:rsidP="00AB596C">
            <w:pPr>
              <w:spacing w:before="85" w:line="288" w:lineRule="auto"/>
              <w:jc w:val="center"/>
              <w:rPr>
                <w:sz w:val="18"/>
                <w:szCs w:val="18"/>
                <w:highlight w:val="yellow"/>
              </w:rPr>
            </w:pPr>
            <w:r w:rsidRPr="00246A91">
              <w:rPr>
                <w:sz w:val="18"/>
                <w:szCs w:val="18"/>
              </w:rPr>
              <w:t>67</w:t>
            </w:r>
            <w:r>
              <w:rPr>
                <w:sz w:val="18"/>
                <w:szCs w:val="18"/>
              </w:rPr>
              <w:t>,</w:t>
            </w:r>
            <w:r w:rsidRPr="00246A91">
              <w:rPr>
                <w:sz w:val="18"/>
                <w:szCs w:val="18"/>
              </w:rPr>
              <w:t>800</w:t>
            </w:r>
          </w:p>
        </w:tc>
      </w:tr>
      <w:tr w:rsidR="00AB596C" w:rsidRPr="00CF3E3D" w14:paraId="565B2A27" w14:textId="77777777" w:rsidTr="00AB596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44" w:type="pct"/>
          </w:tcPr>
          <w:p w14:paraId="32E45B39" w14:textId="7F5E6CB3" w:rsidR="00AB596C" w:rsidRPr="00AB596C" w:rsidRDefault="00AB596C" w:rsidP="00AB596C">
            <w:pPr>
              <w:spacing w:before="85" w:line="288" w:lineRule="auto"/>
              <w:rPr>
                <w:b/>
                <w:bCs/>
                <w:sz w:val="18"/>
                <w:szCs w:val="18"/>
              </w:rPr>
            </w:pPr>
            <w:bookmarkStart w:id="59" w:name="_Hlk109911822"/>
            <w:r w:rsidRPr="00AB596C">
              <w:rPr>
                <w:b/>
                <w:bCs/>
                <w:sz w:val="18"/>
                <w:szCs w:val="18"/>
              </w:rPr>
              <w:t>Location - Regional / remote</w:t>
            </w:r>
            <w:bookmarkEnd w:id="59"/>
          </w:p>
        </w:tc>
        <w:tc>
          <w:tcPr>
            <w:cnfStyle w:val="000001000000" w:firstRow="0" w:lastRow="0" w:firstColumn="0" w:lastColumn="0" w:oddVBand="0" w:evenVBand="1" w:oddHBand="0" w:evenHBand="0" w:firstRowFirstColumn="0" w:firstRowLastColumn="0" w:lastRowFirstColumn="0" w:lastRowLastColumn="0"/>
            <w:tcW w:w="475" w:type="pct"/>
          </w:tcPr>
          <w:p w14:paraId="7D8C72A5" w14:textId="398A6693" w:rsidR="00AB596C" w:rsidRPr="00CF3E3D" w:rsidRDefault="00AB596C" w:rsidP="00AB596C">
            <w:pPr>
              <w:spacing w:before="85" w:line="288" w:lineRule="auto"/>
              <w:jc w:val="center"/>
              <w:rPr>
                <w:sz w:val="18"/>
                <w:szCs w:val="18"/>
              </w:rPr>
            </w:pPr>
            <w:r w:rsidRPr="00246A91">
              <w:rPr>
                <w:sz w:val="18"/>
                <w:szCs w:val="18"/>
              </w:rPr>
              <w:t>74.3</w:t>
            </w:r>
          </w:p>
        </w:tc>
        <w:tc>
          <w:tcPr>
            <w:cnfStyle w:val="000010000000" w:firstRow="0" w:lastRow="0" w:firstColumn="0" w:lastColumn="0" w:oddVBand="1" w:evenVBand="0" w:oddHBand="0" w:evenHBand="0" w:firstRowFirstColumn="0" w:firstRowLastColumn="0" w:lastRowFirstColumn="0" w:lastRowLastColumn="0"/>
            <w:tcW w:w="413" w:type="pct"/>
          </w:tcPr>
          <w:p w14:paraId="10171516" w14:textId="0D8DECC6" w:rsidR="00AB596C" w:rsidRPr="00CF3E3D" w:rsidRDefault="00AB596C" w:rsidP="00AB596C">
            <w:pPr>
              <w:spacing w:before="85" w:line="288" w:lineRule="auto"/>
              <w:jc w:val="center"/>
              <w:rPr>
                <w:sz w:val="18"/>
                <w:szCs w:val="18"/>
                <w:highlight w:val="yellow"/>
              </w:rPr>
            </w:pPr>
            <w:r w:rsidRPr="00246A91">
              <w:rPr>
                <w:sz w:val="18"/>
                <w:szCs w:val="18"/>
              </w:rPr>
              <w:t>83.0</w:t>
            </w:r>
          </w:p>
        </w:tc>
        <w:tc>
          <w:tcPr>
            <w:cnfStyle w:val="000001000000" w:firstRow="0" w:lastRow="0" w:firstColumn="0" w:lastColumn="0" w:oddVBand="0" w:evenVBand="1" w:oddHBand="0" w:evenHBand="0" w:firstRowFirstColumn="0" w:firstRowLastColumn="0" w:lastRowFirstColumn="0" w:lastRowLastColumn="0"/>
            <w:tcW w:w="560" w:type="pct"/>
          </w:tcPr>
          <w:p w14:paraId="6090AB42" w14:textId="18C11377" w:rsidR="00AB596C" w:rsidRPr="00CF3E3D" w:rsidRDefault="00AB596C" w:rsidP="00AB596C">
            <w:pPr>
              <w:spacing w:before="85" w:line="288" w:lineRule="auto"/>
              <w:jc w:val="center"/>
              <w:rPr>
                <w:sz w:val="18"/>
                <w:szCs w:val="18"/>
              </w:rPr>
            </w:pPr>
            <w:r w:rsidRPr="00246A91">
              <w:rPr>
                <w:sz w:val="18"/>
                <w:szCs w:val="18"/>
              </w:rPr>
              <w:t>87.4</w:t>
            </w:r>
          </w:p>
        </w:tc>
        <w:tc>
          <w:tcPr>
            <w:cnfStyle w:val="000010000000" w:firstRow="0" w:lastRow="0" w:firstColumn="0" w:lastColumn="0" w:oddVBand="1" w:evenVBand="0" w:oddHBand="0" w:evenHBand="0" w:firstRowFirstColumn="0" w:firstRowLastColumn="0" w:lastRowFirstColumn="0" w:lastRowLastColumn="0"/>
            <w:tcW w:w="560" w:type="pct"/>
          </w:tcPr>
          <w:p w14:paraId="2906DAA5" w14:textId="42148429" w:rsidR="00AB596C" w:rsidRPr="00CF3E3D" w:rsidRDefault="00AB596C" w:rsidP="00AB596C">
            <w:pPr>
              <w:spacing w:before="85" w:line="288" w:lineRule="auto"/>
              <w:jc w:val="center"/>
              <w:rPr>
                <w:sz w:val="18"/>
                <w:szCs w:val="18"/>
                <w:highlight w:val="yellow"/>
              </w:rPr>
            </w:pPr>
            <w:r w:rsidRPr="00246A91">
              <w:rPr>
                <w:sz w:val="18"/>
                <w:szCs w:val="18"/>
              </w:rPr>
              <w:t>90.9</w:t>
            </w:r>
          </w:p>
        </w:tc>
        <w:tc>
          <w:tcPr>
            <w:cnfStyle w:val="000001000000" w:firstRow="0" w:lastRow="0" w:firstColumn="0" w:lastColumn="0" w:oddVBand="0" w:evenVBand="1" w:oddHBand="0" w:evenHBand="0" w:firstRowFirstColumn="0" w:firstRowLastColumn="0" w:lastRowFirstColumn="0" w:lastRowLastColumn="0"/>
            <w:tcW w:w="570" w:type="pct"/>
          </w:tcPr>
          <w:p w14:paraId="06FEB35A" w14:textId="281F011F" w:rsidR="00AB596C" w:rsidRPr="00CF3E3D" w:rsidRDefault="00AB596C" w:rsidP="00AB596C">
            <w:pPr>
              <w:spacing w:before="85" w:line="288" w:lineRule="auto"/>
              <w:jc w:val="center"/>
              <w:rPr>
                <w:sz w:val="18"/>
                <w:szCs w:val="18"/>
              </w:rPr>
            </w:pPr>
            <w:r w:rsidRPr="00246A91">
              <w:rPr>
                <w:sz w:val="18"/>
                <w:szCs w:val="18"/>
              </w:rPr>
              <w:t>91.5</w:t>
            </w:r>
          </w:p>
        </w:tc>
        <w:tc>
          <w:tcPr>
            <w:cnfStyle w:val="000010000000" w:firstRow="0" w:lastRow="0" w:firstColumn="0" w:lastColumn="0" w:oddVBand="1" w:evenVBand="0" w:oddHBand="0" w:evenHBand="0" w:firstRowFirstColumn="0" w:firstRowLastColumn="0" w:lastRowFirstColumn="0" w:lastRowLastColumn="0"/>
            <w:tcW w:w="570" w:type="pct"/>
          </w:tcPr>
          <w:p w14:paraId="74333B24" w14:textId="487ACF23" w:rsidR="00AB596C" w:rsidRPr="00CF3E3D" w:rsidRDefault="00AB596C" w:rsidP="00AB596C">
            <w:pPr>
              <w:spacing w:before="85" w:line="288" w:lineRule="auto"/>
              <w:jc w:val="center"/>
              <w:rPr>
                <w:sz w:val="18"/>
                <w:szCs w:val="18"/>
                <w:highlight w:val="yellow"/>
              </w:rPr>
            </w:pPr>
            <w:r w:rsidRPr="00246A91">
              <w:rPr>
                <w:sz w:val="18"/>
                <w:szCs w:val="18"/>
              </w:rPr>
              <w:t>92.5</w:t>
            </w:r>
          </w:p>
        </w:tc>
        <w:tc>
          <w:tcPr>
            <w:cnfStyle w:val="000001000000" w:firstRow="0" w:lastRow="0" w:firstColumn="0" w:lastColumn="0" w:oddVBand="0" w:evenVBand="1" w:oddHBand="0" w:evenHBand="0" w:firstRowFirstColumn="0" w:firstRowLastColumn="0" w:lastRowFirstColumn="0" w:lastRowLastColumn="0"/>
            <w:tcW w:w="454" w:type="pct"/>
          </w:tcPr>
          <w:p w14:paraId="6C70BDCD" w14:textId="2A69597E" w:rsidR="00AB596C" w:rsidRPr="00CF3E3D" w:rsidRDefault="00AB596C" w:rsidP="00AB596C">
            <w:pPr>
              <w:spacing w:before="85" w:line="288" w:lineRule="auto"/>
              <w:jc w:val="center"/>
              <w:rPr>
                <w:sz w:val="18"/>
                <w:szCs w:val="18"/>
              </w:rPr>
            </w:pPr>
            <w:r w:rsidRPr="00246A91">
              <w:rPr>
                <w:sz w:val="18"/>
                <w:szCs w:val="18"/>
              </w:rPr>
              <w:t>65</w:t>
            </w:r>
            <w:r>
              <w:rPr>
                <w:sz w:val="18"/>
                <w:szCs w:val="18"/>
              </w:rPr>
              <w:t>,</w:t>
            </w:r>
            <w:r w:rsidRPr="00246A91">
              <w:rPr>
                <w:sz w:val="18"/>
                <w:szCs w:val="18"/>
              </w:rPr>
              <w:t>200</w:t>
            </w:r>
          </w:p>
        </w:tc>
        <w:tc>
          <w:tcPr>
            <w:cnfStyle w:val="000010000000" w:firstRow="0" w:lastRow="0" w:firstColumn="0" w:lastColumn="0" w:oddVBand="1" w:evenVBand="0" w:oddHBand="0" w:evenHBand="0" w:firstRowFirstColumn="0" w:firstRowLastColumn="0" w:lastRowFirstColumn="0" w:lastRowLastColumn="0"/>
            <w:tcW w:w="454" w:type="pct"/>
          </w:tcPr>
          <w:p w14:paraId="3C2E46B4" w14:textId="269B0034" w:rsidR="00AB596C" w:rsidRPr="00CF3E3D" w:rsidRDefault="00AB596C" w:rsidP="00AB596C">
            <w:pPr>
              <w:spacing w:before="85" w:line="288" w:lineRule="auto"/>
              <w:jc w:val="center"/>
              <w:rPr>
                <w:sz w:val="18"/>
                <w:szCs w:val="18"/>
                <w:highlight w:val="yellow"/>
              </w:rPr>
            </w:pPr>
            <w:r w:rsidRPr="00246A91">
              <w:rPr>
                <w:sz w:val="18"/>
                <w:szCs w:val="18"/>
              </w:rPr>
              <w:t>69</w:t>
            </w:r>
            <w:r>
              <w:rPr>
                <w:sz w:val="18"/>
                <w:szCs w:val="18"/>
              </w:rPr>
              <w:t>,</w:t>
            </w:r>
            <w:r w:rsidRPr="00246A91">
              <w:rPr>
                <w:sz w:val="18"/>
                <w:szCs w:val="18"/>
              </w:rPr>
              <w:t>000</w:t>
            </w:r>
          </w:p>
        </w:tc>
      </w:tr>
    </w:tbl>
    <w:p w14:paraId="026CEDF1" w14:textId="77777777" w:rsidR="004E45CF" w:rsidRPr="00E44DBB" w:rsidRDefault="004E45CF" w:rsidP="00E44DBB">
      <w:pPr>
        <w:pStyle w:val="Heading3"/>
        <w:numPr>
          <w:ilvl w:val="0"/>
          <w:numId w:val="0"/>
        </w:numPr>
        <w:ind w:left="851" w:hanging="851"/>
        <w:rPr>
          <w:color w:val="auto"/>
        </w:rPr>
      </w:pPr>
      <w:bookmarkStart w:id="60" w:name="_Toc116035543"/>
      <w:bookmarkStart w:id="61" w:name="_Toc116039898"/>
      <w:bookmarkEnd w:id="58"/>
      <w:r w:rsidRPr="00E44DBB">
        <w:rPr>
          <w:color w:val="auto"/>
        </w:rPr>
        <w:t xml:space="preserve">2.6 </w:t>
      </w:r>
      <w:r w:rsidRPr="00E44DBB">
        <w:rPr>
          <w:color w:val="auto"/>
        </w:rPr>
        <w:tab/>
        <w:t>Study area</w:t>
      </w:r>
      <w:bookmarkEnd w:id="53"/>
      <w:bookmarkEnd w:id="60"/>
      <w:bookmarkEnd w:id="61"/>
    </w:p>
    <w:p w14:paraId="27F0ECE0" w14:textId="77777777" w:rsidR="004E45CF" w:rsidRPr="00CF3E3D" w:rsidRDefault="004E45CF" w:rsidP="004E45CF">
      <w:pPr>
        <w:pStyle w:val="Body"/>
      </w:pPr>
      <w:r w:rsidRPr="00CF3E3D">
        <w:t xml:space="preserve">As shown in </w:t>
      </w:r>
      <w:r w:rsidRPr="00CF3E3D">
        <w:fldChar w:fldCharType="begin"/>
      </w:r>
      <w:r w:rsidRPr="00CF3E3D">
        <w:instrText xml:space="preserve"> REF _Ref77866741 \h  \* MERGEFORMAT </w:instrText>
      </w:r>
      <w:r w:rsidRPr="00CF3E3D">
        <w:fldChar w:fldCharType="separate"/>
      </w:r>
      <w:r w:rsidRPr="00CF3E3D">
        <w:t xml:space="preserve">Table </w:t>
      </w:r>
      <w:r>
        <w:rPr>
          <w:noProof/>
        </w:rPr>
        <w:t>9</w:t>
      </w:r>
      <w:r w:rsidRPr="00CF3E3D">
        <w:fldChar w:fldCharType="end"/>
      </w:r>
      <w:r w:rsidRPr="00CF3E3D">
        <w:t xml:space="preserve">, undergraduate full-time employment ranged from a high of 96.5 per cent for Rehabilitation graduates, down to 57.3 per cent for Creative arts graduates. In 2022, an increase in undergraduate full-time employment was seen across all study areas. The largest increases were recorded in Humanities, culture and social sciences, up from 57.9 per cent in 2021 to 72.9 per cent in 2022, an increase of 15.0 percentage points, Agriculture and environmental studies up 13.8 percentage points, Architecture and built environment up 13.6 percentage points, Communications up 13.2 percentage points, Psychology up 11.8 percentage points, Business and management and Science and mathematics, up 11.4 percentage points respectively. </w:t>
      </w:r>
    </w:p>
    <w:p w14:paraId="60BC1B4D" w14:textId="46505961" w:rsidR="004E45CF" w:rsidRPr="00E44DBB" w:rsidRDefault="004E45CF" w:rsidP="004E45CF">
      <w:pPr>
        <w:pStyle w:val="Caption"/>
        <w:rPr>
          <w:color w:val="auto"/>
        </w:rPr>
      </w:pPr>
      <w:bookmarkStart w:id="62" w:name="_Ref77866741"/>
      <w:bookmarkStart w:id="63" w:name="_Toc22200703"/>
      <w:bookmarkStart w:id="64" w:name="_Toc116035803"/>
      <w:bookmarkStart w:id="65" w:name="_Toc116040358"/>
      <w:r w:rsidRPr="00E44DBB">
        <w:rPr>
          <w:color w:val="auto"/>
        </w:rPr>
        <w:t xml:space="preserve">Table </w:t>
      </w:r>
      <w:r w:rsidRPr="00E44DBB">
        <w:rPr>
          <w:color w:val="auto"/>
        </w:rPr>
        <w:fldChar w:fldCharType="begin"/>
      </w:r>
      <w:r w:rsidRPr="00E44DBB">
        <w:rPr>
          <w:color w:val="auto"/>
        </w:rPr>
        <w:instrText xml:space="preserve"> SEQ Table \* ARABIC </w:instrText>
      </w:r>
      <w:r w:rsidRPr="00E44DBB">
        <w:rPr>
          <w:color w:val="auto"/>
        </w:rPr>
        <w:fldChar w:fldCharType="separate"/>
      </w:r>
      <w:r w:rsidR="005606F7">
        <w:rPr>
          <w:noProof/>
          <w:color w:val="auto"/>
        </w:rPr>
        <w:t>9</w:t>
      </w:r>
      <w:r w:rsidRPr="00E44DBB">
        <w:rPr>
          <w:color w:val="auto"/>
        </w:rPr>
        <w:fldChar w:fldCharType="end"/>
      </w:r>
      <w:bookmarkEnd w:id="62"/>
      <w:r w:rsidRPr="00E44DBB">
        <w:rPr>
          <w:color w:val="auto"/>
        </w:rPr>
        <w:t xml:space="preserve"> Undergraduate employment outcomes by study area, 2021-2022</w:t>
      </w:r>
      <w:r w:rsidRPr="00E44DBB">
        <w:rPr>
          <w:rStyle w:val="FootnoteReference"/>
          <w:rFonts w:ascii="Arial" w:hAnsi="Arial"/>
          <w:color w:val="auto"/>
        </w:rPr>
        <w:footnoteReference w:id="4"/>
      </w:r>
      <w:r w:rsidRPr="00E44DBB">
        <w:rPr>
          <w:color w:val="auto"/>
        </w:rPr>
        <w:t xml:space="preserve"> (%)</w:t>
      </w:r>
      <w:bookmarkEnd w:id="63"/>
      <w:bookmarkEnd w:id="64"/>
      <w:bookmarkEnd w:id="65"/>
      <w:r w:rsidRPr="00E44DBB">
        <w:rPr>
          <w:color w:val="auto"/>
        </w:rPr>
        <w:t xml:space="preserve"> </w:t>
      </w:r>
    </w:p>
    <w:tbl>
      <w:tblPr>
        <w:tblStyle w:val="TableGrid"/>
        <w:tblW w:w="5125" w:type="pct"/>
        <w:tblLook w:val="0020" w:firstRow="1" w:lastRow="0" w:firstColumn="0" w:lastColumn="0" w:noHBand="0" w:noVBand="0"/>
        <w:tblCaption w:val="Table 5  Short- (2014) and medium-term (2017) outcomes for undergraduates by study area "/>
      </w:tblPr>
      <w:tblGrid>
        <w:gridCol w:w="1677"/>
        <w:gridCol w:w="1277"/>
        <w:gridCol w:w="1277"/>
        <w:gridCol w:w="1277"/>
        <w:gridCol w:w="1277"/>
        <w:gridCol w:w="1297"/>
        <w:gridCol w:w="1297"/>
      </w:tblGrid>
      <w:tr w:rsidR="004E45CF" w:rsidRPr="00CF3E3D" w14:paraId="32AE7B8E"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2B704638" w14:textId="0265AAB1" w:rsidR="004E45CF" w:rsidRPr="00CF3E3D" w:rsidRDefault="002626EB" w:rsidP="002626EB">
            <w:pPr>
              <w:jc w:val="left"/>
              <w:rPr>
                <w:b w:val="0"/>
                <w:sz w:val="18"/>
                <w:szCs w:val="18"/>
              </w:rPr>
            </w:pPr>
            <w:bookmarkStart w:id="66" w:name="Title9"/>
            <w:bookmarkEnd w:id="66"/>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0D42A5BE" w14:textId="77777777" w:rsidR="004E45CF" w:rsidRPr="00E44DBB" w:rsidRDefault="004E45CF" w:rsidP="002626EB">
            <w:pPr>
              <w:pStyle w:val="TablecolumnheadCENTRETABLES"/>
              <w:rPr>
                <w:rFonts w:ascii="Arial" w:hAnsi="Arial" w:cs="Arial"/>
                <w:b/>
                <w:color w:val="FFFFFF" w:themeColor="background1"/>
                <w:sz w:val="18"/>
                <w:szCs w:val="18"/>
              </w:rPr>
            </w:pPr>
            <w:r w:rsidRPr="00E44DBB">
              <w:rPr>
                <w:rFonts w:ascii="Arial" w:hAnsi="Arial" w:cs="Arial"/>
                <w:b/>
                <w:caps w:val="0"/>
                <w:color w:val="FFFFFF" w:themeColor="background1"/>
                <w:sz w:val="18"/>
                <w:szCs w:val="18"/>
              </w:rPr>
              <w:t>Full-time employment</w:t>
            </w:r>
            <w:r w:rsidRPr="00E44DBB">
              <w:rPr>
                <w:rFonts w:ascii="Arial" w:hAnsi="Arial" w:cs="Arial"/>
                <w:b/>
                <w:color w:val="FFFFFF" w:themeColor="background1"/>
                <w:sz w:val="18"/>
                <w:szCs w:val="18"/>
              </w:rPr>
              <w:t xml:space="preserve"> 2021</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50DD23DE" w14:textId="77777777" w:rsidR="004E45CF" w:rsidRPr="00E44DBB" w:rsidRDefault="004E45CF" w:rsidP="002626EB">
            <w:pPr>
              <w:pStyle w:val="TablecolumnheadCENTRETABLES"/>
              <w:rPr>
                <w:rFonts w:ascii="Arial" w:hAnsi="Arial" w:cs="Arial"/>
                <w:b/>
                <w:color w:val="FFFFFF" w:themeColor="background1"/>
                <w:sz w:val="18"/>
                <w:szCs w:val="18"/>
              </w:rPr>
            </w:pPr>
            <w:r w:rsidRPr="00E44DBB">
              <w:rPr>
                <w:rFonts w:ascii="Arial" w:hAnsi="Arial" w:cs="Arial"/>
                <w:b/>
                <w:caps w:val="0"/>
                <w:color w:val="FFFFFF" w:themeColor="background1"/>
                <w:sz w:val="18"/>
                <w:szCs w:val="18"/>
              </w:rPr>
              <w:t>Full-time employment</w:t>
            </w:r>
            <w:r w:rsidRPr="00E44DBB">
              <w:rPr>
                <w:rFonts w:ascii="Arial" w:hAnsi="Arial" w:cs="Arial"/>
                <w:b/>
                <w:color w:val="FFFFFF" w:themeColor="background1"/>
                <w:sz w:val="18"/>
                <w:szCs w:val="18"/>
              </w:rPr>
              <w:t xml:space="preserve"> 2022</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EB5DE2E" w14:textId="77777777" w:rsidR="004E45CF" w:rsidRPr="00E44DBB" w:rsidRDefault="004E45CF" w:rsidP="002626EB">
            <w:pPr>
              <w:pStyle w:val="TablecolumnheadCENTRETABLES"/>
              <w:rPr>
                <w:rFonts w:ascii="Arial" w:hAnsi="Arial" w:cs="Arial"/>
                <w:b/>
                <w:color w:val="FFFFFF" w:themeColor="background1"/>
                <w:sz w:val="18"/>
                <w:szCs w:val="18"/>
              </w:rPr>
            </w:pPr>
            <w:r w:rsidRPr="00E44DBB">
              <w:rPr>
                <w:rFonts w:ascii="Arial" w:hAnsi="Arial" w:cs="Arial"/>
                <w:b/>
                <w:caps w:val="0"/>
                <w:color w:val="FFFFFF" w:themeColor="background1"/>
                <w:sz w:val="18"/>
                <w:szCs w:val="18"/>
              </w:rPr>
              <w:t>Overall employment</w:t>
            </w:r>
            <w:r w:rsidRPr="00E44DBB">
              <w:rPr>
                <w:rFonts w:ascii="Arial" w:hAnsi="Arial" w:cs="Arial"/>
                <w:b/>
                <w:color w:val="FFFFFF" w:themeColor="background1"/>
                <w:sz w:val="18"/>
                <w:szCs w:val="18"/>
              </w:rPr>
              <w:t xml:space="preserve"> 2021</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32195F15" w14:textId="77777777" w:rsidR="004E45CF" w:rsidRPr="00E44DBB" w:rsidRDefault="004E45CF" w:rsidP="002626EB">
            <w:pPr>
              <w:pStyle w:val="TablecolumnheadCENTRETABLES"/>
              <w:rPr>
                <w:rFonts w:ascii="Arial" w:hAnsi="Arial" w:cs="Arial"/>
                <w:b/>
                <w:color w:val="FFFFFF" w:themeColor="background1"/>
                <w:sz w:val="18"/>
                <w:szCs w:val="18"/>
              </w:rPr>
            </w:pPr>
            <w:r w:rsidRPr="00E44DBB">
              <w:rPr>
                <w:rFonts w:ascii="Arial" w:hAnsi="Arial" w:cs="Arial"/>
                <w:b/>
                <w:caps w:val="0"/>
                <w:color w:val="FFFFFF" w:themeColor="background1"/>
                <w:sz w:val="18"/>
                <w:szCs w:val="18"/>
              </w:rPr>
              <w:t>Overall employment</w:t>
            </w:r>
            <w:r w:rsidRPr="00E44DBB">
              <w:rPr>
                <w:rFonts w:ascii="Arial" w:hAnsi="Arial" w:cs="Arial"/>
                <w:b/>
                <w:color w:val="FFFFFF" w:themeColor="background1"/>
                <w:sz w:val="18"/>
                <w:szCs w:val="18"/>
              </w:rPr>
              <w:t xml:space="preserve"> 2022</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2617057" w14:textId="77777777" w:rsidR="004E45CF" w:rsidRPr="00E44DBB" w:rsidRDefault="004E45CF" w:rsidP="002626EB">
            <w:pPr>
              <w:pStyle w:val="TablecolumnheadCENTRETABLES"/>
              <w:rPr>
                <w:rFonts w:ascii="Arial" w:hAnsi="Arial" w:cs="Arial"/>
                <w:b/>
                <w:color w:val="FFFFFF" w:themeColor="background1"/>
                <w:sz w:val="18"/>
                <w:szCs w:val="18"/>
              </w:rPr>
            </w:pPr>
            <w:r w:rsidRPr="00E44DBB">
              <w:rPr>
                <w:rFonts w:ascii="Arial" w:hAnsi="Arial" w:cs="Arial"/>
                <w:b/>
                <w:caps w:val="0"/>
                <w:color w:val="FFFFFF" w:themeColor="background1"/>
                <w:sz w:val="18"/>
                <w:szCs w:val="18"/>
              </w:rPr>
              <w:t xml:space="preserve">Labour force participation rate </w:t>
            </w:r>
            <w:r w:rsidRPr="00E44DBB">
              <w:rPr>
                <w:rFonts w:ascii="Arial" w:hAnsi="Arial" w:cs="Arial"/>
                <w:b/>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3F1F6690" w14:textId="77777777" w:rsidR="004E45CF" w:rsidRPr="00E44DBB" w:rsidRDefault="004E45CF" w:rsidP="002626EB">
            <w:pPr>
              <w:pStyle w:val="TablecolumnheadCENTRETABLES"/>
              <w:rPr>
                <w:rFonts w:ascii="Arial" w:hAnsi="Arial" w:cs="Arial"/>
                <w:b/>
                <w:color w:val="FFFFFF" w:themeColor="background1"/>
                <w:sz w:val="18"/>
                <w:szCs w:val="18"/>
              </w:rPr>
            </w:pPr>
            <w:r w:rsidRPr="00E44DBB">
              <w:rPr>
                <w:rFonts w:ascii="Arial" w:hAnsi="Arial" w:cs="Arial"/>
                <w:b/>
                <w:caps w:val="0"/>
                <w:color w:val="FFFFFF" w:themeColor="background1"/>
                <w:sz w:val="18"/>
                <w:szCs w:val="18"/>
              </w:rPr>
              <w:t xml:space="preserve">Labour force participation rate </w:t>
            </w:r>
            <w:r w:rsidRPr="00E44DBB">
              <w:rPr>
                <w:rFonts w:ascii="Arial" w:hAnsi="Arial" w:cs="Arial"/>
                <w:b/>
                <w:color w:val="FFFFFF" w:themeColor="background1"/>
                <w:sz w:val="18"/>
                <w:szCs w:val="18"/>
              </w:rPr>
              <w:t>2022</w:t>
            </w:r>
          </w:p>
        </w:tc>
      </w:tr>
      <w:tr w:rsidR="004E45CF" w:rsidRPr="00CF3E3D" w14:paraId="6E95D57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6AC6B6DF" w14:textId="77777777" w:rsidR="004E45CF" w:rsidRPr="00CD22B6" w:rsidRDefault="004E45CF" w:rsidP="00E44DBB">
            <w:pPr>
              <w:spacing w:before="85" w:line="288" w:lineRule="auto"/>
              <w:jc w:val="left"/>
              <w:rPr>
                <w:b/>
                <w:bCs/>
                <w:sz w:val="18"/>
                <w:szCs w:val="18"/>
              </w:rPr>
            </w:pPr>
            <w:r w:rsidRPr="00CD22B6">
              <w:rPr>
                <w:b/>
                <w:bCs/>
                <w:sz w:val="18"/>
                <w:szCs w:val="18"/>
              </w:rPr>
              <w:t>Science and mathematics</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462835E" w14:textId="77777777" w:rsidR="004E45CF" w:rsidRPr="00CF3E3D" w:rsidRDefault="004E45CF" w:rsidP="00E44DBB">
            <w:pPr>
              <w:spacing w:before="85" w:line="288" w:lineRule="auto"/>
              <w:jc w:val="center"/>
              <w:rPr>
                <w:sz w:val="18"/>
                <w:szCs w:val="18"/>
              </w:rPr>
            </w:pPr>
            <w:r w:rsidRPr="00CF3E3D">
              <w:rPr>
                <w:sz w:val="18"/>
                <w:szCs w:val="18"/>
              </w:rPr>
              <w:t>61.1</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32569ED1" w14:textId="77777777" w:rsidR="004E45CF" w:rsidRPr="00CF3E3D" w:rsidRDefault="004E45CF" w:rsidP="00E44DBB">
            <w:pPr>
              <w:spacing w:before="85" w:line="288" w:lineRule="auto"/>
              <w:jc w:val="center"/>
              <w:rPr>
                <w:sz w:val="18"/>
                <w:szCs w:val="18"/>
              </w:rPr>
            </w:pPr>
            <w:r w:rsidRPr="00CF3E3D">
              <w:rPr>
                <w:sz w:val="18"/>
                <w:szCs w:val="18"/>
              </w:rPr>
              <w:t>72.5</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0178075" w14:textId="77777777" w:rsidR="004E45CF" w:rsidRPr="00CF3E3D" w:rsidRDefault="004E45CF" w:rsidP="00E44DBB">
            <w:pPr>
              <w:spacing w:before="85" w:line="288" w:lineRule="auto"/>
              <w:jc w:val="center"/>
              <w:rPr>
                <w:sz w:val="18"/>
                <w:szCs w:val="18"/>
              </w:rPr>
            </w:pPr>
            <w:r w:rsidRPr="00CF3E3D">
              <w:rPr>
                <w:sz w:val="18"/>
                <w:szCs w:val="18"/>
              </w:rPr>
              <w:t>81.5</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60A7DBBF" w14:textId="77777777" w:rsidR="004E45CF" w:rsidRPr="00CF3E3D" w:rsidRDefault="004E45CF" w:rsidP="00E44DBB">
            <w:pPr>
              <w:spacing w:before="85" w:line="288" w:lineRule="auto"/>
              <w:jc w:val="center"/>
              <w:rPr>
                <w:sz w:val="18"/>
                <w:szCs w:val="18"/>
              </w:rPr>
            </w:pPr>
            <w:r w:rsidRPr="00CF3E3D">
              <w:rPr>
                <w:sz w:val="18"/>
                <w:szCs w:val="18"/>
              </w:rPr>
              <w:t>86.1</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2A62706" w14:textId="77777777" w:rsidR="004E45CF" w:rsidRPr="00CF3E3D" w:rsidRDefault="004E45CF" w:rsidP="00E44DBB">
            <w:pPr>
              <w:spacing w:before="85" w:line="288" w:lineRule="auto"/>
              <w:jc w:val="center"/>
              <w:rPr>
                <w:sz w:val="18"/>
                <w:szCs w:val="18"/>
              </w:rPr>
            </w:pPr>
            <w:r w:rsidRPr="00CF3E3D">
              <w:rPr>
                <w:sz w:val="18"/>
                <w:szCs w:val="18"/>
              </w:rPr>
              <w:t>84.8</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5B33D596" w14:textId="77777777" w:rsidR="004E45CF" w:rsidRPr="00CF3E3D" w:rsidRDefault="004E45CF" w:rsidP="00E44DBB">
            <w:pPr>
              <w:spacing w:before="85" w:line="288" w:lineRule="auto"/>
              <w:jc w:val="center"/>
              <w:rPr>
                <w:sz w:val="18"/>
                <w:szCs w:val="18"/>
              </w:rPr>
            </w:pPr>
            <w:r w:rsidRPr="00CF3E3D">
              <w:rPr>
                <w:sz w:val="18"/>
                <w:szCs w:val="18"/>
              </w:rPr>
              <w:t>87.5</w:t>
            </w:r>
          </w:p>
        </w:tc>
      </w:tr>
      <w:tr w:rsidR="004E45CF" w:rsidRPr="00CF3E3D" w14:paraId="6E54C72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052B7813" w14:textId="77777777" w:rsidR="004E45CF" w:rsidRPr="00CD22B6" w:rsidRDefault="004E45CF" w:rsidP="00E44DBB">
            <w:pPr>
              <w:spacing w:before="85" w:line="288" w:lineRule="auto"/>
              <w:jc w:val="left"/>
              <w:rPr>
                <w:b/>
                <w:bCs/>
                <w:sz w:val="18"/>
                <w:szCs w:val="18"/>
              </w:rPr>
            </w:pPr>
            <w:r w:rsidRPr="00CD22B6">
              <w:rPr>
                <w:b/>
                <w:bCs/>
                <w:sz w:val="18"/>
                <w:szCs w:val="18"/>
              </w:rPr>
              <w:t>Computing and information systems</w:t>
            </w:r>
          </w:p>
        </w:tc>
        <w:tc>
          <w:tcPr>
            <w:cnfStyle w:val="000001000000" w:firstRow="0" w:lastRow="0" w:firstColumn="0" w:lastColumn="0" w:oddVBand="0" w:evenVBand="1" w:oddHBand="0" w:evenHBand="0" w:firstRowFirstColumn="0" w:firstRowLastColumn="0" w:lastRowFirstColumn="0" w:lastRowLastColumn="0"/>
            <w:tcW w:w="580" w:type="pct"/>
          </w:tcPr>
          <w:p w14:paraId="6FAA20C7" w14:textId="77777777" w:rsidR="004E45CF" w:rsidRPr="00CF3E3D" w:rsidRDefault="004E45CF" w:rsidP="00E44DBB">
            <w:pPr>
              <w:spacing w:before="85" w:line="288" w:lineRule="auto"/>
              <w:jc w:val="center"/>
              <w:rPr>
                <w:sz w:val="18"/>
                <w:szCs w:val="18"/>
              </w:rPr>
            </w:pPr>
            <w:r w:rsidRPr="00CF3E3D">
              <w:rPr>
                <w:sz w:val="18"/>
                <w:szCs w:val="18"/>
              </w:rPr>
              <w:t>67.9</w:t>
            </w:r>
          </w:p>
        </w:tc>
        <w:tc>
          <w:tcPr>
            <w:cnfStyle w:val="000010000000" w:firstRow="0" w:lastRow="0" w:firstColumn="0" w:lastColumn="0" w:oddVBand="1" w:evenVBand="0" w:oddHBand="0" w:evenHBand="0" w:firstRowFirstColumn="0" w:firstRowLastColumn="0" w:lastRowFirstColumn="0" w:lastRowLastColumn="0"/>
            <w:tcW w:w="580" w:type="pct"/>
          </w:tcPr>
          <w:p w14:paraId="6CB8751E" w14:textId="77777777" w:rsidR="004E45CF" w:rsidRPr="00CF3E3D" w:rsidRDefault="004E45CF" w:rsidP="00E44DBB">
            <w:pPr>
              <w:spacing w:before="85" w:line="288" w:lineRule="auto"/>
              <w:jc w:val="center"/>
              <w:rPr>
                <w:sz w:val="18"/>
                <w:szCs w:val="18"/>
              </w:rPr>
            </w:pPr>
            <w:r w:rsidRPr="00CF3E3D">
              <w:rPr>
                <w:sz w:val="18"/>
                <w:szCs w:val="18"/>
              </w:rPr>
              <w:t>76.6</w:t>
            </w:r>
          </w:p>
        </w:tc>
        <w:tc>
          <w:tcPr>
            <w:cnfStyle w:val="000001000000" w:firstRow="0" w:lastRow="0" w:firstColumn="0" w:lastColumn="0" w:oddVBand="0" w:evenVBand="1" w:oddHBand="0" w:evenHBand="0" w:firstRowFirstColumn="0" w:firstRowLastColumn="0" w:lastRowFirstColumn="0" w:lastRowLastColumn="0"/>
            <w:tcW w:w="580" w:type="pct"/>
          </w:tcPr>
          <w:p w14:paraId="7B71DF6E" w14:textId="77777777" w:rsidR="004E45CF" w:rsidRPr="00CF3E3D" w:rsidRDefault="004E45CF" w:rsidP="00E44DBB">
            <w:pPr>
              <w:spacing w:before="85" w:line="288" w:lineRule="auto"/>
              <w:jc w:val="center"/>
              <w:rPr>
                <w:sz w:val="18"/>
                <w:szCs w:val="18"/>
              </w:rPr>
            </w:pPr>
            <w:r w:rsidRPr="00CF3E3D">
              <w:rPr>
                <w:sz w:val="18"/>
                <w:szCs w:val="18"/>
              </w:rPr>
              <w:t>77.5</w:t>
            </w:r>
          </w:p>
        </w:tc>
        <w:tc>
          <w:tcPr>
            <w:cnfStyle w:val="000010000000" w:firstRow="0" w:lastRow="0" w:firstColumn="0" w:lastColumn="0" w:oddVBand="1" w:evenVBand="0" w:oddHBand="0" w:evenHBand="0" w:firstRowFirstColumn="0" w:firstRowLastColumn="0" w:lastRowFirstColumn="0" w:lastRowLastColumn="0"/>
            <w:tcW w:w="580" w:type="pct"/>
          </w:tcPr>
          <w:p w14:paraId="5A956F94" w14:textId="77777777" w:rsidR="004E45CF" w:rsidRPr="00CF3E3D" w:rsidRDefault="004E45CF" w:rsidP="00E44DBB">
            <w:pPr>
              <w:spacing w:before="85" w:line="288" w:lineRule="auto"/>
              <w:jc w:val="center"/>
              <w:rPr>
                <w:sz w:val="18"/>
                <w:szCs w:val="18"/>
              </w:rPr>
            </w:pPr>
            <w:r w:rsidRPr="00CF3E3D">
              <w:rPr>
                <w:sz w:val="18"/>
                <w:szCs w:val="18"/>
              </w:rPr>
              <w:t>83.1</w:t>
            </w:r>
          </w:p>
        </w:tc>
        <w:tc>
          <w:tcPr>
            <w:cnfStyle w:val="000001000000" w:firstRow="0" w:lastRow="0" w:firstColumn="0" w:lastColumn="0" w:oddVBand="0" w:evenVBand="1" w:oddHBand="0" w:evenHBand="0" w:firstRowFirstColumn="0" w:firstRowLastColumn="0" w:lastRowFirstColumn="0" w:lastRowLastColumn="0"/>
            <w:tcW w:w="580" w:type="pct"/>
          </w:tcPr>
          <w:p w14:paraId="31E65AE8" w14:textId="77777777" w:rsidR="004E45CF" w:rsidRPr="00CF3E3D" w:rsidRDefault="004E45CF" w:rsidP="00E44DBB">
            <w:pPr>
              <w:spacing w:before="85" w:line="288" w:lineRule="auto"/>
              <w:jc w:val="center"/>
              <w:rPr>
                <w:sz w:val="18"/>
                <w:szCs w:val="18"/>
              </w:rPr>
            </w:pPr>
            <w:r w:rsidRPr="00CF3E3D">
              <w:rPr>
                <w:sz w:val="18"/>
                <w:szCs w:val="18"/>
              </w:rPr>
              <w:t>94.5</w:t>
            </w:r>
          </w:p>
        </w:tc>
        <w:tc>
          <w:tcPr>
            <w:cnfStyle w:val="000010000000" w:firstRow="0" w:lastRow="0" w:firstColumn="0" w:lastColumn="0" w:oddVBand="1" w:evenVBand="0" w:oddHBand="0" w:evenHBand="0" w:firstRowFirstColumn="0" w:firstRowLastColumn="0" w:lastRowFirstColumn="0" w:lastRowLastColumn="0"/>
            <w:tcW w:w="579" w:type="pct"/>
          </w:tcPr>
          <w:p w14:paraId="6D3A3D76" w14:textId="77777777" w:rsidR="004E45CF" w:rsidRPr="00CF3E3D" w:rsidRDefault="004E45CF" w:rsidP="00E44DBB">
            <w:pPr>
              <w:spacing w:before="85" w:line="288" w:lineRule="auto"/>
              <w:jc w:val="center"/>
              <w:rPr>
                <w:sz w:val="18"/>
                <w:szCs w:val="18"/>
              </w:rPr>
            </w:pPr>
            <w:r w:rsidRPr="00CF3E3D">
              <w:rPr>
                <w:sz w:val="18"/>
                <w:szCs w:val="18"/>
              </w:rPr>
              <w:t>94.2</w:t>
            </w:r>
          </w:p>
        </w:tc>
      </w:tr>
      <w:tr w:rsidR="004E45CF" w:rsidRPr="00CF3E3D" w14:paraId="7819668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45685983" w14:textId="77777777" w:rsidR="004E45CF" w:rsidRPr="00CD22B6" w:rsidRDefault="004E45CF" w:rsidP="00E44DBB">
            <w:pPr>
              <w:spacing w:before="85" w:line="288" w:lineRule="auto"/>
              <w:jc w:val="left"/>
              <w:rPr>
                <w:b/>
                <w:bCs/>
                <w:sz w:val="18"/>
                <w:szCs w:val="18"/>
              </w:rPr>
            </w:pPr>
            <w:r w:rsidRPr="00CD22B6">
              <w:rPr>
                <w:b/>
                <w:bCs/>
                <w:sz w:val="18"/>
                <w:szCs w:val="18"/>
              </w:rPr>
              <w:t>Engineering</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F3EE1A9" w14:textId="77777777" w:rsidR="004E45CF" w:rsidRPr="00CF3E3D" w:rsidRDefault="004E45CF" w:rsidP="00E44DBB">
            <w:pPr>
              <w:spacing w:before="85" w:line="288" w:lineRule="auto"/>
              <w:jc w:val="center"/>
              <w:rPr>
                <w:sz w:val="18"/>
                <w:szCs w:val="18"/>
              </w:rPr>
            </w:pPr>
            <w:r w:rsidRPr="00CF3E3D">
              <w:rPr>
                <w:sz w:val="18"/>
                <w:szCs w:val="18"/>
              </w:rPr>
              <w:t>80.3</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3A63FFE3" w14:textId="77777777" w:rsidR="004E45CF" w:rsidRPr="00CF3E3D" w:rsidRDefault="004E45CF" w:rsidP="00E44DBB">
            <w:pPr>
              <w:spacing w:before="85" w:line="288" w:lineRule="auto"/>
              <w:jc w:val="center"/>
              <w:rPr>
                <w:sz w:val="18"/>
                <w:szCs w:val="18"/>
              </w:rPr>
            </w:pPr>
            <w:r w:rsidRPr="00CF3E3D">
              <w:rPr>
                <w:sz w:val="18"/>
                <w:szCs w:val="18"/>
              </w:rPr>
              <w:t>87.5</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95C8C18" w14:textId="77777777" w:rsidR="004E45CF" w:rsidRPr="00CF3E3D" w:rsidRDefault="004E45CF" w:rsidP="00E44DBB">
            <w:pPr>
              <w:spacing w:before="85" w:line="288" w:lineRule="auto"/>
              <w:jc w:val="center"/>
              <w:rPr>
                <w:sz w:val="18"/>
                <w:szCs w:val="18"/>
              </w:rPr>
            </w:pPr>
            <w:r w:rsidRPr="00CF3E3D">
              <w:rPr>
                <w:sz w:val="18"/>
                <w:szCs w:val="18"/>
              </w:rPr>
              <w:t>86.6</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5E774C62" w14:textId="77777777" w:rsidR="004E45CF" w:rsidRPr="00CF3E3D" w:rsidRDefault="004E45CF" w:rsidP="00E44DBB">
            <w:pPr>
              <w:spacing w:before="85" w:line="288" w:lineRule="auto"/>
              <w:jc w:val="center"/>
              <w:rPr>
                <w:sz w:val="18"/>
                <w:szCs w:val="18"/>
              </w:rPr>
            </w:pPr>
            <w:r w:rsidRPr="00CF3E3D">
              <w:rPr>
                <w:sz w:val="18"/>
                <w:szCs w:val="18"/>
              </w:rPr>
              <w:t>90.8</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1BA3960" w14:textId="77777777" w:rsidR="004E45CF" w:rsidRPr="00CF3E3D" w:rsidRDefault="004E45CF" w:rsidP="00E44DBB">
            <w:pPr>
              <w:spacing w:before="85" w:line="288" w:lineRule="auto"/>
              <w:jc w:val="center"/>
              <w:rPr>
                <w:sz w:val="18"/>
                <w:szCs w:val="18"/>
              </w:rPr>
            </w:pPr>
            <w:r w:rsidRPr="00CF3E3D">
              <w:rPr>
                <w:sz w:val="18"/>
                <w:szCs w:val="18"/>
              </w:rPr>
              <w:t>95.0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0037CF53" w14:textId="77777777" w:rsidR="004E45CF" w:rsidRPr="00CF3E3D" w:rsidRDefault="004E45CF" w:rsidP="00E44DBB">
            <w:pPr>
              <w:spacing w:before="85" w:line="288" w:lineRule="auto"/>
              <w:jc w:val="center"/>
              <w:rPr>
                <w:sz w:val="18"/>
                <w:szCs w:val="18"/>
              </w:rPr>
            </w:pPr>
            <w:r w:rsidRPr="00CF3E3D">
              <w:rPr>
                <w:sz w:val="18"/>
                <w:szCs w:val="18"/>
              </w:rPr>
              <w:t>95.5</w:t>
            </w:r>
          </w:p>
        </w:tc>
      </w:tr>
      <w:tr w:rsidR="004E45CF" w:rsidRPr="00CF3E3D" w14:paraId="6D4B114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017E94C0" w14:textId="77777777" w:rsidR="004E45CF" w:rsidRPr="00CD22B6" w:rsidRDefault="004E45CF" w:rsidP="00E44DBB">
            <w:pPr>
              <w:spacing w:before="85" w:line="288" w:lineRule="auto"/>
              <w:jc w:val="left"/>
              <w:rPr>
                <w:b/>
                <w:bCs/>
                <w:sz w:val="18"/>
                <w:szCs w:val="18"/>
              </w:rPr>
            </w:pPr>
            <w:r w:rsidRPr="00CD22B6">
              <w:rPr>
                <w:b/>
                <w:bCs/>
                <w:sz w:val="18"/>
                <w:szCs w:val="18"/>
              </w:rPr>
              <w:lastRenderedPageBreak/>
              <w:t>Architecture and built environment</w:t>
            </w:r>
          </w:p>
        </w:tc>
        <w:tc>
          <w:tcPr>
            <w:cnfStyle w:val="000001000000" w:firstRow="0" w:lastRow="0" w:firstColumn="0" w:lastColumn="0" w:oddVBand="0" w:evenVBand="1" w:oddHBand="0" w:evenHBand="0" w:firstRowFirstColumn="0" w:firstRowLastColumn="0" w:lastRowFirstColumn="0" w:lastRowLastColumn="0"/>
            <w:tcW w:w="580" w:type="pct"/>
          </w:tcPr>
          <w:p w14:paraId="701D2D7D" w14:textId="77777777" w:rsidR="004E45CF" w:rsidRPr="00CF3E3D" w:rsidRDefault="004E45CF" w:rsidP="00E44DBB">
            <w:pPr>
              <w:spacing w:before="85" w:line="288" w:lineRule="auto"/>
              <w:jc w:val="center"/>
              <w:rPr>
                <w:sz w:val="18"/>
                <w:szCs w:val="18"/>
              </w:rPr>
            </w:pPr>
            <w:r w:rsidRPr="00CF3E3D">
              <w:rPr>
                <w:sz w:val="18"/>
                <w:szCs w:val="18"/>
              </w:rPr>
              <w:t>65.2</w:t>
            </w:r>
          </w:p>
        </w:tc>
        <w:tc>
          <w:tcPr>
            <w:cnfStyle w:val="000010000000" w:firstRow="0" w:lastRow="0" w:firstColumn="0" w:lastColumn="0" w:oddVBand="1" w:evenVBand="0" w:oddHBand="0" w:evenHBand="0" w:firstRowFirstColumn="0" w:firstRowLastColumn="0" w:lastRowFirstColumn="0" w:lastRowLastColumn="0"/>
            <w:tcW w:w="580" w:type="pct"/>
          </w:tcPr>
          <w:p w14:paraId="2A6706E7" w14:textId="77777777" w:rsidR="004E45CF" w:rsidRPr="00CF3E3D" w:rsidRDefault="004E45CF" w:rsidP="00E44DBB">
            <w:pPr>
              <w:spacing w:before="85" w:line="288" w:lineRule="auto"/>
              <w:jc w:val="center"/>
              <w:rPr>
                <w:sz w:val="18"/>
                <w:szCs w:val="18"/>
              </w:rPr>
            </w:pPr>
            <w:r w:rsidRPr="00CF3E3D">
              <w:rPr>
                <w:sz w:val="18"/>
                <w:szCs w:val="18"/>
              </w:rPr>
              <w:t>78.8</w:t>
            </w:r>
          </w:p>
        </w:tc>
        <w:tc>
          <w:tcPr>
            <w:cnfStyle w:val="000001000000" w:firstRow="0" w:lastRow="0" w:firstColumn="0" w:lastColumn="0" w:oddVBand="0" w:evenVBand="1" w:oddHBand="0" w:evenHBand="0" w:firstRowFirstColumn="0" w:firstRowLastColumn="0" w:lastRowFirstColumn="0" w:lastRowLastColumn="0"/>
            <w:tcW w:w="580" w:type="pct"/>
          </w:tcPr>
          <w:p w14:paraId="4D809FE9" w14:textId="77777777" w:rsidR="004E45CF" w:rsidRPr="00CF3E3D" w:rsidRDefault="004E45CF" w:rsidP="00E44DBB">
            <w:pPr>
              <w:spacing w:before="85" w:line="288" w:lineRule="auto"/>
              <w:jc w:val="center"/>
              <w:rPr>
                <w:sz w:val="18"/>
                <w:szCs w:val="18"/>
              </w:rPr>
            </w:pPr>
            <w:r w:rsidRPr="00CF3E3D">
              <w:rPr>
                <w:sz w:val="18"/>
                <w:szCs w:val="18"/>
              </w:rPr>
              <w:t>82.4</w:t>
            </w:r>
          </w:p>
        </w:tc>
        <w:tc>
          <w:tcPr>
            <w:cnfStyle w:val="000010000000" w:firstRow="0" w:lastRow="0" w:firstColumn="0" w:lastColumn="0" w:oddVBand="1" w:evenVBand="0" w:oddHBand="0" w:evenHBand="0" w:firstRowFirstColumn="0" w:firstRowLastColumn="0" w:lastRowFirstColumn="0" w:lastRowLastColumn="0"/>
            <w:tcW w:w="580" w:type="pct"/>
          </w:tcPr>
          <w:p w14:paraId="5A839F3C" w14:textId="77777777" w:rsidR="004E45CF" w:rsidRPr="00CF3E3D" w:rsidRDefault="004E45CF" w:rsidP="00E44DBB">
            <w:pPr>
              <w:spacing w:before="85" w:line="288" w:lineRule="auto"/>
              <w:jc w:val="center"/>
              <w:rPr>
                <w:sz w:val="18"/>
                <w:szCs w:val="18"/>
              </w:rPr>
            </w:pPr>
            <w:r w:rsidRPr="00CF3E3D">
              <w:rPr>
                <w:sz w:val="18"/>
                <w:szCs w:val="18"/>
              </w:rPr>
              <w:t>87.6</w:t>
            </w:r>
          </w:p>
        </w:tc>
        <w:tc>
          <w:tcPr>
            <w:cnfStyle w:val="000001000000" w:firstRow="0" w:lastRow="0" w:firstColumn="0" w:lastColumn="0" w:oddVBand="0" w:evenVBand="1" w:oddHBand="0" w:evenHBand="0" w:firstRowFirstColumn="0" w:firstRowLastColumn="0" w:lastRowFirstColumn="0" w:lastRowLastColumn="0"/>
            <w:tcW w:w="580" w:type="pct"/>
          </w:tcPr>
          <w:p w14:paraId="0680A8BA" w14:textId="77777777" w:rsidR="004E45CF" w:rsidRPr="00CF3E3D" w:rsidRDefault="004E45CF" w:rsidP="00E44DBB">
            <w:pPr>
              <w:spacing w:before="85" w:line="288" w:lineRule="auto"/>
              <w:jc w:val="center"/>
              <w:rPr>
                <w:sz w:val="18"/>
                <w:szCs w:val="18"/>
              </w:rPr>
            </w:pPr>
            <w:r w:rsidRPr="00CF3E3D">
              <w:rPr>
                <w:sz w:val="18"/>
                <w:szCs w:val="18"/>
              </w:rPr>
              <w:t>95.0</w:t>
            </w:r>
          </w:p>
        </w:tc>
        <w:tc>
          <w:tcPr>
            <w:cnfStyle w:val="000010000000" w:firstRow="0" w:lastRow="0" w:firstColumn="0" w:lastColumn="0" w:oddVBand="1" w:evenVBand="0" w:oddHBand="0" w:evenHBand="0" w:firstRowFirstColumn="0" w:firstRowLastColumn="0" w:lastRowFirstColumn="0" w:lastRowLastColumn="0"/>
            <w:tcW w:w="579" w:type="pct"/>
          </w:tcPr>
          <w:p w14:paraId="10D59894" w14:textId="77777777" w:rsidR="004E45CF" w:rsidRPr="00CF3E3D" w:rsidRDefault="004E45CF" w:rsidP="00E44DBB">
            <w:pPr>
              <w:spacing w:before="85" w:line="288" w:lineRule="auto"/>
              <w:jc w:val="center"/>
              <w:rPr>
                <w:sz w:val="18"/>
                <w:szCs w:val="18"/>
              </w:rPr>
            </w:pPr>
            <w:r w:rsidRPr="00CF3E3D">
              <w:rPr>
                <w:sz w:val="18"/>
                <w:szCs w:val="18"/>
              </w:rPr>
              <w:t>93.4</w:t>
            </w:r>
          </w:p>
        </w:tc>
      </w:tr>
      <w:tr w:rsidR="004E45CF" w:rsidRPr="00CF3E3D" w14:paraId="0BFC385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73E37EE7" w14:textId="77777777" w:rsidR="004E45CF" w:rsidRPr="00CD22B6" w:rsidRDefault="004E45CF" w:rsidP="00E44DBB">
            <w:pPr>
              <w:spacing w:before="85" w:line="288" w:lineRule="auto"/>
              <w:jc w:val="left"/>
              <w:rPr>
                <w:b/>
                <w:bCs/>
                <w:sz w:val="18"/>
                <w:szCs w:val="18"/>
              </w:rPr>
            </w:pPr>
            <w:r w:rsidRPr="00CD22B6">
              <w:rPr>
                <w:b/>
                <w:bCs/>
                <w:sz w:val="18"/>
                <w:szCs w:val="18"/>
              </w:rPr>
              <w:t>Agriculture and environmental studies</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79884C24" w14:textId="77777777" w:rsidR="004E45CF" w:rsidRPr="00CF3E3D" w:rsidRDefault="004E45CF" w:rsidP="00E44DBB">
            <w:pPr>
              <w:spacing w:before="85" w:line="288" w:lineRule="auto"/>
              <w:jc w:val="center"/>
              <w:rPr>
                <w:sz w:val="18"/>
                <w:szCs w:val="18"/>
              </w:rPr>
            </w:pPr>
            <w:r w:rsidRPr="00CF3E3D">
              <w:rPr>
                <w:sz w:val="18"/>
                <w:szCs w:val="18"/>
              </w:rPr>
              <w:t>69.5</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7CDDF464" w14:textId="77777777" w:rsidR="004E45CF" w:rsidRPr="00CF3E3D" w:rsidRDefault="004E45CF" w:rsidP="00E44DBB">
            <w:pPr>
              <w:spacing w:before="85" w:line="288" w:lineRule="auto"/>
              <w:jc w:val="center"/>
              <w:rPr>
                <w:sz w:val="18"/>
                <w:szCs w:val="18"/>
              </w:rPr>
            </w:pPr>
            <w:r w:rsidRPr="00CF3E3D">
              <w:rPr>
                <w:sz w:val="18"/>
                <w:szCs w:val="18"/>
              </w:rPr>
              <w:t>83.3</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9F58F25" w14:textId="77777777" w:rsidR="004E45CF" w:rsidRPr="00CF3E3D" w:rsidRDefault="004E45CF" w:rsidP="00E44DBB">
            <w:pPr>
              <w:spacing w:before="85" w:line="288" w:lineRule="auto"/>
              <w:jc w:val="center"/>
              <w:rPr>
                <w:sz w:val="18"/>
                <w:szCs w:val="18"/>
              </w:rPr>
            </w:pPr>
            <w:r w:rsidRPr="00CF3E3D">
              <w:rPr>
                <w:sz w:val="18"/>
                <w:szCs w:val="18"/>
              </w:rPr>
              <w:t>85.9</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0C817129" w14:textId="77777777" w:rsidR="004E45CF" w:rsidRPr="00CF3E3D" w:rsidRDefault="004E45CF" w:rsidP="00E44DBB">
            <w:pPr>
              <w:spacing w:before="85" w:line="288" w:lineRule="auto"/>
              <w:jc w:val="center"/>
              <w:rPr>
                <w:sz w:val="18"/>
                <w:szCs w:val="18"/>
              </w:rPr>
            </w:pPr>
            <w:r w:rsidRPr="00CF3E3D">
              <w:rPr>
                <w:sz w:val="18"/>
                <w:szCs w:val="18"/>
              </w:rPr>
              <w:t>90.8</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5CDEE8E4" w14:textId="77777777" w:rsidR="004E45CF" w:rsidRPr="00CF3E3D" w:rsidRDefault="004E45CF" w:rsidP="00E44DBB">
            <w:pPr>
              <w:spacing w:before="85" w:line="288" w:lineRule="auto"/>
              <w:jc w:val="center"/>
              <w:rPr>
                <w:sz w:val="18"/>
                <w:szCs w:val="18"/>
              </w:rPr>
            </w:pPr>
            <w:r w:rsidRPr="00CF3E3D">
              <w:rPr>
                <w:sz w:val="18"/>
                <w:szCs w:val="18"/>
              </w:rPr>
              <w:t>92.3</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6E99591A" w14:textId="77777777" w:rsidR="004E45CF" w:rsidRPr="00CF3E3D" w:rsidRDefault="004E45CF" w:rsidP="00E44DBB">
            <w:pPr>
              <w:spacing w:before="85" w:line="288" w:lineRule="auto"/>
              <w:jc w:val="center"/>
              <w:rPr>
                <w:sz w:val="18"/>
                <w:szCs w:val="18"/>
              </w:rPr>
            </w:pPr>
            <w:r w:rsidRPr="00CF3E3D">
              <w:rPr>
                <w:sz w:val="18"/>
                <w:szCs w:val="18"/>
              </w:rPr>
              <w:t>89.8</w:t>
            </w:r>
          </w:p>
        </w:tc>
      </w:tr>
      <w:tr w:rsidR="004E45CF" w:rsidRPr="00CF3E3D" w14:paraId="53A3A2D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6609A7FC" w14:textId="77777777" w:rsidR="004E45CF" w:rsidRPr="00CD22B6" w:rsidRDefault="004E45CF" w:rsidP="00E44DBB">
            <w:pPr>
              <w:spacing w:before="85" w:line="288" w:lineRule="auto"/>
              <w:jc w:val="left"/>
              <w:rPr>
                <w:b/>
                <w:bCs/>
                <w:sz w:val="18"/>
                <w:szCs w:val="18"/>
              </w:rPr>
            </w:pPr>
            <w:r w:rsidRPr="00CD22B6">
              <w:rPr>
                <w:b/>
                <w:bCs/>
                <w:sz w:val="18"/>
                <w:szCs w:val="18"/>
              </w:rPr>
              <w:t>Health services and support</w:t>
            </w:r>
          </w:p>
        </w:tc>
        <w:tc>
          <w:tcPr>
            <w:cnfStyle w:val="000001000000" w:firstRow="0" w:lastRow="0" w:firstColumn="0" w:lastColumn="0" w:oddVBand="0" w:evenVBand="1" w:oddHBand="0" w:evenHBand="0" w:firstRowFirstColumn="0" w:firstRowLastColumn="0" w:lastRowFirstColumn="0" w:lastRowLastColumn="0"/>
            <w:tcW w:w="580" w:type="pct"/>
          </w:tcPr>
          <w:p w14:paraId="1B7E549A" w14:textId="77777777" w:rsidR="004E45CF" w:rsidRPr="00CF3E3D" w:rsidRDefault="004E45CF" w:rsidP="00E44DBB">
            <w:pPr>
              <w:spacing w:before="85" w:line="288" w:lineRule="auto"/>
              <w:jc w:val="center"/>
              <w:rPr>
                <w:sz w:val="18"/>
                <w:szCs w:val="18"/>
              </w:rPr>
            </w:pPr>
            <w:r w:rsidRPr="00CF3E3D">
              <w:rPr>
                <w:sz w:val="18"/>
                <w:szCs w:val="18"/>
              </w:rPr>
              <w:t>72.5</w:t>
            </w:r>
          </w:p>
        </w:tc>
        <w:tc>
          <w:tcPr>
            <w:cnfStyle w:val="000010000000" w:firstRow="0" w:lastRow="0" w:firstColumn="0" w:lastColumn="0" w:oddVBand="1" w:evenVBand="0" w:oddHBand="0" w:evenHBand="0" w:firstRowFirstColumn="0" w:firstRowLastColumn="0" w:lastRowFirstColumn="0" w:lastRowLastColumn="0"/>
            <w:tcW w:w="580" w:type="pct"/>
          </w:tcPr>
          <w:p w14:paraId="58805A8E" w14:textId="77777777" w:rsidR="004E45CF" w:rsidRPr="00CF3E3D" w:rsidRDefault="004E45CF" w:rsidP="00E44DBB">
            <w:pPr>
              <w:spacing w:before="85" w:line="288" w:lineRule="auto"/>
              <w:jc w:val="center"/>
              <w:rPr>
                <w:sz w:val="18"/>
                <w:szCs w:val="18"/>
              </w:rPr>
            </w:pPr>
            <w:r w:rsidRPr="00CF3E3D">
              <w:rPr>
                <w:sz w:val="18"/>
                <w:szCs w:val="18"/>
              </w:rPr>
              <w:t>78.5</w:t>
            </w:r>
          </w:p>
        </w:tc>
        <w:tc>
          <w:tcPr>
            <w:cnfStyle w:val="000001000000" w:firstRow="0" w:lastRow="0" w:firstColumn="0" w:lastColumn="0" w:oddVBand="0" w:evenVBand="1" w:oddHBand="0" w:evenHBand="0" w:firstRowFirstColumn="0" w:firstRowLastColumn="0" w:lastRowFirstColumn="0" w:lastRowLastColumn="0"/>
            <w:tcW w:w="580" w:type="pct"/>
          </w:tcPr>
          <w:p w14:paraId="4F1EE5C8" w14:textId="77777777" w:rsidR="004E45CF" w:rsidRPr="00CF3E3D" w:rsidRDefault="004E45CF" w:rsidP="00E44DBB">
            <w:pPr>
              <w:spacing w:before="85" w:line="288" w:lineRule="auto"/>
              <w:jc w:val="center"/>
              <w:rPr>
                <w:sz w:val="18"/>
                <w:szCs w:val="18"/>
              </w:rPr>
            </w:pPr>
            <w:r w:rsidRPr="00CF3E3D">
              <w:rPr>
                <w:sz w:val="18"/>
                <w:szCs w:val="18"/>
              </w:rPr>
              <w:t>88.4</w:t>
            </w:r>
          </w:p>
        </w:tc>
        <w:tc>
          <w:tcPr>
            <w:cnfStyle w:val="000010000000" w:firstRow="0" w:lastRow="0" w:firstColumn="0" w:lastColumn="0" w:oddVBand="1" w:evenVBand="0" w:oddHBand="0" w:evenHBand="0" w:firstRowFirstColumn="0" w:firstRowLastColumn="0" w:lastRowFirstColumn="0" w:lastRowLastColumn="0"/>
            <w:tcW w:w="580" w:type="pct"/>
          </w:tcPr>
          <w:p w14:paraId="6F620E95" w14:textId="77777777" w:rsidR="004E45CF" w:rsidRPr="00CF3E3D" w:rsidRDefault="004E45CF" w:rsidP="00E44DBB">
            <w:pPr>
              <w:spacing w:before="85" w:line="288" w:lineRule="auto"/>
              <w:jc w:val="center"/>
              <w:rPr>
                <w:sz w:val="18"/>
                <w:szCs w:val="18"/>
              </w:rPr>
            </w:pPr>
            <w:r w:rsidRPr="00CF3E3D">
              <w:rPr>
                <w:sz w:val="18"/>
                <w:szCs w:val="18"/>
              </w:rPr>
              <w:t>90.1</w:t>
            </w:r>
          </w:p>
        </w:tc>
        <w:tc>
          <w:tcPr>
            <w:cnfStyle w:val="000001000000" w:firstRow="0" w:lastRow="0" w:firstColumn="0" w:lastColumn="0" w:oddVBand="0" w:evenVBand="1" w:oddHBand="0" w:evenHBand="0" w:firstRowFirstColumn="0" w:firstRowLastColumn="0" w:lastRowFirstColumn="0" w:lastRowLastColumn="0"/>
            <w:tcW w:w="580" w:type="pct"/>
          </w:tcPr>
          <w:p w14:paraId="1FD65DAC" w14:textId="77777777" w:rsidR="004E45CF" w:rsidRPr="00CF3E3D" w:rsidRDefault="004E45CF" w:rsidP="00E44DBB">
            <w:pPr>
              <w:spacing w:before="85" w:line="288" w:lineRule="auto"/>
              <w:jc w:val="center"/>
              <w:rPr>
                <w:sz w:val="18"/>
                <w:szCs w:val="18"/>
              </w:rPr>
            </w:pPr>
            <w:r w:rsidRPr="00CF3E3D">
              <w:rPr>
                <w:sz w:val="18"/>
                <w:szCs w:val="18"/>
              </w:rPr>
              <w:t>93.1</w:t>
            </w:r>
          </w:p>
        </w:tc>
        <w:tc>
          <w:tcPr>
            <w:cnfStyle w:val="000010000000" w:firstRow="0" w:lastRow="0" w:firstColumn="0" w:lastColumn="0" w:oddVBand="1" w:evenVBand="0" w:oddHBand="0" w:evenHBand="0" w:firstRowFirstColumn="0" w:firstRowLastColumn="0" w:lastRowFirstColumn="0" w:lastRowLastColumn="0"/>
            <w:tcW w:w="579" w:type="pct"/>
          </w:tcPr>
          <w:p w14:paraId="7DD4468E" w14:textId="77777777" w:rsidR="004E45CF" w:rsidRPr="00CF3E3D" w:rsidRDefault="004E45CF" w:rsidP="00E44DBB">
            <w:pPr>
              <w:spacing w:before="85" w:line="288" w:lineRule="auto"/>
              <w:jc w:val="center"/>
              <w:rPr>
                <w:sz w:val="18"/>
                <w:szCs w:val="18"/>
              </w:rPr>
            </w:pPr>
            <w:r w:rsidRPr="00CF3E3D">
              <w:rPr>
                <w:sz w:val="18"/>
                <w:szCs w:val="18"/>
              </w:rPr>
              <w:t>92.5</w:t>
            </w:r>
          </w:p>
        </w:tc>
      </w:tr>
      <w:tr w:rsidR="004E45CF" w:rsidRPr="00CF3E3D" w14:paraId="5B8D9ED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47AA98EC" w14:textId="77777777" w:rsidR="004E45CF" w:rsidRPr="00CD22B6" w:rsidRDefault="004E45CF" w:rsidP="00E44DBB">
            <w:pPr>
              <w:spacing w:before="85" w:line="288" w:lineRule="auto"/>
              <w:jc w:val="left"/>
              <w:rPr>
                <w:b/>
                <w:bCs/>
                <w:sz w:val="18"/>
                <w:szCs w:val="18"/>
              </w:rPr>
            </w:pPr>
            <w:r w:rsidRPr="00CD22B6">
              <w:rPr>
                <w:b/>
                <w:bCs/>
                <w:sz w:val="18"/>
                <w:szCs w:val="18"/>
              </w:rPr>
              <w:t>Medicine</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76B983E0" w14:textId="77777777" w:rsidR="004E45CF" w:rsidRPr="00CF3E3D" w:rsidRDefault="004E45CF" w:rsidP="00E44DBB">
            <w:pPr>
              <w:spacing w:before="85" w:line="288" w:lineRule="auto"/>
              <w:jc w:val="center"/>
              <w:rPr>
                <w:sz w:val="18"/>
                <w:szCs w:val="18"/>
              </w:rPr>
            </w:pPr>
            <w:r w:rsidRPr="00CF3E3D">
              <w:rPr>
                <w:sz w:val="18"/>
                <w:szCs w:val="18"/>
              </w:rPr>
              <w:t>90.2</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46052907" w14:textId="77777777" w:rsidR="004E45CF" w:rsidRPr="00CF3E3D" w:rsidRDefault="004E45CF" w:rsidP="00E44DBB">
            <w:pPr>
              <w:spacing w:before="85" w:line="288" w:lineRule="auto"/>
              <w:jc w:val="center"/>
              <w:rPr>
                <w:sz w:val="18"/>
                <w:szCs w:val="18"/>
              </w:rPr>
            </w:pPr>
            <w:r w:rsidRPr="00CF3E3D">
              <w:rPr>
                <w:sz w:val="18"/>
                <w:szCs w:val="18"/>
              </w:rPr>
              <w:t>93.0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F03C6BC" w14:textId="77777777" w:rsidR="004E45CF" w:rsidRPr="00CF3E3D" w:rsidRDefault="004E45CF" w:rsidP="00E44DBB">
            <w:pPr>
              <w:spacing w:before="85" w:line="288" w:lineRule="auto"/>
              <w:jc w:val="center"/>
              <w:rPr>
                <w:sz w:val="18"/>
                <w:szCs w:val="18"/>
              </w:rPr>
            </w:pPr>
            <w:r w:rsidRPr="00CF3E3D">
              <w:rPr>
                <w:sz w:val="18"/>
                <w:szCs w:val="18"/>
              </w:rPr>
              <w:t>92.9</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5EEC084A" w14:textId="77777777" w:rsidR="004E45CF" w:rsidRPr="00CF3E3D" w:rsidRDefault="004E45CF" w:rsidP="00E44DBB">
            <w:pPr>
              <w:spacing w:before="85" w:line="288" w:lineRule="auto"/>
              <w:jc w:val="center"/>
              <w:rPr>
                <w:sz w:val="18"/>
                <w:szCs w:val="18"/>
              </w:rPr>
            </w:pPr>
            <w:r w:rsidRPr="00CF3E3D">
              <w:rPr>
                <w:sz w:val="18"/>
                <w:szCs w:val="18"/>
              </w:rPr>
              <w:t>93.0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006F19A" w14:textId="77777777" w:rsidR="004E45CF" w:rsidRPr="00CF3E3D" w:rsidRDefault="004E45CF" w:rsidP="00E44DBB">
            <w:pPr>
              <w:spacing w:before="85" w:line="288" w:lineRule="auto"/>
              <w:jc w:val="center"/>
              <w:rPr>
                <w:sz w:val="18"/>
                <w:szCs w:val="18"/>
              </w:rPr>
            </w:pPr>
            <w:r w:rsidRPr="00CF3E3D">
              <w:rPr>
                <w:sz w:val="18"/>
                <w:szCs w:val="18"/>
              </w:rPr>
              <w:t>92.5</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456F57F1" w14:textId="77777777" w:rsidR="004E45CF" w:rsidRPr="00CF3E3D" w:rsidRDefault="004E45CF" w:rsidP="00E44DBB">
            <w:pPr>
              <w:spacing w:before="85" w:line="288" w:lineRule="auto"/>
              <w:jc w:val="center"/>
              <w:rPr>
                <w:sz w:val="18"/>
                <w:szCs w:val="18"/>
              </w:rPr>
            </w:pPr>
            <w:r w:rsidRPr="00CF3E3D">
              <w:rPr>
                <w:sz w:val="18"/>
                <w:szCs w:val="18"/>
              </w:rPr>
              <w:t>91.8</w:t>
            </w:r>
          </w:p>
        </w:tc>
      </w:tr>
      <w:tr w:rsidR="004E45CF" w:rsidRPr="00CF3E3D" w14:paraId="2C6A9A2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63130288" w14:textId="77777777" w:rsidR="004E45CF" w:rsidRPr="00CD22B6" w:rsidRDefault="004E45CF" w:rsidP="00E44DBB">
            <w:pPr>
              <w:spacing w:before="85" w:line="288" w:lineRule="auto"/>
              <w:jc w:val="left"/>
              <w:rPr>
                <w:b/>
                <w:bCs/>
                <w:sz w:val="18"/>
                <w:szCs w:val="18"/>
              </w:rPr>
            </w:pPr>
            <w:r w:rsidRPr="00CD22B6">
              <w:rPr>
                <w:b/>
                <w:bCs/>
                <w:sz w:val="18"/>
                <w:szCs w:val="18"/>
              </w:rPr>
              <w:t>Nursing</w:t>
            </w:r>
          </w:p>
        </w:tc>
        <w:tc>
          <w:tcPr>
            <w:cnfStyle w:val="000001000000" w:firstRow="0" w:lastRow="0" w:firstColumn="0" w:lastColumn="0" w:oddVBand="0" w:evenVBand="1" w:oddHBand="0" w:evenHBand="0" w:firstRowFirstColumn="0" w:firstRowLastColumn="0" w:lastRowFirstColumn="0" w:lastRowLastColumn="0"/>
            <w:tcW w:w="580" w:type="pct"/>
          </w:tcPr>
          <w:p w14:paraId="6B54FB3D" w14:textId="77777777" w:rsidR="004E45CF" w:rsidRPr="00CF3E3D" w:rsidRDefault="004E45CF" w:rsidP="00E44DBB">
            <w:pPr>
              <w:spacing w:before="85" w:line="288" w:lineRule="auto"/>
              <w:jc w:val="center"/>
              <w:rPr>
                <w:sz w:val="18"/>
                <w:szCs w:val="18"/>
              </w:rPr>
            </w:pPr>
            <w:r w:rsidRPr="00CF3E3D">
              <w:rPr>
                <w:sz w:val="18"/>
                <w:szCs w:val="18"/>
              </w:rPr>
              <w:t>74.2</w:t>
            </w:r>
          </w:p>
        </w:tc>
        <w:tc>
          <w:tcPr>
            <w:cnfStyle w:val="000010000000" w:firstRow="0" w:lastRow="0" w:firstColumn="0" w:lastColumn="0" w:oddVBand="1" w:evenVBand="0" w:oddHBand="0" w:evenHBand="0" w:firstRowFirstColumn="0" w:firstRowLastColumn="0" w:lastRowFirstColumn="0" w:lastRowLastColumn="0"/>
            <w:tcW w:w="580" w:type="pct"/>
          </w:tcPr>
          <w:p w14:paraId="36373937" w14:textId="77777777" w:rsidR="004E45CF" w:rsidRPr="00CF3E3D" w:rsidRDefault="004E45CF" w:rsidP="00E44DBB">
            <w:pPr>
              <w:spacing w:before="85" w:line="288" w:lineRule="auto"/>
              <w:jc w:val="center"/>
              <w:rPr>
                <w:sz w:val="18"/>
                <w:szCs w:val="18"/>
              </w:rPr>
            </w:pPr>
            <w:r w:rsidRPr="00CF3E3D">
              <w:rPr>
                <w:sz w:val="18"/>
                <w:szCs w:val="18"/>
              </w:rPr>
              <w:t>82.6</w:t>
            </w:r>
          </w:p>
        </w:tc>
        <w:tc>
          <w:tcPr>
            <w:cnfStyle w:val="000001000000" w:firstRow="0" w:lastRow="0" w:firstColumn="0" w:lastColumn="0" w:oddVBand="0" w:evenVBand="1" w:oddHBand="0" w:evenHBand="0" w:firstRowFirstColumn="0" w:firstRowLastColumn="0" w:lastRowFirstColumn="0" w:lastRowLastColumn="0"/>
            <w:tcW w:w="580" w:type="pct"/>
          </w:tcPr>
          <w:p w14:paraId="7F9AB5BD" w14:textId="77777777" w:rsidR="004E45CF" w:rsidRPr="00CF3E3D" w:rsidRDefault="004E45CF" w:rsidP="00E44DBB">
            <w:pPr>
              <w:spacing w:before="85" w:line="288" w:lineRule="auto"/>
              <w:jc w:val="center"/>
              <w:rPr>
                <w:sz w:val="18"/>
                <w:szCs w:val="18"/>
              </w:rPr>
            </w:pPr>
            <w:r w:rsidRPr="00CF3E3D">
              <w:rPr>
                <w:sz w:val="18"/>
                <w:szCs w:val="18"/>
              </w:rPr>
              <w:t>88.8</w:t>
            </w:r>
          </w:p>
        </w:tc>
        <w:tc>
          <w:tcPr>
            <w:cnfStyle w:val="000010000000" w:firstRow="0" w:lastRow="0" w:firstColumn="0" w:lastColumn="0" w:oddVBand="1" w:evenVBand="0" w:oddHBand="0" w:evenHBand="0" w:firstRowFirstColumn="0" w:firstRowLastColumn="0" w:lastRowFirstColumn="0" w:lastRowLastColumn="0"/>
            <w:tcW w:w="580" w:type="pct"/>
          </w:tcPr>
          <w:p w14:paraId="6D3B0DCA" w14:textId="77777777" w:rsidR="004E45CF" w:rsidRPr="00CF3E3D" w:rsidRDefault="004E45CF" w:rsidP="00E44DBB">
            <w:pPr>
              <w:spacing w:before="85" w:line="288" w:lineRule="auto"/>
              <w:jc w:val="center"/>
              <w:rPr>
                <w:sz w:val="18"/>
                <w:szCs w:val="18"/>
              </w:rPr>
            </w:pPr>
            <w:r w:rsidRPr="00CF3E3D">
              <w:rPr>
                <w:sz w:val="18"/>
                <w:szCs w:val="18"/>
              </w:rPr>
              <w:t>90.9</w:t>
            </w:r>
          </w:p>
        </w:tc>
        <w:tc>
          <w:tcPr>
            <w:cnfStyle w:val="000001000000" w:firstRow="0" w:lastRow="0" w:firstColumn="0" w:lastColumn="0" w:oddVBand="0" w:evenVBand="1" w:oddHBand="0" w:evenHBand="0" w:firstRowFirstColumn="0" w:firstRowLastColumn="0" w:lastRowFirstColumn="0" w:lastRowLastColumn="0"/>
            <w:tcW w:w="580" w:type="pct"/>
          </w:tcPr>
          <w:p w14:paraId="0D8D0196" w14:textId="77777777" w:rsidR="004E45CF" w:rsidRPr="00CF3E3D" w:rsidRDefault="004E45CF" w:rsidP="00E44DBB">
            <w:pPr>
              <w:spacing w:before="85" w:line="288" w:lineRule="auto"/>
              <w:jc w:val="center"/>
              <w:rPr>
                <w:sz w:val="18"/>
                <w:szCs w:val="18"/>
              </w:rPr>
            </w:pPr>
            <w:r w:rsidRPr="00CF3E3D">
              <w:rPr>
                <w:sz w:val="18"/>
                <w:szCs w:val="18"/>
              </w:rPr>
              <w:t>95.8</w:t>
            </w:r>
          </w:p>
        </w:tc>
        <w:tc>
          <w:tcPr>
            <w:cnfStyle w:val="000010000000" w:firstRow="0" w:lastRow="0" w:firstColumn="0" w:lastColumn="0" w:oddVBand="1" w:evenVBand="0" w:oddHBand="0" w:evenHBand="0" w:firstRowFirstColumn="0" w:firstRowLastColumn="0" w:lastRowFirstColumn="0" w:lastRowLastColumn="0"/>
            <w:tcW w:w="579" w:type="pct"/>
          </w:tcPr>
          <w:p w14:paraId="75828D10" w14:textId="77777777" w:rsidR="004E45CF" w:rsidRPr="00CF3E3D" w:rsidRDefault="004E45CF" w:rsidP="00E44DBB">
            <w:pPr>
              <w:spacing w:before="85" w:line="288" w:lineRule="auto"/>
              <w:jc w:val="center"/>
              <w:rPr>
                <w:sz w:val="18"/>
                <w:szCs w:val="18"/>
              </w:rPr>
            </w:pPr>
            <w:r w:rsidRPr="00CF3E3D">
              <w:rPr>
                <w:sz w:val="18"/>
                <w:szCs w:val="18"/>
              </w:rPr>
              <w:t>95.5</w:t>
            </w:r>
          </w:p>
        </w:tc>
      </w:tr>
      <w:tr w:rsidR="004E45CF" w:rsidRPr="00CF3E3D" w14:paraId="7E3126E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10A856AF" w14:textId="77777777" w:rsidR="004E45CF" w:rsidRPr="00CD22B6" w:rsidRDefault="004E45CF" w:rsidP="00E44DBB">
            <w:pPr>
              <w:spacing w:before="85" w:line="288" w:lineRule="auto"/>
              <w:jc w:val="left"/>
              <w:rPr>
                <w:b/>
                <w:bCs/>
                <w:sz w:val="18"/>
                <w:szCs w:val="18"/>
              </w:rPr>
            </w:pPr>
            <w:r w:rsidRPr="00CD22B6">
              <w:rPr>
                <w:b/>
                <w:bCs/>
                <w:sz w:val="18"/>
                <w:szCs w:val="18"/>
              </w:rPr>
              <w:t>Pharmacy</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51237DD" w14:textId="77777777" w:rsidR="004E45CF" w:rsidRPr="00CF3E3D" w:rsidRDefault="004E45CF" w:rsidP="00E44DBB">
            <w:pPr>
              <w:spacing w:before="85" w:line="288" w:lineRule="auto"/>
              <w:jc w:val="center"/>
              <w:rPr>
                <w:sz w:val="18"/>
                <w:szCs w:val="18"/>
              </w:rPr>
            </w:pPr>
            <w:r w:rsidRPr="00CF3E3D">
              <w:rPr>
                <w:sz w:val="18"/>
                <w:szCs w:val="18"/>
              </w:rPr>
              <w:t>95.0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46F5ED48" w14:textId="77777777" w:rsidR="004E45CF" w:rsidRPr="00CF3E3D" w:rsidRDefault="004E45CF" w:rsidP="00E44DBB">
            <w:pPr>
              <w:spacing w:before="85" w:line="288" w:lineRule="auto"/>
              <w:jc w:val="center"/>
              <w:rPr>
                <w:sz w:val="18"/>
                <w:szCs w:val="18"/>
              </w:rPr>
            </w:pPr>
            <w:r w:rsidRPr="00CF3E3D">
              <w:rPr>
                <w:sz w:val="18"/>
                <w:szCs w:val="18"/>
              </w:rPr>
              <w:t>96.2</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39CAE62" w14:textId="77777777" w:rsidR="004E45CF" w:rsidRPr="00CF3E3D" w:rsidRDefault="004E45CF" w:rsidP="00E44DBB">
            <w:pPr>
              <w:spacing w:before="85" w:line="288" w:lineRule="auto"/>
              <w:jc w:val="center"/>
              <w:rPr>
                <w:sz w:val="18"/>
                <w:szCs w:val="18"/>
              </w:rPr>
            </w:pPr>
            <w:r w:rsidRPr="00CF3E3D">
              <w:rPr>
                <w:sz w:val="18"/>
                <w:szCs w:val="18"/>
              </w:rPr>
              <w:t>93.6</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0CDACD88" w14:textId="77777777" w:rsidR="004E45CF" w:rsidRPr="00CF3E3D" w:rsidRDefault="004E45CF" w:rsidP="00E44DBB">
            <w:pPr>
              <w:spacing w:before="85" w:line="288" w:lineRule="auto"/>
              <w:jc w:val="center"/>
              <w:rPr>
                <w:sz w:val="18"/>
                <w:szCs w:val="18"/>
              </w:rPr>
            </w:pPr>
            <w:r w:rsidRPr="00CF3E3D">
              <w:rPr>
                <w:sz w:val="18"/>
                <w:szCs w:val="18"/>
              </w:rPr>
              <w:t>96.9</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10B8B69" w14:textId="77777777" w:rsidR="004E45CF" w:rsidRPr="00CF3E3D" w:rsidRDefault="004E45CF" w:rsidP="00E44DBB">
            <w:pPr>
              <w:spacing w:before="85" w:line="288" w:lineRule="auto"/>
              <w:jc w:val="center"/>
              <w:rPr>
                <w:sz w:val="18"/>
                <w:szCs w:val="18"/>
              </w:rPr>
            </w:pPr>
            <w:r w:rsidRPr="00CF3E3D">
              <w:rPr>
                <w:sz w:val="18"/>
                <w:szCs w:val="18"/>
              </w:rPr>
              <w:t>94.7</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72F00D0A" w14:textId="77777777" w:rsidR="004E45CF" w:rsidRPr="00CF3E3D" w:rsidRDefault="004E45CF" w:rsidP="00E44DBB">
            <w:pPr>
              <w:spacing w:before="85" w:line="288" w:lineRule="auto"/>
              <w:jc w:val="center"/>
              <w:rPr>
                <w:sz w:val="18"/>
                <w:szCs w:val="18"/>
              </w:rPr>
            </w:pPr>
            <w:r w:rsidRPr="00CF3E3D">
              <w:rPr>
                <w:sz w:val="18"/>
                <w:szCs w:val="18"/>
              </w:rPr>
              <w:t>94.2</w:t>
            </w:r>
          </w:p>
        </w:tc>
      </w:tr>
      <w:tr w:rsidR="004E45CF" w:rsidRPr="00CF3E3D" w14:paraId="3BB4497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EAF3A53" w14:textId="77777777" w:rsidR="004E45CF" w:rsidRPr="00CD22B6" w:rsidRDefault="004E45CF" w:rsidP="00E44DBB">
            <w:pPr>
              <w:spacing w:before="85" w:line="288" w:lineRule="auto"/>
              <w:jc w:val="left"/>
              <w:rPr>
                <w:b/>
                <w:bCs/>
                <w:sz w:val="18"/>
                <w:szCs w:val="18"/>
              </w:rPr>
            </w:pPr>
            <w:r w:rsidRPr="00CD22B6">
              <w:rPr>
                <w:b/>
                <w:bCs/>
                <w:sz w:val="18"/>
                <w:szCs w:val="18"/>
              </w:rPr>
              <w:t>Dentistry</w:t>
            </w:r>
          </w:p>
        </w:tc>
        <w:tc>
          <w:tcPr>
            <w:cnfStyle w:val="000001000000" w:firstRow="0" w:lastRow="0" w:firstColumn="0" w:lastColumn="0" w:oddVBand="0" w:evenVBand="1" w:oddHBand="0" w:evenHBand="0" w:firstRowFirstColumn="0" w:firstRowLastColumn="0" w:lastRowFirstColumn="0" w:lastRowLastColumn="0"/>
            <w:tcW w:w="580" w:type="pct"/>
          </w:tcPr>
          <w:p w14:paraId="635D4F1A" w14:textId="77777777" w:rsidR="004E45CF" w:rsidRPr="00CF3E3D" w:rsidRDefault="004E45CF" w:rsidP="00E44DBB">
            <w:pPr>
              <w:spacing w:before="85" w:line="288" w:lineRule="auto"/>
              <w:jc w:val="center"/>
              <w:rPr>
                <w:sz w:val="18"/>
                <w:szCs w:val="18"/>
              </w:rPr>
            </w:pPr>
            <w:r w:rsidRPr="00CF3E3D">
              <w:rPr>
                <w:sz w:val="18"/>
                <w:szCs w:val="18"/>
              </w:rPr>
              <w:t>84.5</w:t>
            </w:r>
          </w:p>
        </w:tc>
        <w:tc>
          <w:tcPr>
            <w:cnfStyle w:val="000010000000" w:firstRow="0" w:lastRow="0" w:firstColumn="0" w:lastColumn="0" w:oddVBand="1" w:evenVBand="0" w:oddHBand="0" w:evenHBand="0" w:firstRowFirstColumn="0" w:firstRowLastColumn="0" w:lastRowFirstColumn="0" w:lastRowLastColumn="0"/>
            <w:tcW w:w="580" w:type="pct"/>
          </w:tcPr>
          <w:p w14:paraId="0DB08731" w14:textId="77777777" w:rsidR="004E45CF" w:rsidRPr="00CF3E3D" w:rsidRDefault="004E45CF" w:rsidP="00E44DBB">
            <w:pPr>
              <w:spacing w:before="85" w:line="288" w:lineRule="auto"/>
              <w:jc w:val="center"/>
              <w:rPr>
                <w:sz w:val="18"/>
                <w:szCs w:val="18"/>
              </w:rPr>
            </w:pPr>
            <w:r w:rsidRPr="00CF3E3D">
              <w:rPr>
                <w:sz w:val="18"/>
                <w:szCs w:val="18"/>
              </w:rPr>
              <w:t>86.6</w:t>
            </w:r>
          </w:p>
        </w:tc>
        <w:tc>
          <w:tcPr>
            <w:cnfStyle w:val="000001000000" w:firstRow="0" w:lastRow="0" w:firstColumn="0" w:lastColumn="0" w:oddVBand="0" w:evenVBand="1" w:oddHBand="0" w:evenHBand="0" w:firstRowFirstColumn="0" w:firstRowLastColumn="0" w:lastRowFirstColumn="0" w:lastRowLastColumn="0"/>
            <w:tcW w:w="580" w:type="pct"/>
          </w:tcPr>
          <w:p w14:paraId="483F281C" w14:textId="77777777" w:rsidR="004E45CF" w:rsidRPr="00CF3E3D" w:rsidRDefault="004E45CF" w:rsidP="00E44DBB">
            <w:pPr>
              <w:spacing w:before="85" w:line="288" w:lineRule="auto"/>
              <w:jc w:val="center"/>
              <w:rPr>
                <w:sz w:val="18"/>
                <w:szCs w:val="18"/>
              </w:rPr>
            </w:pPr>
            <w:r w:rsidRPr="00CF3E3D">
              <w:rPr>
                <w:sz w:val="18"/>
                <w:szCs w:val="18"/>
              </w:rPr>
              <w:t>94.5</w:t>
            </w:r>
          </w:p>
        </w:tc>
        <w:tc>
          <w:tcPr>
            <w:cnfStyle w:val="000010000000" w:firstRow="0" w:lastRow="0" w:firstColumn="0" w:lastColumn="0" w:oddVBand="1" w:evenVBand="0" w:oddHBand="0" w:evenHBand="0" w:firstRowFirstColumn="0" w:firstRowLastColumn="0" w:lastRowFirstColumn="0" w:lastRowLastColumn="0"/>
            <w:tcW w:w="580" w:type="pct"/>
          </w:tcPr>
          <w:p w14:paraId="39F294B0" w14:textId="77777777" w:rsidR="004E45CF" w:rsidRPr="00CF3E3D" w:rsidRDefault="004E45CF" w:rsidP="00E44DBB">
            <w:pPr>
              <w:spacing w:before="85" w:line="288" w:lineRule="auto"/>
              <w:jc w:val="center"/>
              <w:rPr>
                <w:sz w:val="18"/>
                <w:szCs w:val="18"/>
              </w:rPr>
            </w:pPr>
            <w:r w:rsidRPr="00CF3E3D">
              <w:rPr>
                <w:sz w:val="18"/>
                <w:szCs w:val="18"/>
              </w:rPr>
              <w:t>91.2</w:t>
            </w:r>
          </w:p>
        </w:tc>
        <w:tc>
          <w:tcPr>
            <w:cnfStyle w:val="000001000000" w:firstRow="0" w:lastRow="0" w:firstColumn="0" w:lastColumn="0" w:oddVBand="0" w:evenVBand="1" w:oddHBand="0" w:evenHBand="0" w:firstRowFirstColumn="0" w:firstRowLastColumn="0" w:lastRowFirstColumn="0" w:lastRowLastColumn="0"/>
            <w:tcW w:w="580" w:type="pct"/>
          </w:tcPr>
          <w:p w14:paraId="2A3EE799" w14:textId="77777777" w:rsidR="004E45CF" w:rsidRPr="00CF3E3D" w:rsidRDefault="004E45CF" w:rsidP="00E44DBB">
            <w:pPr>
              <w:spacing w:before="85" w:line="288" w:lineRule="auto"/>
              <w:jc w:val="center"/>
              <w:rPr>
                <w:sz w:val="18"/>
                <w:szCs w:val="18"/>
              </w:rPr>
            </w:pPr>
            <w:r w:rsidRPr="00CF3E3D">
              <w:rPr>
                <w:sz w:val="18"/>
                <w:szCs w:val="18"/>
              </w:rPr>
              <w:t>91.7</w:t>
            </w:r>
          </w:p>
        </w:tc>
        <w:tc>
          <w:tcPr>
            <w:cnfStyle w:val="000010000000" w:firstRow="0" w:lastRow="0" w:firstColumn="0" w:lastColumn="0" w:oddVBand="1" w:evenVBand="0" w:oddHBand="0" w:evenHBand="0" w:firstRowFirstColumn="0" w:firstRowLastColumn="0" w:lastRowFirstColumn="0" w:lastRowLastColumn="0"/>
            <w:tcW w:w="579" w:type="pct"/>
          </w:tcPr>
          <w:p w14:paraId="4A47B33F" w14:textId="77777777" w:rsidR="004E45CF" w:rsidRPr="00CF3E3D" w:rsidRDefault="004E45CF" w:rsidP="00E44DBB">
            <w:pPr>
              <w:spacing w:before="85" w:line="288" w:lineRule="auto"/>
              <w:jc w:val="center"/>
              <w:rPr>
                <w:sz w:val="18"/>
                <w:szCs w:val="18"/>
              </w:rPr>
            </w:pPr>
            <w:r w:rsidRPr="00CF3E3D">
              <w:rPr>
                <w:sz w:val="18"/>
                <w:szCs w:val="18"/>
              </w:rPr>
              <w:t>94.0</w:t>
            </w:r>
          </w:p>
        </w:tc>
      </w:tr>
      <w:tr w:rsidR="004E45CF" w:rsidRPr="00CF3E3D" w14:paraId="17265CA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0E73EC79" w14:textId="77777777" w:rsidR="004E45CF" w:rsidRPr="00CD22B6" w:rsidRDefault="004E45CF" w:rsidP="00E44DBB">
            <w:pPr>
              <w:spacing w:before="85" w:line="288" w:lineRule="auto"/>
              <w:jc w:val="left"/>
              <w:rPr>
                <w:b/>
                <w:bCs/>
                <w:sz w:val="18"/>
                <w:szCs w:val="18"/>
              </w:rPr>
            </w:pPr>
            <w:r w:rsidRPr="00CD22B6">
              <w:rPr>
                <w:b/>
                <w:bCs/>
                <w:sz w:val="18"/>
                <w:szCs w:val="18"/>
              </w:rPr>
              <w:t>Veterinary science</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04389F1" w14:textId="77777777" w:rsidR="004E45CF" w:rsidRPr="00CF3E3D" w:rsidRDefault="004E45CF" w:rsidP="00E44DBB">
            <w:pPr>
              <w:spacing w:before="85" w:line="288" w:lineRule="auto"/>
              <w:jc w:val="center"/>
              <w:rPr>
                <w:sz w:val="18"/>
                <w:szCs w:val="18"/>
              </w:rPr>
            </w:pPr>
            <w:r w:rsidRPr="00CF3E3D">
              <w:rPr>
                <w:sz w:val="18"/>
                <w:szCs w:val="18"/>
              </w:rPr>
              <w:t>87.0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0A0FADEF" w14:textId="77777777" w:rsidR="004E45CF" w:rsidRPr="00CF3E3D" w:rsidRDefault="004E45CF" w:rsidP="00E44DBB">
            <w:pPr>
              <w:spacing w:before="85" w:line="288" w:lineRule="auto"/>
              <w:jc w:val="center"/>
              <w:rPr>
                <w:sz w:val="18"/>
                <w:szCs w:val="18"/>
              </w:rPr>
            </w:pPr>
            <w:r w:rsidRPr="00CF3E3D">
              <w:rPr>
                <w:sz w:val="18"/>
                <w:szCs w:val="18"/>
              </w:rPr>
              <w:t>89.9</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69052F6" w14:textId="77777777" w:rsidR="004E45CF" w:rsidRPr="00CF3E3D" w:rsidRDefault="004E45CF" w:rsidP="00E44DBB">
            <w:pPr>
              <w:spacing w:before="85" w:line="288" w:lineRule="auto"/>
              <w:jc w:val="center"/>
              <w:rPr>
                <w:sz w:val="18"/>
                <w:szCs w:val="18"/>
              </w:rPr>
            </w:pPr>
            <w:r w:rsidRPr="00CF3E3D">
              <w:rPr>
                <w:sz w:val="18"/>
                <w:szCs w:val="18"/>
              </w:rPr>
              <w:t>90.6</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39CB767E" w14:textId="77777777" w:rsidR="004E45CF" w:rsidRPr="00CF3E3D" w:rsidRDefault="004E45CF" w:rsidP="00E44DBB">
            <w:pPr>
              <w:spacing w:before="85" w:line="288" w:lineRule="auto"/>
              <w:jc w:val="center"/>
              <w:rPr>
                <w:sz w:val="18"/>
                <w:szCs w:val="18"/>
              </w:rPr>
            </w:pPr>
            <w:r w:rsidRPr="00CF3E3D">
              <w:rPr>
                <w:sz w:val="18"/>
                <w:szCs w:val="18"/>
              </w:rPr>
              <w:t>94.7</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D8D926B" w14:textId="77777777" w:rsidR="004E45CF" w:rsidRPr="00CF3E3D" w:rsidRDefault="004E45CF" w:rsidP="00E44DBB">
            <w:pPr>
              <w:spacing w:before="85" w:line="288" w:lineRule="auto"/>
              <w:jc w:val="center"/>
              <w:rPr>
                <w:sz w:val="18"/>
                <w:szCs w:val="18"/>
              </w:rPr>
            </w:pPr>
            <w:r w:rsidRPr="00CF3E3D">
              <w:rPr>
                <w:sz w:val="18"/>
                <w:szCs w:val="18"/>
              </w:rPr>
              <w:t>87.5</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4B36FA1F" w14:textId="77777777" w:rsidR="004E45CF" w:rsidRPr="00CF3E3D" w:rsidRDefault="004E45CF" w:rsidP="00E44DBB">
            <w:pPr>
              <w:spacing w:before="85" w:line="288" w:lineRule="auto"/>
              <w:jc w:val="center"/>
              <w:rPr>
                <w:sz w:val="18"/>
                <w:szCs w:val="18"/>
              </w:rPr>
            </w:pPr>
            <w:r w:rsidRPr="00CF3E3D">
              <w:rPr>
                <w:sz w:val="18"/>
                <w:szCs w:val="18"/>
              </w:rPr>
              <w:t>93.5</w:t>
            </w:r>
          </w:p>
        </w:tc>
      </w:tr>
      <w:tr w:rsidR="004E45CF" w:rsidRPr="00CF3E3D" w14:paraId="517DF2C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5BCD034" w14:textId="77777777" w:rsidR="004E45CF" w:rsidRPr="00CD22B6" w:rsidRDefault="004E45CF" w:rsidP="00E44DBB">
            <w:pPr>
              <w:spacing w:before="85" w:line="288" w:lineRule="auto"/>
              <w:jc w:val="left"/>
              <w:rPr>
                <w:b/>
                <w:bCs/>
                <w:sz w:val="18"/>
                <w:szCs w:val="18"/>
              </w:rPr>
            </w:pPr>
            <w:r w:rsidRPr="00CD22B6">
              <w:rPr>
                <w:b/>
                <w:bCs/>
                <w:sz w:val="18"/>
                <w:szCs w:val="18"/>
              </w:rPr>
              <w:t>Rehabilitation</w:t>
            </w:r>
          </w:p>
        </w:tc>
        <w:tc>
          <w:tcPr>
            <w:cnfStyle w:val="000001000000" w:firstRow="0" w:lastRow="0" w:firstColumn="0" w:lastColumn="0" w:oddVBand="0" w:evenVBand="1" w:oddHBand="0" w:evenHBand="0" w:firstRowFirstColumn="0" w:firstRowLastColumn="0" w:lastRowFirstColumn="0" w:lastRowLastColumn="0"/>
            <w:tcW w:w="580" w:type="pct"/>
          </w:tcPr>
          <w:p w14:paraId="278C1F74" w14:textId="77777777" w:rsidR="004E45CF" w:rsidRPr="00CF3E3D" w:rsidRDefault="004E45CF" w:rsidP="00E44DBB">
            <w:pPr>
              <w:spacing w:before="85" w:line="288" w:lineRule="auto"/>
              <w:jc w:val="center"/>
              <w:rPr>
                <w:sz w:val="18"/>
                <w:szCs w:val="18"/>
              </w:rPr>
            </w:pPr>
            <w:r w:rsidRPr="00CF3E3D">
              <w:rPr>
                <w:sz w:val="18"/>
                <w:szCs w:val="18"/>
              </w:rPr>
              <w:t>94.4</w:t>
            </w:r>
          </w:p>
        </w:tc>
        <w:tc>
          <w:tcPr>
            <w:cnfStyle w:val="000010000000" w:firstRow="0" w:lastRow="0" w:firstColumn="0" w:lastColumn="0" w:oddVBand="1" w:evenVBand="0" w:oddHBand="0" w:evenHBand="0" w:firstRowFirstColumn="0" w:firstRowLastColumn="0" w:lastRowFirstColumn="0" w:lastRowLastColumn="0"/>
            <w:tcW w:w="580" w:type="pct"/>
          </w:tcPr>
          <w:p w14:paraId="459F6055" w14:textId="77777777" w:rsidR="004E45CF" w:rsidRPr="00CF3E3D" w:rsidRDefault="004E45CF" w:rsidP="00E44DBB">
            <w:pPr>
              <w:spacing w:before="85" w:line="288" w:lineRule="auto"/>
              <w:jc w:val="center"/>
              <w:rPr>
                <w:sz w:val="18"/>
                <w:szCs w:val="18"/>
              </w:rPr>
            </w:pPr>
            <w:r w:rsidRPr="00CF3E3D">
              <w:rPr>
                <w:sz w:val="18"/>
                <w:szCs w:val="18"/>
              </w:rPr>
              <w:t>96.5</w:t>
            </w:r>
          </w:p>
        </w:tc>
        <w:tc>
          <w:tcPr>
            <w:cnfStyle w:val="000001000000" w:firstRow="0" w:lastRow="0" w:firstColumn="0" w:lastColumn="0" w:oddVBand="0" w:evenVBand="1" w:oddHBand="0" w:evenHBand="0" w:firstRowFirstColumn="0" w:firstRowLastColumn="0" w:lastRowFirstColumn="0" w:lastRowLastColumn="0"/>
            <w:tcW w:w="580" w:type="pct"/>
          </w:tcPr>
          <w:p w14:paraId="0E3F89C1" w14:textId="77777777" w:rsidR="004E45CF" w:rsidRPr="00CF3E3D" w:rsidRDefault="004E45CF" w:rsidP="00E44DBB">
            <w:pPr>
              <w:spacing w:before="85" w:line="288" w:lineRule="auto"/>
              <w:jc w:val="center"/>
              <w:rPr>
                <w:sz w:val="18"/>
                <w:szCs w:val="18"/>
              </w:rPr>
            </w:pPr>
            <w:r w:rsidRPr="00CF3E3D">
              <w:rPr>
                <w:sz w:val="18"/>
                <w:szCs w:val="18"/>
              </w:rPr>
              <w:t>96.0</w:t>
            </w:r>
          </w:p>
        </w:tc>
        <w:tc>
          <w:tcPr>
            <w:cnfStyle w:val="000010000000" w:firstRow="0" w:lastRow="0" w:firstColumn="0" w:lastColumn="0" w:oddVBand="1" w:evenVBand="0" w:oddHBand="0" w:evenHBand="0" w:firstRowFirstColumn="0" w:firstRowLastColumn="0" w:lastRowFirstColumn="0" w:lastRowLastColumn="0"/>
            <w:tcW w:w="580" w:type="pct"/>
          </w:tcPr>
          <w:p w14:paraId="369461AB" w14:textId="77777777" w:rsidR="004E45CF" w:rsidRPr="00CF3E3D" w:rsidRDefault="004E45CF" w:rsidP="00E44DBB">
            <w:pPr>
              <w:spacing w:before="85" w:line="288" w:lineRule="auto"/>
              <w:jc w:val="center"/>
              <w:rPr>
                <w:sz w:val="18"/>
                <w:szCs w:val="18"/>
              </w:rPr>
            </w:pPr>
            <w:r w:rsidRPr="00CF3E3D">
              <w:rPr>
                <w:sz w:val="18"/>
                <w:szCs w:val="18"/>
              </w:rPr>
              <w:t>96.7</w:t>
            </w:r>
          </w:p>
        </w:tc>
        <w:tc>
          <w:tcPr>
            <w:cnfStyle w:val="000001000000" w:firstRow="0" w:lastRow="0" w:firstColumn="0" w:lastColumn="0" w:oddVBand="0" w:evenVBand="1" w:oddHBand="0" w:evenHBand="0" w:firstRowFirstColumn="0" w:firstRowLastColumn="0" w:lastRowFirstColumn="0" w:lastRowLastColumn="0"/>
            <w:tcW w:w="580" w:type="pct"/>
          </w:tcPr>
          <w:p w14:paraId="7573AB91" w14:textId="77777777" w:rsidR="004E45CF" w:rsidRPr="00CF3E3D" w:rsidRDefault="004E45CF" w:rsidP="00E44DBB">
            <w:pPr>
              <w:spacing w:before="85" w:line="288" w:lineRule="auto"/>
              <w:jc w:val="center"/>
              <w:rPr>
                <w:sz w:val="18"/>
                <w:szCs w:val="18"/>
              </w:rPr>
            </w:pPr>
            <w:r w:rsidRPr="00CF3E3D">
              <w:rPr>
                <w:sz w:val="18"/>
                <w:szCs w:val="18"/>
              </w:rPr>
              <w:t>97.8</w:t>
            </w:r>
          </w:p>
        </w:tc>
        <w:tc>
          <w:tcPr>
            <w:cnfStyle w:val="000010000000" w:firstRow="0" w:lastRow="0" w:firstColumn="0" w:lastColumn="0" w:oddVBand="1" w:evenVBand="0" w:oddHBand="0" w:evenHBand="0" w:firstRowFirstColumn="0" w:firstRowLastColumn="0" w:lastRowFirstColumn="0" w:lastRowLastColumn="0"/>
            <w:tcW w:w="579" w:type="pct"/>
          </w:tcPr>
          <w:p w14:paraId="7189E0B2" w14:textId="77777777" w:rsidR="004E45CF" w:rsidRPr="00CF3E3D" w:rsidRDefault="004E45CF" w:rsidP="00E44DBB">
            <w:pPr>
              <w:spacing w:before="85" w:line="288" w:lineRule="auto"/>
              <w:jc w:val="center"/>
              <w:rPr>
                <w:sz w:val="18"/>
                <w:szCs w:val="18"/>
              </w:rPr>
            </w:pPr>
            <w:r w:rsidRPr="00CF3E3D">
              <w:rPr>
                <w:sz w:val="18"/>
                <w:szCs w:val="18"/>
              </w:rPr>
              <w:t>97.6</w:t>
            </w:r>
          </w:p>
        </w:tc>
      </w:tr>
      <w:tr w:rsidR="004E45CF" w:rsidRPr="00CF3E3D" w14:paraId="1121775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67D81F66" w14:textId="77777777" w:rsidR="004E45CF" w:rsidRPr="00CD22B6" w:rsidRDefault="004E45CF" w:rsidP="00E44DBB">
            <w:pPr>
              <w:spacing w:before="85" w:line="288" w:lineRule="auto"/>
              <w:jc w:val="left"/>
              <w:rPr>
                <w:b/>
                <w:bCs/>
                <w:sz w:val="18"/>
                <w:szCs w:val="18"/>
              </w:rPr>
            </w:pPr>
            <w:r w:rsidRPr="00CD22B6">
              <w:rPr>
                <w:b/>
                <w:bCs/>
                <w:sz w:val="18"/>
                <w:szCs w:val="18"/>
              </w:rPr>
              <w:t>Teacher education</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9397B19" w14:textId="77777777" w:rsidR="004E45CF" w:rsidRPr="00CF3E3D" w:rsidRDefault="004E45CF" w:rsidP="00E44DBB">
            <w:pPr>
              <w:spacing w:before="85" w:line="288" w:lineRule="auto"/>
              <w:jc w:val="center"/>
              <w:rPr>
                <w:sz w:val="18"/>
                <w:szCs w:val="18"/>
              </w:rPr>
            </w:pPr>
            <w:r w:rsidRPr="00CF3E3D">
              <w:rPr>
                <w:sz w:val="18"/>
                <w:szCs w:val="18"/>
              </w:rPr>
              <w:t>79.1</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5D344F43" w14:textId="77777777" w:rsidR="004E45CF" w:rsidRPr="00CF3E3D" w:rsidRDefault="004E45CF" w:rsidP="00E44DBB">
            <w:pPr>
              <w:spacing w:before="85" w:line="288" w:lineRule="auto"/>
              <w:jc w:val="center"/>
              <w:rPr>
                <w:sz w:val="18"/>
                <w:szCs w:val="18"/>
              </w:rPr>
            </w:pPr>
            <w:r w:rsidRPr="00CF3E3D">
              <w:rPr>
                <w:sz w:val="18"/>
                <w:szCs w:val="18"/>
              </w:rPr>
              <w:t>86.7</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3AD1ADBC" w14:textId="77777777" w:rsidR="004E45CF" w:rsidRPr="00CF3E3D" w:rsidRDefault="004E45CF" w:rsidP="00E44DBB">
            <w:pPr>
              <w:spacing w:before="85" w:line="288" w:lineRule="auto"/>
              <w:jc w:val="center"/>
              <w:rPr>
                <w:sz w:val="18"/>
                <w:szCs w:val="18"/>
              </w:rPr>
            </w:pPr>
            <w:r w:rsidRPr="00CF3E3D">
              <w:rPr>
                <w:sz w:val="18"/>
                <w:szCs w:val="18"/>
              </w:rPr>
              <w:t>91.1</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902CA75" w14:textId="77777777" w:rsidR="004E45CF" w:rsidRPr="00CF3E3D" w:rsidRDefault="004E45CF" w:rsidP="00E44DBB">
            <w:pPr>
              <w:spacing w:before="85" w:line="288" w:lineRule="auto"/>
              <w:jc w:val="center"/>
              <w:rPr>
                <w:sz w:val="18"/>
                <w:szCs w:val="18"/>
              </w:rPr>
            </w:pPr>
            <w:r w:rsidRPr="00CF3E3D">
              <w:rPr>
                <w:sz w:val="18"/>
                <w:szCs w:val="18"/>
              </w:rPr>
              <w:t>93.0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B1DB715" w14:textId="77777777" w:rsidR="004E45CF" w:rsidRPr="00CF3E3D" w:rsidRDefault="004E45CF" w:rsidP="00E44DBB">
            <w:pPr>
              <w:spacing w:before="85" w:line="288" w:lineRule="auto"/>
              <w:jc w:val="center"/>
              <w:rPr>
                <w:sz w:val="18"/>
                <w:szCs w:val="18"/>
              </w:rPr>
            </w:pPr>
            <w:r w:rsidRPr="00CF3E3D">
              <w:rPr>
                <w:sz w:val="18"/>
                <w:szCs w:val="18"/>
              </w:rPr>
              <w:t>94.8</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5E056C88" w14:textId="77777777" w:rsidR="004E45CF" w:rsidRPr="00CF3E3D" w:rsidRDefault="004E45CF" w:rsidP="00E44DBB">
            <w:pPr>
              <w:spacing w:before="85" w:line="288" w:lineRule="auto"/>
              <w:jc w:val="center"/>
              <w:rPr>
                <w:sz w:val="18"/>
                <w:szCs w:val="18"/>
              </w:rPr>
            </w:pPr>
            <w:r w:rsidRPr="00CF3E3D">
              <w:rPr>
                <w:sz w:val="18"/>
                <w:szCs w:val="18"/>
              </w:rPr>
              <w:t>94.1</w:t>
            </w:r>
          </w:p>
        </w:tc>
      </w:tr>
      <w:tr w:rsidR="004E45CF" w:rsidRPr="00CF3E3D" w14:paraId="1EF7D0D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4BEB5D6E" w14:textId="77777777" w:rsidR="004E45CF" w:rsidRPr="00CD22B6" w:rsidRDefault="004E45CF" w:rsidP="00E44DBB">
            <w:pPr>
              <w:spacing w:before="85" w:line="288" w:lineRule="auto"/>
              <w:jc w:val="left"/>
              <w:rPr>
                <w:b/>
                <w:bCs/>
                <w:sz w:val="18"/>
                <w:szCs w:val="18"/>
              </w:rPr>
            </w:pPr>
            <w:r w:rsidRPr="00CD22B6">
              <w:rPr>
                <w:b/>
                <w:bCs/>
                <w:sz w:val="18"/>
                <w:szCs w:val="18"/>
              </w:rPr>
              <w:t>Business and management</w:t>
            </w:r>
          </w:p>
        </w:tc>
        <w:tc>
          <w:tcPr>
            <w:cnfStyle w:val="000001000000" w:firstRow="0" w:lastRow="0" w:firstColumn="0" w:lastColumn="0" w:oddVBand="0" w:evenVBand="1" w:oddHBand="0" w:evenHBand="0" w:firstRowFirstColumn="0" w:firstRowLastColumn="0" w:lastRowFirstColumn="0" w:lastRowLastColumn="0"/>
            <w:tcW w:w="580" w:type="pct"/>
          </w:tcPr>
          <w:p w14:paraId="1F6C1A3B" w14:textId="77777777" w:rsidR="004E45CF" w:rsidRPr="00CF3E3D" w:rsidRDefault="004E45CF" w:rsidP="00E44DBB">
            <w:pPr>
              <w:spacing w:before="85" w:line="288" w:lineRule="auto"/>
              <w:jc w:val="center"/>
              <w:rPr>
                <w:sz w:val="18"/>
                <w:szCs w:val="18"/>
              </w:rPr>
            </w:pPr>
            <w:r w:rsidRPr="00CF3E3D">
              <w:rPr>
                <w:sz w:val="18"/>
                <w:szCs w:val="18"/>
              </w:rPr>
              <w:t>72.8</w:t>
            </w:r>
          </w:p>
        </w:tc>
        <w:tc>
          <w:tcPr>
            <w:cnfStyle w:val="000010000000" w:firstRow="0" w:lastRow="0" w:firstColumn="0" w:lastColumn="0" w:oddVBand="1" w:evenVBand="0" w:oddHBand="0" w:evenHBand="0" w:firstRowFirstColumn="0" w:firstRowLastColumn="0" w:lastRowFirstColumn="0" w:lastRowLastColumn="0"/>
            <w:tcW w:w="580" w:type="pct"/>
          </w:tcPr>
          <w:p w14:paraId="11371809" w14:textId="77777777" w:rsidR="004E45CF" w:rsidRPr="00CF3E3D" w:rsidRDefault="004E45CF" w:rsidP="00E44DBB">
            <w:pPr>
              <w:spacing w:before="85" w:line="288" w:lineRule="auto"/>
              <w:jc w:val="center"/>
              <w:rPr>
                <w:sz w:val="18"/>
                <w:szCs w:val="18"/>
              </w:rPr>
            </w:pPr>
            <w:r w:rsidRPr="00CF3E3D">
              <w:rPr>
                <w:sz w:val="18"/>
                <w:szCs w:val="18"/>
              </w:rPr>
              <w:t>84.2</w:t>
            </w:r>
          </w:p>
        </w:tc>
        <w:tc>
          <w:tcPr>
            <w:cnfStyle w:val="000001000000" w:firstRow="0" w:lastRow="0" w:firstColumn="0" w:lastColumn="0" w:oddVBand="0" w:evenVBand="1" w:oddHBand="0" w:evenHBand="0" w:firstRowFirstColumn="0" w:firstRowLastColumn="0" w:lastRowFirstColumn="0" w:lastRowLastColumn="0"/>
            <w:tcW w:w="580" w:type="pct"/>
          </w:tcPr>
          <w:p w14:paraId="09A1D981" w14:textId="77777777" w:rsidR="004E45CF" w:rsidRPr="00CF3E3D" w:rsidRDefault="004E45CF" w:rsidP="00E44DBB">
            <w:pPr>
              <w:spacing w:before="85" w:line="288" w:lineRule="auto"/>
              <w:jc w:val="center"/>
              <w:rPr>
                <w:sz w:val="18"/>
                <w:szCs w:val="18"/>
              </w:rPr>
            </w:pPr>
            <w:r w:rsidRPr="00CF3E3D">
              <w:rPr>
                <w:sz w:val="18"/>
                <w:szCs w:val="18"/>
              </w:rPr>
              <w:t>86.3</w:t>
            </w:r>
          </w:p>
        </w:tc>
        <w:tc>
          <w:tcPr>
            <w:cnfStyle w:val="000010000000" w:firstRow="0" w:lastRow="0" w:firstColumn="0" w:lastColumn="0" w:oddVBand="1" w:evenVBand="0" w:oddHBand="0" w:evenHBand="0" w:firstRowFirstColumn="0" w:firstRowLastColumn="0" w:lastRowFirstColumn="0" w:lastRowLastColumn="0"/>
            <w:tcW w:w="580" w:type="pct"/>
          </w:tcPr>
          <w:p w14:paraId="2121E13D" w14:textId="77777777" w:rsidR="004E45CF" w:rsidRPr="00CF3E3D" w:rsidRDefault="004E45CF" w:rsidP="00E44DBB">
            <w:pPr>
              <w:spacing w:before="85" w:line="288" w:lineRule="auto"/>
              <w:jc w:val="center"/>
              <w:rPr>
                <w:sz w:val="18"/>
                <w:szCs w:val="18"/>
              </w:rPr>
            </w:pPr>
            <w:r w:rsidRPr="00CF3E3D">
              <w:rPr>
                <w:sz w:val="18"/>
                <w:szCs w:val="18"/>
              </w:rPr>
              <w:t>90.1</w:t>
            </w:r>
          </w:p>
        </w:tc>
        <w:tc>
          <w:tcPr>
            <w:cnfStyle w:val="000001000000" w:firstRow="0" w:lastRow="0" w:firstColumn="0" w:lastColumn="0" w:oddVBand="0" w:evenVBand="1" w:oddHBand="0" w:evenHBand="0" w:firstRowFirstColumn="0" w:firstRowLastColumn="0" w:lastRowFirstColumn="0" w:lastRowLastColumn="0"/>
            <w:tcW w:w="580" w:type="pct"/>
          </w:tcPr>
          <w:p w14:paraId="2BCA9D8E" w14:textId="77777777" w:rsidR="004E45CF" w:rsidRPr="00CF3E3D" w:rsidRDefault="004E45CF" w:rsidP="00E44DBB">
            <w:pPr>
              <w:spacing w:before="85" w:line="288" w:lineRule="auto"/>
              <w:jc w:val="center"/>
              <w:rPr>
                <w:sz w:val="18"/>
                <w:szCs w:val="18"/>
              </w:rPr>
            </w:pPr>
            <w:r w:rsidRPr="00CF3E3D">
              <w:rPr>
                <w:sz w:val="18"/>
                <w:szCs w:val="18"/>
              </w:rPr>
              <w:t>95.9</w:t>
            </w:r>
          </w:p>
        </w:tc>
        <w:tc>
          <w:tcPr>
            <w:cnfStyle w:val="000010000000" w:firstRow="0" w:lastRow="0" w:firstColumn="0" w:lastColumn="0" w:oddVBand="1" w:evenVBand="0" w:oddHBand="0" w:evenHBand="0" w:firstRowFirstColumn="0" w:firstRowLastColumn="0" w:lastRowFirstColumn="0" w:lastRowLastColumn="0"/>
            <w:tcW w:w="579" w:type="pct"/>
          </w:tcPr>
          <w:p w14:paraId="170B1380" w14:textId="77777777" w:rsidR="004E45CF" w:rsidRPr="00CF3E3D" w:rsidRDefault="004E45CF" w:rsidP="00E44DBB">
            <w:pPr>
              <w:spacing w:before="85" w:line="288" w:lineRule="auto"/>
              <w:jc w:val="center"/>
              <w:rPr>
                <w:sz w:val="18"/>
                <w:szCs w:val="18"/>
              </w:rPr>
            </w:pPr>
            <w:r w:rsidRPr="00CF3E3D">
              <w:rPr>
                <w:sz w:val="18"/>
                <w:szCs w:val="18"/>
              </w:rPr>
              <w:t>95.9</w:t>
            </w:r>
          </w:p>
        </w:tc>
      </w:tr>
      <w:tr w:rsidR="004E45CF" w:rsidRPr="00CF3E3D" w14:paraId="1C775A6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2413C2EA" w14:textId="77777777" w:rsidR="004E45CF" w:rsidRPr="00CD22B6" w:rsidRDefault="004E45CF" w:rsidP="00E44DBB">
            <w:pPr>
              <w:spacing w:before="85" w:line="288" w:lineRule="auto"/>
              <w:jc w:val="left"/>
              <w:rPr>
                <w:b/>
                <w:bCs/>
                <w:sz w:val="18"/>
                <w:szCs w:val="18"/>
              </w:rPr>
            </w:pPr>
            <w:r w:rsidRPr="00CD22B6">
              <w:rPr>
                <w:b/>
                <w:bCs/>
                <w:sz w:val="18"/>
                <w:szCs w:val="18"/>
              </w:rPr>
              <w:t>Humanities, culture and social sciences</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52959AF" w14:textId="77777777" w:rsidR="004E45CF" w:rsidRPr="00CF3E3D" w:rsidRDefault="004E45CF" w:rsidP="00E44DBB">
            <w:pPr>
              <w:spacing w:before="85" w:line="288" w:lineRule="auto"/>
              <w:jc w:val="center"/>
              <w:rPr>
                <w:sz w:val="18"/>
                <w:szCs w:val="18"/>
              </w:rPr>
            </w:pPr>
            <w:r w:rsidRPr="00CF3E3D">
              <w:rPr>
                <w:sz w:val="18"/>
                <w:szCs w:val="18"/>
              </w:rPr>
              <w:t>57.9</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3E625DC6" w14:textId="77777777" w:rsidR="004E45CF" w:rsidRPr="00CF3E3D" w:rsidRDefault="004E45CF" w:rsidP="00E44DBB">
            <w:pPr>
              <w:spacing w:before="85" w:line="288" w:lineRule="auto"/>
              <w:jc w:val="center"/>
              <w:rPr>
                <w:sz w:val="18"/>
                <w:szCs w:val="18"/>
              </w:rPr>
            </w:pPr>
            <w:r w:rsidRPr="00CF3E3D">
              <w:rPr>
                <w:sz w:val="18"/>
                <w:szCs w:val="18"/>
              </w:rPr>
              <w:t>72.9</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5EB44E8B" w14:textId="77777777" w:rsidR="004E45CF" w:rsidRPr="00CF3E3D" w:rsidRDefault="004E45CF" w:rsidP="00E44DBB">
            <w:pPr>
              <w:spacing w:before="85" w:line="288" w:lineRule="auto"/>
              <w:jc w:val="center"/>
              <w:rPr>
                <w:sz w:val="18"/>
                <w:szCs w:val="18"/>
              </w:rPr>
            </w:pPr>
            <w:r w:rsidRPr="00CF3E3D">
              <w:rPr>
                <w:sz w:val="18"/>
                <w:szCs w:val="18"/>
              </w:rPr>
              <w:t>81.7</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46360DA0" w14:textId="77777777" w:rsidR="004E45CF" w:rsidRPr="00CF3E3D" w:rsidRDefault="004E45CF" w:rsidP="00E44DBB">
            <w:pPr>
              <w:spacing w:before="85" w:line="288" w:lineRule="auto"/>
              <w:jc w:val="center"/>
              <w:rPr>
                <w:sz w:val="18"/>
                <w:szCs w:val="18"/>
              </w:rPr>
            </w:pPr>
            <w:r w:rsidRPr="00CF3E3D">
              <w:rPr>
                <w:sz w:val="18"/>
                <w:szCs w:val="18"/>
              </w:rPr>
              <w:t>86.6</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2B598E1" w14:textId="77777777" w:rsidR="004E45CF" w:rsidRPr="00CF3E3D" w:rsidRDefault="004E45CF" w:rsidP="00E44DBB">
            <w:pPr>
              <w:spacing w:before="85" w:line="288" w:lineRule="auto"/>
              <w:jc w:val="center"/>
              <w:rPr>
                <w:sz w:val="18"/>
                <w:szCs w:val="18"/>
              </w:rPr>
            </w:pPr>
            <w:r w:rsidRPr="00CF3E3D">
              <w:rPr>
                <w:sz w:val="18"/>
                <w:szCs w:val="18"/>
              </w:rPr>
              <w:t>89.9</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2BB6BCD7" w14:textId="77777777" w:rsidR="004E45CF" w:rsidRPr="00CF3E3D" w:rsidRDefault="004E45CF" w:rsidP="00E44DBB">
            <w:pPr>
              <w:spacing w:before="85" w:line="288" w:lineRule="auto"/>
              <w:jc w:val="center"/>
              <w:rPr>
                <w:sz w:val="18"/>
                <w:szCs w:val="18"/>
              </w:rPr>
            </w:pPr>
            <w:r w:rsidRPr="00CF3E3D">
              <w:rPr>
                <w:sz w:val="18"/>
                <w:szCs w:val="18"/>
              </w:rPr>
              <w:t>91.1</w:t>
            </w:r>
          </w:p>
        </w:tc>
      </w:tr>
      <w:tr w:rsidR="004E45CF" w:rsidRPr="00CF3E3D" w14:paraId="0A74D93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29D4C4AA" w14:textId="77777777" w:rsidR="004E45CF" w:rsidRPr="00CD22B6" w:rsidRDefault="004E45CF" w:rsidP="00E44DBB">
            <w:pPr>
              <w:spacing w:before="85" w:line="288" w:lineRule="auto"/>
              <w:jc w:val="left"/>
              <w:rPr>
                <w:b/>
                <w:bCs/>
                <w:sz w:val="18"/>
                <w:szCs w:val="18"/>
              </w:rPr>
            </w:pPr>
            <w:r w:rsidRPr="00CD22B6">
              <w:rPr>
                <w:b/>
                <w:bCs/>
                <w:sz w:val="18"/>
                <w:szCs w:val="18"/>
              </w:rPr>
              <w:t>Social work</w:t>
            </w:r>
          </w:p>
        </w:tc>
        <w:tc>
          <w:tcPr>
            <w:cnfStyle w:val="000001000000" w:firstRow="0" w:lastRow="0" w:firstColumn="0" w:lastColumn="0" w:oddVBand="0" w:evenVBand="1" w:oddHBand="0" w:evenHBand="0" w:firstRowFirstColumn="0" w:firstRowLastColumn="0" w:lastRowFirstColumn="0" w:lastRowLastColumn="0"/>
            <w:tcW w:w="580" w:type="pct"/>
          </w:tcPr>
          <w:p w14:paraId="62898905" w14:textId="77777777" w:rsidR="004E45CF" w:rsidRPr="00CF3E3D" w:rsidRDefault="004E45CF" w:rsidP="00E44DBB">
            <w:pPr>
              <w:spacing w:before="85" w:line="288" w:lineRule="auto"/>
              <w:jc w:val="center"/>
              <w:rPr>
                <w:sz w:val="18"/>
                <w:szCs w:val="18"/>
              </w:rPr>
            </w:pPr>
            <w:r w:rsidRPr="00CF3E3D">
              <w:rPr>
                <w:sz w:val="18"/>
                <w:szCs w:val="18"/>
              </w:rPr>
              <w:t>70.7</w:t>
            </w:r>
          </w:p>
        </w:tc>
        <w:tc>
          <w:tcPr>
            <w:cnfStyle w:val="000010000000" w:firstRow="0" w:lastRow="0" w:firstColumn="0" w:lastColumn="0" w:oddVBand="1" w:evenVBand="0" w:oddHBand="0" w:evenHBand="0" w:firstRowFirstColumn="0" w:firstRowLastColumn="0" w:lastRowFirstColumn="0" w:lastRowLastColumn="0"/>
            <w:tcW w:w="580" w:type="pct"/>
          </w:tcPr>
          <w:p w14:paraId="515A67CC" w14:textId="77777777" w:rsidR="004E45CF" w:rsidRPr="00CF3E3D" w:rsidRDefault="004E45CF" w:rsidP="00E44DBB">
            <w:pPr>
              <w:spacing w:before="85" w:line="288" w:lineRule="auto"/>
              <w:jc w:val="center"/>
              <w:rPr>
                <w:sz w:val="18"/>
                <w:szCs w:val="18"/>
              </w:rPr>
            </w:pPr>
            <w:r w:rsidRPr="00CF3E3D">
              <w:rPr>
                <w:sz w:val="18"/>
                <w:szCs w:val="18"/>
              </w:rPr>
              <w:t>77.4</w:t>
            </w:r>
          </w:p>
        </w:tc>
        <w:tc>
          <w:tcPr>
            <w:cnfStyle w:val="000001000000" w:firstRow="0" w:lastRow="0" w:firstColumn="0" w:lastColumn="0" w:oddVBand="0" w:evenVBand="1" w:oddHBand="0" w:evenHBand="0" w:firstRowFirstColumn="0" w:firstRowLastColumn="0" w:lastRowFirstColumn="0" w:lastRowLastColumn="0"/>
            <w:tcW w:w="580" w:type="pct"/>
          </w:tcPr>
          <w:p w14:paraId="144CD4EE" w14:textId="77777777" w:rsidR="004E45CF" w:rsidRPr="00CF3E3D" w:rsidRDefault="004E45CF" w:rsidP="00E44DBB">
            <w:pPr>
              <w:spacing w:before="85" w:line="288" w:lineRule="auto"/>
              <w:jc w:val="center"/>
              <w:rPr>
                <w:sz w:val="18"/>
                <w:szCs w:val="18"/>
              </w:rPr>
            </w:pPr>
            <w:r w:rsidRPr="00CF3E3D">
              <w:rPr>
                <w:sz w:val="18"/>
                <w:szCs w:val="18"/>
              </w:rPr>
              <w:t>84.7</w:t>
            </w:r>
          </w:p>
        </w:tc>
        <w:tc>
          <w:tcPr>
            <w:cnfStyle w:val="000010000000" w:firstRow="0" w:lastRow="0" w:firstColumn="0" w:lastColumn="0" w:oddVBand="1" w:evenVBand="0" w:oddHBand="0" w:evenHBand="0" w:firstRowFirstColumn="0" w:firstRowLastColumn="0" w:lastRowFirstColumn="0" w:lastRowLastColumn="0"/>
            <w:tcW w:w="580" w:type="pct"/>
          </w:tcPr>
          <w:p w14:paraId="62915D70" w14:textId="77777777" w:rsidR="004E45CF" w:rsidRPr="00CF3E3D" w:rsidRDefault="004E45CF" w:rsidP="00E44DBB">
            <w:pPr>
              <w:spacing w:before="85" w:line="288" w:lineRule="auto"/>
              <w:jc w:val="center"/>
              <w:rPr>
                <w:sz w:val="18"/>
                <w:szCs w:val="18"/>
              </w:rPr>
            </w:pPr>
            <w:r w:rsidRPr="00CF3E3D">
              <w:rPr>
                <w:sz w:val="18"/>
                <w:szCs w:val="18"/>
              </w:rPr>
              <w:t>87.3</w:t>
            </w:r>
          </w:p>
        </w:tc>
        <w:tc>
          <w:tcPr>
            <w:cnfStyle w:val="000001000000" w:firstRow="0" w:lastRow="0" w:firstColumn="0" w:lastColumn="0" w:oddVBand="0" w:evenVBand="1" w:oddHBand="0" w:evenHBand="0" w:firstRowFirstColumn="0" w:firstRowLastColumn="0" w:lastRowFirstColumn="0" w:lastRowLastColumn="0"/>
            <w:tcW w:w="580" w:type="pct"/>
          </w:tcPr>
          <w:p w14:paraId="7DBA8D9E" w14:textId="77777777" w:rsidR="004E45CF" w:rsidRPr="00CF3E3D" w:rsidRDefault="004E45CF" w:rsidP="00E44DBB">
            <w:pPr>
              <w:spacing w:before="85" w:line="288" w:lineRule="auto"/>
              <w:jc w:val="center"/>
              <w:rPr>
                <w:sz w:val="18"/>
                <w:szCs w:val="18"/>
              </w:rPr>
            </w:pPr>
            <w:r w:rsidRPr="00CF3E3D">
              <w:rPr>
                <w:sz w:val="18"/>
                <w:szCs w:val="18"/>
              </w:rPr>
              <w:t>94.2</w:t>
            </w:r>
          </w:p>
        </w:tc>
        <w:tc>
          <w:tcPr>
            <w:cnfStyle w:val="000010000000" w:firstRow="0" w:lastRow="0" w:firstColumn="0" w:lastColumn="0" w:oddVBand="1" w:evenVBand="0" w:oddHBand="0" w:evenHBand="0" w:firstRowFirstColumn="0" w:firstRowLastColumn="0" w:lastRowFirstColumn="0" w:lastRowLastColumn="0"/>
            <w:tcW w:w="579" w:type="pct"/>
          </w:tcPr>
          <w:p w14:paraId="78D7D0DE" w14:textId="77777777" w:rsidR="004E45CF" w:rsidRPr="00CF3E3D" w:rsidRDefault="004E45CF" w:rsidP="00E44DBB">
            <w:pPr>
              <w:spacing w:before="85" w:line="288" w:lineRule="auto"/>
              <w:jc w:val="center"/>
              <w:rPr>
                <w:sz w:val="18"/>
                <w:szCs w:val="18"/>
              </w:rPr>
            </w:pPr>
            <w:r w:rsidRPr="00CF3E3D">
              <w:rPr>
                <w:sz w:val="18"/>
                <w:szCs w:val="18"/>
              </w:rPr>
              <w:t>94.7</w:t>
            </w:r>
          </w:p>
        </w:tc>
      </w:tr>
      <w:tr w:rsidR="004E45CF" w:rsidRPr="00CF3E3D" w14:paraId="4B024EB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FBD3971" w14:textId="77777777" w:rsidR="004E45CF" w:rsidRPr="00CD22B6" w:rsidRDefault="004E45CF" w:rsidP="00E44DBB">
            <w:pPr>
              <w:spacing w:before="85" w:line="288" w:lineRule="auto"/>
              <w:jc w:val="left"/>
              <w:rPr>
                <w:b/>
                <w:bCs/>
                <w:sz w:val="18"/>
                <w:szCs w:val="18"/>
              </w:rPr>
            </w:pPr>
            <w:r w:rsidRPr="00CD22B6">
              <w:rPr>
                <w:b/>
                <w:bCs/>
                <w:sz w:val="18"/>
                <w:szCs w:val="18"/>
              </w:rPr>
              <w:t>Psychology</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59517B91" w14:textId="77777777" w:rsidR="004E45CF" w:rsidRPr="00CF3E3D" w:rsidRDefault="004E45CF" w:rsidP="00E44DBB">
            <w:pPr>
              <w:spacing w:before="85" w:line="288" w:lineRule="auto"/>
              <w:jc w:val="center"/>
              <w:rPr>
                <w:sz w:val="18"/>
                <w:szCs w:val="18"/>
              </w:rPr>
            </w:pPr>
            <w:r w:rsidRPr="00CF3E3D">
              <w:rPr>
                <w:sz w:val="18"/>
                <w:szCs w:val="18"/>
              </w:rPr>
              <w:t>60.2</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25FE4983" w14:textId="77777777" w:rsidR="004E45CF" w:rsidRPr="00CF3E3D" w:rsidRDefault="004E45CF" w:rsidP="00E44DBB">
            <w:pPr>
              <w:spacing w:before="85" w:line="288" w:lineRule="auto"/>
              <w:jc w:val="center"/>
              <w:rPr>
                <w:sz w:val="18"/>
                <w:szCs w:val="18"/>
              </w:rPr>
            </w:pPr>
            <w:r w:rsidRPr="00CF3E3D">
              <w:rPr>
                <w:sz w:val="18"/>
                <w:szCs w:val="18"/>
              </w:rPr>
              <w:t>72.0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756E648" w14:textId="77777777" w:rsidR="004E45CF" w:rsidRPr="00CF3E3D" w:rsidRDefault="004E45CF" w:rsidP="00E44DBB">
            <w:pPr>
              <w:spacing w:before="85" w:line="288" w:lineRule="auto"/>
              <w:jc w:val="center"/>
              <w:rPr>
                <w:sz w:val="18"/>
                <w:szCs w:val="18"/>
              </w:rPr>
            </w:pPr>
            <w:r w:rsidRPr="00CF3E3D">
              <w:rPr>
                <w:sz w:val="18"/>
                <w:szCs w:val="18"/>
              </w:rPr>
              <w:t>83.5</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4BCD1AC4" w14:textId="77777777" w:rsidR="004E45CF" w:rsidRPr="00CF3E3D" w:rsidRDefault="004E45CF" w:rsidP="00E44DBB">
            <w:pPr>
              <w:spacing w:before="85" w:line="288" w:lineRule="auto"/>
              <w:jc w:val="center"/>
              <w:rPr>
                <w:sz w:val="18"/>
                <w:szCs w:val="18"/>
              </w:rPr>
            </w:pPr>
            <w:r w:rsidRPr="00CF3E3D">
              <w:rPr>
                <w:sz w:val="18"/>
                <w:szCs w:val="18"/>
              </w:rPr>
              <w:t>87.3</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688BD67" w14:textId="77777777" w:rsidR="004E45CF" w:rsidRPr="00CF3E3D" w:rsidRDefault="004E45CF" w:rsidP="00E44DBB">
            <w:pPr>
              <w:spacing w:before="85" w:line="288" w:lineRule="auto"/>
              <w:jc w:val="center"/>
              <w:rPr>
                <w:sz w:val="18"/>
                <w:szCs w:val="18"/>
              </w:rPr>
            </w:pPr>
            <w:r w:rsidRPr="00CF3E3D">
              <w:rPr>
                <w:sz w:val="18"/>
                <w:szCs w:val="18"/>
              </w:rPr>
              <w:t>87.1</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16D6D6FC" w14:textId="77777777" w:rsidR="004E45CF" w:rsidRPr="00CF3E3D" w:rsidRDefault="004E45CF" w:rsidP="00E44DBB">
            <w:pPr>
              <w:spacing w:before="85" w:line="288" w:lineRule="auto"/>
              <w:jc w:val="center"/>
              <w:rPr>
                <w:sz w:val="18"/>
                <w:szCs w:val="18"/>
              </w:rPr>
            </w:pPr>
            <w:r w:rsidRPr="00CF3E3D">
              <w:rPr>
                <w:sz w:val="18"/>
                <w:szCs w:val="18"/>
              </w:rPr>
              <w:t>90.0</w:t>
            </w:r>
          </w:p>
        </w:tc>
      </w:tr>
      <w:tr w:rsidR="004E45CF" w:rsidRPr="00CF3E3D" w14:paraId="4B57720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292EC7E" w14:textId="77777777" w:rsidR="004E45CF" w:rsidRPr="00CD22B6" w:rsidRDefault="004E45CF" w:rsidP="00E44DBB">
            <w:pPr>
              <w:spacing w:before="85" w:line="288" w:lineRule="auto"/>
              <w:jc w:val="left"/>
              <w:rPr>
                <w:b/>
                <w:bCs/>
                <w:sz w:val="18"/>
                <w:szCs w:val="18"/>
              </w:rPr>
            </w:pPr>
            <w:r w:rsidRPr="00CD22B6">
              <w:rPr>
                <w:b/>
                <w:bCs/>
                <w:sz w:val="18"/>
                <w:szCs w:val="18"/>
              </w:rPr>
              <w:t>Law and paralegal studies</w:t>
            </w:r>
          </w:p>
        </w:tc>
        <w:tc>
          <w:tcPr>
            <w:cnfStyle w:val="000001000000" w:firstRow="0" w:lastRow="0" w:firstColumn="0" w:lastColumn="0" w:oddVBand="0" w:evenVBand="1" w:oddHBand="0" w:evenHBand="0" w:firstRowFirstColumn="0" w:firstRowLastColumn="0" w:lastRowFirstColumn="0" w:lastRowLastColumn="0"/>
            <w:tcW w:w="580" w:type="pct"/>
          </w:tcPr>
          <w:p w14:paraId="49877D15" w14:textId="77777777" w:rsidR="004E45CF" w:rsidRPr="00CF3E3D" w:rsidRDefault="004E45CF" w:rsidP="00E44DBB">
            <w:pPr>
              <w:spacing w:before="85" w:line="288" w:lineRule="auto"/>
              <w:jc w:val="center"/>
              <w:rPr>
                <w:sz w:val="18"/>
                <w:szCs w:val="18"/>
              </w:rPr>
            </w:pPr>
            <w:r w:rsidRPr="00CF3E3D">
              <w:rPr>
                <w:sz w:val="18"/>
                <w:szCs w:val="18"/>
              </w:rPr>
              <w:t>72.5</w:t>
            </w:r>
          </w:p>
        </w:tc>
        <w:tc>
          <w:tcPr>
            <w:cnfStyle w:val="000010000000" w:firstRow="0" w:lastRow="0" w:firstColumn="0" w:lastColumn="0" w:oddVBand="1" w:evenVBand="0" w:oddHBand="0" w:evenHBand="0" w:firstRowFirstColumn="0" w:firstRowLastColumn="0" w:lastRowFirstColumn="0" w:lastRowLastColumn="0"/>
            <w:tcW w:w="580" w:type="pct"/>
          </w:tcPr>
          <w:p w14:paraId="6DD66A44" w14:textId="77777777" w:rsidR="004E45CF" w:rsidRPr="00CF3E3D" w:rsidRDefault="004E45CF" w:rsidP="00E44DBB">
            <w:pPr>
              <w:spacing w:before="85" w:line="288" w:lineRule="auto"/>
              <w:jc w:val="center"/>
              <w:rPr>
                <w:sz w:val="18"/>
                <w:szCs w:val="18"/>
              </w:rPr>
            </w:pPr>
            <w:r w:rsidRPr="00CF3E3D">
              <w:rPr>
                <w:sz w:val="18"/>
                <w:szCs w:val="18"/>
              </w:rPr>
              <w:t>80.2</w:t>
            </w:r>
          </w:p>
        </w:tc>
        <w:tc>
          <w:tcPr>
            <w:cnfStyle w:val="000001000000" w:firstRow="0" w:lastRow="0" w:firstColumn="0" w:lastColumn="0" w:oddVBand="0" w:evenVBand="1" w:oddHBand="0" w:evenHBand="0" w:firstRowFirstColumn="0" w:firstRowLastColumn="0" w:lastRowFirstColumn="0" w:lastRowLastColumn="0"/>
            <w:tcW w:w="580" w:type="pct"/>
          </w:tcPr>
          <w:p w14:paraId="55B79229" w14:textId="77777777" w:rsidR="004E45CF" w:rsidRPr="00CF3E3D" w:rsidRDefault="004E45CF" w:rsidP="00E44DBB">
            <w:pPr>
              <w:spacing w:before="85" w:line="288" w:lineRule="auto"/>
              <w:jc w:val="center"/>
              <w:rPr>
                <w:sz w:val="18"/>
                <w:szCs w:val="18"/>
              </w:rPr>
            </w:pPr>
            <w:r w:rsidRPr="00CF3E3D">
              <w:rPr>
                <w:sz w:val="18"/>
                <w:szCs w:val="18"/>
              </w:rPr>
              <w:t>84.3</w:t>
            </w:r>
          </w:p>
        </w:tc>
        <w:tc>
          <w:tcPr>
            <w:cnfStyle w:val="000010000000" w:firstRow="0" w:lastRow="0" w:firstColumn="0" w:lastColumn="0" w:oddVBand="1" w:evenVBand="0" w:oddHBand="0" w:evenHBand="0" w:firstRowFirstColumn="0" w:firstRowLastColumn="0" w:lastRowFirstColumn="0" w:lastRowLastColumn="0"/>
            <w:tcW w:w="580" w:type="pct"/>
          </w:tcPr>
          <w:p w14:paraId="7E6F189D" w14:textId="77777777" w:rsidR="004E45CF" w:rsidRPr="00CF3E3D" w:rsidRDefault="004E45CF" w:rsidP="00E44DBB">
            <w:pPr>
              <w:spacing w:before="85" w:line="288" w:lineRule="auto"/>
              <w:jc w:val="center"/>
              <w:rPr>
                <w:sz w:val="18"/>
                <w:szCs w:val="18"/>
              </w:rPr>
            </w:pPr>
            <w:r w:rsidRPr="00CF3E3D">
              <w:rPr>
                <w:sz w:val="18"/>
                <w:szCs w:val="18"/>
              </w:rPr>
              <w:t>87.4</w:t>
            </w:r>
          </w:p>
        </w:tc>
        <w:tc>
          <w:tcPr>
            <w:cnfStyle w:val="000001000000" w:firstRow="0" w:lastRow="0" w:firstColumn="0" w:lastColumn="0" w:oddVBand="0" w:evenVBand="1" w:oddHBand="0" w:evenHBand="0" w:firstRowFirstColumn="0" w:firstRowLastColumn="0" w:lastRowFirstColumn="0" w:lastRowLastColumn="0"/>
            <w:tcW w:w="580" w:type="pct"/>
          </w:tcPr>
          <w:p w14:paraId="07104A8E" w14:textId="77777777" w:rsidR="004E45CF" w:rsidRPr="00CF3E3D" w:rsidRDefault="004E45CF" w:rsidP="00E44DBB">
            <w:pPr>
              <w:spacing w:before="85" w:line="288" w:lineRule="auto"/>
              <w:jc w:val="center"/>
              <w:rPr>
                <w:sz w:val="18"/>
                <w:szCs w:val="18"/>
              </w:rPr>
            </w:pPr>
            <w:r w:rsidRPr="00CF3E3D">
              <w:rPr>
                <w:sz w:val="18"/>
                <w:szCs w:val="18"/>
              </w:rPr>
              <w:t>94.9</w:t>
            </w:r>
          </w:p>
        </w:tc>
        <w:tc>
          <w:tcPr>
            <w:cnfStyle w:val="000010000000" w:firstRow="0" w:lastRow="0" w:firstColumn="0" w:lastColumn="0" w:oddVBand="1" w:evenVBand="0" w:oddHBand="0" w:evenHBand="0" w:firstRowFirstColumn="0" w:firstRowLastColumn="0" w:lastRowFirstColumn="0" w:lastRowLastColumn="0"/>
            <w:tcW w:w="579" w:type="pct"/>
          </w:tcPr>
          <w:p w14:paraId="1708E575" w14:textId="77777777" w:rsidR="004E45CF" w:rsidRPr="00CF3E3D" w:rsidRDefault="004E45CF" w:rsidP="00E44DBB">
            <w:pPr>
              <w:spacing w:before="85" w:line="288" w:lineRule="auto"/>
              <w:jc w:val="center"/>
              <w:rPr>
                <w:sz w:val="18"/>
                <w:szCs w:val="18"/>
              </w:rPr>
            </w:pPr>
            <w:r w:rsidRPr="00CF3E3D">
              <w:rPr>
                <w:sz w:val="18"/>
                <w:szCs w:val="18"/>
              </w:rPr>
              <w:t>94.3</w:t>
            </w:r>
          </w:p>
        </w:tc>
      </w:tr>
      <w:tr w:rsidR="004E45CF" w:rsidRPr="00CF3E3D" w14:paraId="3C8D3AB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74BD4230" w14:textId="77777777" w:rsidR="004E45CF" w:rsidRPr="00CD22B6" w:rsidRDefault="004E45CF" w:rsidP="00E44DBB">
            <w:pPr>
              <w:spacing w:before="85" w:line="288" w:lineRule="auto"/>
              <w:jc w:val="left"/>
              <w:rPr>
                <w:b/>
                <w:bCs/>
                <w:sz w:val="18"/>
                <w:szCs w:val="18"/>
              </w:rPr>
            </w:pPr>
            <w:r w:rsidRPr="00CD22B6">
              <w:rPr>
                <w:b/>
                <w:bCs/>
                <w:sz w:val="18"/>
                <w:szCs w:val="18"/>
              </w:rPr>
              <w:t>Creative arts</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BA123A0" w14:textId="77777777" w:rsidR="004E45CF" w:rsidRPr="00CF3E3D" w:rsidRDefault="004E45CF" w:rsidP="00E44DBB">
            <w:pPr>
              <w:spacing w:before="85" w:line="288" w:lineRule="auto"/>
              <w:jc w:val="center"/>
              <w:rPr>
                <w:sz w:val="18"/>
                <w:szCs w:val="18"/>
              </w:rPr>
            </w:pPr>
            <w:r w:rsidRPr="00CF3E3D">
              <w:rPr>
                <w:sz w:val="18"/>
                <w:szCs w:val="18"/>
              </w:rPr>
              <w:t>49.2</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0FE07217" w14:textId="77777777" w:rsidR="004E45CF" w:rsidRPr="00CF3E3D" w:rsidRDefault="004E45CF" w:rsidP="00E44DBB">
            <w:pPr>
              <w:spacing w:before="85" w:line="288" w:lineRule="auto"/>
              <w:jc w:val="center"/>
              <w:rPr>
                <w:sz w:val="18"/>
                <w:szCs w:val="18"/>
              </w:rPr>
            </w:pPr>
            <w:r w:rsidRPr="00CF3E3D">
              <w:rPr>
                <w:sz w:val="18"/>
                <w:szCs w:val="18"/>
              </w:rPr>
              <w:t>57.3</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3085A257" w14:textId="77777777" w:rsidR="004E45CF" w:rsidRPr="00CF3E3D" w:rsidRDefault="004E45CF" w:rsidP="00E44DBB">
            <w:pPr>
              <w:spacing w:before="85" w:line="288" w:lineRule="auto"/>
              <w:jc w:val="center"/>
              <w:rPr>
                <w:sz w:val="18"/>
                <w:szCs w:val="18"/>
              </w:rPr>
            </w:pPr>
            <w:r w:rsidRPr="00CF3E3D">
              <w:rPr>
                <w:sz w:val="18"/>
                <w:szCs w:val="18"/>
              </w:rPr>
              <w:t>78.2</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1B1B01C" w14:textId="77777777" w:rsidR="004E45CF" w:rsidRPr="00CF3E3D" w:rsidRDefault="004E45CF" w:rsidP="00E44DBB">
            <w:pPr>
              <w:spacing w:before="85" w:line="288" w:lineRule="auto"/>
              <w:jc w:val="center"/>
              <w:rPr>
                <w:sz w:val="18"/>
                <w:szCs w:val="18"/>
              </w:rPr>
            </w:pPr>
            <w:r w:rsidRPr="00CF3E3D">
              <w:rPr>
                <w:sz w:val="18"/>
                <w:szCs w:val="18"/>
              </w:rPr>
              <w:t>81.2</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8BDE71B" w14:textId="77777777" w:rsidR="004E45CF" w:rsidRPr="00CF3E3D" w:rsidRDefault="004E45CF" w:rsidP="00E44DBB">
            <w:pPr>
              <w:spacing w:before="85" w:line="288" w:lineRule="auto"/>
              <w:jc w:val="center"/>
              <w:rPr>
                <w:sz w:val="18"/>
                <w:szCs w:val="18"/>
              </w:rPr>
            </w:pPr>
            <w:r w:rsidRPr="00CF3E3D">
              <w:rPr>
                <w:sz w:val="18"/>
                <w:szCs w:val="18"/>
              </w:rPr>
              <w:t>90.6</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5857D4D8" w14:textId="77777777" w:rsidR="004E45CF" w:rsidRPr="00CF3E3D" w:rsidRDefault="004E45CF" w:rsidP="00E44DBB">
            <w:pPr>
              <w:spacing w:before="85" w:line="288" w:lineRule="auto"/>
              <w:jc w:val="center"/>
              <w:rPr>
                <w:sz w:val="18"/>
                <w:szCs w:val="18"/>
              </w:rPr>
            </w:pPr>
            <w:r w:rsidRPr="00CF3E3D">
              <w:rPr>
                <w:sz w:val="18"/>
                <w:szCs w:val="18"/>
              </w:rPr>
              <w:t>90.2</w:t>
            </w:r>
          </w:p>
        </w:tc>
      </w:tr>
      <w:tr w:rsidR="004E45CF" w:rsidRPr="00CF3E3D" w14:paraId="2B778AA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11131717" w14:textId="77777777" w:rsidR="004E45CF" w:rsidRPr="00CD22B6" w:rsidRDefault="004E45CF" w:rsidP="00E44DBB">
            <w:pPr>
              <w:spacing w:before="85" w:line="288" w:lineRule="auto"/>
              <w:jc w:val="left"/>
              <w:rPr>
                <w:b/>
                <w:bCs/>
                <w:sz w:val="18"/>
                <w:szCs w:val="18"/>
              </w:rPr>
            </w:pPr>
            <w:r w:rsidRPr="00CD22B6">
              <w:rPr>
                <w:b/>
                <w:bCs/>
                <w:sz w:val="18"/>
                <w:szCs w:val="18"/>
              </w:rPr>
              <w:t>Communications</w:t>
            </w:r>
          </w:p>
        </w:tc>
        <w:tc>
          <w:tcPr>
            <w:cnfStyle w:val="000001000000" w:firstRow="0" w:lastRow="0" w:firstColumn="0" w:lastColumn="0" w:oddVBand="0" w:evenVBand="1" w:oddHBand="0" w:evenHBand="0" w:firstRowFirstColumn="0" w:firstRowLastColumn="0" w:lastRowFirstColumn="0" w:lastRowLastColumn="0"/>
            <w:tcW w:w="580" w:type="pct"/>
          </w:tcPr>
          <w:p w14:paraId="24698A33" w14:textId="77777777" w:rsidR="004E45CF" w:rsidRPr="00CF3E3D" w:rsidRDefault="004E45CF" w:rsidP="00E44DBB">
            <w:pPr>
              <w:spacing w:before="85" w:line="288" w:lineRule="auto"/>
              <w:jc w:val="center"/>
              <w:rPr>
                <w:sz w:val="18"/>
                <w:szCs w:val="18"/>
              </w:rPr>
            </w:pPr>
            <w:r w:rsidRPr="00CF3E3D">
              <w:rPr>
                <w:sz w:val="18"/>
                <w:szCs w:val="18"/>
              </w:rPr>
              <w:t>55.2</w:t>
            </w:r>
          </w:p>
        </w:tc>
        <w:tc>
          <w:tcPr>
            <w:cnfStyle w:val="000010000000" w:firstRow="0" w:lastRow="0" w:firstColumn="0" w:lastColumn="0" w:oddVBand="1" w:evenVBand="0" w:oddHBand="0" w:evenHBand="0" w:firstRowFirstColumn="0" w:firstRowLastColumn="0" w:lastRowFirstColumn="0" w:lastRowLastColumn="0"/>
            <w:tcW w:w="580" w:type="pct"/>
          </w:tcPr>
          <w:p w14:paraId="7FE78CE2" w14:textId="77777777" w:rsidR="004E45CF" w:rsidRPr="00CF3E3D" w:rsidRDefault="004E45CF" w:rsidP="00E44DBB">
            <w:pPr>
              <w:spacing w:before="85" w:line="288" w:lineRule="auto"/>
              <w:jc w:val="center"/>
              <w:rPr>
                <w:sz w:val="18"/>
                <w:szCs w:val="18"/>
              </w:rPr>
            </w:pPr>
            <w:r w:rsidRPr="00CF3E3D">
              <w:rPr>
                <w:sz w:val="18"/>
                <w:szCs w:val="18"/>
              </w:rPr>
              <w:t>68.4</w:t>
            </w:r>
          </w:p>
        </w:tc>
        <w:tc>
          <w:tcPr>
            <w:cnfStyle w:val="000001000000" w:firstRow="0" w:lastRow="0" w:firstColumn="0" w:lastColumn="0" w:oddVBand="0" w:evenVBand="1" w:oddHBand="0" w:evenHBand="0" w:firstRowFirstColumn="0" w:firstRowLastColumn="0" w:lastRowFirstColumn="0" w:lastRowLastColumn="0"/>
            <w:tcW w:w="580" w:type="pct"/>
          </w:tcPr>
          <w:p w14:paraId="7114A971" w14:textId="77777777" w:rsidR="004E45CF" w:rsidRPr="00CF3E3D" w:rsidRDefault="004E45CF" w:rsidP="00E44DBB">
            <w:pPr>
              <w:spacing w:before="85" w:line="288" w:lineRule="auto"/>
              <w:jc w:val="center"/>
              <w:rPr>
                <w:sz w:val="18"/>
                <w:szCs w:val="18"/>
              </w:rPr>
            </w:pPr>
            <w:r w:rsidRPr="00CF3E3D">
              <w:rPr>
                <w:sz w:val="18"/>
                <w:szCs w:val="18"/>
              </w:rPr>
              <w:t>81.5</w:t>
            </w:r>
          </w:p>
        </w:tc>
        <w:tc>
          <w:tcPr>
            <w:cnfStyle w:val="000010000000" w:firstRow="0" w:lastRow="0" w:firstColumn="0" w:lastColumn="0" w:oddVBand="1" w:evenVBand="0" w:oddHBand="0" w:evenHBand="0" w:firstRowFirstColumn="0" w:firstRowLastColumn="0" w:lastRowFirstColumn="0" w:lastRowLastColumn="0"/>
            <w:tcW w:w="580" w:type="pct"/>
          </w:tcPr>
          <w:p w14:paraId="40B55142" w14:textId="77777777" w:rsidR="004E45CF" w:rsidRPr="00CF3E3D" w:rsidRDefault="004E45CF" w:rsidP="00E44DBB">
            <w:pPr>
              <w:spacing w:before="85" w:line="288" w:lineRule="auto"/>
              <w:jc w:val="center"/>
              <w:rPr>
                <w:sz w:val="18"/>
                <w:szCs w:val="18"/>
              </w:rPr>
            </w:pPr>
            <w:r w:rsidRPr="00CF3E3D">
              <w:rPr>
                <w:sz w:val="18"/>
                <w:szCs w:val="18"/>
              </w:rPr>
              <w:t>86.5</w:t>
            </w:r>
          </w:p>
        </w:tc>
        <w:tc>
          <w:tcPr>
            <w:cnfStyle w:val="000001000000" w:firstRow="0" w:lastRow="0" w:firstColumn="0" w:lastColumn="0" w:oddVBand="0" w:evenVBand="1" w:oddHBand="0" w:evenHBand="0" w:firstRowFirstColumn="0" w:firstRowLastColumn="0" w:lastRowFirstColumn="0" w:lastRowLastColumn="0"/>
            <w:tcW w:w="580" w:type="pct"/>
          </w:tcPr>
          <w:p w14:paraId="06FB1889" w14:textId="77777777" w:rsidR="004E45CF" w:rsidRPr="00CF3E3D" w:rsidRDefault="004E45CF" w:rsidP="00E44DBB">
            <w:pPr>
              <w:spacing w:before="85" w:line="288" w:lineRule="auto"/>
              <w:jc w:val="center"/>
              <w:rPr>
                <w:sz w:val="18"/>
                <w:szCs w:val="18"/>
              </w:rPr>
            </w:pPr>
            <w:r w:rsidRPr="00CF3E3D">
              <w:rPr>
                <w:sz w:val="18"/>
                <w:szCs w:val="18"/>
              </w:rPr>
              <w:t>89.0</w:t>
            </w:r>
          </w:p>
        </w:tc>
        <w:tc>
          <w:tcPr>
            <w:cnfStyle w:val="000010000000" w:firstRow="0" w:lastRow="0" w:firstColumn="0" w:lastColumn="0" w:oddVBand="1" w:evenVBand="0" w:oddHBand="0" w:evenHBand="0" w:firstRowFirstColumn="0" w:firstRowLastColumn="0" w:lastRowFirstColumn="0" w:lastRowLastColumn="0"/>
            <w:tcW w:w="579" w:type="pct"/>
          </w:tcPr>
          <w:p w14:paraId="69E90527" w14:textId="77777777" w:rsidR="004E45CF" w:rsidRPr="00CF3E3D" w:rsidRDefault="004E45CF" w:rsidP="00E44DBB">
            <w:pPr>
              <w:spacing w:before="85" w:line="288" w:lineRule="auto"/>
              <w:jc w:val="center"/>
              <w:rPr>
                <w:sz w:val="18"/>
                <w:szCs w:val="18"/>
              </w:rPr>
            </w:pPr>
            <w:r w:rsidRPr="00CF3E3D">
              <w:rPr>
                <w:sz w:val="18"/>
                <w:szCs w:val="18"/>
              </w:rPr>
              <w:t>89.9</w:t>
            </w:r>
          </w:p>
        </w:tc>
      </w:tr>
      <w:tr w:rsidR="004E45CF" w:rsidRPr="00CF3E3D" w14:paraId="2A01670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240EE836" w14:textId="77777777" w:rsidR="004E45CF" w:rsidRPr="00CD22B6" w:rsidRDefault="004E45CF" w:rsidP="00E44DBB">
            <w:pPr>
              <w:spacing w:before="85" w:line="288" w:lineRule="auto"/>
              <w:jc w:val="left"/>
              <w:rPr>
                <w:b/>
                <w:bCs/>
                <w:sz w:val="18"/>
                <w:szCs w:val="18"/>
              </w:rPr>
            </w:pPr>
            <w:r w:rsidRPr="00CD22B6">
              <w:rPr>
                <w:b/>
                <w:bCs/>
                <w:sz w:val="18"/>
                <w:szCs w:val="18"/>
              </w:rPr>
              <w:t>Tourism, hospitality, personal services, sport and recreation</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AEF144A" w14:textId="77777777" w:rsidR="004E45CF" w:rsidRPr="00CF3E3D" w:rsidRDefault="004E45CF" w:rsidP="00E44DBB">
            <w:pPr>
              <w:spacing w:before="85" w:line="288" w:lineRule="auto"/>
              <w:jc w:val="center"/>
              <w:rPr>
                <w:sz w:val="18"/>
                <w:szCs w:val="18"/>
              </w:rPr>
            </w:pPr>
            <w:r w:rsidRPr="00CF3E3D">
              <w:rPr>
                <w:sz w:val="18"/>
                <w:szCs w:val="18"/>
              </w:rPr>
              <w:t>58.7</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70EA4F52" w14:textId="77777777" w:rsidR="004E45CF" w:rsidRPr="00CF3E3D" w:rsidRDefault="004E45CF" w:rsidP="00E44DBB">
            <w:pPr>
              <w:spacing w:before="85" w:line="288" w:lineRule="auto"/>
              <w:jc w:val="center"/>
              <w:rPr>
                <w:sz w:val="18"/>
                <w:szCs w:val="18"/>
              </w:rPr>
            </w:pPr>
            <w:r w:rsidRPr="00CF3E3D">
              <w:rPr>
                <w:sz w:val="18"/>
                <w:szCs w:val="18"/>
              </w:rPr>
              <w:t>65.1</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7F1E11E" w14:textId="77777777" w:rsidR="004E45CF" w:rsidRPr="00CF3E3D" w:rsidRDefault="004E45CF" w:rsidP="00E44DBB">
            <w:pPr>
              <w:spacing w:before="85" w:line="288" w:lineRule="auto"/>
              <w:jc w:val="center"/>
              <w:rPr>
                <w:sz w:val="18"/>
                <w:szCs w:val="18"/>
              </w:rPr>
            </w:pPr>
            <w:r w:rsidRPr="00CF3E3D">
              <w:rPr>
                <w:sz w:val="18"/>
                <w:szCs w:val="18"/>
              </w:rPr>
              <w:t>82.1</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45561E21" w14:textId="77777777" w:rsidR="004E45CF" w:rsidRPr="00CF3E3D" w:rsidRDefault="004E45CF" w:rsidP="00E44DBB">
            <w:pPr>
              <w:spacing w:before="85" w:line="288" w:lineRule="auto"/>
              <w:jc w:val="center"/>
              <w:rPr>
                <w:sz w:val="18"/>
                <w:szCs w:val="18"/>
              </w:rPr>
            </w:pPr>
            <w:r w:rsidRPr="00CF3E3D">
              <w:rPr>
                <w:sz w:val="18"/>
                <w:szCs w:val="18"/>
              </w:rPr>
              <w:t>89.4</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3CEB6DA" w14:textId="77777777" w:rsidR="004E45CF" w:rsidRPr="00CF3E3D" w:rsidRDefault="004E45CF" w:rsidP="00E44DBB">
            <w:pPr>
              <w:spacing w:before="85" w:line="288" w:lineRule="auto"/>
              <w:jc w:val="center"/>
              <w:rPr>
                <w:sz w:val="18"/>
                <w:szCs w:val="18"/>
              </w:rPr>
            </w:pPr>
            <w:r w:rsidRPr="00CF3E3D">
              <w:rPr>
                <w:sz w:val="18"/>
                <w:szCs w:val="18"/>
              </w:rPr>
              <w:t>91.2</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7C497B05" w14:textId="77777777" w:rsidR="004E45CF" w:rsidRPr="00CF3E3D" w:rsidRDefault="004E45CF" w:rsidP="00E44DBB">
            <w:pPr>
              <w:spacing w:before="85" w:line="288" w:lineRule="auto"/>
              <w:jc w:val="center"/>
              <w:rPr>
                <w:sz w:val="18"/>
                <w:szCs w:val="18"/>
              </w:rPr>
            </w:pPr>
            <w:r w:rsidRPr="00CF3E3D">
              <w:rPr>
                <w:sz w:val="18"/>
                <w:szCs w:val="18"/>
              </w:rPr>
              <w:t>96.2</w:t>
            </w:r>
          </w:p>
        </w:tc>
      </w:tr>
      <w:tr w:rsidR="004E45CF" w:rsidRPr="00CF3E3D" w14:paraId="1386C23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12D95254" w14:textId="77777777" w:rsidR="004E45CF" w:rsidRPr="00CD22B6" w:rsidRDefault="004E45CF" w:rsidP="00E44DBB">
            <w:pPr>
              <w:spacing w:before="85" w:line="288" w:lineRule="auto"/>
              <w:jc w:val="left"/>
              <w:rPr>
                <w:b/>
                <w:bCs/>
                <w:sz w:val="18"/>
                <w:szCs w:val="18"/>
              </w:rPr>
            </w:pPr>
            <w:r w:rsidRPr="00CD22B6">
              <w:rPr>
                <w:b/>
                <w:bCs/>
                <w:sz w:val="18"/>
                <w:szCs w:val="18"/>
              </w:rPr>
              <w:lastRenderedPageBreak/>
              <w:t>All study areas</w:t>
            </w:r>
          </w:p>
        </w:tc>
        <w:tc>
          <w:tcPr>
            <w:cnfStyle w:val="000001000000" w:firstRow="0" w:lastRow="0" w:firstColumn="0" w:lastColumn="0" w:oddVBand="0" w:evenVBand="1" w:oddHBand="0" w:evenHBand="0" w:firstRowFirstColumn="0" w:firstRowLastColumn="0" w:lastRowFirstColumn="0" w:lastRowLastColumn="0"/>
            <w:tcW w:w="580" w:type="pct"/>
          </w:tcPr>
          <w:p w14:paraId="36382680" w14:textId="77777777" w:rsidR="004E45CF" w:rsidRPr="00CF3E3D" w:rsidRDefault="004E45CF" w:rsidP="00E44DBB">
            <w:pPr>
              <w:spacing w:before="85" w:line="288" w:lineRule="auto"/>
              <w:jc w:val="center"/>
              <w:rPr>
                <w:b/>
                <w:bCs/>
                <w:sz w:val="18"/>
                <w:szCs w:val="18"/>
              </w:rPr>
            </w:pPr>
            <w:r w:rsidRPr="00CF3E3D">
              <w:rPr>
                <w:b/>
                <w:bCs/>
                <w:sz w:val="18"/>
                <w:szCs w:val="18"/>
              </w:rPr>
              <w:t>68.9</w:t>
            </w:r>
          </w:p>
        </w:tc>
        <w:tc>
          <w:tcPr>
            <w:cnfStyle w:val="000010000000" w:firstRow="0" w:lastRow="0" w:firstColumn="0" w:lastColumn="0" w:oddVBand="1" w:evenVBand="0" w:oddHBand="0" w:evenHBand="0" w:firstRowFirstColumn="0" w:firstRowLastColumn="0" w:lastRowFirstColumn="0" w:lastRowLastColumn="0"/>
            <w:tcW w:w="580" w:type="pct"/>
          </w:tcPr>
          <w:p w14:paraId="2329C901" w14:textId="77777777" w:rsidR="004E45CF" w:rsidRPr="00CF3E3D" w:rsidRDefault="004E45CF" w:rsidP="00E44DBB">
            <w:pPr>
              <w:spacing w:before="85" w:line="288" w:lineRule="auto"/>
              <w:jc w:val="center"/>
              <w:rPr>
                <w:b/>
                <w:bCs/>
                <w:sz w:val="18"/>
                <w:szCs w:val="18"/>
              </w:rPr>
            </w:pPr>
            <w:r w:rsidRPr="00CF3E3D">
              <w:rPr>
                <w:b/>
                <w:bCs/>
                <w:sz w:val="18"/>
                <w:szCs w:val="18"/>
              </w:rPr>
              <w:t>78.5</w:t>
            </w:r>
          </w:p>
        </w:tc>
        <w:tc>
          <w:tcPr>
            <w:cnfStyle w:val="000001000000" w:firstRow="0" w:lastRow="0" w:firstColumn="0" w:lastColumn="0" w:oddVBand="0" w:evenVBand="1" w:oddHBand="0" w:evenHBand="0" w:firstRowFirstColumn="0" w:firstRowLastColumn="0" w:lastRowFirstColumn="0" w:lastRowLastColumn="0"/>
            <w:tcW w:w="580" w:type="pct"/>
          </w:tcPr>
          <w:p w14:paraId="1510F04D" w14:textId="77777777" w:rsidR="004E45CF" w:rsidRPr="00CF3E3D" w:rsidRDefault="004E45CF" w:rsidP="00E44DBB">
            <w:pPr>
              <w:spacing w:before="85" w:line="288" w:lineRule="auto"/>
              <w:jc w:val="center"/>
              <w:rPr>
                <w:b/>
                <w:bCs/>
                <w:sz w:val="18"/>
                <w:szCs w:val="18"/>
              </w:rPr>
            </w:pPr>
            <w:r w:rsidRPr="00CF3E3D">
              <w:rPr>
                <w:b/>
                <w:bCs/>
                <w:sz w:val="18"/>
                <w:szCs w:val="18"/>
              </w:rPr>
              <w:t>84.8</w:t>
            </w:r>
          </w:p>
        </w:tc>
        <w:tc>
          <w:tcPr>
            <w:cnfStyle w:val="000010000000" w:firstRow="0" w:lastRow="0" w:firstColumn="0" w:lastColumn="0" w:oddVBand="1" w:evenVBand="0" w:oddHBand="0" w:evenHBand="0" w:firstRowFirstColumn="0" w:firstRowLastColumn="0" w:lastRowFirstColumn="0" w:lastRowLastColumn="0"/>
            <w:tcW w:w="580" w:type="pct"/>
          </w:tcPr>
          <w:p w14:paraId="45DF71A5" w14:textId="77777777" w:rsidR="004E45CF" w:rsidRPr="00CF3E3D" w:rsidRDefault="004E45CF" w:rsidP="00E44DBB">
            <w:pPr>
              <w:spacing w:before="85" w:line="288" w:lineRule="auto"/>
              <w:jc w:val="center"/>
              <w:rPr>
                <w:b/>
                <w:bCs/>
                <w:sz w:val="18"/>
                <w:szCs w:val="18"/>
              </w:rPr>
            </w:pPr>
            <w:r w:rsidRPr="00CF3E3D">
              <w:rPr>
                <w:b/>
                <w:bCs/>
                <w:sz w:val="18"/>
                <w:szCs w:val="18"/>
              </w:rPr>
              <w:t>88.3</w:t>
            </w:r>
          </w:p>
        </w:tc>
        <w:tc>
          <w:tcPr>
            <w:cnfStyle w:val="000001000000" w:firstRow="0" w:lastRow="0" w:firstColumn="0" w:lastColumn="0" w:oddVBand="0" w:evenVBand="1" w:oddHBand="0" w:evenHBand="0" w:firstRowFirstColumn="0" w:firstRowLastColumn="0" w:lastRowFirstColumn="0" w:lastRowLastColumn="0"/>
            <w:tcW w:w="580" w:type="pct"/>
          </w:tcPr>
          <w:p w14:paraId="28179F35" w14:textId="77777777" w:rsidR="004E45CF" w:rsidRPr="00CF3E3D" w:rsidRDefault="004E45CF" w:rsidP="00E44DBB">
            <w:pPr>
              <w:spacing w:before="85" w:line="288" w:lineRule="auto"/>
              <w:jc w:val="center"/>
              <w:rPr>
                <w:b/>
                <w:bCs/>
                <w:sz w:val="18"/>
                <w:szCs w:val="18"/>
              </w:rPr>
            </w:pPr>
            <w:r w:rsidRPr="00CF3E3D">
              <w:rPr>
                <w:b/>
                <w:bCs/>
                <w:sz w:val="18"/>
                <w:szCs w:val="18"/>
              </w:rPr>
              <w:t>92.0</w:t>
            </w:r>
          </w:p>
        </w:tc>
        <w:tc>
          <w:tcPr>
            <w:cnfStyle w:val="000010000000" w:firstRow="0" w:lastRow="0" w:firstColumn="0" w:lastColumn="0" w:oddVBand="1" w:evenVBand="0" w:oddHBand="0" w:evenHBand="0" w:firstRowFirstColumn="0" w:firstRowLastColumn="0" w:lastRowFirstColumn="0" w:lastRowLastColumn="0"/>
            <w:tcW w:w="579" w:type="pct"/>
          </w:tcPr>
          <w:p w14:paraId="2D438D0C" w14:textId="77777777" w:rsidR="004E45CF" w:rsidRPr="00CF3E3D" w:rsidRDefault="004E45CF" w:rsidP="00E44DBB">
            <w:pPr>
              <w:spacing w:before="85" w:line="288" w:lineRule="auto"/>
              <w:jc w:val="center"/>
              <w:rPr>
                <w:b/>
                <w:bCs/>
                <w:sz w:val="18"/>
                <w:szCs w:val="18"/>
              </w:rPr>
            </w:pPr>
            <w:r w:rsidRPr="00CF3E3D">
              <w:rPr>
                <w:b/>
                <w:bCs/>
                <w:sz w:val="18"/>
                <w:szCs w:val="18"/>
              </w:rPr>
              <w:t>92.4</w:t>
            </w:r>
          </w:p>
        </w:tc>
      </w:tr>
      <w:tr w:rsidR="004E45CF" w:rsidRPr="00CF3E3D" w14:paraId="737BC7B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3D50B40" w14:textId="77777777" w:rsidR="004E45CF" w:rsidRPr="00CD22B6" w:rsidRDefault="004E45CF" w:rsidP="00E44DBB">
            <w:pPr>
              <w:spacing w:before="85" w:line="288" w:lineRule="auto"/>
              <w:jc w:val="left"/>
              <w:rPr>
                <w:b/>
                <w:bCs/>
                <w:sz w:val="18"/>
                <w:szCs w:val="18"/>
              </w:rPr>
            </w:pPr>
            <w:r w:rsidRPr="00CD22B6">
              <w:rPr>
                <w:b/>
                <w:bCs/>
                <w:sz w:val="18"/>
                <w:szCs w:val="18"/>
              </w:rPr>
              <w:t>Standard deviation</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0F1D5F3C" w14:textId="77777777" w:rsidR="004E45CF" w:rsidRPr="00CF3E3D" w:rsidRDefault="004E45CF" w:rsidP="00E44DBB">
            <w:pPr>
              <w:spacing w:before="85" w:line="288" w:lineRule="auto"/>
              <w:jc w:val="center"/>
              <w:rPr>
                <w:b/>
                <w:bCs/>
                <w:sz w:val="18"/>
                <w:szCs w:val="18"/>
              </w:rPr>
            </w:pPr>
            <w:r w:rsidRPr="00CF3E3D">
              <w:rPr>
                <w:sz w:val="18"/>
                <w:szCs w:val="18"/>
              </w:rPr>
              <w:t>13.0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74DB311F" w14:textId="77777777" w:rsidR="004E45CF" w:rsidRPr="00CF3E3D" w:rsidRDefault="004E45CF" w:rsidP="00E44DBB">
            <w:pPr>
              <w:spacing w:before="85" w:line="288" w:lineRule="auto"/>
              <w:jc w:val="center"/>
              <w:rPr>
                <w:sz w:val="18"/>
                <w:szCs w:val="18"/>
              </w:rPr>
            </w:pPr>
            <w:r w:rsidRPr="00CF3E3D">
              <w:rPr>
                <w:sz w:val="18"/>
                <w:szCs w:val="18"/>
              </w:rPr>
              <w:t>10.1</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7F87889" w14:textId="77777777" w:rsidR="004E45CF" w:rsidRPr="00CF3E3D" w:rsidRDefault="004E45CF" w:rsidP="00E44DBB">
            <w:pPr>
              <w:spacing w:before="85" w:line="288" w:lineRule="auto"/>
              <w:jc w:val="center"/>
              <w:rPr>
                <w:b/>
                <w:bCs/>
                <w:sz w:val="18"/>
                <w:szCs w:val="18"/>
              </w:rPr>
            </w:pPr>
            <w:r w:rsidRPr="00CF3E3D">
              <w:rPr>
                <w:sz w:val="18"/>
                <w:szCs w:val="18"/>
              </w:rPr>
              <w:t>5.3</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3234E66E" w14:textId="77777777" w:rsidR="004E45CF" w:rsidRPr="00CF3E3D" w:rsidRDefault="004E45CF" w:rsidP="00E44DBB">
            <w:pPr>
              <w:spacing w:before="85" w:line="288" w:lineRule="auto"/>
              <w:jc w:val="center"/>
              <w:rPr>
                <w:sz w:val="18"/>
                <w:szCs w:val="18"/>
              </w:rPr>
            </w:pPr>
            <w:r w:rsidRPr="00CF3E3D">
              <w:rPr>
                <w:sz w:val="18"/>
                <w:szCs w:val="18"/>
              </w:rPr>
              <w:t>4.0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3278C874" w14:textId="77777777" w:rsidR="004E45CF" w:rsidRPr="00CF3E3D" w:rsidRDefault="004E45CF" w:rsidP="00E44DBB">
            <w:pPr>
              <w:spacing w:before="85" w:line="288" w:lineRule="auto"/>
              <w:jc w:val="center"/>
              <w:rPr>
                <w:b/>
                <w:bCs/>
                <w:sz w:val="18"/>
                <w:szCs w:val="18"/>
              </w:rPr>
            </w:pPr>
            <w:r w:rsidRPr="00CF3E3D">
              <w:rPr>
                <w:sz w:val="18"/>
                <w:szCs w:val="18"/>
              </w:rPr>
              <w:t>3.3</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5EAED059" w14:textId="77777777" w:rsidR="004E45CF" w:rsidRPr="00CF3E3D" w:rsidRDefault="004E45CF" w:rsidP="00E44DBB">
            <w:pPr>
              <w:spacing w:before="85" w:line="288" w:lineRule="auto"/>
              <w:jc w:val="center"/>
              <w:rPr>
                <w:sz w:val="18"/>
                <w:szCs w:val="18"/>
              </w:rPr>
            </w:pPr>
            <w:r w:rsidRPr="00CF3E3D">
              <w:rPr>
                <w:sz w:val="18"/>
                <w:szCs w:val="18"/>
              </w:rPr>
              <w:t>2.6</w:t>
            </w:r>
          </w:p>
        </w:tc>
      </w:tr>
    </w:tbl>
    <w:p w14:paraId="6EAA7C97" w14:textId="77777777" w:rsidR="004E45CF" w:rsidRPr="00CF3E3D" w:rsidRDefault="004E45CF" w:rsidP="004E45CF">
      <w:pPr>
        <w:pStyle w:val="Tabletext"/>
        <w:rPr>
          <w:rFonts w:ascii="Arial" w:hAnsi="Arial" w:cs="Arial"/>
          <w:color w:val="auto"/>
          <w:sz w:val="18"/>
        </w:rPr>
      </w:pPr>
    </w:p>
    <w:p w14:paraId="1D7AB274" w14:textId="77777777" w:rsidR="004E45CF" w:rsidRPr="00CF3E3D" w:rsidRDefault="004E45CF" w:rsidP="004E45CF">
      <w:pPr>
        <w:pStyle w:val="Body"/>
        <w:rPr>
          <w:highlight w:val="yellow"/>
        </w:rPr>
      </w:pPr>
      <w:bookmarkStart w:id="67" w:name="_Ref77866985"/>
      <w:bookmarkStart w:id="68" w:name="_Ref77943833"/>
      <w:bookmarkStart w:id="69" w:name="_Toc22200704"/>
      <w:r w:rsidRPr="00CF3E3D">
        <w:t xml:space="preserve">Median undergraduate full-time salaries in 2022 ranged between study areas from a high of $100,000 down to $52,200, with a standard deviation of $9,800, as shown by </w:t>
      </w:r>
      <w:r>
        <w:fldChar w:fldCharType="begin"/>
      </w:r>
      <w:r>
        <w:instrText xml:space="preserve"> REF _Ref115945341 \h </w:instrText>
      </w:r>
      <w:r>
        <w:fldChar w:fldCharType="separate"/>
      </w:r>
      <w:r w:rsidRPr="00CF3E3D">
        <w:t xml:space="preserve">Table </w:t>
      </w:r>
      <w:r>
        <w:rPr>
          <w:noProof/>
        </w:rPr>
        <w:t>10</w:t>
      </w:r>
      <w:r>
        <w:fldChar w:fldCharType="end"/>
      </w:r>
      <w:r>
        <w:fldChar w:fldCharType="begin"/>
      </w:r>
      <w:r>
        <w:instrText xml:space="preserve"> REF _Ref77943833 \h  \* MERGEFORMAT </w:instrText>
      </w:r>
      <w:r w:rsidR="0067537F">
        <w:fldChar w:fldCharType="separate"/>
      </w:r>
      <w:r>
        <w:fldChar w:fldCharType="end"/>
      </w:r>
      <w:r w:rsidRPr="00CF3E3D">
        <w:t>. The areas with the highest graduate salaries were Dentistry at $100,000, Medicine $79,800, Social work $75,000, Teacher education $72,200, and Engineering $71,500. The study areas with the lowest full-time median undergraduate salaries were Pharmacy at $52,200, Tourism, hospitality, personal services, sport and recreation $54,800, Creative arts $56,800, and Communications $60,000. The variation in salary between study areas was higher for male graduates, with a standard deviation of $10,900 compared to $10,100 for female graduates.</w:t>
      </w:r>
    </w:p>
    <w:p w14:paraId="071CE0E3" w14:textId="77777777" w:rsidR="004E45CF" w:rsidRPr="00CF3E3D" w:rsidRDefault="004E45CF" w:rsidP="004E45CF">
      <w:pPr>
        <w:pStyle w:val="Body"/>
      </w:pPr>
      <w:r w:rsidRPr="00CF3E3D">
        <w:t>The gender gap in undergraduate salaries immediately upon graduation can be explained, in part, by the fact that females are more likely to graduate from study areas which receive lower levels of remuneration. However, it is also the case that at the undergraduate level, females earn less overall than their male counterparts within most study areas. The study areas which exhibit the highest gaps between male and female salaries include Tourism, hospitality, personal services, sport and recreation with a gap of $9,400, Architecture and built environment $8,000, Creative arts $5,000, and Law and paralegal studies $4,600. In 2022, Agriculture and environmental studies, Social work, Computing and information systems, and Business and management were the exceptions where female undergraduate median salaries are higher than or equal to their male counterparts. This demonstrates that beyond subject choice, the gender gap in median graduate salaries persists due to a range of other factors such as occupation, age, experience, personal factors, and possible inequalities within workplaces.</w:t>
      </w:r>
    </w:p>
    <w:p w14:paraId="79EC28A5" w14:textId="5A09546F" w:rsidR="004E45CF" w:rsidRPr="005F398C" w:rsidRDefault="004E45CF" w:rsidP="004E45CF">
      <w:pPr>
        <w:pStyle w:val="Caption"/>
        <w:rPr>
          <w:color w:val="000000" w:themeColor="text1"/>
        </w:rPr>
      </w:pPr>
      <w:bookmarkStart w:id="70" w:name="_Ref115945341"/>
      <w:bookmarkStart w:id="71" w:name="_Toc116035804"/>
      <w:bookmarkStart w:id="72" w:name="_Toc116040359"/>
      <w:r w:rsidRPr="005F398C">
        <w:rPr>
          <w:color w:val="000000" w:themeColor="text1"/>
        </w:rPr>
        <w:t xml:space="preserve">Table </w:t>
      </w:r>
      <w:r w:rsidRPr="005F398C">
        <w:rPr>
          <w:color w:val="000000" w:themeColor="text1"/>
        </w:rPr>
        <w:fldChar w:fldCharType="begin"/>
      </w:r>
      <w:r w:rsidRPr="005F398C">
        <w:rPr>
          <w:color w:val="000000" w:themeColor="text1"/>
        </w:rPr>
        <w:instrText xml:space="preserve"> SEQ Table \* ARABIC </w:instrText>
      </w:r>
      <w:r w:rsidRPr="005F398C">
        <w:rPr>
          <w:color w:val="000000" w:themeColor="text1"/>
        </w:rPr>
        <w:fldChar w:fldCharType="separate"/>
      </w:r>
      <w:r w:rsidR="005606F7">
        <w:rPr>
          <w:noProof/>
          <w:color w:val="000000" w:themeColor="text1"/>
        </w:rPr>
        <w:t>10</w:t>
      </w:r>
      <w:r w:rsidRPr="005F398C">
        <w:rPr>
          <w:color w:val="000000" w:themeColor="text1"/>
        </w:rPr>
        <w:fldChar w:fldCharType="end"/>
      </w:r>
      <w:bookmarkEnd w:id="67"/>
      <w:bookmarkEnd w:id="68"/>
      <w:bookmarkEnd w:id="70"/>
      <w:r w:rsidRPr="005F398C">
        <w:rPr>
          <w:color w:val="000000" w:themeColor="text1"/>
        </w:rPr>
        <w:t xml:space="preserve"> Undergraduate median full-time salaries by study area, 2021-20</w:t>
      </w:r>
      <w:bookmarkEnd w:id="69"/>
      <w:r w:rsidRPr="005F398C">
        <w:rPr>
          <w:color w:val="000000" w:themeColor="text1"/>
        </w:rPr>
        <w:t>22</w:t>
      </w:r>
      <w:r w:rsidRPr="005F398C">
        <w:rPr>
          <w:rStyle w:val="FootnoteReference"/>
          <w:rFonts w:ascii="Arial" w:hAnsi="Arial"/>
          <w:color w:val="000000" w:themeColor="text1"/>
        </w:rPr>
        <w:footnoteReference w:id="5"/>
      </w:r>
      <w:r w:rsidRPr="005F398C">
        <w:rPr>
          <w:color w:val="000000" w:themeColor="text1"/>
        </w:rPr>
        <w:t xml:space="preserve"> ($)</w:t>
      </w:r>
      <w:bookmarkEnd w:id="71"/>
      <w:bookmarkEnd w:id="72"/>
    </w:p>
    <w:tbl>
      <w:tblPr>
        <w:tblStyle w:val="TableGrid"/>
        <w:tblW w:w="5128" w:type="pct"/>
        <w:tblLook w:val="0020" w:firstRow="1" w:lastRow="0" w:firstColumn="0" w:lastColumn="0" w:noHBand="0" w:noVBand="0"/>
        <w:tblCaption w:val="Table 5  Short- (2014) and medium-term (2017) outcomes for undergraduates by study area "/>
      </w:tblPr>
      <w:tblGrid>
        <w:gridCol w:w="2830"/>
        <w:gridCol w:w="1079"/>
        <w:gridCol w:w="1079"/>
        <w:gridCol w:w="1079"/>
        <w:gridCol w:w="1079"/>
        <w:gridCol w:w="1079"/>
        <w:gridCol w:w="1077"/>
      </w:tblGrid>
      <w:tr w:rsidR="004E45CF" w:rsidRPr="00CF3E3D" w14:paraId="548A3256" w14:textId="77777777" w:rsidTr="00892AFB">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73E04D61" w14:textId="7B3EA8B3" w:rsidR="004E45CF" w:rsidRPr="00CF3E3D" w:rsidRDefault="00BD73E4" w:rsidP="00892AFB">
            <w:pPr>
              <w:jc w:val="left"/>
              <w:rPr>
                <w:b w:val="0"/>
                <w:sz w:val="18"/>
                <w:szCs w:val="18"/>
              </w:rPr>
            </w:pPr>
            <w:bookmarkStart w:id="73" w:name="Title10"/>
            <w:bookmarkEnd w:id="73"/>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7F0583C9" w14:textId="77777777" w:rsidR="004E45CF" w:rsidRPr="005F398C" w:rsidRDefault="004E45CF" w:rsidP="00892AFB">
            <w:pPr>
              <w:pStyle w:val="TablecolumnheadCENTRETABLES"/>
              <w:rPr>
                <w:rFonts w:ascii="Arial" w:hAnsi="Arial" w:cs="Arial"/>
                <w:b/>
                <w:color w:val="FFFFFF" w:themeColor="background1"/>
                <w:sz w:val="18"/>
                <w:szCs w:val="18"/>
              </w:rPr>
            </w:pPr>
            <w:r w:rsidRPr="005F398C">
              <w:rPr>
                <w:rFonts w:ascii="Arial" w:hAnsi="Arial" w:cs="Arial"/>
                <w:b/>
                <w:caps w:val="0"/>
                <w:color w:val="FFFFFF" w:themeColor="background1"/>
                <w:sz w:val="18"/>
                <w:szCs w:val="18"/>
              </w:rPr>
              <w:t>Female</w:t>
            </w:r>
            <w:r w:rsidRPr="005F398C">
              <w:rPr>
                <w:rFonts w:ascii="Arial" w:hAnsi="Arial" w:cs="Arial"/>
                <w:b/>
                <w:color w:val="FFFFFF" w:themeColor="background1"/>
                <w:sz w:val="18"/>
                <w:szCs w:val="18"/>
              </w:rPr>
              <w:t xml:space="preserve"> 2021</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19DB879" w14:textId="77777777" w:rsidR="004E45CF" w:rsidRPr="005F398C" w:rsidRDefault="004E45CF" w:rsidP="00892AFB">
            <w:pPr>
              <w:pStyle w:val="TablecolumnheadCENTRETABLES"/>
              <w:rPr>
                <w:rFonts w:ascii="Arial" w:hAnsi="Arial" w:cs="Arial"/>
                <w:b/>
                <w:color w:val="FFFFFF" w:themeColor="background1"/>
                <w:sz w:val="18"/>
                <w:szCs w:val="18"/>
              </w:rPr>
            </w:pPr>
            <w:r w:rsidRPr="005F398C">
              <w:rPr>
                <w:rFonts w:ascii="Arial" w:hAnsi="Arial" w:cs="Arial"/>
                <w:b/>
                <w:caps w:val="0"/>
                <w:color w:val="FFFFFF" w:themeColor="background1"/>
                <w:sz w:val="18"/>
                <w:szCs w:val="18"/>
              </w:rPr>
              <w:t>Female</w:t>
            </w:r>
            <w:r w:rsidRPr="005F398C">
              <w:rPr>
                <w:rFonts w:ascii="Arial" w:hAnsi="Arial" w:cs="Arial"/>
                <w:b/>
                <w:color w:val="FFFFFF" w:themeColor="background1"/>
                <w:sz w:val="18"/>
                <w:szCs w:val="18"/>
              </w:rPr>
              <w:t xml:space="preserve"> 2022</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ABAB692" w14:textId="77777777" w:rsidR="004E45CF" w:rsidRPr="005F398C" w:rsidRDefault="004E45CF" w:rsidP="00892AFB">
            <w:pPr>
              <w:pStyle w:val="TablecolumnheadCENTRETABLES"/>
              <w:rPr>
                <w:rFonts w:ascii="Arial" w:hAnsi="Arial" w:cs="Arial"/>
                <w:b/>
                <w:color w:val="FFFFFF" w:themeColor="background1"/>
                <w:sz w:val="18"/>
                <w:szCs w:val="18"/>
              </w:rPr>
            </w:pPr>
            <w:r w:rsidRPr="005F398C">
              <w:rPr>
                <w:rFonts w:ascii="Arial" w:hAnsi="Arial" w:cs="Arial"/>
                <w:b/>
                <w:caps w:val="0"/>
                <w:color w:val="FFFFFF" w:themeColor="background1"/>
                <w:sz w:val="18"/>
                <w:szCs w:val="18"/>
              </w:rPr>
              <w:t>Male</w:t>
            </w:r>
            <w:r w:rsidRPr="005F398C">
              <w:rPr>
                <w:rFonts w:ascii="Arial" w:hAnsi="Arial" w:cs="Arial"/>
                <w:b/>
                <w:color w:val="FFFFFF" w:themeColor="background1"/>
                <w:sz w:val="18"/>
                <w:szCs w:val="18"/>
              </w:rPr>
              <w:t xml:space="preserve"> 2021</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7FAFD39" w14:textId="77777777" w:rsidR="004E45CF" w:rsidRPr="005F398C" w:rsidRDefault="004E45CF" w:rsidP="00892AFB">
            <w:pPr>
              <w:pStyle w:val="TablecolumnheadCENTRETABLES"/>
              <w:rPr>
                <w:rFonts w:ascii="Arial" w:hAnsi="Arial" w:cs="Arial"/>
                <w:b/>
                <w:color w:val="FFFFFF" w:themeColor="background1"/>
                <w:sz w:val="18"/>
                <w:szCs w:val="18"/>
              </w:rPr>
            </w:pPr>
            <w:r w:rsidRPr="005F398C">
              <w:rPr>
                <w:rFonts w:ascii="Arial" w:hAnsi="Arial" w:cs="Arial"/>
                <w:b/>
                <w:caps w:val="0"/>
                <w:color w:val="FFFFFF" w:themeColor="background1"/>
                <w:sz w:val="18"/>
                <w:szCs w:val="18"/>
              </w:rPr>
              <w:t>Male</w:t>
            </w:r>
            <w:r w:rsidRPr="005F398C">
              <w:rPr>
                <w:rFonts w:ascii="Arial" w:hAnsi="Arial" w:cs="Arial"/>
                <w:b/>
                <w:color w:val="FFFFFF" w:themeColor="background1"/>
                <w:sz w:val="18"/>
                <w:szCs w:val="18"/>
              </w:rPr>
              <w:t xml:space="preserve"> 2022</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2D122B1" w14:textId="77777777" w:rsidR="004E45CF" w:rsidRPr="005F398C" w:rsidRDefault="004E45CF" w:rsidP="00892AFB">
            <w:pPr>
              <w:pStyle w:val="TablecolumnheadCENTRETABLES"/>
              <w:rPr>
                <w:rFonts w:ascii="Arial" w:hAnsi="Arial" w:cs="Arial"/>
                <w:b/>
                <w:color w:val="FFFFFF" w:themeColor="background1"/>
                <w:sz w:val="18"/>
                <w:szCs w:val="18"/>
              </w:rPr>
            </w:pPr>
            <w:r w:rsidRPr="005F398C">
              <w:rPr>
                <w:rFonts w:ascii="Arial" w:hAnsi="Arial" w:cs="Arial"/>
                <w:b/>
                <w:caps w:val="0"/>
                <w:color w:val="FFFFFF" w:themeColor="background1"/>
                <w:sz w:val="18"/>
                <w:szCs w:val="18"/>
              </w:rPr>
              <w:t>Total</w:t>
            </w:r>
            <w:r w:rsidRPr="005F398C">
              <w:rPr>
                <w:rFonts w:ascii="Arial" w:hAnsi="Arial" w:cs="Arial"/>
                <w:b/>
                <w:color w:val="FFFFFF" w:themeColor="background1"/>
                <w:sz w:val="18"/>
                <w:szCs w:val="18"/>
              </w:rPr>
              <w:t xml:space="preserve"> 2021</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7C2C8F81" w14:textId="77777777" w:rsidR="004E45CF" w:rsidRPr="005F398C" w:rsidRDefault="004E45CF" w:rsidP="00892AFB">
            <w:pPr>
              <w:pStyle w:val="TablecolumnheadCENTRETABLES"/>
              <w:rPr>
                <w:rFonts w:ascii="Arial" w:hAnsi="Arial" w:cs="Arial"/>
                <w:b/>
                <w:color w:val="FFFFFF" w:themeColor="background1"/>
                <w:sz w:val="18"/>
                <w:szCs w:val="18"/>
              </w:rPr>
            </w:pPr>
            <w:r w:rsidRPr="005F398C">
              <w:rPr>
                <w:rFonts w:ascii="Arial" w:hAnsi="Arial" w:cs="Arial"/>
                <w:b/>
                <w:caps w:val="0"/>
                <w:color w:val="FFFFFF" w:themeColor="background1"/>
                <w:sz w:val="18"/>
                <w:szCs w:val="18"/>
              </w:rPr>
              <w:t>Total</w:t>
            </w:r>
            <w:r w:rsidRPr="005F398C">
              <w:rPr>
                <w:rFonts w:ascii="Arial" w:hAnsi="Arial" w:cs="Arial"/>
                <w:b/>
                <w:color w:val="FFFFFF" w:themeColor="background1"/>
                <w:sz w:val="18"/>
                <w:szCs w:val="18"/>
              </w:rPr>
              <w:t xml:space="preserve"> 2022</w:t>
            </w:r>
          </w:p>
        </w:tc>
      </w:tr>
      <w:tr w:rsidR="004E45CF" w:rsidRPr="00CF3E3D" w14:paraId="77BD55B0"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54B9EB6D" w14:textId="77777777" w:rsidR="004E45CF" w:rsidRPr="00B1187E" w:rsidRDefault="004E45CF" w:rsidP="00892AFB">
            <w:pPr>
              <w:spacing w:before="85" w:line="288" w:lineRule="auto"/>
              <w:jc w:val="left"/>
              <w:rPr>
                <w:b/>
                <w:bCs/>
                <w:sz w:val="18"/>
                <w:szCs w:val="18"/>
              </w:rPr>
            </w:pPr>
            <w:r w:rsidRPr="00B1187E">
              <w:rPr>
                <w:b/>
                <w:bCs/>
                <w:sz w:val="18"/>
              </w:rPr>
              <w:t>Science and mathematics</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7B899ACC" w14:textId="77777777" w:rsidR="004E45CF" w:rsidRPr="00CF3E3D" w:rsidRDefault="004E45CF" w:rsidP="00892AFB">
            <w:pPr>
              <w:spacing w:before="85" w:line="288" w:lineRule="auto"/>
              <w:jc w:val="center"/>
              <w:rPr>
                <w:sz w:val="18"/>
                <w:szCs w:val="18"/>
              </w:rPr>
            </w:pPr>
            <w:r w:rsidRPr="00CF3E3D">
              <w:rPr>
                <w:sz w:val="18"/>
                <w:szCs w:val="18"/>
              </w:rPr>
              <w:t>61,500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69047B05" w14:textId="77777777" w:rsidR="004E45CF" w:rsidRPr="00CF3E3D" w:rsidRDefault="004E45CF" w:rsidP="00892AFB">
            <w:pPr>
              <w:spacing w:before="85" w:line="288" w:lineRule="auto"/>
              <w:jc w:val="center"/>
              <w:rPr>
                <w:sz w:val="18"/>
                <w:szCs w:val="18"/>
              </w:rPr>
            </w:pPr>
            <w:r w:rsidRPr="00CF3E3D">
              <w:rPr>
                <w:sz w:val="18"/>
                <w:szCs w:val="18"/>
              </w:rPr>
              <w:t>65,000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BF052D8" w14:textId="77777777" w:rsidR="004E45CF" w:rsidRPr="00CF3E3D" w:rsidRDefault="004E45CF" w:rsidP="00892AFB">
            <w:pPr>
              <w:spacing w:before="85" w:line="288" w:lineRule="auto"/>
              <w:jc w:val="center"/>
              <w:rPr>
                <w:sz w:val="18"/>
                <w:szCs w:val="18"/>
              </w:rPr>
            </w:pPr>
            <w:r w:rsidRPr="00CF3E3D">
              <w:rPr>
                <w:sz w:val="18"/>
                <w:szCs w:val="18"/>
              </w:rPr>
              <w:t>65,000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7DA7151D" w14:textId="77777777" w:rsidR="004E45CF" w:rsidRPr="00CF3E3D" w:rsidRDefault="004E45CF" w:rsidP="00892AFB">
            <w:pPr>
              <w:spacing w:before="85" w:line="288" w:lineRule="auto"/>
              <w:jc w:val="center"/>
              <w:rPr>
                <w:sz w:val="18"/>
                <w:szCs w:val="18"/>
              </w:rPr>
            </w:pPr>
            <w:r w:rsidRPr="00CF3E3D">
              <w:rPr>
                <w:sz w:val="18"/>
                <w:szCs w:val="18"/>
              </w:rPr>
              <w:t>67,100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0DE1E210" w14:textId="77777777" w:rsidR="004E45CF" w:rsidRPr="00CF3E3D" w:rsidRDefault="004E45CF" w:rsidP="00892AFB">
            <w:pPr>
              <w:spacing w:before="85" w:line="288" w:lineRule="auto"/>
              <w:jc w:val="center"/>
              <w:rPr>
                <w:sz w:val="18"/>
                <w:szCs w:val="18"/>
              </w:rPr>
            </w:pPr>
            <w:r w:rsidRPr="00CF3E3D">
              <w:rPr>
                <w:sz w:val="18"/>
                <w:szCs w:val="18"/>
              </w:rPr>
              <w:t>63,000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2DAA4246" w14:textId="77777777" w:rsidR="004E45CF" w:rsidRPr="00CF3E3D" w:rsidRDefault="004E45CF" w:rsidP="00892AFB">
            <w:pPr>
              <w:spacing w:before="85" w:line="288" w:lineRule="auto"/>
              <w:jc w:val="center"/>
              <w:rPr>
                <w:sz w:val="18"/>
                <w:szCs w:val="18"/>
              </w:rPr>
            </w:pPr>
            <w:r w:rsidRPr="00CF3E3D">
              <w:rPr>
                <w:sz w:val="18"/>
                <w:szCs w:val="18"/>
              </w:rPr>
              <w:t>66,000</w:t>
            </w:r>
          </w:p>
        </w:tc>
      </w:tr>
      <w:tr w:rsidR="004E45CF" w:rsidRPr="00CF3E3D" w14:paraId="2D27CF0C"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58D2E1C" w14:textId="77777777" w:rsidR="004E45CF" w:rsidRPr="00B1187E" w:rsidRDefault="004E45CF" w:rsidP="00892AFB">
            <w:pPr>
              <w:spacing w:before="85" w:line="288" w:lineRule="auto"/>
              <w:jc w:val="left"/>
              <w:rPr>
                <w:b/>
                <w:bCs/>
                <w:sz w:val="18"/>
                <w:szCs w:val="18"/>
              </w:rPr>
            </w:pPr>
            <w:r w:rsidRPr="00B1187E">
              <w:rPr>
                <w:b/>
                <w:bCs/>
                <w:sz w:val="18"/>
              </w:rPr>
              <w:t>Computing and information systems</w:t>
            </w:r>
          </w:p>
        </w:tc>
        <w:tc>
          <w:tcPr>
            <w:cnfStyle w:val="000001000000" w:firstRow="0" w:lastRow="0" w:firstColumn="0" w:lastColumn="0" w:oddVBand="0" w:evenVBand="1" w:oddHBand="0" w:evenHBand="0" w:firstRowFirstColumn="0" w:firstRowLastColumn="0" w:lastRowFirstColumn="0" w:lastRowLastColumn="0"/>
            <w:tcW w:w="580" w:type="pct"/>
          </w:tcPr>
          <w:p w14:paraId="042EB4AD" w14:textId="77777777" w:rsidR="004E45CF" w:rsidRPr="00CF3E3D" w:rsidRDefault="004E45CF" w:rsidP="00892AFB">
            <w:pPr>
              <w:spacing w:before="85" w:line="288" w:lineRule="auto"/>
              <w:jc w:val="center"/>
              <w:rPr>
                <w:sz w:val="18"/>
                <w:szCs w:val="18"/>
              </w:rPr>
            </w:pPr>
            <w:r w:rsidRPr="00CF3E3D">
              <w:rPr>
                <w:sz w:val="18"/>
                <w:szCs w:val="18"/>
              </w:rPr>
              <w:t>65,000</w:t>
            </w:r>
          </w:p>
        </w:tc>
        <w:tc>
          <w:tcPr>
            <w:cnfStyle w:val="000010000000" w:firstRow="0" w:lastRow="0" w:firstColumn="0" w:lastColumn="0" w:oddVBand="1" w:evenVBand="0" w:oddHBand="0" w:evenHBand="0" w:firstRowFirstColumn="0" w:firstRowLastColumn="0" w:lastRowFirstColumn="0" w:lastRowLastColumn="0"/>
            <w:tcW w:w="580" w:type="pct"/>
          </w:tcPr>
          <w:p w14:paraId="0ED615C9" w14:textId="77777777" w:rsidR="004E45CF" w:rsidRPr="00CF3E3D" w:rsidRDefault="004E45CF" w:rsidP="00892AFB">
            <w:pPr>
              <w:spacing w:before="85" w:line="288" w:lineRule="auto"/>
              <w:jc w:val="center"/>
              <w:rPr>
                <w:sz w:val="18"/>
                <w:szCs w:val="18"/>
              </w:rPr>
            </w:pPr>
            <w:r w:rsidRPr="00CF3E3D">
              <w:rPr>
                <w:sz w:val="18"/>
                <w:szCs w:val="18"/>
              </w:rPr>
              <w:t>69,000</w:t>
            </w:r>
          </w:p>
        </w:tc>
        <w:tc>
          <w:tcPr>
            <w:cnfStyle w:val="000001000000" w:firstRow="0" w:lastRow="0" w:firstColumn="0" w:lastColumn="0" w:oddVBand="0" w:evenVBand="1" w:oddHBand="0" w:evenHBand="0" w:firstRowFirstColumn="0" w:firstRowLastColumn="0" w:lastRowFirstColumn="0" w:lastRowLastColumn="0"/>
            <w:tcW w:w="580" w:type="pct"/>
          </w:tcPr>
          <w:p w14:paraId="460E77B1" w14:textId="77777777" w:rsidR="004E45CF" w:rsidRPr="00CF3E3D" w:rsidRDefault="004E45CF" w:rsidP="00892AFB">
            <w:pPr>
              <w:spacing w:before="85" w:line="288" w:lineRule="auto"/>
              <w:jc w:val="center"/>
              <w:rPr>
                <w:sz w:val="18"/>
                <w:szCs w:val="18"/>
              </w:rPr>
            </w:pPr>
            <w:r w:rsidRPr="00CF3E3D">
              <w:rPr>
                <w:sz w:val="18"/>
                <w:szCs w:val="18"/>
              </w:rPr>
              <w:t>66,000</w:t>
            </w:r>
          </w:p>
        </w:tc>
        <w:tc>
          <w:tcPr>
            <w:cnfStyle w:val="000010000000" w:firstRow="0" w:lastRow="0" w:firstColumn="0" w:lastColumn="0" w:oddVBand="1" w:evenVBand="0" w:oddHBand="0" w:evenHBand="0" w:firstRowFirstColumn="0" w:firstRowLastColumn="0" w:lastRowFirstColumn="0" w:lastRowLastColumn="0"/>
            <w:tcW w:w="580" w:type="pct"/>
          </w:tcPr>
          <w:p w14:paraId="34129991" w14:textId="77777777" w:rsidR="004E45CF" w:rsidRPr="00CF3E3D" w:rsidRDefault="004E45CF" w:rsidP="00892AFB">
            <w:pPr>
              <w:spacing w:before="85" w:line="288" w:lineRule="auto"/>
              <w:jc w:val="center"/>
              <w:rPr>
                <w:sz w:val="18"/>
                <w:szCs w:val="18"/>
              </w:rPr>
            </w:pPr>
            <w:r w:rsidRPr="00CF3E3D">
              <w:rPr>
                <w:sz w:val="18"/>
                <w:szCs w:val="18"/>
              </w:rPr>
              <w:t>69,000</w:t>
            </w:r>
          </w:p>
        </w:tc>
        <w:tc>
          <w:tcPr>
            <w:cnfStyle w:val="000001000000" w:firstRow="0" w:lastRow="0" w:firstColumn="0" w:lastColumn="0" w:oddVBand="0" w:evenVBand="1" w:oddHBand="0" w:evenHBand="0" w:firstRowFirstColumn="0" w:firstRowLastColumn="0" w:lastRowFirstColumn="0" w:lastRowLastColumn="0"/>
            <w:tcW w:w="580" w:type="pct"/>
          </w:tcPr>
          <w:p w14:paraId="489A2877" w14:textId="77777777" w:rsidR="004E45CF" w:rsidRPr="00CF3E3D" w:rsidRDefault="004E45CF" w:rsidP="00892AFB">
            <w:pPr>
              <w:spacing w:before="85" w:line="288" w:lineRule="auto"/>
              <w:jc w:val="center"/>
              <w:rPr>
                <w:sz w:val="18"/>
                <w:szCs w:val="18"/>
              </w:rPr>
            </w:pPr>
            <w:r w:rsidRPr="00CF3E3D">
              <w:rPr>
                <w:sz w:val="18"/>
                <w:szCs w:val="18"/>
              </w:rPr>
              <w:t>65,500</w:t>
            </w:r>
          </w:p>
        </w:tc>
        <w:tc>
          <w:tcPr>
            <w:cnfStyle w:val="000010000000" w:firstRow="0" w:lastRow="0" w:firstColumn="0" w:lastColumn="0" w:oddVBand="1" w:evenVBand="0" w:oddHBand="0" w:evenHBand="0" w:firstRowFirstColumn="0" w:firstRowLastColumn="0" w:lastRowFirstColumn="0" w:lastRowLastColumn="0"/>
            <w:tcW w:w="579" w:type="pct"/>
          </w:tcPr>
          <w:p w14:paraId="5D0F406F" w14:textId="77777777" w:rsidR="004E45CF" w:rsidRPr="00CF3E3D" w:rsidRDefault="004E45CF" w:rsidP="00892AFB">
            <w:pPr>
              <w:spacing w:before="85" w:line="288" w:lineRule="auto"/>
              <w:jc w:val="center"/>
              <w:rPr>
                <w:sz w:val="18"/>
                <w:szCs w:val="18"/>
              </w:rPr>
            </w:pPr>
            <w:r w:rsidRPr="00CF3E3D">
              <w:rPr>
                <w:sz w:val="18"/>
                <w:szCs w:val="18"/>
              </w:rPr>
              <w:t>69,000</w:t>
            </w:r>
          </w:p>
        </w:tc>
      </w:tr>
      <w:tr w:rsidR="004E45CF" w:rsidRPr="00CF3E3D" w14:paraId="1F3E02CD"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6B3EC856" w14:textId="77777777" w:rsidR="004E45CF" w:rsidRPr="00B1187E" w:rsidRDefault="004E45CF" w:rsidP="00892AFB">
            <w:pPr>
              <w:spacing w:before="85" w:line="288" w:lineRule="auto"/>
              <w:jc w:val="left"/>
              <w:rPr>
                <w:b/>
                <w:bCs/>
                <w:sz w:val="18"/>
                <w:szCs w:val="18"/>
              </w:rPr>
            </w:pPr>
            <w:r w:rsidRPr="00B1187E">
              <w:rPr>
                <w:b/>
                <w:bCs/>
                <w:sz w:val="18"/>
              </w:rPr>
              <w:t>Engineering</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298884C"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0B1AB99" w14:textId="77777777" w:rsidR="004E45CF" w:rsidRPr="00CF3E3D" w:rsidRDefault="004E45CF" w:rsidP="00892AFB">
            <w:pPr>
              <w:spacing w:before="85" w:line="288" w:lineRule="auto"/>
              <w:jc w:val="center"/>
              <w:rPr>
                <w:sz w:val="18"/>
                <w:szCs w:val="18"/>
              </w:rPr>
            </w:pPr>
            <w:r w:rsidRPr="00CF3E3D">
              <w:rPr>
                <w:sz w:val="18"/>
                <w:szCs w:val="18"/>
              </w:rPr>
              <w:t>71,000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0B10B3D9"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AD04634" w14:textId="77777777" w:rsidR="004E45CF" w:rsidRPr="00CF3E3D" w:rsidRDefault="004E45CF" w:rsidP="00892AFB">
            <w:pPr>
              <w:spacing w:before="85" w:line="288" w:lineRule="auto"/>
              <w:jc w:val="center"/>
              <w:rPr>
                <w:sz w:val="18"/>
                <w:szCs w:val="18"/>
              </w:rPr>
            </w:pPr>
            <w:r w:rsidRPr="00CF3E3D">
              <w:rPr>
                <w:sz w:val="18"/>
                <w:szCs w:val="18"/>
              </w:rPr>
              <w:t>71,900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321FF79"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0A52A2D9" w14:textId="77777777" w:rsidR="004E45CF" w:rsidRPr="00CF3E3D" w:rsidRDefault="004E45CF" w:rsidP="00892AFB">
            <w:pPr>
              <w:spacing w:before="85" w:line="288" w:lineRule="auto"/>
              <w:jc w:val="center"/>
              <w:rPr>
                <w:sz w:val="18"/>
                <w:szCs w:val="18"/>
              </w:rPr>
            </w:pPr>
            <w:r w:rsidRPr="00CF3E3D">
              <w:rPr>
                <w:sz w:val="18"/>
                <w:szCs w:val="18"/>
              </w:rPr>
              <w:t>71,500</w:t>
            </w:r>
          </w:p>
        </w:tc>
      </w:tr>
      <w:tr w:rsidR="004E45CF" w:rsidRPr="00CF3E3D" w14:paraId="2EE01FF5"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28FE2D25" w14:textId="77777777" w:rsidR="004E45CF" w:rsidRPr="00B1187E" w:rsidRDefault="004E45CF" w:rsidP="00892AFB">
            <w:pPr>
              <w:spacing w:before="85" w:line="288" w:lineRule="auto"/>
              <w:jc w:val="left"/>
              <w:rPr>
                <w:b/>
                <w:bCs/>
                <w:sz w:val="18"/>
                <w:szCs w:val="18"/>
              </w:rPr>
            </w:pPr>
            <w:r w:rsidRPr="00B1187E">
              <w:rPr>
                <w:b/>
                <w:bCs/>
                <w:sz w:val="18"/>
              </w:rPr>
              <w:t>Architecture and built environment</w:t>
            </w:r>
          </w:p>
        </w:tc>
        <w:tc>
          <w:tcPr>
            <w:cnfStyle w:val="000001000000" w:firstRow="0" w:lastRow="0" w:firstColumn="0" w:lastColumn="0" w:oddVBand="0" w:evenVBand="1" w:oddHBand="0" w:evenHBand="0" w:firstRowFirstColumn="0" w:firstRowLastColumn="0" w:lastRowFirstColumn="0" w:lastRowLastColumn="0"/>
            <w:tcW w:w="580" w:type="pct"/>
          </w:tcPr>
          <w:p w14:paraId="3A16A089" w14:textId="77777777" w:rsidR="004E45CF" w:rsidRPr="00CF3E3D" w:rsidRDefault="004E45CF" w:rsidP="00892AFB">
            <w:pPr>
              <w:spacing w:before="85" w:line="288" w:lineRule="auto"/>
              <w:jc w:val="center"/>
              <w:rPr>
                <w:sz w:val="18"/>
                <w:szCs w:val="18"/>
              </w:rPr>
            </w:pPr>
            <w:r w:rsidRPr="00CF3E3D">
              <w:rPr>
                <w:sz w:val="18"/>
                <w:szCs w:val="18"/>
              </w:rPr>
              <w:t>60,000</w:t>
            </w:r>
          </w:p>
        </w:tc>
        <w:tc>
          <w:tcPr>
            <w:cnfStyle w:val="000010000000" w:firstRow="0" w:lastRow="0" w:firstColumn="0" w:lastColumn="0" w:oddVBand="1" w:evenVBand="0" w:oddHBand="0" w:evenHBand="0" w:firstRowFirstColumn="0" w:firstRowLastColumn="0" w:lastRowFirstColumn="0" w:lastRowLastColumn="0"/>
            <w:tcW w:w="580" w:type="pct"/>
          </w:tcPr>
          <w:p w14:paraId="1119752C" w14:textId="77777777" w:rsidR="004E45CF" w:rsidRPr="00CF3E3D" w:rsidRDefault="004E45CF" w:rsidP="00892AFB">
            <w:pPr>
              <w:spacing w:before="85" w:line="288" w:lineRule="auto"/>
              <w:jc w:val="center"/>
              <w:rPr>
                <w:sz w:val="18"/>
                <w:szCs w:val="18"/>
              </w:rPr>
            </w:pPr>
            <w:r w:rsidRPr="00CF3E3D">
              <w:rPr>
                <w:sz w:val="18"/>
                <w:szCs w:val="18"/>
              </w:rPr>
              <w:t>60,000</w:t>
            </w:r>
          </w:p>
        </w:tc>
        <w:tc>
          <w:tcPr>
            <w:cnfStyle w:val="000001000000" w:firstRow="0" w:lastRow="0" w:firstColumn="0" w:lastColumn="0" w:oddVBand="0" w:evenVBand="1" w:oddHBand="0" w:evenHBand="0" w:firstRowFirstColumn="0" w:firstRowLastColumn="0" w:lastRowFirstColumn="0" w:lastRowLastColumn="0"/>
            <w:tcW w:w="580" w:type="pct"/>
          </w:tcPr>
          <w:p w14:paraId="18B0E4D1" w14:textId="77777777" w:rsidR="004E45CF" w:rsidRPr="00CF3E3D" w:rsidRDefault="004E45CF" w:rsidP="00892AFB">
            <w:pPr>
              <w:spacing w:before="85" w:line="288" w:lineRule="auto"/>
              <w:jc w:val="center"/>
              <w:rPr>
                <w:sz w:val="18"/>
                <w:szCs w:val="18"/>
              </w:rPr>
            </w:pPr>
            <w:r w:rsidRPr="00CF3E3D">
              <w:rPr>
                <w:sz w:val="18"/>
                <w:szCs w:val="18"/>
              </w:rPr>
              <w:t>65,200</w:t>
            </w:r>
          </w:p>
        </w:tc>
        <w:tc>
          <w:tcPr>
            <w:cnfStyle w:val="000010000000" w:firstRow="0" w:lastRow="0" w:firstColumn="0" w:lastColumn="0" w:oddVBand="1" w:evenVBand="0" w:oddHBand="0" w:evenHBand="0" w:firstRowFirstColumn="0" w:firstRowLastColumn="0" w:lastRowFirstColumn="0" w:lastRowLastColumn="0"/>
            <w:tcW w:w="580" w:type="pct"/>
          </w:tcPr>
          <w:p w14:paraId="5546D282" w14:textId="77777777" w:rsidR="004E45CF" w:rsidRPr="00CF3E3D" w:rsidRDefault="004E45CF" w:rsidP="00892AFB">
            <w:pPr>
              <w:spacing w:before="85" w:line="288" w:lineRule="auto"/>
              <w:jc w:val="center"/>
              <w:rPr>
                <w:sz w:val="18"/>
                <w:szCs w:val="18"/>
              </w:rPr>
            </w:pPr>
            <w:r w:rsidRPr="00CF3E3D">
              <w:rPr>
                <w:sz w:val="18"/>
                <w:szCs w:val="18"/>
              </w:rPr>
              <w:t>68,000</w:t>
            </w:r>
          </w:p>
        </w:tc>
        <w:tc>
          <w:tcPr>
            <w:cnfStyle w:val="000001000000" w:firstRow="0" w:lastRow="0" w:firstColumn="0" w:lastColumn="0" w:oddVBand="0" w:evenVBand="1" w:oddHBand="0" w:evenHBand="0" w:firstRowFirstColumn="0" w:firstRowLastColumn="0" w:lastRowFirstColumn="0" w:lastRowLastColumn="0"/>
            <w:tcW w:w="580" w:type="pct"/>
          </w:tcPr>
          <w:p w14:paraId="1906A1FE" w14:textId="77777777" w:rsidR="004E45CF" w:rsidRPr="00CF3E3D" w:rsidRDefault="004E45CF" w:rsidP="00892AFB">
            <w:pPr>
              <w:spacing w:before="85" w:line="288" w:lineRule="auto"/>
              <w:jc w:val="center"/>
              <w:rPr>
                <w:sz w:val="18"/>
                <w:szCs w:val="18"/>
              </w:rPr>
            </w:pPr>
            <w:r w:rsidRPr="00CF3E3D">
              <w:rPr>
                <w:sz w:val="18"/>
                <w:szCs w:val="18"/>
              </w:rPr>
              <w:t>62,600</w:t>
            </w:r>
          </w:p>
        </w:tc>
        <w:tc>
          <w:tcPr>
            <w:cnfStyle w:val="000010000000" w:firstRow="0" w:lastRow="0" w:firstColumn="0" w:lastColumn="0" w:oddVBand="1" w:evenVBand="0" w:oddHBand="0" w:evenHBand="0" w:firstRowFirstColumn="0" w:firstRowLastColumn="0" w:lastRowFirstColumn="0" w:lastRowLastColumn="0"/>
            <w:tcW w:w="579" w:type="pct"/>
          </w:tcPr>
          <w:p w14:paraId="2E813BCE" w14:textId="77777777" w:rsidR="004E45CF" w:rsidRPr="00CF3E3D" w:rsidRDefault="004E45CF" w:rsidP="00892AFB">
            <w:pPr>
              <w:spacing w:before="85" w:line="288" w:lineRule="auto"/>
              <w:jc w:val="center"/>
              <w:rPr>
                <w:sz w:val="18"/>
                <w:szCs w:val="18"/>
              </w:rPr>
            </w:pPr>
            <w:r w:rsidRPr="00CF3E3D">
              <w:rPr>
                <w:sz w:val="18"/>
                <w:szCs w:val="18"/>
              </w:rPr>
              <w:t>64,700</w:t>
            </w:r>
          </w:p>
        </w:tc>
      </w:tr>
      <w:tr w:rsidR="004E45CF" w:rsidRPr="00CF3E3D" w14:paraId="6988A4F0"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6736D6D7" w14:textId="77777777" w:rsidR="004E45CF" w:rsidRPr="00B1187E" w:rsidRDefault="004E45CF" w:rsidP="00892AFB">
            <w:pPr>
              <w:spacing w:before="85" w:line="288" w:lineRule="auto"/>
              <w:jc w:val="left"/>
              <w:rPr>
                <w:b/>
                <w:bCs/>
                <w:sz w:val="18"/>
                <w:szCs w:val="18"/>
              </w:rPr>
            </w:pPr>
            <w:r w:rsidRPr="00B1187E">
              <w:rPr>
                <w:b/>
                <w:bCs/>
                <w:sz w:val="18"/>
              </w:rPr>
              <w:t>Agriculture and environmental studies</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3DDCD1F8" w14:textId="77777777" w:rsidR="004E45CF" w:rsidRPr="00CF3E3D" w:rsidRDefault="004E45CF" w:rsidP="00892AFB">
            <w:pPr>
              <w:spacing w:before="85" w:line="288" w:lineRule="auto"/>
              <w:jc w:val="center"/>
              <w:rPr>
                <w:sz w:val="18"/>
                <w:szCs w:val="18"/>
              </w:rPr>
            </w:pPr>
            <w:r w:rsidRPr="00CF3E3D">
              <w:rPr>
                <w:sz w:val="18"/>
                <w:szCs w:val="18"/>
              </w:rPr>
              <w:t>60,000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5B6FE518"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EB4A6ED" w14:textId="77777777" w:rsidR="004E45CF" w:rsidRPr="00CF3E3D" w:rsidRDefault="004E45CF" w:rsidP="00892AFB">
            <w:pPr>
              <w:spacing w:before="85" w:line="288" w:lineRule="auto"/>
              <w:jc w:val="center"/>
              <w:rPr>
                <w:sz w:val="18"/>
                <w:szCs w:val="18"/>
              </w:rPr>
            </w:pPr>
            <w:r w:rsidRPr="00CF3E3D">
              <w:rPr>
                <w:sz w:val="18"/>
                <w:szCs w:val="18"/>
              </w:rPr>
              <w:t>64,700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2374D0CE" w14:textId="77777777" w:rsidR="004E45CF" w:rsidRPr="00CF3E3D" w:rsidRDefault="004E45CF" w:rsidP="00892AFB">
            <w:pPr>
              <w:spacing w:before="85" w:line="288" w:lineRule="auto"/>
              <w:jc w:val="center"/>
              <w:rPr>
                <w:sz w:val="18"/>
                <w:szCs w:val="18"/>
              </w:rPr>
            </w:pPr>
            <w:r w:rsidRPr="00CF3E3D">
              <w:rPr>
                <w:sz w:val="18"/>
                <w:szCs w:val="18"/>
              </w:rPr>
              <w:t>68,700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537B284E" w14:textId="77777777" w:rsidR="004E45CF" w:rsidRPr="00CF3E3D" w:rsidRDefault="004E45CF" w:rsidP="00892AFB">
            <w:pPr>
              <w:spacing w:before="85" w:line="288" w:lineRule="auto"/>
              <w:jc w:val="center"/>
              <w:rPr>
                <w:sz w:val="18"/>
                <w:szCs w:val="18"/>
              </w:rPr>
            </w:pPr>
            <w:r w:rsidRPr="00CF3E3D">
              <w:rPr>
                <w:sz w:val="18"/>
                <w:szCs w:val="18"/>
              </w:rPr>
              <w:t>60,500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36C61E64" w14:textId="77777777" w:rsidR="004E45CF" w:rsidRPr="00CF3E3D" w:rsidRDefault="004E45CF" w:rsidP="00892AFB">
            <w:pPr>
              <w:spacing w:before="85" w:line="288" w:lineRule="auto"/>
              <w:jc w:val="center"/>
              <w:rPr>
                <w:sz w:val="18"/>
                <w:szCs w:val="18"/>
              </w:rPr>
            </w:pPr>
            <w:r w:rsidRPr="00CF3E3D">
              <w:rPr>
                <w:sz w:val="18"/>
                <w:szCs w:val="18"/>
              </w:rPr>
              <w:t>70,000</w:t>
            </w:r>
          </w:p>
        </w:tc>
      </w:tr>
      <w:tr w:rsidR="004E45CF" w:rsidRPr="00CF3E3D" w14:paraId="4B421E24"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A2C7762" w14:textId="77777777" w:rsidR="004E45CF" w:rsidRPr="00B1187E" w:rsidRDefault="004E45CF" w:rsidP="00892AFB">
            <w:pPr>
              <w:spacing w:before="85" w:line="288" w:lineRule="auto"/>
              <w:jc w:val="left"/>
              <w:rPr>
                <w:b/>
                <w:bCs/>
                <w:sz w:val="18"/>
                <w:szCs w:val="18"/>
              </w:rPr>
            </w:pPr>
            <w:r w:rsidRPr="00B1187E">
              <w:rPr>
                <w:b/>
                <w:bCs/>
                <w:sz w:val="18"/>
              </w:rPr>
              <w:lastRenderedPageBreak/>
              <w:t>Health services and support</w:t>
            </w:r>
          </w:p>
        </w:tc>
        <w:tc>
          <w:tcPr>
            <w:cnfStyle w:val="000001000000" w:firstRow="0" w:lastRow="0" w:firstColumn="0" w:lastColumn="0" w:oddVBand="0" w:evenVBand="1" w:oddHBand="0" w:evenHBand="0" w:firstRowFirstColumn="0" w:firstRowLastColumn="0" w:lastRowFirstColumn="0" w:lastRowLastColumn="0"/>
            <w:tcW w:w="580" w:type="pct"/>
          </w:tcPr>
          <w:p w14:paraId="56ECCF87" w14:textId="77777777" w:rsidR="004E45CF" w:rsidRPr="00CF3E3D" w:rsidRDefault="004E45CF" w:rsidP="00892AFB">
            <w:pPr>
              <w:spacing w:before="85" w:line="288" w:lineRule="auto"/>
              <w:jc w:val="center"/>
              <w:rPr>
                <w:sz w:val="18"/>
                <w:szCs w:val="18"/>
              </w:rPr>
            </w:pPr>
            <w:r w:rsidRPr="00CF3E3D">
              <w:rPr>
                <w:sz w:val="18"/>
                <w:szCs w:val="18"/>
              </w:rPr>
              <w:t>65,200</w:t>
            </w:r>
          </w:p>
        </w:tc>
        <w:tc>
          <w:tcPr>
            <w:cnfStyle w:val="000010000000" w:firstRow="0" w:lastRow="0" w:firstColumn="0" w:lastColumn="0" w:oddVBand="1" w:evenVBand="0" w:oddHBand="0" w:evenHBand="0" w:firstRowFirstColumn="0" w:firstRowLastColumn="0" w:lastRowFirstColumn="0" w:lastRowLastColumn="0"/>
            <w:tcW w:w="580" w:type="pct"/>
          </w:tcPr>
          <w:p w14:paraId="55E26195" w14:textId="77777777" w:rsidR="004E45CF" w:rsidRPr="00CF3E3D" w:rsidRDefault="004E45CF" w:rsidP="00892AFB">
            <w:pPr>
              <w:spacing w:before="85" w:line="288" w:lineRule="auto"/>
              <w:jc w:val="center"/>
              <w:rPr>
                <w:sz w:val="18"/>
                <w:szCs w:val="18"/>
              </w:rPr>
            </w:pPr>
            <w:r w:rsidRPr="00CF3E3D">
              <w:rPr>
                <w:sz w:val="18"/>
                <w:szCs w:val="18"/>
              </w:rPr>
              <w:t>68,500</w:t>
            </w:r>
          </w:p>
        </w:tc>
        <w:tc>
          <w:tcPr>
            <w:cnfStyle w:val="000001000000" w:firstRow="0" w:lastRow="0" w:firstColumn="0" w:lastColumn="0" w:oddVBand="0" w:evenVBand="1" w:oddHBand="0" w:evenHBand="0" w:firstRowFirstColumn="0" w:firstRowLastColumn="0" w:lastRowFirstColumn="0" w:lastRowLastColumn="0"/>
            <w:tcW w:w="580" w:type="pct"/>
          </w:tcPr>
          <w:p w14:paraId="68C66E6A"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10000000" w:firstRow="0" w:lastRow="0" w:firstColumn="0" w:lastColumn="0" w:oddVBand="1" w:evenVBand="0" w:oddHBand="0" w:evenHBand="0" w:firstRowFirstColumn="0" w:firstRowLastColumn="0" w:lastRowFirstColumn="0" w:lastRowLastColumn="0"/>
            <w:tcW w:w="580" w:type="pct"/>
          </w:tcPr>
          <w:p w14:paraId="1F86B7D2" w14:textId="77777777" w:rsidR="004E45CF" w:rsidRPr="00CF3E3D" w:rsidRDefault="004E45CF" w:rsidP="00892AFB">
            <w:pPr>
              <w:spacing w:before="85" w:line="288" w:lineRule="auto"/>
              <w:jc w:val="center"/>
              <w:rPr>
                <w:sz w:val="18"/>
                <w:szCs w:val="18"/>
              </w:rPr>
            </w:pPr>
            <w:r w:rsidRPr="00CF3E3D">
              <w:rPr>
                <w:sz w:val="18"/>
                <w:szCs w:val="18"/>
              </w:rPr>
              <w:t>72,000</w:t>
            </w:r>
          </w:p>
        </w:tc>
        <w:tc>
          <w:tcPr>
            <w:cnfStyle w:val="000001000000" w:firstRow="0" w:lastRow="0" w:firstColumn="0" w:lastColumn="0" w:oddVBand="0" w:evenVBand="1" w:oddHBand="0" w:evenHBand="0" w:firstRowFirstColumn="0" w:firstRowLastColumn="0" w:lastRowFirstColumn="0" w:lastRowLastColumn="0"/>
            <w:tcW w:w="580" w:type="pct"/>
          </w:tcPr>
          <w:p w14:paraId="0E46A891" w14:textId="77777777" w:rsidR="004E45CF" w:rsidRPr="00CF3E3D" w:rsidRDefault="004E45CF" w:rsidP="00892AFB">
            <w:pPr>
              <w:spacing w:before="85" w:line="288" w:lineRule="auto"/>
              <w:jc w:val="center"/>
              <w:rPr>
                <w:sz w:val="18"/>
                <w:szCs w:val="18"/>
              </w:rPr>
            </w:pPr>
            <w:r w:rsidRPr="00CF3E3D">
              <w:rPr>
                <w:sz w:val="18"/>
                <w:szCs w:val="18"/>
              </w:rPr>
              <w:t>66,500</w:t>
            </w:r>
          </w:p>
        </w:tc>
        <w:tc>
          <w:tcPr>
            <w:cnfStyle w:val="000010000000" w:firstRow="0" w:lastRow="0" w:firstColumn="0" w:lastColumn="0" w:oddVBand="1" w:evenVBand="0" w:oddHBand="0" w:evenHBand="0" w:firstRowFirstColumn="0" w:firstRowLastColumn="0" w:lastRowFirstColumn="0" w:lastRowLastColumn="0"/>
            <w:tcW w:w="579" w:type="pct"/>
          </w:tcPr>
          <w:p w14:paraId="47BD7BC5" w14:textId="77777777" w:rsidR="004E45CF" w:rsidRPr="00CF3E3D" w:rsidRDefault="004E45CF" w:rsidP="00892AFB">
            <w:pPr>
              <w:spacing w:before="85" w:line="288" w:lineRule="auto"/>
              <w:jc w:val="center"/>
              <w:rPr>
                <w:sz w:val="18"/>
                <w:szCs w:val="18"/>
              </w:rPr>
            </w:pPr>
            <w:r w:rsidRPr="00CF3E3D">
              <w:rPr>
                <w:sz w:val="18"/>
                <w:szCs w:val="18"/>
              </w:rPr>
              <w:t>69,400</w:t>
            </w:r>
          </w:p>
        </w:tc>
      </w:tr>
      <w:tr w:rsidR="004E45CF" w:rsidRPr="00CF3E3D" w14:paraId="225BC41D"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428B224B" w14:textId="77777777" w:rsidR="004E45CF" w:rsidRPr="00B1187E" w:rsidRDefault="004E45CF" w:rsidP="00892AFB">
            <w:pPr>
              <w:spacing w:before="85" w:line="288" w:lineRule="auto"/>
              <w:jc w:val="left"/>
              <w:rPr>
                <w:b/>
                <w:bCs/>
                <w:sz w:val="18"/>
                <w:szCs w:val="18"/>
              </w:rPr>
            </w:pPr>
            <w:r w:rsidRPr="00B1187E">
              <w:rPr>
                <w:b/>
                <w:bCs/>
                <w:sz w:val="18"/>
              </w:rPr>
              <w:t>Medicine</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EAF8191" w14:textId="77777777" w:rsidR="004E45CF" w:rsidRPr="00CF3E3D" w:rsidRDefault="004E45CF" w:rsidP="00892AFB">
            <w:pPr>
              <w:spacing w:before="85" w:line="288" w:lineRule="auto"/>
              <w:jc w:val="center"/>
              <w:rPr>
                <w:sz w:val="18"/>
                <w:szCs w:val="18"/>
              </w:rPr>
            </w:pPr>
            <w:r w:rsidRPr="00CF3E3D">
              <w:rPr>
                <w:sz w:val="18"/>
                <w:szCs w:val="18"/>
              </w:rPr>
              <w:t>76,500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5E0A8E36" w14:textId="77777777" w:rsidR="004E45CF" w:rsidRPr="00CF3E3D" w:rsidRDefault="004E45CF" w:rsidP="00892AFB">
            <w:pPr>
              <w:spacing w:before="85" w:line="288" w:lineRule="auto"/>
              <w:jc w:val="center"/>
              <w:rPr>
                <w:sz w:val="18"/>
                <w:szCs w:val="18"/>
              </w:rPr>
            </w:pPr>
            <w:r w:rsidRPr="00CF3E3D">
              <w:rPr>
                <w:sz w:val="18"/>
                <w:szCs w:val="18"/>
              </w:rPr>
              <w:t>79,300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55FE953E" w14:textId="77777777" w:rsidR="004E45CF" w:rsidRPr="00CF3E3D" w:rsidRDefault="004E45CF" w:rsidP="00892AFB">
            <w:pPr>
              <w:spacing w:before="85" w:line="288" w:lineRule="auto"/>
              <w:jc w:val="center"/>
              <w:rPr>
                <w:sz w:val="18"/>
                <w:szCs w:val="18"/>
              </w:rPr>
            </w:pPr>
            <w:r w:rsidRPr="00CF3E3D">
              <w:rPr>
                <w:sz w:val="18"/>
                <w:szCs w:val="18"/>
              </w:rPr>
              <w:t>76,000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22B04D62" w14:textId="77777777" w:rsidR="004E45CF" w:rsidRPr="00CF3E3D" w:rsidRDefault="004E45CF" w:rsidP="00892AFB">
            <w:pPr>
              <w:spacing w:before="85" w:line="288" w:lineRule="auto"/>
              <w:jc w:val="center"/>
              <w:rPr>
                <w:sz w:val="18"/>
                <w:szCs w:val="18"/>
              </w:rPr>
            </w:pPr>
            <w:r w:rsidRPr="00CF3E3D">
              <w:rPr>
                <w:sz w:val="18"/>
                <w:szCs w:val="18"/>
              </w:rPr>
              <w:t>80,000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095649E" w14:textId="77777777" w:rsidR="004E45CF" w:rsidRPr="00CF3E3D" w:rsidRDefault="004E45CF" w:rsidP="00892AFB">
            <w:pPr>
              <w:spacing w:before="85" w:line="288" w:lineRule="auto"/>
              <w:jc w:val="center"/>
              <w:rPr>
                <w:sz w:val="18"/>
                <w:szCs w:val="18"/>
              </w:rPr>
            </w:pPr>
            <w:r w:rsidRPr="00CF3E3D">
              <w:rPr>
                <w:sz w:val="18"/>
                <w:szCs w:val="18"/>
              </w:rPr>
              <w:t>76,000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5E41EE31" w14:textId="77777777" w:rsidR="004E45CF" w:rsidRPr="00CF3E3D" w:rsidRDefault="004E45CF" w:rsidP="00892AFB">
            <w:pPr>
              <w:spacing w:before="85" w:line="288" w:lineRule="auto"/>
              <w:jc w:val="center"/>
              <w:rPr>
                <w:sz w:val="18"/>
                <w:szCs w:val="18"/>
              </w:rPr>
            </w:pPr>
            <w:r w:rsidRPr="00CF3E3D">
              <w:rPr>
                <w:sz w:val="18"/>
                <w:szCs w:val="18"/>
              </w:rPr>
              <w:t>79,800</w:t>
            </w:r>
          </w:p>
        </w:tc>
      </w:tr>
      <w:tr w:rsidR="004E45CF" w:rsidRPr="00CF3E3D" w14:paraId="2D0AADBE"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57F5F1B" w14:textId="77777777" w:rsidR="004E45CF" w:rsidRPr="00B1187E" w:rsidRDefault="004E45CF" w:rsidP="00892AFB">
            <w:pPr>
              <w:spacing w:before="85" w:line="288" w:lineRule="auto"/>
              <w:jc w:val="left"/>
              <w:rPr>
                <w:b/>
                <w:bCs/>
                <w:sz w:val="18"/>
                <w:szCs w:val="18"/>
              </w:rPr>
            </w:pPr>
            <w:r w:rsidRPr="00B1187E">
              <w:rPr>
                <w:b/>
                <w:bCs/>
                <w:sz w:val="18"/>
              </w:rPr>
              <w:t>Nursing</w:t>
            </w:r>
          </w:p>
        </w:tc>
        <w:tc>
          <w:tcPr>
            <w:cnfStyle w:val="000001000000" w:firstRow="0" w:lastRow="0" w:firstColumn="0" w:lastColumn="0" w:oddVBand="0" w:evenVBand="1" w:oddHBand="0" w:evenHBand="0" w:firstRowFirstColumn="0" w:firstRowLastColumn="0" w:lastRowFirstColumn="0" w:lastRowLastColumn="0"/>
            <w:tcW w:w="580" w:type="pct"/>
          </w:tcPr>
          <w:p w14:paraId="72706F17" w14:textId="77777777" w:rsidR="004E45CF" w:rsidRPr="00CF3E3D" w:rsidRDefault="004E45CF" w:rsidP="00892AFB">
            <w:pPr>
              <w:spacing w:before="85" w:line="288" w:lineRule="auto"/>
              <w:jc w:val="center"/>
              <w:rPr>
                <w:sz w:val="18"/>
                <w:szCs w:val="18"/>
              </w:rPr>
            </w:pPr>
            <w:r w:rsidRPr="00CF3E3D">
              <w:rPr>
                <w:sz w:val="18"/>
                <w:szCs w:val="18"/>
              </w:rPr>
              <w:t>65,200</w:t>
            </w:r>
          </w:p>
        </w:tc>
        <w:tc>
          <w:tcPr>
            <w:cnfStyle w:val="000010000000" w:firstRow="0" w:lastRow="0" w:firstColumn="0" w:lastColumn="0" w:oddVBand="1" w:evenVBand="0" w:oddHBand="0" w:evenHBand="0" w:firstRowFirstColumn="0" w:firstRowLastColumn="0" w:lastRowFirstColumn="0" w:lastRowLastColumn="0"/>
            <w:tcW w:w="580" w:type="pct"/>
          </w:tcPr>
          <w:p w14:paraId="5E62AEDA" w14:textId="77777777" w:rsidR="004E45CF" w:rsidRPr="00CF3E3D" w:rsidRDefault="004E45CF" w:rsidP="00892AFB">
            <w:pPr>
              <w:spacing w:before="85" w:line="288" w:lineRule="auto"/>
              <w:jc w:val="center"/>
              <w:rPr>
                <w:sz w:val="18"/>
                <w:szCs w:val="18"/>
              </w:rPr>
            </w:pPr>
            <w:r w:rsidRPr="00CF3E3D">
              <w:rPr>
                <w:sz w:val="18"/>
                <w:szCs w:val="18"/>
              </w:rPr>
              <w:t>67,800</w:t>
            </w:r>
          </w:p>
        </w:tc>
        <w:tc>
          <w:tcPr>
            <w:cnfStyle w:val="000001000000" w:firstRow="0" w:lastRow="0" w:firstColumn="0" w:lastColumn="0" w:oddVBand="0" w:evenVBand="1" w:oddHBand="0" w:evenHBand="0" w:firstRowFirstColumn="0" w:firstRowLastColumn="0" w:lastRowFirstColumn="0" w:lastRowLastColumn="0"/>
            <w:tcW w:w="580" w:type="pct"/>
          </w:tcPr>
          <w:p w14:paraId="0ADAD7CF" w14:textId="77777777" w:rsidR="004E45CF" w:rsidRPr="00CF3E3D" w:rsidRDefault="004E45CF" w:rsidP="00892AFB">
            <w:pPr>
              <w:spacing w:before="85" w:line="288" w:lineRule="auto"/>
              <w:jc w:val="center"/>
              <w:rPr>
                <w:sz w:val="18"/>
                <w:szCs w:val="18"/>
              </w:rPr>
            </w:pPr>
            <w:r w:rsidRPr="00CF3E3D">
              <w:rPr>
                <w:sz w:val="18"/>
                <w:szCs w:val="18"/>
              </w:rPr>
              <w:t>66,800</w:t>
            </w:r>
          </w:p>
        </w:tc>
        <w:tc>
          <w:tcPr>
            <w:cnfStyle w:val="000010000000" w:firstRow="0" w:lastRow="0" w:firstColumn="0" w:lastColumn="0" w:oddVBand="1" w:evenVBand="0" w:oddHBand="0" w:evenHBand="0" w:firstRowFirstColumn="0" w:firstRowLastColumn="0" w:lastRowFirstColumn="0" w:lastRowLastColumn="0"/>
            <w:tcW w:w="580" w:type="pct"/>
          </w:tcPr>
          <w:p w14:paraId="0895E849" w14:textId="77777777" w:rsidR="004E45CF" w:rsidRPr="00CF3E3D" w:rsidRDefault="004E45CF" w:rsidP="00892AFB">
            <w:pPr>
              <w:spacing w:before="85" w:line="288" w:lineRule="auto"/>
              <w:jc w:val="center"/>
              <w:rPr>
                <w:sz w:val="18"/>
                <w:szCs w:val="18"/>
              </w:rPr>
            </w:pPr>
            <w:r w:rsidRPr="00CF3E3D">
              <w:rPr>
                <w:sz w:val="18"/>
                <w:szCs w:val="18"/>
              </w:rPr>
              <w:t>68,900</w:t>
            </w:r>
          </w:p>
        </w:tc>
        <w:tc>
          <w:tcPr>
            <w:cnfStyle w:val="000001000000" w:firstRow="0" w:lastRow="0" w:firstColumn="0" w:lastColumn="0" w:oddVBand="0" w:evenVBand="1" w:oddHBand="0" w:evenHBand="0" w:firstRowFirstColumn="0" w:firstRowLastColumn="0" w:lastRowFirstColumn="0" w:lastRowLastColumn="0"/>
            <w:tcW w:w="580" w:type="pct"/>
          </w:tcPr>
          <w:p w14:paraId="79FCE1F4" w14:textId="77777777" w:rsidR="004E45CF" w:rsidRPr="00CF3E3D" w:rsidRDefault="004E45CF" w:rsidP="00892AFB">
            <w:pPr>
              <w:spacing w:before="85" w:line="288" w:lineRule="auto"/>
              <w:jc w:val="center"/>
              <w:rPr>
                <w:sz w:val="18"/>
                <w:szCs w:val="18"/>
              </w:rPr>
            </w:pPr>
            <w:r w:rsidRPr="00CF3E3D">
              <w:rPr>
                <w:sz w:val="18"/>
                <w:szCs w:val="18"/>
              </w:rPr>
              <w:t>65,200</w:t>
            </w:r>
          </w:p>
        </w:tc>
        <w:tc>
          <w:tcPr>
            <w:cnfStyle w:val="000010000000" w:firstRow="0" w:lastRow="0" w:firstColumn="0" w:lastColumn="0" w:oddVBand="1" w:evenVBand="0" w:oddHBand="0" w:evenHBand="0" w:firstRowFirstColumn="0" w:firstRowLastColumn="0" w:lastRowFirstColumn="0" w:lastRowLastColumn="0"/>
            <w:tcW w:w="579" w:type="pct"/>
          </w:tcPr>
          <w:p w14:paraId="757538A3" w14:textId="77777777" w:rsidR="004E45CF" w:rsidRPr="00CF3E3D" w:rsidRDefault="004E45CF" w:rsidP="00892AFB">
            <w:pPr>
              <w:spacing w:before="85" w:line="288" w:lineRule="auto"/>
              <w:jc w:val="center"/>
              <w:rPr>
                <w:sz w:val="18"/>
                <w:szCs w:val="18"/>
              </w:rPr>
            </w:pPr>
            <w:r w:rsidRPr="00CF3E3D">
              <w:rPr>
                <w:sz w:val="18"/>
                <w:szCs w:val="18"/>
              </w:rPr>
              <w:t>68,500</w:t>
            </w:r>
          </w:p>
        </w:tc>
      </w:tr>
      <w:tr w:rsidR="004E45CF" w:rsidRPr="00CF3E3D" w14:paraId="1643834B"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0DB8147D" w14:textId="77777777" w:rsidR="004E45CF" w:rsidRPr="00B1187E" w:rsidRDefault="004E45CF" w:rsidP="00892AFB">
            <w:pPr>
              <w:spacing w:before="85" w:line="288" w:lineRule="auto"/>
              <w:jc w:val="left"/>
              <w:rPr>
                <w:b/>
                <w:bCs/>
                <w:sz w:val="18"/>
                <w:szCs w:val="18"/>
              </w:rPr>
            </w:pPr>
            <w:r w:rsidRPr="00B1187E">
              <w:rPr>
                <w:b/>
                <w:bCs/>
                <w:sz w:val="18"/>
              </w:rPr>
              <w:t>Pharmacy</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9F6B74E" w14:textId="77777777" w:rsidR="004E45CF" w:rsidRPr="00CF3E3D" w:rsidRDefault="004E45CF" w:rsidP="00892AFB">
            <w:pPr>
              <w:spacing w:before="85" w:line="288" w:lineRule="auto"/>
              <w:jc w:val="center"/>
              <w:rPr>
                <w:sz w:val="18"/>
                <w:szCs w:val="18"/>
              </w:rPr>
            </w:pPr>
            <w:r w:rsidRPr="00CF3E3D">
              <w:rPr>
                <w:sz w:val="18"/>
                <w:szCs w:val="18"/>
              </w:rPr>
              <w:t>50,000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38E31882" w14:textId="77777777" w:rsidR="004E45CF" w:rsidRPr="00CF3E3D" w:rsidRDefault="004E45CF" w:rsidP="00892AFB">
            <w:pPr>
              <w:spacing w:before="85" w:line="288" w:lineRule="auto"/>
              <w:jc w:val="center"/>
              <w:rPr>
                <w:sz w:val="18"/>
                <w:szCs w:val="18"/>
              </w:rPr>
            </w:pPr>
            <w:r w:rsidRPr="00CF3E3D">
              <w:rPr>
                <w:sz w:val="18"/>
                <w:szCs w:val="18"/>
              </w:rPr>
              <w:t>52,200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7B2FFFA6" w14:textId="77777777" w:rsidR="004E45CF" w:rsidRPr="00CF3E3D" w:rsidRDefault="004E45CF" w:rsidP="00892AFB">
            <w:pPr>
              <w:spacing w:before="85" w:line="288" w:lineRule="auto"/>
              <w:jc w:val="center"/>
              <w:rPr>
                <w:sz w:val="18"/>
                <w:szCs w:val="18"/>
              </w:rPr>
            </w:pPr>
            <w:r w:rsidRPr="00CF3E3D">
              <w:rPr>
                <w:sz w:val="18"/>
                <w:szCs w:val="18"/>
              </w:rPr>
              <w:t>49,600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7B6F8DFE" w14:textId="77777777" w:rsidR="004E45CF" w:rsidRPr="00CF3E3D" w:rsidRDefault="004E45CF" w:rsidP="00892AFB">
            <w:pPr>
              <w:spacing w:before="85" w:line="288" w:lineRule="auto"/>
              <w:jc w:val="center"/>
              <w:rPr>
                <w:sz w:val="18"/>
                <w:szCs w:val="18"/>
              </w:rPr>
            </w:pPr>
            <w:r w:rsidRPr="00CF3E3D">
              <w:rPr>
                <w:sz w:val="18"/>
                <w:szCs w:val="18"/>
              </w:rPr>
              <w:t>54,300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01A751DF" w14:textId="77777777" w:rsidR="004E45CF" w:rsidRPr="00CF3E3D" w:rsidRDefault="004E45CF" w:rsidP="00892AFB">
            <w:pPr>
              <w:spacing w:before="85" w:line="288" w:lineRule="auto"/>
              <w:jc w:val="center"/>
              <w:rPr>
                <w:sz w:val="18"/>
                <w:szCs w:val="18"/>
              </w:rPr>
            </w:pPr>
            <w:r w:rsidRPr="00CF3E3D">
              <w:rPr>
                <w:sz w:val="18"/>
                <w:szCs w:val="18"/>
              </w:rPr>
              <w:t>50,000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0AFC9096" w14:textId="77777777" w:rsidR="004E45CF" w:rsidRPr="00CF3E3D" w:rsidRDefault="004E45CF" w:rsidP="00892AFB">
            <w:pPr>
              <w:spacing w:before="85" w:line="288" w:lineRule="auto"/>
              <w:jc w:val="center"/>
              <w:rPr>
                <w:sz w:val="18"/>
                <w:szCs w:val="18"/>
              </w:rPr>
            </w:pPr>
            <w:r w:rsidRPr="00CF3E3D">
              <w:rPr>
                <w:sz w:val="18"/>
                <w:szCs w:val="18"/>
              </w:rPr>
              <w:t>52,200</w:t>
            </w:r>
          </w:p>
        </w:tc>
      </w:tr>
      <w:tr w:rsidR="004E45CF" w:rsidRPr="00CF3E3D" w14:paraId="187C0392"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7108716" w14:textId="77777777" w:rsidR="004E45CF" w:rsidRPr="00B1187E" w:rsidRDefault="004E45CF" w:rsidP="00892AFB">
            <w:pPr>
              <w:spacing w:before="85" w:line="288" w:lineRule="auto"/>
              <w:jc w:val="left"/>
              <w:rPr>
                <w:b/>
                <w:bCs/>
                <w:sz w:val="18"/>
                <w:szCs w:val="18"/>
              </w:rPr>
            </w:pPr>
            <w:r w:rsidRPr="00B1187E">
              <w:rPr>
                <w:b/>
                <w:bCs/>
                <w:sz w:val="18"/>
              </w:rPr>
              <w:t>Dentistry</w:t>
            </w:r>
          </w:p>
        </w:tc>
        <w:tc>
          <w:tcPr>
            <w:cnfStyle w:val="000001000000" w:firstRow="0" w:lastRow="0" w:firstColumn="0" w:lastColumn="0" w:oddVBand="0" w:evenVBand="1" w:oddHBand="0" w:evenHBand="0" w:firstRowFirstColumn="0" w:firstRowLastColumn="0" w:lastRowFirstColumn="0" w:lastRowLastColumn="0"/>
            <w:tcW w:w="580" w:type="pct"/>
          </w:tcPr>
          <w:p w14:paraId="101B26FB" w14:textId="77777777" w:rsidR="004E45CF" w:rsidRPr="00CF3E3D" w:rsidRDefault="004E45CF" w:rsidP="00892AFB">
            <w:pPr>
              <w:spacing w:before="85" w:line="288" w:lineRule="auto"/>
              <w:jc w:val="center"/>
              <w:rPr>
                <w:sz w:val="18"/>
                <w:szCs w:val="18"/>
              </w:rPr>
            </w:pPr>
            <w:r w:rsidRPr="00CF3E3D">
              <w:rPr>
                <w:sz w:val="18"/>
                <w:szCs w:val="18"/>
              </w:rPr>
              <w:t>92,400</w:t>
            </w:r>
          </w:p>
        </w:tc>
        <w:tc>
          <w:tcPr>
            <w:cnfStyle w:val="000010000000" w:firstRow="0" w:lastRow="0" w:firstColumn="0" w:lastColumn="0" w:oddVBand="1" w:evenVBand="0" w:oddHBand="0" w:evenHBand="0" w:firstRowFirstColumn="0" w:firstRowLastColumn="0" w:lastRowFirstColumn="0" w:lastRowLastColumn="0"/>
            <w:tcW w:w="580" w:type="pct"/>
          </w:tcPr>
          <w:p w14:paraId="7CB32E04" w14:textId="77777777" w:rsidR="004E45CF" w:rsidRPr="00CF3E3D" w:rsidRDefault="004E45CF" w:rsidP="00892AFB">
            <w:pPr>
              <w:spacing w:before="85" w:line="288" w:lineRule="auto"/>
              <w:jc w:val="center"/>
              <w:rPr>
                <w:sz w:val="18"/>
                <w:szCs w:val="18"/>
              </w:rPr>
            </w:pPr>
            <w:r w:rsidRPr="00CF3E3D">
              <w:rPr>
                <w:sz w:val="18"/>
                <w:szCs w:val="18"/>
              </w:rPr>
              <w:t>99,100</w:t>
            </w:r>
          </w:p>
        </w:tc>
        <w:tc>
          <w:tcPr>
            <w:cnfStyle w:val="000001000000" w:firstRow="0" w:lastRow="0" w:firstColumn="0" w:lastColumn="0" w:oddVBand="0" w:evenVBand="1" w:oddHBand="0" w:evenHBand="0" w:firstRowFirstColumn="0" w:firstRowLastColumn="0" w:lastRowFirstColumn="0" w:lastRowLastColumn="0"/>
            <w:tcW w:w="580" w:type="pct"/>
          </w:tcPr>
          <w:p w14:paraId="00F9508F" w14:textId="77777777" w:rsidR="004E45CF" w:rsidRPr="00CF3E3D" w:rsidRDefault="004E45CF" w:rsidP="00892AFB">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580" w:type="pct"/>
          </w:tcPr>
          <w:p w14:paraId="77943039" w14:textId="77777777" w:rsidR="004E45CF" w:rsidRPr="00CF3E3D" w:rsidRDefault="004E45CF" w:rsidP="00892AFB">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580" w:type="pct"/>
          </w:tcPr>
          <w:p w14:paraId="0B0AF658" w14:textId="77777777" w:rsidR="004E45CF" w:rsidRPr="00CF3E3D" w:rsidRDefault="004E45CF" w:rsidP="00892AFB">
            <w:pPr>
              <w:spacing w:before="85" w:line="288" w:lineRule="auto"/>
              <w:jc w:val="center"/>
              <w:rPr>
                <w:sz w:val="18"/>
                <w:szCs w:val="18"/>
              </w:rPr>
            </w:pPr>
            <w:r w:rsidRPr="00CF3E3D">
              <w:rPr>
                <w:sz w:val="18"/>
                <w:szCs w:val="18"/>
              </w:rPr>
              <w:t>100,000</w:t>
            </w:r>
          </w:p>
        </w:tc>
        <w:tc>
          <w:tcPr>
            <w:cnfStyle w:val="000010000000" w:firstRow="0" w:lastRow="0" w:firstColumn="0" w:lastColumn="0" w:oddVBand="1" w:evenVBand="0" w:oddHBand="0" w:evenHBand="0" w:firstRowFirstColumn="0" w:firstRowLastColumn="0" w:lastRowFirstColumn="0" w:lastRowLastColumn="0"/>
            <w:tcW w:w="579" w:type="pct"/>
          </w:tcPr>
          <w:p w14:paraId="3E9941BF" w14:textId="77777777" w:rsidR="004E45CF" w:rsidRPr="00CF3E3D" w:rsidRDefault="004E45CF" w:rsidP="00892AFB">
            <w:pPr>
              <w:spacing w:before="85" w:line="288" w:lineRule="auto"/>
              <w:jc w:val="center"/>
              <w:rPr>
                <w:sz w:val="18"/>
                <w:szCs w:val="18"/>
              </w:rPr>
            </w:pPr>
            <w:r w:rsidRPr="00CF3E3D">
              <w:rPr>
                <w:sz w:val="18"/>
                <w:szCs w:val="18"/>
              </w:rPr>
              <w:t>100,000</w:t>
            </w:r>
          </w:p>
        </w:tc>
      </w:tr>
      <w:tr w:rsidR="004E45CF" w:rsidRPr="00CF3E3D" w14:paraId="02EA9523"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68A1C0F1" w14:textId="77777777" w:rsidR="004E45CF" w:rsidRPr="00B1187E" w:rsidRDefault="004E45CF" w:rsidP="00892AFB">
            <w:pPr>
              <w:spacing w:before="85" w:line="288" w:lineRule="auto"/>
              <w:jc w:val="left"/>
              <w:rPr>
                <w:b/>
                <w:bCs/>
                <w:sz w:val="18"/>
                <w:szCs w:val="18"/>
              </w:rPr>
            </w:pPr>
            <w:r w:rsidRPr="00B1187E">
              <w:rPr>
                <w:b/>
                <w:bCs/>
                <w:sz w:val="18"/>
              </w:rPr>
              <w:t>Veterinary science</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073D3A4" w14:textId="77777777" w:rsidR="004E45CF" w:rsidRPr="00CF3E3D" w:rsidRDefault="004E45CF" w:rsidP="00892AFB">
            <w:pPr>
              <w:spacing w:before="85" w:line="288" w:lineRule="auto"/>
              <w:jc w:val="center"/>
              <w:rPr>
                <w:sz w:val="18"/>
                <w:szCs w:val="18"/>
              </w:rPr>
            </w:pPr>
            <w:r w:rsidRPr="00CF3E3D">
              <w:rPr>
                <w:sz w:val="18"/>
                <w:szCs w:val="18"/>
              </w:rPr>
              <w:t>60,000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68AF83F" w14:textId="77777777" w:rsidR="004E45CF" w:rsidRPr="00CF3E3D" w:rsidRDefault="004E45CF" w:rsidP="00892AFB">
            <w:pPr>
              <w:spacing w:before="85" w:line="288" w:lineRule="auto"/>
              <w:jc w:val="center"/>
              <w:rPr>
                <w:sz w:val="18"/>
                <w:szCs w:val="18"/>
              </w:rPr>
            </w:pPr>
            <w:r w:rsidRPr="00CF3E3D">
              <w:rPr>
                <w:sz w:val="18"/>
                <w:szCs w:val="18"/>
              </w:rPr>
              <w:t>62,600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C624F2B" w14:textId="77777777" w:rsidR="004E45CF" w:rsidRPr="00CF3E3D" w:rsidRDefault="004E45CF" w:rsidP="00892AFB">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2840D00" w14:textId="77777777" w:rsidR="004E45CF" w:rsidRPr="00CF3E3D" w:rsidRDefault="004E45CF" w:rsidP="00892AFB">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EF36D86" w14:textId="77777777" w:rsidR="004E45CF" w:rsidRPr="00CF3E3D" w:rsidRDefault="004E45CF" w:rsidP="00892AFB">
            <w:pPr>
              <w:spacing w:before="85" w:line="288" w:lineRule="auto"/>
              <w:jc w:val="center"/>
              <w:rPr>
                <w:sz w:val="18"/>
                <w:szCs w:val="18"/>
              </w:rPr>
            </w:pPr>
            <w:r w:rsidRPr="00CF3E3D">
              <w:rPr>
                <w:sz w:val="18"/>
                <w:szCs w:val="18"/>
              </w:rPr>
              <w:t>60,000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0BBD942F" w14:textId="77777777" w:rsidR="004E45CF" w:rsidRPr="00CF3E3D" w:rsidRDefault="004E45CF" w:rsidP="00892AFB">
            <w:pPr>
              <w:spacing w:before="85" w:line="288" w:lineRule="auto"/>
              <w:jc w:val="center"/>
              <w:rPr>
                <w:sz w:val="18"/>
                <w:szCs w:val="18"/>
              </w:rPr>
            </w:pPr>
            <w:r w:rsidRPr="00CF3E3D">
              <w:rPr>
                <w:sz w:val="18"/>
                <w:szCs w:val="18"/>
              </w:rPr>
              <w:t>62,600</w:t>
            </w:r>
          </w:p>
        </w:tc>
      </w:tr>
      <w:tr w:rsidR="004E45CF" w:rsidRPr="00CF3E3D" w14:paraId="42C4ADAC"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7C680CD1" w14:textId="77777777" w:rsidR="004E45CF" w:rsidRPr="00B1187E" w:rsidRDefault="004E45CF" w:rsidP="00892AFB">
            <w:pPr>
              <w:spacing w:before="85" w:line="288" w:lineRule="auto"/>
              <w:jc w:val="left"/>
              <w:rPr>
                <w:b/>
                <w:bCs/>
                <w:sz w:val="18"/>
                <w:szCs w:val="18"/>
              </w:rPr>
            </w:pPr>
            <w:r w:rsidRPr="00B1187E">
              <w:rPr>
                <w:b/>
                <w:bCs/>
                <w:sz w:val="18"/>
              </w:rPr>
              <w:t>Rehabilitation</w:t>
            </w:r>
          </w:p>
        </w:tc>
        <w:tc>
          <w:tcPr>
            <w:cnfStyle w:val="000001000000" w:firstRow="0" w:lastRow="0" w:firstColumn="0" w:lastColumn="0" w:oddVBand="0" w:evenVBand="1" w:oddHBand="0" w:evenHBand="0" w:firstRowFirstColumn="0" w:firstRowLastColumn="0" w:lastRowFirstColumn="0" w:lastRowLastColumn="0"/>
            <w:tcW w:w="580" w:type="pct"/>
          </w:tcPr>
          <w:p w14:paraId="3EC0BB78" w14:textId="77777777" w:rsidR="004E45CF" w:rsidRPr="00CF3E3D" w:rsidRDefault="004E45CF" w:rsidP="00892AFB">
            <w:pPr>
              <w:spacing w:before="85" w:line="288" w:lineRule="auto"/>
              <w:jc w:val="center"/>
              <w:rPr>
                <w:sz w:val="18"/>
                <w:szCs w:val="18"/>
              </w:rPr>
            </w:pPr>
            <w:r w:rsidRPr="00CF3E3D">
              <w:rPr>
                <w:sz w:val="18"/>
                <w:szCs w:val="18"/>
              </w:rPr>
              <w:t>67,000</w:t>
            </w:r>
          </w:p>
        </w:tc>
        <w:tc>
          <w:tcPr>
            <w:cnfStyle w:val="000010000000" w:firstRow="0" w:lastRow="0" w:firstColumn="0" w:lastColumn="0" w:oddVBand="1" w:evenVBand="0" w:oddHBand="0" w:evenHBand="0" w:firstRowFirstColumn="0" w:firstRowLastColumn="0" w:lastRowFirstColumn="0" w:lastRowLastColumn="0"/>
            <w:tcW w:w="580" w:type="pct"/>
          </w:tcPr>
          <w:p w14:paraId="02E4B9A6" w14:textId="77777777" w:rsidR="004E45CF" w:rsidRPr="00CF3E3D" w:rsidRDefault="004E45CF" w:rsidP="00892AFB">
            <w:pPr>
              <w:spacing w:before="85" w:line="288" w:lineRule="auto"/>
              <w:jc w:val="center"/>
              <w:rPr>
                <w:sz w:val="18"/>
                <w:szCs w:val="18"/>
              </w:rPr>
            </w:pPr>
            <w:r w:rsidRPr="00CF3E3D">
              <w:rPr>
                <w:sz w:val="18"/>
                <w:szCs w:val="18"/>
              </w:rPr>
              <w:t>69,400</w:t>
            </w:r>
          </w:p>
        </w:tc>
        <w:tc>
          <w:tcPr>
            <w:cnfStyle w:val="000001000000" w:firstRow="0" w:lastRow="0" w:firstColumn="0" w:lastColumn="0" w:oddVBand="0" w:evenVBand="1" w:oddHBand="0" w:evenHBand="0" w:firstRowFirstColumn="0" w:firstRowLastColumn="0" w:lastRowFirstColumn="0" w:lastRowLastColumn="0"/>
            <w:tcW w:w="580" w:type="pct"/>
          </w:tcPr>
          <w:p w14:paraId="1BB2BA9F" w14:textId="77777777" w:rsidR="004E45CF" w:rsidRPr="00CF3E3D" w:rsidRDefault="004E45CF" w:rsidP="00892AFB">
            <w:pPr>
              <w:spacing w:before="85" w:line="288" w:lineRule="auto"/>
              <w:jc w:val="center"/>
              <w:rPr>
                <w:sz w:val="18"/>
                <w:szCs w:val="18"/>
              </w:rPr>
            </w:pPr>
            <w:r w:rsidRPr="00CF3E3D">
              <w:rPr>
                <w:sz w:val="18"/>
                <w:szCs w:val="18"/>
              </w:rPr>
              <w:t>66,500</w:t>
            </w:r>
          </w:p>
        </w:tc>
        <w:tc>
          <w:tcPr>
            <w:cnfStyle w:val="000010000000" w:firstRow="0" w:lastRow="0" w:firstColumn="0" w:lastColumn="0" w:oddVBand="1" w:evenVBand="0" w:oddHBand="0" w:evenHBand="0" w:firstRowFirstColumn="0" w:firstRowLastColumn="0" w:lastRowFirstColumn="0" w:lastRowLastColumn="0"/>
            <w:tcW w:w="580" w:type="pct"/>
          </w:tcPr>
          <w:p w14:paraId="32AE2AC6"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01000000" w:firstRow="0" w:lastRow="0" w:firstColumn="0" w:lastColumn="0" w:oddVBand="0" w:evenVBand="1" w:oddHBand="0" w:evenHBand="0" w:firstRowFirstColumn="0" w:firstRowLastColumn="0" w:lastRowFirstColumn="0" w:lastRowLastColumn="0"/>
            <w:tcW w:w="580" w:type="pct"/>
          </w:tcPr>
          <w:p w14:paraId="5EABC392" w14:textId="77777777" w:rsidR="004E45CF" w:rsidRPr="00CF3E3D" w:rsidRDefault="004E45CF" w:rsidP="00892AFB">
            <w:pPr>
              <w:spacing w:before="85" w:line="288" w:lineRule="auto"/>
              <w:jc w:val="center"/>
              <w:rPr>
                <w:sz w:val="18"/>
                <w:szCs w:val="18"/>
              </w:rPr>
            </w:pPr>
            <w:r w:rsidRPr="00CF3E3D">
              <w:rPr>
                <w:sz w:val="18"/>
                <w:szCs w:val="18"/>
              </w:rPr>
              <w:t>67,000</w:t>
            </w:r>
          </w:p>
        </w:tc>
        <w:tc>
          <w:tcPr>
            <w:cnfStyle w:val="000010000000" w:firstRow="0" w:lastRow="0" w:firstColumn="0" w:lastColumn="0" w:oddVBand="1" w:evenVBand="0" w:oddHBand="0" w:evenHBand="0" w:firstRowFirstColumn="0" w:firstRowLastColumn="0" w:lastRowFirstColumn="0" w:lastRowLastColumn="0"/>
            <w:tcW w:w="579" w:type="pct"/>
          </w:tcPr>
          <w:p w14:paraId="7E7AA97A" w14:textId="77777777" w:rsidR="004E45CF" w:rsidRPr="00CF3E3D" w:rsidRDefault="004E45CF" w:rsidP="00892AFB">
            <w:pPr>
              <w:spacing w:before="85" w:line="288" w:lineRule="auto"/>
              <w:jc w:val="center"/>
              <w:rPr>
                <w:sz w:val="18"/>
                <w:szCs w:val="18"/>
              </w:rPr>
            </w:pPr>
            <w:r w:rsidRPr="00CF3E3D">
              <w:rPr>
                <w:sz w:val="18"/>
                <w:szCs w:val="18"/>
              </w:rPr>
              <w:t>69,500</w:t>
            </w:r>
          </w:p>
        </w:tc>
      </w:tr>
      <w:tr w:rsidR="004E45CF" w:rsidRPr="00CF3E3D" w14:paraId="67846E37"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0E477F2C" w14:textId="77777777" w:rsidR="004E45CF" w:rsidRPr="00B1187E" w:rsidRDefault="004E45CF" w:rsidP="00892AFB">
            <w:pPr>
              <w:spacing w:before="85" w:line="288" w:lineRule="auto"/>
              <w:jc w:val="left"/>
              <w:rPr>
                <w:b/>
                <w:bCs/>
                <w:sz w:val="18"/>
                <w:szCs w:val="18"/>
              </w:rPr>
            </w:pPr>
            <w:r w:rsidRPr="00B1187E">
              <w:rPr>
                <w:b/>
                <w:bCs/>
                <w:sz w:val="18"/>
              </w:rPr>
              <w:t>Teacher education</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7E66CBC" w14:textId="77777777" w:rsidR="004E45CF" w:rsidRPr="00CF3E3D" w:rsidRDefault="004E45CF" w:rsidP="00892AFB">
            <w:pPr>
              <w:spacing w:before="85" w:line="288" w:lineRule="auto"/>
              <w:jc w:val="center"/>
              <w:rPr>
                <w:sz w:val="18"/>
                <w:szCs w:val="18"/>
              </w:rPr>
            </w:pPr>
            <w:r w:rsidRPr="00CF3E3D">
              <w:rPr>
                <w:sz w:val="18"/>
                <w:szCs w:val="18"/>
              </w:rPr>
              <w:t>71,800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0DE65984" w14:textId="77777777" w:rsidR="004E45CF" w:rsidRPr="00CF3E3D" w:rsidRDefault="004E45CF" w:rsidP="00892AFB">
            <w:pPr>
              <w:spacing w:before="85" w:line="288" w:lineRule="auto"/>
              <w:jc w:val="center"/>
              <w:rPr>
                <w:sz w:val="18"/>
                <w:szCs w:val="18"/>
              </w:rPr>
            </w:pPr>
            <w:r w:rsidRPr="00CF3E3D">
              <w:rPr>
                <w:sz w:val="18"/>
                <w:szCs w:val="18"/>
              </w:rPr>
              <w:t>72,100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5904E209" w14:textId="77777777" w:rsidR="004E45CF" w:rsidRPr="00CF3E3D" w:rsidRDefault="004E45CF" w:rsidP="00892AFB">
            <w:pPr>
              <w:spacing w:before="85" w:line="288" w:lineRule="auto"/>
              <w:jc w:val="center"/>
              <w:rPr>
                <w:sz w:val="18"/>
                <w:szCs w:val="18"/>
              </w:rPr>
            </w:pPr>
            <w:r w:rsidRPr="00CF3E3D">
              <w:rPr>
                <w:sz w:val="18"/>
                <w:szCs w:val="18"/>
              </w:rPr>
              <w:t>72,000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2B605F3E" w14:textId="77777777" w:rsidR="004E45CF" w:rsidRPr="00CF3E3D" w:rsidRDefault="004E45CF" w:rsidP="00892AFB">
            <w:pPr>
              <w:spacing w:before="85" w:line="288" w:lineRule="auto"/>
              <w:jc w:val="center"/>
              <w:rPr>
                <w:sz w:val="18"/>
                <w:szCs w:val="18"/>
              </w:rPr>
            </w:pPr>
            <w:r w:rsidRPr="00CF3E3D">
              <w:rPr>
                <w:sz w:val="18"/>
                <w:szCs w:val="18"/>
              </w:rPr>
              <w:t>73,100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2B329D8C" w14:textId="77777777" w:rsidR="004E45CF" w:rsidRPr="00CF3E3D" w:rsidRDefault="004E45CF" w:rsidP="00892AFB">
            <w:pPr>
              <w:spacing w:before="85" w:line="288" w:lineRule="auto"/>
              <w:jc w:val="center"/>
              <w:rPr>
                <w:sz w:val="18"/>
                <w:szCs w:val="18"/>
              </w:rPr>
            </w:pPr>
            <w:r w:rsidRPr="00CF3E3D">
              <w:rPr>
                <w:sz w:val="18"/>
                <w:szCs w:val="18"/>
              </w:rPr>
              <w:t>72,000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4FD2DD66" w14:textId="77777777" w:rsidR="004E45CF" w:rsidRPr="00CF3E3D" w:rsidRDefault="004E45CF" w:rsidP="00892AFB">
            <w:pPr>
              <w:spacing w:before="85" w:line="288" w:lineRule="auto"/>
              <w:jc w:val="center"/>
              <w:rPr>
                <w:sz w:val="18"/>
                <w:szCs w:val="18"/>
              </w:rPr>
            </w:pPr>
            <w:r w:rsidRPr="00CF3E3D">
              <w:rPr>
                <w:sz w:val="18"/>
                <w:szCs w:val="18"/>
              </w:rPr>
              <w:t>72,200</w:t>
            </w:r>
          </w:p>
        </w:tc>
      </w:tr>
      <w:tr w:rsidR="004E45CF" w:rsidRPr="00CF3E3D" w14:paraId="7438AB2C"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5E851DDA" w14:textId="77777777" w:rsidR="004E45CF" w:rsidRPr="00B1187E" w:rsidRDefault="004E45CF" w:rsidP="00892AFB">
            <w:pPr>
              <w:spacing w:before="85" w:line="288" w:lineRule="auto"/>
              <w:jc w:val="left"/>
              <w:rPr>
                <w:b/>
                <w:bCs/>
                <w:sz w:val="18"/>
                <w:szCs w:val="18"/>
              </w:rPr>
            </w:pPr>
            <w:r w:rsidRPr="00B1187E">
              <w:rPr>
                <w:b/>
                <w:bCs/>
                <w:sz w:val="18"/>
              </w:rPr>
              <w:t>Business and management</w:t>
            </w:r>
          </w:p>
        </w:tc>
        <w:tc>
          <w:tcPr>
            <w:cnfStyle w:val="000001000000" w:firstRow="0" w:lastRow="0" w:firstColumn="0" w:lastColumn="0" w:oddVBand="0" w:evenVBand="1" w:oddHBand="0" w:evenHBand="0" w:firstRowFirstColumn="0" w:firstRowLastColumn="0" w:lastRowFirstColumn="0" w:lastRowLastColumn="0"/>
            <w:tcW w:w="580" w:type="pct"/>
          </w:tcPr>
          <w:p w14:paraId="33D72749" w14:textId="77777777" w:rsidR="004E45CF" w:rsidRPr="00CF3E3D" w:rsidRDefault="004E45CF" w:rsidP="00892AFB">
            <w:pPr>
              <w:spacing w:before="85" w:line="288" w:lineRule="auto"/>
              <w:jc w:val="center"/>
              <w:rPr>
                <w:sz w:val="18"/>
                <w:szCs w:val="18"/>
              </w:rPr>
            </w:pPr>
            <w:r w:rsidRPr="00CF3E3D">
              <w:rPr>
                <w:sz w:val="18"/>
                <w:szCs w:val="18"/>
              </w:rPr>
              <w:t>60,000</w:t>
            </w:r>
          </w:p>
        </w:tc>
        <w:tc>
          <w:tcPr>
            <w:cnfStyle w:val="000010000000" w:firstRow="0" w:lastRow="0" w:firstColumn="0" w:lastColumn="0" w:oddVBand="1" w:evenVBand="0" w:oddHBand="0" w:evenHBand="0" w:firstRowFirstColumn="0" w:firstRowLastColumn="0" w:lastRowFirstColumn="0" w:lastRowLastColumn="0"/>
            <w:tcW w:w="580" w:type="pct"/>
          </w:tcPr>
          <w:p w14:paraId="600AF55B" w14:textId="77777777" w:rsidR="004E45CF" w:rsidRPr="00CF3E3D" w:rsidRDefault="004E45CF" w:rsidP="00892AFB">
            <w:pPr>
              <w:spacing w:before="85" w:line="288" w:lineRule="auto"/>
              <w:jc w:val="center"/>
              <w:rPr>
                <w:sz w:val="18"/>
                <w:szCs w:val="18"/>
              </w:rPr>
            </w:pPr>
            <w:r w:rsidRPr="00CF3E3D">
              <w:rPr>
                <w:sz w:val="18"/>
                <w:szCs w:val="18"/>
              </w:rPr>
              <w:t>65,000</w:t>
            </w:r>
          </w:p>
        </w:tc>
        <w:tc>
          <w:tcPr>
            <w:cnfStyle w:val="000001000000" w:firstRow="0" w:lastRow="0" w:firstColumn="0" w:lastColumn="0" w:oddVBand="0" w:evenVBand="1" w:oddHBand="0" w:evenHBand="0" w:firstRowFirstColumn="0" w:firstRowLastColumn="0" w:lastRowFirstColumn="0" w:lastRowLastColumn="0"/>
            <w:tcW w:w="580" w:type="pct"/>
          </w:tcPr>
          <w:p w14:paraId="1F739C19" w14:textId="77777777" w:rsidR="004E45CF" w:rsidRPr="00CF3E3D" w:rsidRDefault="004E45CF" w:rsidP="00892AFB">
            <w:pPr>
              <w:spacing w:before="85" w:line="288" w:lineRule="auto"/>
              <w:jc w:val="center"/>
              <w:rPr>
                <w:sz w:val="18"/>
                <w:szCs w:val="18"/>
              </w:rPr>
            </w:pPr>
            <w:r w:rsidRPr="00CF3E3D">
              <w:rPr>
                <w:sz w:val="18"/>
                <w:szCs w:val="18"/>
              </w:rPr>
              <w:t>63,000</w:t>
            </w:r>
          </w:p>
        </w:tc>
        <w:tc>
          <w:tcPr>
            <w:cnfStyle w:val="000010000000" w:firstRow="0" w:lastRow="0" w:firstColumn="0" w:lastColumn="0" w:oddVBand="1" w:evenVBand="0" w:oddHBand="0" w:evenHBand="0" w:firstRowFirstColumn="0" w:firstRowLastColumn="0" w:lastRowFirstColumn="0" w:lastRowLastColumn="0"/>
            <w:tcW w:w="580" w:type="pct"/>
          </w:tcPr>
          <w:p w14:paraId="31381E1C" w14:textId="77777777" w:rsidR="004E45CF" w:rsidRPr="00CF3E3D" w:rsidRDefault="004E45CF" w:rsidP="00892AFB">
            <w:pPr>
              <w:spacing w:before="85" w:line="288" w:lineRule="auto"/>
              <w:jc w:val="center"/>
              <w:rPr>
                <w:sz w:val="18"/>
                <w:szCs w:val="18"/>
              </w:rPr>
            </w:pPr>
            <w:r w:rsidRPr="00CF3E3D">
              <w:rPr>
                <w:sz w:val="18"/>
                <w:szCs w:val="18"/>
              </w:rPr>
              <w:t>65,000</w:t>
            </w:r>
          </w:p>
        </w:tc>
        <w:tc>
          <w:tcPr>
            <w:cnfStyle w:val="000001000000" w:firstRow="0" w:lastRow="0" w:firstColumn="0" w:lastColumn="0" w:oddVBand="0" w:evenVBand="1" w:oddHBand="0" w:evenHBand="0" w:firstRowFirstColumn="0" w:firstRowLastColumn="0" w:lastRowFirstColumn="0" w:lastRowLastColumn="0"/>
            <w:tcW w:w="580" w:type="pct"/>
          </w:tcPr>
          <w:p w14:paraId="50E7E665" w14:textId="77777777" w:rsidR="004E45CF" w:rsidRPr="00CF3E3D" w:rsidRDefault="004E45CF" w:rsidP="00892AFB">
            <w:pPr>
              <w:spacing w:before="85" w:line="288" w:lineRule="auto"/>
              <w:jc w:val="center"/>
              <w:rPr>
                <w:sz w:val="18"/>
                <w:szCs w:val="18"/>
              </w:rPr>
            </w:pPr>
            <w:r w:rsidRPr="00CF3E3D">
              <w:rPr>
                <w:sz w:val="18"/>
                <w:szCs w:val="18"/>
              </w:rPr>
              <w:t>60,700</w:t>
            </w:r>
          </w:p>
        </w:tc>
        <w:tc>
          <w:tcPr>
            <w:cnfStyle w:val="000010000000" w:firstRow="0" w:lastRow="0" w:firstColumn="0" w:lastColumn="0" w:oddVBand="1" w:evenVBand="0" w:oddHBand="0" w:evenHBand="0" w:firstRowFirstColumn="0" w:firstRowLastColumn="0" w:lastRowFirstColumn="0" w:lastRowLastColumn="0"/>
            <w:tcW w:w="579" w:type="pct"/>
          </w:tcPr>
          <w:p w14:paraId="6B7EA2CE" w14:textId="77777777" w:rsidR="004E45CF" w:rsidRPr="00CF3E3D" w:rsidRDefault="004E45CF" w:rsidP="00892AFB">
            <w:pPr>
              <w:spacing w:before="85" w:line="288" w:lineRule="auto"/>
              <w:jc w:val="center"/>
              <w:rPr>
                <w:sz w:val="18"/>
                <w:szCs w:val="18"/>
              </w:rPr>
            </w:pPr>
            <w:r w:rsidRPr="00CF3E3D">
              <w:rPr>
                <w:sz w:val="18"/>
                <w:szCs w:val="18"/>
              </w:rPr>
              <w:t>65,000</w:t>
            </w:r>
          </w:p>
        </w:tc>
      </w:tr>
      <w:tr w:rsidR="004E45CF" w:rsidRPr="00CF3E3D" w14:paraId="62639D1D"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3D0BBE61" w14:textId="77777777" w:rsidR="004E45CF" w:rsidRPr="00B1187E" w:rsidRDefault="004E45CF" w:rsidP="00892AFB">
            <w:pPr>
              <w:spacing w:before="85" w:line="288" w:lineRule="auto"/>
              <w:jc w:val="left"/>
              <w:rPr>
                <w:b/>
                <w:bCs/>
                <w:sz w:val="18"/>
                <w:szCs w:val="18"/>
              </w:rPr>
            </w:pPr>
            <w:r w:rsidRPr="00B1187E">
              <w:rPr>
                <w:b/>
                <w:bCs/>
                <w:sz w:val="18"/>
              </w:rPr>
              <w:t>Humanities, culture and social sciences</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069371C6" w14:textId="77777777" w:rsidR="004E45CF" w:rsidRPr="00CF3E3D" w:rsidRDefault="004E45CF" w:rsidP="00892AFB">
            <w:pPr>
              <w:spacing w:before="85" w:line="288" w:lineRule="auto"/>
              <w:jc w:val="center"/>
              <w:rPr>
                <w:sz w:val="18"/>
                <w:szCs w:val="18"/>
              </w:rPr>
            </w:pPr>
            <w:r w:rsidRPr="00CF3E3D">
              <w:rPr>
                <w:sz w:val="18"/>
                <w:szCs w:val="18"/>
              </w:rPr>
              <w:t>62,000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618066EF" w14:textId="77777777" w:rsidR="004E45CF" w:rsidRPr="00CF3E3D" w:rsidRDefault="004E45CF" w:rsidP="00892AFB">
            <w:pPr>
              <w:spacing w:before="85" w:line="288" w:lineRule="auto"/>
              <w:jc w:val="center"/>
              <w:rPr>
                <w:sz w:val="18"/>
                <w:szCs w:val="18"/>
              </w:rPr>
            </w:pPr>
            <w:r w:rsidRPr="00CF3E3D">
              <w:rPr>
                <w:sz w:val="18"/>
                <w:szCs w:val="18"/>
              </w:rPr>
              <w:t>65,800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5F9CCE6" w14:textId="77777777" w:rsidR="004E45CF" w:rsidRPr="00CF3E3D" w:rsidRDefault="004E45CF" w:rsidP="00892AFB">
            <w:pPr>
              <w:spacing w:before="85" w:line="288" w:lineRule="auto"/>
              <w:jc w:val="center"/>
              <w:rPr>
                <w:sz w:val="18"/>
                <w:szCs w:val="18"/>
              </w:rPr>
            </w:pPr>
            <w:r w:rsidRPr="00CF3E3D">
              <w:rPr>
                <w:sz w:val="18"/>
                <w:szCs w:val="18"/>
              </w:rPr>
              <w:t>65,000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2B364083" w14:textId="77777777" w:rsidR="004E45CF" w:rsidRPr="00CF3E3D" w:rsidRDefault="004E45CF" w:rsidP="00892AFB">
            <w:pPr>
              <w:spacing w:before="85" w:line="288" w:lineRule="auto"/>
              <w:jc w:val="center"/>
              <w:rPr>
                <w:sz w:val="18"/>
                <w:szCs w:val="18"/>
              </w:rPr>
            </w:pPr>
            <w:r w:rsidRPr="00CF3E3D">
              <w:rPr>
                <w:sz w:val="18"/>
                <w:szCs w:val="18"/>
              </w:rPr>
              <w:t>68,200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5B55BAD4" w14:textId="77777777" w:rsidR="004E45CF" w:rsidRPr="00CF3E3D" w:rsidRDefault="004E45CF" w:rsidP="00892AFB">
            <w:pPr>
              <w:spacing w:before="85" w:line="288" w:lineRule="auto"/>
              <w:jc w:val="center"/>
              <w:rPr>
                <w:sz w:val="18"/>
                <w:szCs w:val="18"/>
              </w:rPr>
            </w:pPr>
            <w:r w:rsidRPr="00CF3E3D">
              <w:rPr>
                <w:sz w:val="18"/>
                <w:szCs w:val="18"/>
              </w:rPr>
              <w:t>62,600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02ED3DAC" w14:textId="77777777" w:rsidR="004E45CF" w:rsidRPr="00CF3E3D" w:rsidRDefault="004E45CF" w:rsidP="00892AFB">
            <w:pPr>
              <w:spacing w:before="85" w:line="288" w:lineRule="auto"/>
              <w:jc w:val="center"/>
              <w:rPr>
                <w:sz w:val="18"/>
                <w:szCs w:val="18"/>
              </w:rPr>
            </w:pPr>
            <w:r w:rsidRPr="00CF3E3D">
              <w:rPr>
                <w:sz w:val="18"/>
                <w:szCs w:val="18"/>
              </w:rPr>
              <w:t>66,700</w:t>
            </w:r>
          </w:p>
        </w:tc>
      </w:tr>
      <w:tr w:rsidR="004E45CF" w:rsidRPr="00CF3E3D" w14:paraId="093B63E6"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228F5322" w14:textId="77777777" w:rsidR="004E45CF" w:rsidRPr="00B1187E" w:rsidRDefault="004E45CF" w:rsidP="00892AFB">
            <w:pPr>
              <w:spacing w:before="85" w:line="288" w:lineRule="auto"/>
              <w:jc w:val="left"/>
              <w:rPr>
                <w:b/>
                <w:bCs/>
                <w:sz w:val="18"/>
                <w:szCs w:val="18"/>
              </w:rPr>
            </w:pPr>
            <w:r w:rsidRPr="00B1187E">
              <w:rPr>
                <w:b/>
                <w:bCs/>
                <w:sz w:val="18"/>
              </w:rPr>
              <w:t>Social work</w:t>
            </w:r>
          </w:p>
        </w:tc>
        <w:tc>
          <w:tcPr>
            <w:cnfStyle w:val="000001000000" w:firstRow="0" w:lastRow="0" w:firstColumn="0" w:lastColumn="0" w:oddVBand="0" w:evenVBand="1" w:oddHBand="0" w:evenHBand="0" w:firstRowFirstColumn="0" w:firstRowLastColumn="0" w:lastRowFirstColumn="0" w:lastRowLastColumn="0"/>
            <w:tcW w:w="580" w:type="pct"/>
          </w:tcPr>
          <w:p w14:paraId="6F74F18D" w14:textId="77777777" w:rsidR="004E45CF" w:rsidRPr="00CF3E3D" w:rsidRDefault="004E45CF" w:rsidP="00892AFB">
            <w:pPr>
              <w:spacing w:before="85" w:line="288" w:lineRule="auto"/>
              <w:jc w:val="center"/>
              <w:rPr>
                <w:sz w:val="18"/>
                <w:szCs w:val="18"/>
              </w:rPr>
            </w:pPr>
            <w:r w:rsidRPr="00CF3E3D">
              <w:rPr>
                <w:sz w:val="18"/>
                <w:szCs w:val="18"/>
              </w:rPr>
              <w:t>72,300</w:t>
            </w:r>
          </w:p>
        </w:tc>
        <w:tc>
          <w:tcPr>
            <w:cnfStyle w:val="000010000000" w:firstRow="0" w:lastRow="0" w:firstColumn="0" w:lastColumn="0" w:oddVBand="1" w:evenVBand="0" w:oddHBand="0" w:evenHBand="0" w:firstRowFirstColumn="0" w:firstRowLastColumn="0" w:lastRowFirstColumn="0" w:lastRowLastColumn="0"/>
            <w:tcW w:w="580" w:type="pct"/>
          </w:tcPr>
          <w:p w14:paraId="7463A2E2" w14:textId="77777777" w:rsidR="004E45CF" w:rsidRPr="00CF3E3D" w:rsidRDefault="004E45CF" w:rsidP="00892AFB">
            <w:pPr>
              <w:spacing w:before="85" w:line="288" w:lineRule="auto"/>
              <w:jc w:val="center"/>
              <w:rPr>
                <w:sz w:val="18"/>
                <w:szCs w:val="18"/>
              </w:rPr>
            </w:pPr>
            <w:r w:rsidRPr="00CF3E3D">
              <w:rPr>
                <w:sz w:val="18"/>
                <w:szCs w:val="18"/>
              </w:rPr>
              <w:t>75,000</w:t>
            </w:r>
          </w:p>
        </w:tc>
        <w:tc>
          <w:tcPr>
            <w:cnfStyle w:val="000001000000" w:firstRow="0" w:lastRow="0" w:firstColumn="0" w:lastColumn="0" w:oddVBand="0" w:evenVBand="1" w:oddHBand="0" w:evenHBand="0" w:firstRowFirstColumn="0" w:firstRowLastColumn="0" w:lastRowFirstColumn="0" w:lastRowLastColumn="0"/>
            <w:tcW w:w="580" w:type="pct"/>
          </w:tcPr>
          <w:p w14:paraId="2D6CB143" w14:textId="77777777" w:rsidR="004E45CF" w:rsidRPr="00CF3E3D" w:rsidRDefault="004E45CF" w:rsidP="00892AFB">
            <w:pPr>
              <w:spacing w:before="85" w:line="288" w:lineRule="auto"/>
              <w:jc w:val="center"/>
              <w:rPr>
                <w:sz w:val="18"/>
                <w:szCs w:val="18"/>
              </w:rPr>
            </w:pPr>
            <w:r w:rsidRPr="00CF3E3D">
              <w:rPr>
                <w:sz w:val="18"/>
                <w:szCs w:val="18"/>
              </w:rPr>
              <w:t>74,900</w:t>
            </w:r>
          </w:p>
        </w:tc>
        <w:tc>
          <w:tcPr>
            <w:cnfStyle w:val="000010000000" w:firstRow="0" w:lastRow="0" w:firstColumn="0" w:lastColumn="0" w:oddVBand="1" w:evenVBand="0" w:oddHBand="0" w:evenHBand="0" w:firstRowFirstColumn="0" w:firstRowLastColumn="0" w:lastRowFirstColumn="0" w:lastRowLastColumn="0"/>
            <w:tcW w:w="580" w:type="pct"/>
          </w:tcPr>
          <w:p w14:paraId="3DD9263D" w14:textId="77777777" w:rsidR="004E45CF" w:rsidRPr="00CF3E3D" w:rsidRDefault="004E45CF" w:rsidP="00892AFB">
            <w:pPr>
              <w:spacing w:before="85" w:line="288" w:lineRule="auto"/>
              <w:jc w:val="center"/>
              <w:rPr>
                <w:sz w:val="18"/>
                <w:szCs w:val="18"/>
              </w:rPr>
            </w:pPr>
            <w:r w:rsidRPr="00CF3E3D">
              <w:rPr>
                <w:sz w:val="18"/>
                <w:szCs w:val="18"/>
              </w:rPr>
              <w:t>74,000</w:t>
            </w:r>
          </w:p>
        </w:tc>
        <w:tc>
          <w:tcPr>
            <w:cnfStyle w:val="000001000000" w:firstRow="0" w:lastRow="0" w:firstColumn="0" w:lastColumn="0" w:oddVBand="0" w:evenVBand="1" w:oddHBand="0" w:evenHBand="0" w:firstRowFirstColumn="0" w:firstRowLastColumn="0" w:lastRowFirstColumn="0" w:lastRowLastColumn="0"/>
            <w:tcW w:w="580" w:type="pct"/>
          </w:tcPr>
          <w:p w14:paraId="4E9CD644" w14:textId="77777777" w:rsidR="004E45CF" w:rsidRPr="00CF3E3D" w:rsidRDefault="004E45CF" w:rsidP="00892AFB">
            <w:pPr>
              <w:spacing w:before="85" w:line="288" w:lineRule="auto"/>
              <w:jc w:val="center"/>
              <w:rPr>
                <w:sz w:val="18"/>
                <w:szCs w:val="18"/>
              </w:rPr>
            </w:pPr>
            <w:r w:rsidRPr="00CF3E3D">
              <w:rPr>
                <w:sz w:val="18"/>
                <w:szCs w:val="18"/>
              </w:rPr>
              <w:t>72,600</w:t>
            </w:r>
          </w:p>
        </w:tc>
        <w:tc>
          <w:tcPr>
            <w:cnfStyle w:val="000010000000" w:firstRow="0" w:lastRow="0" w:firstColumn="0" w:lastColumn="0" w:oddVBand="1" w:evenVBand="0" w:oddHBand="0" w:evenHBand="0" w:firstRowFirstColumn="0" w:firstRowLastColumn="0" w:lastRowFirstColumn="0" w:lastRowLastColumn="0"/>
            <w:tcW w:w="579" w:type="pct"/>
          </w:tcPr>
          <w:p w14:paraId="71D4BBF4" w14:textId="77777777" w:rsidR="004E45CF" w:rsidRPr="00CF3E3D" w:rsidRDefault="004E45CF" w:rsidP="00892AFB">
            <w:pPr>
              <w:spacing w:before="85" w:line="288" w:lineRule="auto"/>
              <w:jc w:val="center"/>
              <w:rPr>
                <w:sz w:val="18"/>
                <w:szCs w:val="18"/>
              </w:rPr>
            </w:pPr>
            <w:r w:rsidRPr="00CF3E3D">
              <w:rPr>
                <w:sz w:val="18"/>
                <w:szCs w:val="18"/>
              </w:rPr>
              <w:t>75,000</w:t>
            </w:r>
          </w:p>
        </w:tc>
      </w:tr>
      <w:tr w:rsidR="004E45CF" w:rsidRPr="00CF3E3D" w14:paraId="27D1C9E5"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46742387" w14:textId="77777777" w:rsidR="004E45CF" w:rsidRPr="00B1187E" w:rsidRDefault="004E45CF" w:rsidP="00892AFB">
            <w:pPr>
              <w:spacing w:before="85" w:line="288" w:lineRule="auto"/>
              <w:jc w:val="left"/>
              <w:rPr>
                <w:b/>
                <w:bCs/>
                <w:sz w:val="18"/>
                <w:szCs w:val="18"/>
              </w:rPr>
            </w:pPr>
            <w:r w:rsidRPr="00B1187E">
              <w:rPr>
                <w:b/>
                <w:bCs/>
                <w:sz w:val="18"/>
              </w:rPr>
              <w:t>Psychology</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7083DBFD" w14:textId="77777777" w:rsidR="004E45CF" w:rsidRPr="00CF3E3D" w:rsidRDefault="004E45CF" w:rsidP="00892AFB">
            <w:pPr>
              <w:spacing w:before="85" w:line="288" w:lineRule="auto"/>
              <w:jc w:val="center"/>
              <w:rPr>
                <w:sz w:val="18"/>
                <w:szCs w:val="18"/>
              </w:rPr>
            </w:pPr>
            <w:r w:rsidRPr="00CF3E3D">
              <w:rPr>
                <w:sz w:val="18"/>
                <w:szCs w:val="18"/>
              </w:rPr>
              <w:t>63,100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0D9B72F9" w14:textId="77777777" w:rsidR="004E45CF" w:rsidRPr="00CF3E3D" w:rsidRDefault="004E45CF" w:rsidP="00892AFB">
            <w:pPr>
              <w:spacing w:before="85" w:line="288" w:lineRule="auto"/>
              <w:jc w:val="center"/>
              <w:rPr>
                <w:sz w:val="18"/>
                <w:szCs w:val="18"/>
              </w:rPr>
            </w:pPr>
            <w:r w:rsidRPr="00CF3E3D">
              <w:rPr>
                <w:sz w:val="18"/>
                <w:szCs w:val="18"/>
              </w:rPr>
              <w:t>67,400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F9669E4"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6869027A"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1F90FA6F" w14:textId="77777777" w:rsidR="004E45CF" w:rsidRPr="00CF3E3D" w:rsidRDefault="004E45CF" w:rsidP="00892AFB">
            <w:pPr>
              <w:spacing w:before="85" w:line="288" w:lineRule="auto"/>
              <w:jc w:val="center"/>
              <w:rPr>
                <w:sz w:val="18"/>
                <w:szCs w:val="18"/>
              </w:rPr>
            </w:pPr>
            <w:r w:rsidRPr="00CF3E3D">
              <w:rPr>
                <w:sz w:val="18"/>
                <w:szCs w:val="18"/>
              </w:rPr>
              <w:t>65,000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17E42E52" w14:textId="77777777" w:rsidR="004E45CF" w:rsidRPr="00CF3E3D" w:rsidRDefault="004E45CF" w:rsidP="00892AFB">
            <w:pPr>
              <w:spacing w:before="85" w:line="288" w:lineRule="auto"/>
              <w:jc w:val="center"/>
              <w:rPr>
                <w:sz w:val="18"/>
                <w:szCs w:val="18"/>
              </w:rPr>
            </w:pPr>
            <w:r w:rsidRPr="00CF3E3D">
              <w:rPr>
                <w:sz w:val="18"/>
                <w:szCs w:val="18"/>
              </w:rPr>
              <w:t>67,800</w:t>
            </w:r>
          </w:p>
        </w:tc>
      </w:tr>
      <w:tr w:rsidR="004E45CF" w:rsidRPr="00CF3E3D" w14:paraId="3468F949"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63B2252" w14:textId="77777777" w:rsidR="004E45CF" w:rsidRPr="00B1187E" w:rsidRDefault="004E45CF" w:rsidP="00892AFB">
            <w:pPr>
              <w:spacing w:before="85" w:line="288" w:lineRule="auto"/>
              <w:jc w:val="left"/>
              <w:rPr>
                <w:b/>
                <w:bCs/>
                <w:sz w:val="18"/>
                <w:szCs w:val="18"/>
              </w:rPr>
            </w:pPr>
            <w:r w:rsidRPr="00B1187E">
              <w:rPr>
                <w:b/>
                <w:bCs/>
                <w:sz w:val="18"/>
              </w:rPr>
              <w:t>Law and paralegal studies</w:t>
            </w:r>
          </w:p>
        </w:tc>
        <w:tc>
          <w:tcPr>
            <w:cnfStyle w:val="000001000000" w:firstRow="0" w:lastRow="0" w:firstColumn="0" w:lastColumn="0" w:oddVBand="0" w:evenVBand="1" w:oddHBand="0" w:evenHBand="0" w:firstRowFirstColumn="0" w:firstRowLastColumn="0" w:lastRowFirstColumn="0" w:lastRowLastColumn="0"/>
            <w:tcW w:w="580" w:type="pct"/>
          </w:tcPr>
          <w:p w14:paraId="15A06C3F" w14:textId="77777777" w:rsidR="004E45CF" w:rsidRPr="00CF3E3D" w:rsidRDefault="004E45CF" w:rsidP="00892AFB">
            <w:pPr>
              <w:spacing w:before="85" w:line="288" w:lineRule="auto"/>
              <w:jc w:val="center"/>
              <w:rPr>
                <w:sz w:val="18"/>
                <w:szCs w:val="18"/>
              </w:rPr>
            </w:pPr>
            <w:r w:rsidRPr="00CF3E3D">
              <w:rPr>
                <w:sz w:val="18"/>
                <w:szCs w:val="18"/>
              </w:rPr>
              <w:t>65,100</w:t>
            </w:r>
          </w:p>
        </w:tc>
        <w:tc>
          <w:tcPr>
            <w:cnfStyle w:val="000010000000" w:firstRow="0" w:lastRow="0" w:firstColumn="0" w:lastColumn="0" w:oddVBand="1" w:evenVBand="0" w:oddHBand="0" w:evenHBand="0" w:firstRowFirstColumn="0" w:firstRowLastColumn="0" w:lastRowFirstColumn="0" w:lastRowLastColumn="0"/>
            <w:tcW w:w="580" w:type="pct"/>
          </w:tcPr>
          <w:p w14:paraId="4665792A" w14:textId="77777777" w:rsidR="004E45CF" w:rsidRPr="00CF3E3D" w:rsidRDefault="004E45CF" w:rsidP="00892AFB">
            <w:pPr>
              <w:spacing w:before="85" w:line="288" w:lineRule="auto"/>
              <w:jc w:val="center"/>
              <w:rPr>
                <w:sz w:val="18"/>
                <w:szCs w:val="18"/>
              </w:rPr>
            </w:pPr>
            <w:r w:rsidRPr="00CF3E3D">
              <w:rPr>
                <w:sz w:val="18"/>
                <w:szCs w:val="18"/>
              </w:rPr>
              <w:t>68,000</w:t>
            </w:r>
          </w:p>
        </w:tc>
        <w:tc>
          <w:tcPr>
            <w:cnfStyle w:val="000001000000" w:firstRow="0" w:lastRow="0" w:firstColumn="0" w:lastColumn="0" w:oddVBand="0" w:evenVBand="1" w:oddHBand="0" w:evenHBand="0" w:firstRowFirstColumn="0" w:firstRowLastColumn="0" w:lastRowFirstColumn="0" w:lastRowLastColumn="0"/>
            <w:tcW w:w="580" w:type="pct"/>
          </w:tcPr>
          <w:p w14:paraId="3DE616A7" w14:textId="77777777" w:rsidR="004E45CF" w:rsidRPr="00CF3E3D" w:rsidRDefault="004E45CF" w:rsidP="00892AFB">
            <w:pPr>
              <w:spacing w:before="85" w:line="288" w:lineRule="auto"/>
              <w:jc w:val="center"/>
              <w:rPr>
                <w:sz w:val="18"/>
                <w:szCs w:val="18"/>
              </w:rPr>
            </w:pPr>
            <w:r w:rsidRPr="00CF3E3D">
              <w:rPr>
                <w:sz w:val="18"/>
                <w:szCs w:val="18"/>
              </w:rPr>
              <w:t>70,000</w:t>
            </w:r>
          </w:p>
        </w:tc>
        <w:tc>
          <w:tcPr>
            <w:cnfStyle w:val="000010000000" w:firstRow="0" w:lastRow="0" w:firstColumn="0" w:lastColumn="0" w:oddVBand="1" w:evenVBand="0" w:oddHBand="0" w:evenHBand="0" w:firstRowFirstColumn="0" w:firstRowLastColumn="0" w:lastRowFirstColumn="0" w:lastRowLastColumn="0"/>
            <w:tcW w:w="580" w:type="pct"/>
          </w:tcPr>
          <w:p w14:paraId="3EFFC8B4" w14:textId="77777777" w:rsidR="004E45CF" w:rsidRPr="00CF3E3D" w:rsidRDefault="004E45CF" w:rsidP="00892AFB">
            <w:pPr>
              <w:spacing w:before="85" w:line="288" w:lineRule="auto"/>
              <w:jc w:val="center"/>
              <w:rPr>
                <w:sz w:val="18"/>
                <w:szCs w:val="18"/>
              </w:rPr>
            </w:pPr>
            <w:r w:rsidRPr="00CF3E3D">
              <w:rPr>
                <w:sz w:val="18"/>
                <w:szCs w:val="18"/>
              </w:rPr>
              <w:t>72,600</w:t>
            </w:r>
          </w:p>
        </w:tc>
        <w:tc>
          <w:tcPr>
            <w:cnfStyle w:val="000001000000" w:firstRow="0" w:lastRow="0" w:firstColumn="0" w:lastColumn="0" w:oddVBand="0" w:evenVBand="1" w:oddHBand="0" w:evenHBand="0" w:firstRowFirstColumn="0" w:firstRowLastColumn="0" w:lastRowFirstColumn="0" w:lastRowLastColumn="0"/>
            <w:tcW w:w="580" w:type="pct"/>
          </w:tcPr>
          <w:p w14:paraId="75C37887" w14:textId="77777777" w:rsidR="004E45CF" w:rsidRPr="00CF3E3D" w:rsidRDefault="004E45CF" w:rsidP="00892AFB">
            <w:pPr>
              <w:spacing w:before="85" w:line="288" w:lineRule="auto"/>
              <w:jc w:val="center"/>
              <w:rPr>
                <w:sz w:val="18"/>
                <w:szCs w:val="18"/>
              </w:rPr>
            </w:pPr>
            <w:r w:rsidRPr="00CF3E3D">
              <w:rPr>
                <w:sz w:val="18"/>
                <w:szCs w:val="18"/>
              </w:rPr>
              <w:t>66,800</w:t>
            </w:r>
          </w:p>
        </w:tc>
        <w:tc>
          <w:tcPr>
            <w:cnfStyle w:val="000010000000" w:firstRow="0" w:lastRow="0" w:firstColumn="0" w:lastColumn="0" w:oddVBand="1" w:evenVBand="0" w:oddHBand="0" w:evenHBand="0" w:firstRowFirstColumn="0" w:firstRowLastColumn="0" w:lastRowFirstColumn="0" w:lastRowLastColumn="0"/>
            <w:tcW w:w="579" w:type="pct"/>
          </w:tcPr>
          <w:p w14:paraId="66F3DCC2" w14:textId="77777777" w:rsidR="004E45CF" w:rsidRPr="00CF3E3D" w:rsidRDefault="004E45CF" w:rsidP="00892AFB">
            <w:pPr>
              <w:spacing w:before="85" w:line="288" w:lineRule="auto"/>
              <w:jc w:val="center"/>
              <w:rPr>
                <w:sz w:val="18"/>
                <w:szCs w:val="18"/>
              </w:rPr>
            </w:pPr>
            <w:r w:rsidRPr="00CF3E3D">
              <w:rPr>
                <w:sz w:val="18"/>
                <w:szCs w:val="18"/>
              </w:rPr>
              <w:t>70,000</w:t>
            </w:r>
          </w:p>
        </w:tc>
      </w:tr>
      <w:tr w:rsidR="004E45CF" w:rsidRPr="00CF3E3D" w14:paraId="3D531E69"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3A303432" w14:textId="77777777" w:rsidR="004E45CF" w:rsidRPr="00B1187E" w:rsidRDefault="004E45CF" w:rsidP="00892AFB">
            <w:pPr>
              <w:spacing w:before="85" w:line="288" w:lineRule="auto"/>
              <w:jc w:val="left"/>
              <w:rPr>
                <w:b/>
                <w:bCs/>
                <w:sz w:val="18"/>
                <w:szCs w:val="18"/>
              </w:rPr>
            </w:pPr>
            <w:r w:rsidRPr="00B1187E">
              <w:rPr>
                <w:b/>
                <w:bCs/>
                <w:sz w:val="18"/>
              </w:rPr>
              <w:t>Creative arts</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64F315C" w14:textId="77777777" w:rsidR="004E45CF" w:rsidRPr="00CF3E3D" w:rsidRDefault="004E45CF" w:rsidP="00892AFB">
            <w:pPr>
              <w:spacing w:before="85" w:line="288" w:lineRule="auto"/>
              <w:jc w:val="center"/>
              <w:rPr>
                <w:sz w:val="18"/>
                <w:szCs w:val="18"/>
              </w:rPr>
            </w:pPr>
            <w:r w:rsidRPr="00CF3E3D">
              <w:rPr>
                <w:sz w:val="18"/>
                <w:szCs w:val="18"/>
              </w:rPr>
              <w:t>52,200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07259667" w14:textId="77777777" w:rsidR="004E45CF" w:rsidRPr="00CF3E3D" w:rsidRDefault="004E45CF" w:rsidP="00892AFB">
            <w:pPr>
              <w:spacing w:before="85" w:line="288" w:lineRule="auto"/>
              <w:jc w:val="center"/>
              <w:rPr>
                <w:sz w:val="18"/>
                <w:szCs w:val="18"/>
              </w:rPr>
            </w:pPr>
            <w:r w:rsidRPr="00CF3E3D">
              <w:rPr>
                <w:sz w:val="18"/>
                <w:szCs w:val="18"/>
              </w:rPr>
              <w:t>55,000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807AA2F" w14:textId="77777777" w:rsidR="004E45CF" w:rsidRPr="00CF3E3D" w:rsidRDefault="004E45CF" w:rsidP="00892AFB">
            <w:pPr>
              <w:spacing w:before="85" w:line="288" w:lineRule="auto"/>
              <w:jc w:val="center"/>
              <w:rPr>
                <w:sz w:val="18"/>
                <w:szCs w:val="18"/>
              </w:rPr>
            </w:pPr>
            <w:r w:rsidRPr="00CF3E3D">
              <w:rPr>
                <w:sz w:val="18"/>
                <w:szCs w:val="18"/>
              </w:rPr>
              <w:t>55,000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6918B2D3" w14:textId="77777777" w:rsidR="004E45CF" w:rsidRPr="00CF3E3D" w:rsidRDefault="004E45CF" w:rsidP="00892AFB">
            <w:pPr>
              <w:spacing w:before="85" w:line="288" w:lineRule="auto"/>
              <w:jc w:val="center"/>
              <w:rPr>
                <w:sz w:val="18"/>
                <w:szCs w:val="18"/>
              </w:rPr>
            </w:pPr>
            <w:r w:rsidRPr="00CF3E3D">
              <w:rPr>
                <w:sz w:val="18"/>
                <w:szCs w:val="18"/>
              </w:rPr>
              <w:t>60,000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73913C1D" w14:textId="77777777" w:rsidR="004E45CF" w:rsidRPr="00CF3E3D" w:rsidRDefault="004E45CF" w:rsidP="00892AFB">
            <w:pPr>
              <w:spacing w:before="85" w:line="288" w:lineRule="auto"/>
              <w:jc w:val="center"/>
              <w:rPr>
                <w:sz w:val="18"/>
                <w:szCs w:val="18"/>
              </w:rPr>
            </w:pPr>
            <w:r w:rsidRPr="00CF3E3D">
              <w:rPr>
                <w:sz w:val="18"/>
                <w:szCs w:val="18"/>
              </w:rPr>
              <w:t>53,000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25BC2138" w14:textId="77777777" w:rsidR="004E45CF" w:rsidRPr="00CF3E3D" w:rsidRDefault="004E45CF" w:rsidP="00892AFB">
            <w:pPr>
              <w:spacing w:before="85" w:line="288" w:lineRule="auto"/>
              <w:jc w:val="center"/>
              <w:rPr>
                <w:sz w:val="18"/>
                <w:szCs w:val="18"/>
              </w:rPr>
            </w:pPr>
            <w:r w:rsidRPr="00CF3E3D">
              <w:rPr>
                <w:sz w:val="18"/>
                <w:szCs w:val="18"/>
              </w:rPr>
              <w:t>56,800</w:t>
            </w:r>
          </w:p>
        </w:tc>
      </w:tr>
      <w:tr w:rsidR="004E45CF" w:rsidRPr="00CF3E3D" w14:paraId="7250F29D"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38C27D68" w14:textId="77777777" w:rsidR="004E45CF" w:rsidRPr="00B1187E" w:rsidRDefault="004E45CF" w:rsidP="00892AFB">
            <w:pPr>
              <w:spacing w:before="85" w:line="288" w:lineRule="auto"/>
              <w:jc w:val="left"/>
              <w:rPr>
                <w:b/>
                <w:bCs/>
                <w:sz w:val="18"/>
                <w:szCs w:val="18"/>
              </w:rPr>
            </w:pPr>
            <w:r w:rsidRPr="00B1187E">
              <w:rPr>
                <w:b/>
                <w:bCs/>
                <w:sz w:val="18"/>
              </w:rPr>
              <w:t>Communications</w:t>
            </w:r>
          </w:p>
        </w:tc>
        <w:tc>
          <w:tcPr>
            <w:cnfStyle w:val="000001000000" w:firstRow="0" w:lastRow="0" w:firstColumn="0" w:lastColumn="0" w:oddVBand="0" w:evenVBand="1" w:oddHBand="0" w:evenHBand="0" w:firstRowFirstColumn="0" w:firstRowLastColumn="0" w:lastRowFirstColumn="0" w:lastRowLastColumn="0"/>
            <w:tcW w:w="580" w:type="pct"/>
          </w:tcPr>
          <w:p w14:paraId="1851E1C4" w14:textId="77777777" w:rsidR="004E45CF" w:rsidRPr="00CF3E3D" w:rsidRDefault="004E45CF" w:rsidP="00892AFB">
            <w:pPr>
              <w:spacing w:before="85" w:line="288" w:lineRule="auto"/>
              <w:jc w:val="center"/>
              <w:rPr>
                <w:sz w:val="18"/>
                <w:szCs w:val="18"/>
              </w:rPr>
            </w:pPr>
            <w:r w:rsidRPr="00CF3E3D">
              <w:rPr>
                <w:sz w:val="18"/>
                <w:szCs w:val="18"/>
              </w:rPr>
              <w:t>55,200</w:t>
            </w:r>
          </w:p>
        </w:tc>
        <w:tc>
          <w:tcPr>
            <w:cnfStyle w:val="000010000000" w:firstRow="0" w:lastRow="0" w:firstColumn="0" w:lastColumn="0" w:oddVBand="1" w:evenVBand="0" w:oddHBand="0" w:evenHBand="0" w:firstRowFirstColumn="0" w:firstRowLastColumn="0" w:lastRowFirstColumn="0" w:lastRowLastColumn="0"/>
            <w:tcW w:w="580" w:type="pct"/>
          </w:tcPr>
          <w:p w14:paraId="184ECDA9" w14:textId="77777777" w:rsidR="004E45CF" w:rsidRPr="00CF3E3D" w:rsidRDefault="004E45CF" w:rsidP="00892AFB">
            <w:pPr>
              <w:spacing w:before="85" w:line="288" w:lineRule="auto"/>
              <w:jc w:val="center"/>
              <w:rPr>
                <w:sz w:val="18"/>
                <w:szCs w:val="18"/>
              </w:rPr>
            </w:pPr>
            <w:r w:rsidRPr="00CF3E3D">
              <w:rPr>
                <w:sz w:val="18"/>
                <w:szCs w:val="18"/>
              </w:rPr>
              <w:t>60,000</w:t>
            </w:r>
          </w:p>
        </w:tc>
        <w:tc>
          <w:tcPr>
            <w:cnfStyle w:val="000001000000" w:firstRow="0" w:lastRow="0" w:firstColumn="0" w:lastColumn="0" w:oddVBand="0" w:evenVBand="1" w:oddHBand="0" w:evenHBand="0" w:firstRowFirstColumn="0" w:firstRowLastColumn="0" w:lastRowFirstColumn="0" w:lastRowLastColumn="0"/>
            <w:tcW w:w="580" w:type="pct"/>
          </w:tcPr>
          <w:p w14:paraId="22347B60" w14:textId="77777777" w:rsidR="004E45CF" w:rsidRPr="00CF3E3D" w:rsidRDefault="004E45CF" w:rsidP="00892AFB">
            <w:pPr>
              <w:spacing w:before="85" w:line="288" w:lineRule="auto"/>
              <w:jc w:val="center"/>
              <w:rPr>
                <w:sz w:val="18"/>
                <w:szCs w:val="18"/>
              </w:rPr>
            </w:pPr>
            <w:r w:rsidRPr="00CF3E3D">
              <w:rPr>
                <w:sz w:val="18"/>
                <w:szCs w:val="18"/>
              </w:rPr>
              <w:t>58,400</w:t>
            </w:r>
          </w:p>
        </w:tc>
        <w:tc>
          <w:tcPr>
            <w:cnfStyle w:val="000010000000" w:firstRow="0" w:lastRow="0" w:firstColumn="0" w:lastColumn="0" w:oddVBand="1" w:evenVBand="0" w:oddHBand="0" w:evenHBand="0" w:firstRowFirstColumn="0" w:firstRowLastColumn="0" w:lastRowFirstColumn="0" w:lastRowLastColumn="0"/>
            <w:tcW w:w="580" w:type="pct"/>
          </w:tcPr>
          <w:p w14:paraId="526DE771" w14:textId="77777777" w:rsidR="004E45CF" w:rsidRPr="00CF3E3D" w:rsidRDefault="004E45CF" w:rsidP="00892AFB">
            <w:pPr>
              <w:spacing w:before="85" w:line="288" w:lineRule="auto"/>
              <w:jc w:val="center"/>
              <w:rPr>
                <w:sz w:val="18"/>
                <w:szCs w:val="18"/>
              </w:rPr>
            </w:pPr>
            <w:r w:rsidRPr="00CF3E3D">
              <w:rPr>
                <w:sz w:val="18"/>
                <w:szCs w:val="18"/>
              </w:rPr>
              <w:t>60,300</w:t>
            </w:r>
          </w:p>
        </w:tc>
        <w:tc>
          <w:tcPr>
            <w:cnfStyle w:val="000001000000" w:firstRow="0" w:lastRow="0" w:firstColumn="0" w:lastColumn="0" w:oddVBand="0" w:evenVBand="1" w:oddHBand="0" w:evenHBand="0" w:firstRowFirstColumn="0" w:firstRowLastColumn="0" w:lastRowFirstColumn="0" w:lastRowLastColumn="0"/>
            <w:tcW w:w="580" w:type="pct"/>
          </w:tcPr>
          <w:p w14:paraId="5D54C486" w14:textId="77777777" w:rsidR="004E45CF" w:rsidRPr="00CF3E3D" w:rsidRDefault="004E45CF" w:rsidP="00892AFB">
            <w:pPr>
              <w:spacing w:before="85" w:line="288" w:lineRule="auto"/>
              <w:jc w:val="center"/>
              <w:rPr>
                <w:sz w:val="18"/>
                <w:szCs w:val="18"/>
              </w:rPr>
            </w:pPr>
            <w:r w:rsidRPr="00CF3E3D">
              <w:rPr>
                <w:sz w:val="18"/>
                <w:szCs w:val="18"/>
              </w:rPr>
              <w:t>56,200</w:t>
            </w:r>
          </w:p>
        </w:tc>
        <w:tc>
          <w:tcPr>
            <w:cnfStyle w:val="000010000000" w:firstRow="0" w:lastRow="0" w:firstColumn="0" w:lastColumn="0" w:oddVBand="1" w:evenVBand="0" w:oddHBand="0" w:evenHBand="0" w:firstRowFirstColumn="0" w:firstRowLastColumn="0" w:lastRowFirstColumn="0" w:lastRowLastColumn="0"/>
            <w:tcW w:w="579" w:type="pct"/>
          </w:tcPr>
          <w:p w14:paraId="180426CB" w14:textId="77777777" w:rsidR="004E45CF" w:rsidRPr="00CF3E3D" w:rsidRDefault="004E45CF" w:rsidP="00892AFB">
            <w:pPr>
              <w:spacing w:before="85" w:line="288" w:lineRule="auto"/>
              <w:jc w:val="center"/>
              <w:rPr>
                <w:sz w:val="18"/>
                <w:szCs w:val="18"/>
              </w:rPr>
            </w:pPr>
            <w:r w:rsidRPr="00CF3E3D">
              <w:rPr>
                <w:sz w:val="18"/>
                <w:szCs w:val="18"/>
              </w:rPr>
              <w:t>60,000</w:t>
            </w:r>
          </w:p>
        </w:tc>
      </w:tr>
      <w:tr w:rsidR="004E45CF" w:rsidRPr="00CF3E3D" w14:paraId="5874DDC3"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26786C12" w14:textId="77777777" w:rsidR="004E45CF" w:rsidRPr="00B1187E" w:rsidRDefault="004E45CF" w:rsidP="00892AFB">
            <w:pPr>
              <w:spacing w:before="85" w:line="288" w:lineRule="auto"/>
              <w:jc w:val="left"/>
              <w:rPr>
                <w:b/>
                <w:bCs/>
                <w:sz w:val="18"/>
                <w:szCs w:val="18"/>
              </w:rPr>
            </w:pPr>
            <w:r w:rsidRPr="00B1187E">
              <w:rPr>
                <w:b/>
                <w:bCs/>
                <w:sz w:val="18"/>
              </w:rPr>
              <w:t>Tourism, hospitality, personal services, sport and recreation</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74D6ABE7" w14:textId="77777777" w:rsidR="004E45CF" w:rsidRPr="00CF3E3D" w:rsidRDefault="004E45CF" w:rsidP="00892AFB">
            <w:pPr>
              <w:spacing w:before="85" w:line="288" w:lineRule="auto"/>
              <w:jc w:val="center"/>
              <w:rPr>
                <w:sz w:val="18"/>
                <w:szCs w:val="18"/>
              </w:rPr>
            </w:pPr>
            <w:r w:rsidRPr="00CF3E3D">
              <w:rPr>
                <w:sz w:val="18"/>
                <w:szCs w:val="18"/>
              </w:rPr>
              <w:t>54,900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6A8DB40D" w14:textId="77777777" w:rsidR="004E45CF" w:rsidRPr="00CF3E3D" w:rsidRDefault="004E45CF" w:rsidP="00892AFB">
            <w:pPr>
              <w:spacing w:before="85" w:line="288" w:lineRule="auto"/>
              <w:jc w:val="center"/>
              <w:rPr>
                <w:sz w:val="18"/>
                <w:szCs w:val="18"/>
              </w:rPr>
            </w:pPr>
            <w:r w:rsidRPr="00CF3E3D">
              <w:rPr>
                <w:sz w:val="18"/>
                <w:szCs w:val="18"/>
              </w:rPr>
              <w:t>51,600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59414FBB" w14:textId="77777777" w:rsidR="004E45CF" w:rsidRPr="00CF3E3D" w:rsidRDefault="004E45CF" w:rsidP="00892AFB">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399CA02F" w14:textId="77777777" w:rsidR="004E45CF" w:rsidRPr="00CF3E3D" w:rsidRDefault="004E45CF" w:rsidP="00892AFB">
            <w:pPr>
              <w:spacing w:before="85" w:line="288" w:lineRule="auto"/>
              <w:jc w:val="center"/>
              <w:rPr>
                <w:sz w:val="18"/>
                <w:szCs w:val="18"/>
              </w:rPr>
            </w:pPr>
            <w:r w:rsidRPr="00CF3E3D">
              <w:rPr>
                <w:sz w:val="18"/>
                <w:szCs w:val="18"/>
              </w:rPr>
              <w:t>61,000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48BA1074" w14:textId="77777777" w:rsidR="004E45CF" w:rsidRPr="00CF3E3D" w:rsidRDefault="004E45CF" w:rsidP="00892AFB">
            <w:pPr>
              <w:spacing w:before="85" w:line="288" w:lineRule="auto"/>
              <w:jc w:val="center"/>
              <w:rPr>
                <w:sz w:val="18"/>
                <w:szCs w:val="18"/>
              </w:rPr>
            </w:pPr>
            <w:r w:rsidRPr="00CF3E3D">
              <w:rPr>
                <w:sz w:val="18"/>
                <w:szCs w:val="18"/>
              </w:rPr>
              <w:t>54,900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251602C4" w14:textId="77777777" w:rsidR="004E45CF" w:rsidRPr="00CF3E3D" w:rsidRDefault="004E45CF" w:rsidP="00892AFB">
            <w:pPr>
              <w:spacing w:before="85" w:line="288" w:lineRule="auto"/>
              <w:jc w:val="center"/>
              <w:rPr>
                <w:sz w:val="18"/>
                <w:szCs w:val="18"/>
              </w:rPr>
            </w:pPr>
            <w:r w:rsidRPr="00CF3E3D">
              <w:rPr>
                <w:sz w:val="18"/>
                <w:szCs w:val="18"/>
              </w:rPr>
              <w:t>54,800</w:t>
            </w:r>
          </w:p>
        </w:tc>
      </w:tr>
      <w:tr w:rsidR="004E45CF" w:rsidRPr="00CF3E3D" w14:paraId="65F9CB8A" w14:textId="77777777" w:rsidTr="00892AFB">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tcPr>
          <w:p w14:paraId="166C6366" w14:textId="77777777" w:rsidR="004E45CF" w:rsidRPr="00B1187E" w:rsidRDefault="004E45CF" w:rsidP="00892AFB">
            <w:pPr>
              <w:spacing w:before="85" w:line="288" w:lineRule="auto"/>
              <w:jc w:val="left"/>
              <w:rPr>
                <w:b/>
                <w:bCs/>
                <w:sz w:val="18"/>
                <w:szCs w:val="18"/>
              </w:rPr>
            </w:pPr>
            <w:r w:rsidRPr="00B1187E">
              <w:rPr>
                <w:b/>
                <w:bCs/>
                <w:sz w:val="18"/>
              </w:rPr>
              <w:t>All study areas</w:t>
            </w:r>
          </w:p>
        </w:tc>
        <w:tc>
          <w:tcPr>
            <w:cnfStyle w:val="000001000000" w:firstRow="0" w:lastRow="0" w:firstColumn="0" w:lastColumn="0" w:oddVBand="0" w:evenVBand="1" w:oddHBand="0" w:evenHBand="0" w:firstRowFirstColumn="0" w:firstRowLastColumn="0" w:lastRowFirstColumn="0" w:lastRowLastColumn="0"/>
            <w:tcW w:w="580" w:type="pct"/>
          </w:tcPr>
          <w:p w14:paraId="572E0690" w14:textId="77777777" w:rsidR="004E45CF" w:rsidRPr="00CF3E3D" w:rsidRDefault="004E45CF" w:rsidP="00892AFB">
            <w:pPr>
              <w:spacing w:before="85" w:line="288" w:lineRule="auto"/>
              <w:jc w:val="center"/>
              <w:rPr>
                <w:b/>
                <w:bCs/>
                <w:sz w:val="18"/>
                <w:szCs w:val="18"/>
              </w:rPr>
            </w:pPr>
            <w:r w:rsidRPr="00CF3E3D">
              <w:rPr>
                <w:b/>
                <w:bCs/>
                <w:sz w:val="18"/>
                <w:szCs w:val="18"/>
              </w:rPr>
              <w:t>64,200</w:t>
            </w:r>
          </w:p>
        </w:tc>
        <w:tc>
          <w:tcPr>
            <w:cnfStyle w:val="000010000000" w:firstRow="0" w:lastRow="0" w:firstColumn="0" w:lastColumn="0" w:oddVBand="1" w:evenVBand="0" w:oddHBand="0" w:evenHBand="0" w:firstRowFirstColumn="0" w:firstRowLastColumn="0" w:lastRowFirstColumn="0" w:lastRowLastColumn="0"/>
            <w:tcW w:w="580" w:type="pct"/>
          </w:tcPr>
          <w:p w14:paraId="1BBE993B" w14:textId="77777777" w:rsidR="004E45CF" w:rsidRPr="00CF3E3D" w:rsidRDefault="004E45CF" w:rsidP="00892AFB">
            <w:pPr>
              <w:spacing w:before="85" w:line="288" w:lineRule="auto"/>
              <w:jc w:val="center"/>
              <w:rPr>
                <w:b/>
                <w:bCs/>
                <w:sz w:val="18"/>
                <w:szCs w:val="18"/>
              </w:rPr>
            </w:pPr>
            <w:r w:rsidRPr="00CF3E3D">
              <w:rPr>
                <w:b/>
                <w:bCs/>
                <w:sz w:val="18"/>
                <w:szCs w:val="18"/>
              </w:rPr>
              <w:t>67,400</w:t>
            </w:r>
          </w:p>
        </w:tc>
        <w:tc>
          <w:tcPr>
            <w:cnfStyle w:val="000001000000" w:firstRow="0" w:lastRow="0" w:firstColumn="0" w:lastColumn="0" w:oddVBand="0" w:evenVBand="1" w:oddHBand="0" w:evenHBand="0" w:firstRowFirstColumn="0" w:firstRowLastColumn="0" w:lastRowFirstColumn="0" w:lastRowLastColumn="0"/>
            <w:tcW w:w="580" w:type="pct"/>
          </w:tcPr>
          <w:p w14:paraId="7A093AE1" w14:textId="77777777" w:rsidR="004E45CF" w:rsidRPr="00CF3E3D" w:rsidRDefault="004E45CF" w:rsidP="00892AFB">
            <w:pPr>
              <w:spacing w:before="85" w:line="288" w:lineRule="auto"/>
              <w:jc w:val="center"/>
              <w:rPr>
                <w:b/>
                <w:bCs/>
                <w:sz w:val="18"/>
                <w:szCs w:val="18"/>
              </w:rPr>
            </w:pPr>
            <w:r w:rsidRPr="00CF3E3D">
              <w:rPr>
                <w:b/>
                <w:bCs/>
                <w:sz w:val="18"/>
                <w:szCs w:val="18"/>
              </w:rPr>
              <w:t>66,800</w:t>
            </w:r>
          </w:p>
        </w:tc>
        <w:tc>
          <w:tcPr>
            <w:cnfStyle w:val="000010000000" w:firstRow="0" w:lastRow="0" w:firstColumn="0" w:lastColumn="0" w:oddVBand="1" w:evenVBand="0" w:oddHBand="0" w:evenHBand="0" w:firstRowFirstColumn="0" w:firstRowLastColumn="0" w:lastRowFirstColumn="0" w:lastRowLastColumn="0"/>
            <w:tcW w:w="580" w:type="pct"/>
          </w:tcPr>
          <w:p w14:paraId="4F24D0C2" w14:textId="77777777" w:rsidR="004E45CF" w:rsidRPr="00CF3E3D" w:rsidRDefault="004E45CF" w:rsidP="00892AFB">
            <w:pPr>
              <w:spacing w:before="85" w:line="288" w:lineRule="auto"/>
              <w:jc w:val="center"/>
              <w:rPr>
                <w:b/>
                <w:bCs/>
                <w:sz w:val="18"/>
                <w:szCs w:val="18"/>
              </w:rPr>
            </w:pPr>
            <w:r w:rsidRPr="00CF3E3D">
              <w:rPr>
                <w:b/>
                <w:bCs/>
                <w:sz w:val="18"/>
                <w:szCs w:val="18"/>
              </w:rPr>
              <w:t>69,400</w:t>
            </w:r>
          </w:p>
        </w:tc>
        <w:tc>
          <w:tcPr>
            <w:cnfStyle w:val="000001000000" w:firstRow="0" w:lastRow="0" w:firstColumn="0" w:lastColumn="0" w:oddVBand="0" w:evenVBand="1" w:oddHBand="0" w:evenHBand="0" w:firstRowFirstColumn="0" w:firstRowLastColumn="0" w:lastRowFirstColumn="0" w:lastRowLastColumn="0"/>
            <w:tcW w:w="580" w:type="pct"/>
          </w:tcPr>
          <w:p w14:paraId="5269889A" w14:textId="77777777" w:rsidR="004E45CF" w:rsidRPr="00CF3E3D" w:rsidRDefault="004E45CF" w:rsidP="00892AFB">
            <w:pPr>
              <w:spacing w:before="85" w:line="288" w:lineRule="auto"/>
              <w:jc w:val="center"/>
              <w:rPr>
                <w:b/>
                <w:bCs/>
                <w:sz w:val="18"/>
                <w:szCs w:val="18"/>
              </w:rPr>
            </w:pPr>
            <w:r w:rsidRPr="00CF3E3D">
              <w:rPr>
                <w:b/>
                <w:bCs/>
                <w:sz w:val="18"/>
                <w:szCs w:val="18"/>
              </w:rPr>
              <w:t>65,000</w:t>
            </w:r>
          </w:p>
        </w:tc>
        <w:tc>
          <w:tcPr>
            <w:cnfStyle w:val="000010000000" w:firstRow="0" w:lastRow="0" w:firstColumn="0" w:lastColumn="0" w:oddVBand="1" w:evenVBand="0" w:oddHBand="0" w:evenHBand="0" w:firstRowFirstColumn="0" w:firstRowLastColumn="0" w:lastRowFirstColumn="0" w:lastRowLastColumn="0"/>
            <w:tcW w:w="579" w:type="pct"/>
          </w:tcPr>
          <w:p w14:paraId="35AA6BE4" w14:textId="77777777" w:rsidR="004E45CF" w:rsidRPr="00CF3E3D" w:rsidRDefault="004E45CF" w:rsidP="00892AFB">
            <w:pPr>
              <w:spacing w:before="85" w:line="288" w:lineRule="auto"/>
              <w:jc w:val="center"/>
              <w:rPr>
                <w:b/>
                <w:bCs/>
                <w:sz w:val="18"/>
                <w:szCs w:val="18"/>
              </w:rPr>
            </w:pPr>
            <w:r w:rsidRPr="00CF3E3D">
              <w:rPr>
                <w:b/>
                <w:bCs/>
                <w:sz w:val="18"/>
                <w:szCs w:val="18"/>
              </w:rPr>
              <w:t>68,000</w:t>
            </w:r>
          </w:p>
        </w:tc>
      </w:tr>
      <w:tr w:rsidR="004E45CF" w:rsidRPr="00CF3E3D" w14:paraId="1EE53012" w14:textId="77777777" w:rsidTr="00892AF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1" w:type="pct"/>
            <w:vAlign w:val="center"/>
          </w:tcPr>
          <w:p w14:paraId="3B025270" w14:textId="77777777" w:rsidR="004E45CF" w:rsidRPr="00B1187E" w:rsidRDefault="004E45CF" w:rsidP="00892AFB">
            <w:pPr>
              <w:spacing w:before="85" w:line="288" w:lineRule="auto"/>
              <w:jc w:val="left"/>
              <w:rPr>
                <w:b/>
                <w:bCs/>
                <w:sz w:val="18"/>
              </w:rPr>
            </w:pPr>
            <w:r w:rsidRPr="00B1187E">
              <w:rPr>
                <w:b/>
                <w:bCs/>
                <w:sz w:val="18"/>
              </w:rPr>
              <w:t>Standard deviation</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3215C57" w14:textId="77777777" w:rsidR="004E45CF" w:rsidRPr="00CF3E3D" w:rsidRDefault="004E45CF" w:rsidP="00892AFB">
            <w:pPr>
              <w:spacing w:before="85" w:line="288" w:lineRule="auto"/>
              <w:jc w:val="center"/>
              <w:rPr>
                <w:sz w:val="18"/>
                <w:szCs w:val="18"/>
              </w:rPr>
            </w:pPr>
            <w:r w:rsidRPr="00CF3E3D">
              <w:rPr>
                <w:sz w:val="18"/>
                <w:szCs w:val="18"/>
              </w:rPr>
              <w:t>9,300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11E064A7" w14:textId="77777777" w:rsidR="004E45CF" w:rsidRPr="00CF3E3D" w:rsidRDefault="004E45CF" w:rsidP="00892AFB">
            <w:pPr>
              <w:spacing w:before="85" w:line="288" w:lineRule="auto"/>
              <w:jc w:val="center"/>
              <w:rPr>
                <w:sz w:val="18"/>
                <w:szCs w:val="18"/>
              </w:rPr>
            </w:pPr>
            <w:r w:rsidRPr="00CF3E3D">
              <w:rPr>
                <w:sz w:val="18"/>
                <w:szCs w:val="18"/>
              </w:rPr>
              <w:t>10,100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882157C" w14:textId="77777777" w:rsidR="004E45CF" w:rsidRPr="00CF3E3D" w:rsidRDefault="004E45CF" w:rsidP="00892AFB">
            <w:pPr>
              <w:spacing w:before="85" w:line="288" w:lineRule="auto"/>
              <w:jc w:val="center"/>
              <w:rPr>
                <w:b/>
                <w:bCs/>
                <w:sz w:val="18"/>
                <w:szCs w:val="18"/>
              </w:rPr>
            </w:pPr>
            <w:r w:rsidRPr="00CF3E3D">
              <w:rPr>
                <w:sz w:val="18"/>
                <w:szCs w:val="18"/>
              </w:rPr>
              <w:t>10,400</w:t>
            </w:r>
          </w:p>
        </w:tc>
        <w:tc>
          <w:tcPr>
            <w:cnfStyle w:val="000010000000" w:firstRow="0" w:lastRow="0" w:firstColumn="0" w:lastColumn="0" w:oddVBand="1" w:evenVBand="0" w:oddHBand="0" w:evenHBand="0" w:firstRowFirstColumn="0" w:firstRowLastColumn="0" w:lastRowFirstColumn="0" w:lastRowLastColumn="0"/>
            <w:tcW w:w="580" w:type="pct"/>
            <w:vAlign w:val="center"/>
          </w:tcPr>
          <w:p w14:paraId="617F2670" w14:textId="77777777" w:rsidR="004E45CF" w:rsidRPr="00CF3E3D" w:rsidRDefault="004E45CF" w:rsidP="00892AFB">
            <w:pPr>
              <w:spacing w:before="85" w:line="288" w:lineRule="auto"/>
              <w:jc w:val="center"/>
              <w:rPr>
                <w:sz w:val="18"/>
                <w:szCs w:val="18"/>
              </w:rPr>
            </w:pPr>
            <w:r w:rsidRPr="00CF3E3D">
              <w:rPr>
                <w:sz w:val="18"/>
                <w:szCs w:val="18"/>
              </w:rPr>
              <w:t>10,900</w:t>
            </w:r>
          </w:p>
        </w:tc>
        <w:tc>
          <w:tcPr>
            <w:cnfStyle w:val="000001000000" w:firstRow="0" w:lastRow="0" w:firstColumn="0" w:lastColumn="0" w:oddVBand="0" w:evenVBand="1" w:oddHBand="0" w:evenHBand="0" w:firstRowFirstColumn="0" w:firstRowLastColumn="0" w:lastRowFirstColumn="0" w:lastRowLastColumn="0"/>
            <w:tcW w:w="580" w:type="pct"/>
            <w:vAlign w:val="center"/>
          </w:tcPr>
          <w:p w14:paraId="65F28235" w14:textId="77777777" w:rsidR="004E45CF" w:rsidRPr="00CF3E3D" w:rsidRDefault="004E45CF" w:rsidP="00892AFB">
            <w:pPr>
              <w:spacing w:before="85" w:line="288" w:lineRule="auto"/>
              <w:jc w:val="center"/>
              <w:rPr>
                <w:sz w:val="18"/>
                <w:szCs w:val="18"/>
              </w:rPr>
            </w:pPr>
            <w:r w:rsidRPr="00CF3E3D">
              <w:rPr>
                <w:sz w:val="18"/>
                <w:szCs w:val="18"/>
              </w:rPr>
              <w:t>10,300</w:t>
            </w:r>
          </w:p>
        </w:tc>
        <w:tc>
          <w:tcPr>
            <w:cnfStyle w:val="000010000000" w:firstRow="0" w:lastRow="0" w:firstColumn="0" w:lastColumn="0" w:oddVBand="1" w:evenVBand="0" w:oddHBand="0" w:evenHBand="0" w:firstRowFirstColumn="0" w:firstRowLastColumn="0" w:lastRowFirstColumn="0" w:lastRowLastColumn="0"/>
            <w:tcW w:w="579" w:type="pct"/>
            <w:vAlign w:val="center"/>
          </w:tcPr>
          <w:p w14:paraId="237A1E32" w14:textId="77777777" w:rsidR="004E45CF" w:rsidRPr="00CF3E3D" w:rsidRDefault="004E45CF" w:rsidP="00892AFB">
            <w:pPr>
              <w:spacing w:before="85" w:line="288" w:lineRule="auto"/>
              <w:jc w:val="center"/>
              <w:rPr>
                <w:sz w:val="18"/>
                <w:szCs w:val="18"/>
              </w:rPr>
            </w:pPr>
            <w:r w:rsidRPr="00CF3E3D">
              <w:rPr>
                <w:sz w:val="18"/>
                <w:szCs w:val="18"/>
              </w:rPr>
              <w:t>9,800</w:t>
            </w:r>
          </w:p>
        </w:tc>
      </w:tr>
    </w:tbl>
    <w:p w14:paraId="5971D617" w14:textId="77777777" w:rsidR="004E45CF" w:rsidRPr="00CF3E3D" w:rsidRDefault="004E45CF" w:rsidP="004E45CF">
      <w:pPr>
        <w:pStyle w:val="Note"/>
        <w:rPr>
          <w:szCs w:val="16"/>
        </w:rPr>
      </w:pPr>
      <w:bookmarkStart w:id="74" w:name="_Toc22810093"/>
      <w:r w:rsidRPr="00CF3E3D">
        <w:rPr>
          <w:szCs w:val="16"/>
        </w:rPr>
        <w:t>Note: A blank cell indicates there is no data for that cell and n/a indicates a suppressed value (n&lt;25).</w:t>
      </w:r>
    </w:p>
    <w:p w14:paraId="7F2F08FE" w14:textId="77777777" w:rsidR="004E45CF" w:rsidRPr="00906343" w:rsidRDefault="004E45CF" w:rsidP="00906343">
      <w:pPr>
        <w:pStyle w:val="Heading3"/>
        <w:numPr>
          <w:ilvl w:val="0"/>
          <w:numId w:val="0"/>
        </w:numPr>
        <w:ind w:left="851" w:hanging="851"/>
        <w:rPr>
          <w:color w:val="auto"/>
        </w:rPr>
      </w:pPr>
      <w:bookmarkStart w:id="75" w:name="_Toc116035544"/>
      <w:bookmarkStart w:id="76" w:name="_Toc116039899"/>
      <w:r w:rsidRPr="00906343">
        <w:rPr>
          <w:color w:val="auto"/>
        </w:rPr>
        <w:t xml:space="preserve">2.7 </w:t>
      </w:r>
      <w:r w:rsidRPr="00906343">
        <w:rPr>
          <w:color w:val="auto"/>
        </w:rPr>
        <w:tab/>
        <w:t>Institution</w:t>
      </w:r>
      <w:bookmarkEnd w:id="74"/>
      <w:bookmarkEnd w:id="75"/>
      <w:bookmarkEnd w:id="76"/>
    </w:p>
    <w:p w14:paraId="4A78F3E8" w14:textId="77777777" w:rsidR="004E45CF" w:rsidRPr="00CF3E3D" w:rsidRDefault="004E45CF" w:rsidP="004E45CF">
      <w:pPr>
        <w:pStyle w:val="Body"/>
      </w:pPr>
      <w:r w:rsidRPr="00CF3E3D">
        <w:t xml:space="preserve">Employment and salary outcomes vary across institutions. It is important to acknowledge that factors beyond the quality of teaching, careers advice and the like, such as course offerings, study mode, the composition of the student population and variations in state / territory and regional labour markets can have an impact on institution results. Note also that the figures in parentheses in the tables that follow indicate the confidence intervals for the survey estimates. Since the number of survey responses for each institution can be relatively small, the confidence intervals may overlap for survey estimates from one year to the next, broadly indicating the change in labour market outcomes may not </w:t>
      </w:r>
      <w:r w:rsidRPr="00CF3E3D">
        <w:lastRenderedPageBreak/>
        <w:t>be statistically significant. To assist interpretation of results, 90 per cent confidence intervals are included. The calculation of these confidence intervals is detailed in Appendix 4.</w:t>
      </w:r>
    </w:p>
    <w:p w14:paraId="1D31DA09" w14:textId="77777777" w:rsidR="004E45CF" w:rsidRPr="00CF3E3D" w:rsidRDefault="004E45CF" w:rsidP="004E45CF">
      <w:pPr>
        <w:pStyle w:val="Heading31"/>
      </w:pPr>
      <w:bookmarkStart w:id="77" w:name="_Toc22810094"/>
      <w:bookmarkStart w:id="78" w:name="_Toc116035545"/>
      <w:bookmarkStart w:id="79" w:name="_Toc116039900"/>
      <w:r w:rsidRPr="00CF3E3D">
        <w:t>2.7.1</w:t>
      </w:r>
      <w:r w:rsidRPr="00CF3E3D">
        <w:tab/>
        <w:t>Universities</w:t>
      </w:r>
      <w:bookmarkEnd w:id="77"/>
      <w:bookmarkEnd w:id="78"/>
      <w:bookmarkEnd w:id="79"/>
    </w:p>
    <w:p w14:paraId="1C863B14" w14:textId="77777777" w:rsidR="004E45CF" w:rsidRPr="00CF3E3D" w:rsidRDefault="004E45CF" w:rsidP="004E45CF">
      <w:pPr>
        <w:pStyle w:val="Body"/>
        <w:rPr>
          <w:rFonts w:ascii="ArialMT" w:hAnsi="ArialMT"/>
        </w:rPr>
      </w:pPr>
      <w:bookmarkStart w:id="80" w:name="_Toc22200705"/>
      <w:r w:rsidRPr="00CF3E3D">
        <w:rPr>
          <w:rFonts w:ascii="ArialMT" w:hAnsi="ArialMT"/>
        </w:rPr>
        <w:t xml:space="preserve">All universities with comparison data available recorded an increase in undergraduate full-time employment between 2021 and 2022, as shown by </w:t>
      </w:r>
      <w:r w:rsidRPr="00CF3E3D">
        <w:rPr>
          <w:rFonts w:ascii="ArialMT" w:hAnsi="ArialMT"/>
        </w:rPr>
        <w:fldChar w:fldCharType="begin"/>
      </w:r>
      <w:r w:rsidRPr="00CF3E3D">
        <w:rPr>
          <w:rFonts w:ascii="ArialMT" w:hAnsi="ArialMT"/>
        </w:rPr>
        <w:instrText xml:space="preserve"> REF _Ref77867144 \h  \* MERGEFORMAT </w:instrText>
      </w:r>
      <w:r w:rsidRPr="00CF3E3D">
        <w:rPr>
          <w:rFonts w:ascii="ArialMT" w:hAnsi="ArialMT"/>
        </w:rPr>
      </w:r>
      <w:r w:rsidRPr="00CF3E3D">
        <w:rPr>
          <w:rFonts w:ascii="ArialMT" w:hAnsi="ArialMT"/>
        </w:rPr>
        <w:fldChar w:fldCharType="separate"/>
      </w:r>
      <w:r w:rsidRPr="00CF3E3D">
        <w:t xml:space="preserve">Table </w:t>
      </w:r>
      <w:r>
        <w:rPr>
          <w:noProof/>
        </w:rPr>
        <w:t>11</w:t>
      </w:r>
      <w:r w:rsidRPr="00CF3E3D">
        <w:rPr>
          <w:rFonts w:ascii="ArialMT" w:hAnsi="ArialMT"/>
        </w:rPr>
        <w:fldChar w:fldCharType="end"/>
      </w:r>
      <w:r w:rsidRPr="00CF3E3D">
        <w:rPr>
          <w:rFonts w:ascii="ArialMT" w:hAnsi="ArialMT"/>
        </w:rPr>
        <w:t>. Universities with the highest full-time employment rates in 2022 were Charles Sturt University, 90.7 per cent, Central Queensland University, 86.9 per cent, University of New England, 86.8 per cent, The University of Notre Dame Australia, 85.5 per cent, and The University of Sydney 83.7 per cent. It should be noted that as course offerings differ between institutions, factors such as the study mode and study areas offered may explain some of the variation in results between institutions.</w:t>
      </w:r>
    </w:p>
    <w:p w14:paraId="64951D65" w14:textId="77777777" w:rsidR="004E45CF" w:rsidRPr="00CF3E3D" w:rsidRDefault="004E45CF" w:rsidP="004E45CF">
      <w:pPr>
        <w:pStyle w:val="Body"/>
      </w:pPr>
      <w:r w:rsidRPr="00CF3E3D">
        <w:rPr>
          <w:rFonts w:ascii="ArialMT" w:hAnsi="ArialMT"/>
        </w:rPr>
        <w:t xml:space="preserve">Many institutions saw a large increase in undergraduate full-time employment from 2021 to 2022. Institutions with the largest increases were University of Sunshine Coast by 16.8 percentage points, University of Melbourne, 16.6 percentage points, University of Western Australia, 15.3 percentage points, and University of Wollongong, 14.7 percentage points. </w:t>
      </w:r>
    </w:p>
    <w:p w14:paraId="47958F32" w14:textId="2D00AEF1" w:rsidR="004E45CF" w:rsidRPr="00906343" w:rsidRDefault="004E45CF" w:rsidP="00906343">
      <w:pPr>
        <w:pStyle w:val="Caption"/>
        <w:ind w:left="851" w:hanging="851"/>
        <w:rPr>
          <w:color w:val="000000" w:themeColor="text1"/>
        </w:rPr>
      </w:pPr>
      <w:bookmarkStart w:id="81" w:name="_Ref77867144"/>
      <w:bookmarkStart w:id="82" w:name="_Toc116035805"/>
      <w:bookmarkStart w:id="83" w:name="_Toc116040360"/>
      <w:r w:rsidRPr="00906343">
        <w:rPr>
          <w:color w:val="000000" w:themeColor="text1"/>
        </w:rPr>
        <w:t xml:space="preserve">Table </w:t>
      </w:r>
      <w:r w:rsidRPr="00906343">
        <w:rPr>
          <w:color w:val="000000" w:themeColor="text1"/>
        </w:rPr>
        <w:fldChar w:fldCharType="begin"/>
      </w:r>
      <w:r w:rsidRPr="00906343">
        <w:rPr>
          <w:color w:val="000000" w:themeColor="text1"/>
        </w:rPr>
        <w:instrText xml:space="preserve"> SEQ Table \* ARABIC </w:instrText>
      </w:r>
      <w:r w:rsidRPr="00906343">
        <w:rPr>
          <w:color w:val="000000" w:themeColor="text1"/>
        </w:rPr>
        <w:fldChar w:fldCharType="separate"/>
      </w:r>
      <w:r w:rsidR="005606F7">
        <w:rPr>
          <w:noProof/>
          <w:color w:val="000000" w:themeColor="text1"/>
        </w:rPr>
        <w:t>11</w:t>
      </w:r>
      <w:r w:rsidRPr="00906343">
        <w:rPr>
          <w:color w:val="000000" w:themeColor="text1"/>
        </w:rPr>
        <w:fldChar w:fldCharType="end"/>
      </w:r>
      <w:bookmarkEnd w:id="81"/>
      <w:r w:rsidRPr="00906343">
        <w:rPr>
          <w:color w:val="000000" w:themeColor="text1"/>
        </w:rPr>
        <w:t xml:space="preserve"> Undergraduate full-time employment and overall employment rate by university, 2021-2022 (%</w:t>
      </w:r>
      <w:bookmarkEnd w:id="80"/>
      <w:r w:rsidRPr="00906343">
        <w:rPr>
          <w:color w:val="000000" w:themeColor="text1"/>
        </w:rPr>
        <w:t>)</w:t>
      </w:r>
      <w:bookmarkEnd w:id="82"/>
      <w:bookmarkEnd w:id="83"/>
    </w:p>
    <w:tbl>
      <w:tblPr>
        <w:tblStyle w:val="SRC1"/>
        <w:tblW w:w="5000" w:type="pct"/>
        <w:tblLook w:val="0020" w:firstRow="1" w:lastRow="0" w:firstColumn="0" w:lastColumn="0" w:noHBand="0" w:noVBand="0"/>
        <w:tblCaption w:val="Table 5  Short- (2014) and medium-term (2017) outcomes for undergraduates by study area "/>
      </w:tblPr>
      <w:tblGrid>
        <w:gridCol w:w="3510"/>
        <w:gridCol w:w="1390"/>
        <w:gridCol w:w="1390"/>
        <w:gridCol w:w="1390"/>
        <w:gridCol w:w="1390"/>
      </w:tblGrid>
      <w:tr w:rsidR="004E45CF" w:rsidRPr="00CF3E3D" w14:paraId="6B086673" w14:textId="77777777" w:rsidTr="002E40BA">
        <w:trPr>
          <w:cnfStyle w:val="100000000000" w:firstRow="1" w:lastRow="0"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FA35365" w14:textId="77777777" w:rsidR="004E45CF" w:rsidRPr="00906343" w:rsidRDefault="004E45CF" w:rsidP="00906343">
            <w:pPr>
              <w:rPr>
                <w:color w:val="FFFFFF" w:themeColor="background1"/>
                <w:sz w:val="18"/>
                <w:szCs w:val="18"/>
              </w:rPr>
            </w:pPr>
            <w:bookmarkStart w:id="84" w:name="Title11"/>
            <w:bookmarkEnd w:id="84"/>
            <w:r w:rsidRPr="00906343">
              <w:rPr>
                <w:color w:val="FFFFFF" w:themeColor="background1"/>
                <w:sz w:val="18"/>
                <w:szCs w:val="18"/>
              </w:rPr>
              <w:t>University</w:t>
            </w:r>
          </w:p>
        </w:tc>
        <w:tc>
          <w:tcPr>
            <w:cnfStyle w:val="000001000000" w:firstRow="0" w:lastRow="0" w:firstColumn="0" w:lastColumn="0" w:oddVBand="0" w:evenVBand="1" w:oddHBand="0" w:evenHBand="0" w:firstRowFirstColumn="0" w:firstRowLastColumn="0" w:lastRowFirstColumn="0" w:lastRowLastColumn="0"/>
            <w:tcW w:w="709" w:type="pct"/>
          </w:tcPr>
          <w:p w14:paraId="47C3288D" w14:textId="77777777" w:rsidR="004E45CF" w:rsidRPr="00906343" w:rsidRDefault="004E45CF" w:rsidP="007007AC">
            <w:pPr>
              <w:pStyle w:val="TablecolumnheadCENTRETABLES"/>
              <w:jc w:val="center"/>
              <w:rPr>
                <w:rFonts w:ascii="Arial" w:hAnsi="Arial" w:cs="Arial"/>
                <w:b/>
                <w:bCs w:val="0"/>
                <w:color w:val="FFFFFF" w:themeColor="background1"/>
                <w:sz w:val="18"/>
                <w:szCs w:val="18"/>
              </w:rPr>
            </w:pPr>
            <w:r w:rsidRPr="00906343">
              <w:rPr>
                <w:rFonts w:ascii="Arial" w:hAnsi="Arial" w:cs="Arial"/>
                <w:b/>
                <w:bCs w:val="0"/>
                <w:caps w:val="0"/>
                <w:color w:val="FFFFFF" w:themeColor="background1"/>
                <w:sz w:val="18"/>
                <w:szCs w:val="18"/>
              </w:rPr>
              <w:t xml:space="preserve">Full-time employment </w:t>
            </w:r>
            <w:r w:rsidRPr="00906343">
              <w:rPr>
                <w:rFonts w:ascii="Arial" w:hAnsi="Arial" w:cs="Arial"/>
                <w:b/>
                <w:bCs w:val="0"/>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755" w:type="pct"/>
          </w:tcPr>
          <w:p w14:paraId="24F7816A" w14:textId="77777777" w:rsidR="004E45CF" w:rsidRPr="00906343" w:rsidRDefault="004E45CF" w:rsidP="007007AC">
            <w:pPr>
              <w:pStyle w:val="TablecolumnheadCENTRETABLES"/>
              <w:jc w:val="center"/>
              <w:rPr>
                <w:rFonts w:ascii="Arial" w:hAnsi="Arial" w:cs="Arial"/>
                <w:b/>
                <w:bCs w:val="0"/>
                <w:color w:val="FFFFFF" w:themeColor="background1"/>
                <w:sz w:val="18"/>
                <w:szCs w:val="18"/>
              </w:rPr>
            </w:pPr>
            <w:r w:rsidRPr="00906343">
              <w:rPr>
                <w:rFonts w:ascii="Arial" w:hAnsi="Arial" w:cs="Arial"/>
                <w:b/>
                <w:bCs w:val="0"/>
                <w:caps w:val="0"/>
                <w:color w:val="FFFFFF" w:themeColor="background1"/>
                <w:sz w:val="18"/>
                <w:szCs w:val="18"/>
              </w:rPr>
              <w:t xml:space="preserve">Full-time employment </w:t>
            </w:r>
            <w:r w:rsidRPr="00906343">
              <w:rPr>
                <w:rFonts w:ascii="Arial" w:hAnsi="Arial" w:cs="Arial"/>
                <w:b/>
                <w:bCs w:val="0"/>
                <w:color w:val="FFFFFF" w:themeColor="background1"/>
                <w:sz w:val="18"/>
                <w:szCs w:val="18"/>
              </w:rPr>
              <w:t>2022</w:t>
            </w:r>
          </w:p>
        </w:tc>
        <w:tc>
          <w:tcPr>
            <w:cnfStyle w:val="000001000000" w:firstRow="0" w:lastRow="0" w:firstColumn="0" w:lastColumn="0" w:oddVBand="0" w:evenVBand="1" w:oddHBand="0" w:evenHBand="0" w:firstRowFirstColumn="0" w:firstRowLastColumn="0" w:lastRowFirstColumn="0" w:lastRowLastColumn="0"/>
            <w:tcW w:w="755" w:type="pct"/>
          </w:tcPr>
          <w:p w14:paraId="462C9154" w14:textId="77777777" w:rsidR="004E45CF" w:rsidRPr="00906343" w:rsidRDefault="004E45CF" w:rsidP="007007AC">
            <w:pPr>
              <w:pStyle w:val="TablecolumnheadCENTRETABLES"/>
              <w:jc w:val="center"/>
              <w:rPr>
                <w:rFonts w:ascii="Arial" w:hAnsi="Arial" w:cs="Arial"/>
                <w:b/>
                <w:bCs w:val="0"/>
                <w:color w:val="FFFFFF" w:themeColor="background1"/>
                <w:sz w:val="18"/>
                <w:szCs w:val="18"/>
              </w:rPr>
            </w:pPr>
            <w:r w:rsidRPr="00906343">
              <w:rPr>
                <w:rFonts w:ascii="Arial" w:hAnsi="Arial" w:cs="Arial"/>
                <w:b/>
                <w:bCs w:val="0"/>
                <w:caps w:val="0"/>
                <w:color w:val="FFFFFF" w:themeColor="background1"/>
                <w:sz w:val="18"/>
                <w:szCs w:val="18"/>
              </w:rPr>
              <w:t xml:space="preserve">Overall employment </w:t>
            </w:r>
            <w:r w:rsidRPr="00906343">
              <w:rPr>
                <w:rFonts w:ascii="Arial" w:hAnsi="Arial" w:cs="Arial"/>
                <w:b/>
                <w:bCs w:val="0"/>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755" w:type="pct"/>
          </w:tcPr>
          <w:p w14:paraId="36D02AD8" w14:textId="77777777" w:rsidR="004E45CF" w:rsidRPr="00906343" w:rsidRDefault="004E45CF" w:rsidP="007007AC">
            <w:pPr>
              <w:pStyle w:val="TablecolumnheadCENTRETABLES"/>
              <w:jc w:val="center"/>
              <w:rPr>
                <w:rFonts w:ascii="Arial" w:hAnsi="Arial" w:cs="Arial"/>
                <w:b/>
                <w:bCs w:val="0"/>
                <w:color w:val="FFFFFF" w:themeColor="background1"/>
                <w:sz w:val="18"/>
                <w:szCs w:val="18"/>
              </w:rPr>
            </w:pPr>
            <w:r w:rsidRPr="00906343">
              <w:rPr>
                <w:rFonts w:ascii="Arial" w:hAnsi="Arial" w:cs="Arial"/>
                <w:b/>
                <w:bCs w:val="0"/>
                <w:caps w:val="0"/>
                <w:color w:val="FFFFFF" w:themeColor="background1"/>
                <w:sz w:val="18"/>
                <w:szCs w:val="18"/>
              </w:rPr>
              <w:t xml:space="preserve">Overall employment </w:t>
            </w:r>
            <w:r w:rsidRPr="00906343">
              <w:rPr>
                <w:rFonts w:ascii="Arial" w:hAnsi="Arial" w:cs="Arial"/>
                <w:b/>
                <w:bCs w:val="0"/>
                <w:color w:val="FFFFFF" w:themeColor="background1"/>
                <w:sz w:val="18"/>
                <w:szCs w:val="18"/>
              </w:rPr>
              <w:t>2022</w:t>
            </w:r>
          </w:p>
        </w:tc>
      </w:tr>
      <w:tr w:rsidR="004E45CF" w:rsidRPr="00CF3E3D" w14:paraId="2038186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C4F3CA5" w14:textId="77777777" w:rsidR="004E45CF" w:rsidRPr="001E400B" w:rsidRDefault="004E45CF" w:rsidP="00906343">
            <w:pPr>
              <w:spacing w:before="85" w:line="288" w:lineRule="auto"/>
              <w:rPr>
                <w:b/>
                <w:bCs/>
                <w:sz w:val="18"/>
                <w:szCs w:val="18"/>
              </w:rPr>
            </w:pPr>
            <w:r w:rsidRPr="001E400B">
              <w:rPr>
                <w:b/>
                <w:bCs/>
                <w:sz w:val="18"/>
                <w:szCs w:val="18"/>
                <w:lang w:eastAsia="en-AU"/>
              </w:rPr>
              <w:t>Australian Catholic University</w:t>
            </w:r>
          </w:p>
        </w:tc>
        <w:tc>
          <w:tcPr>
            <w:cnfStyle w:val="000001000000" w:firstRow="0" w:lastRow="0" w:firstColumn="0" w:lastColumn="0" w:oddVBand="0" w:evenVBand="1" w:oddHBand="0" w:evenHBand="0" w:firstRowFirstColumn="0" w:firstRowLastColumn="0" w:lastRowFirstColumn="0" w:lastRowLastColumn="0"/>
            <w:tcW w:w="709" w:type="pct"/>
          </w:tcPr>
          <w:p w14:paraId="46D64AF3" w14:textId="77777777" w:rsidR="004E45CF" w:rsidRPr="00CF3E3D" w:rsidRDefault="004E45CF" w:rsidP="007007AC">
            <w:pPr>
              <w:spacing w:before="85" w:line="288" w:lineRule="auto"/>
              <w:jc w:val="center"/>
              <w:rPr>
                <w:sz w:val="18"/>
                <w:szCs w:val="18"/>
              </w:rPr>
            </w:pPr>
            <w:r w:rsidRPr="00CF3E3D">
              <w:rPr>
                <w:sz w:val="18"/>
                <w:szCs w:val="18"/>
              </w:rPr>
              <w:t>73.6 (72.0, 75.2)</w:t>
            </w:r>
          </w:p>
        </w:tc>
        <w:tc>
          <w:tcPr>
            <w:cnfStyle w:val="000010000000" w:firstRow="0" w:lastRow="0" w:firstColumn="0" w:lastColumn="0" w:oddVBand="1" w:evenVBand="0" w:oddHBand="0" w:evenHBand="0" w:firstRowFirstColumn="0" w:firstRowLastColumn="0" w:lastRowFirstColumn="0" w:lastRowLastColumn="0"/>
            <w:tcW w:w="755" w:type="pct"/>
          </w:tcPr>
          <w:p w14:paraId="26063148" w14:textId="77777777" w:rsidR="004E45CF" w:rsidRPr="00CF3E3D" w:rsidRDefault="004E45CF" w:rsidP="007007AC">
            <w:pPr>
              <w:spacing w:before="85" w:line="288" w:lineRule="auto"/>
              <w:jc w:val="center"/>
              <w:rPr>
                <w:sz w:val="18"/>
                <w:szCs w:val="18"/>
              </w:rPr>
            </w:pPr>
            <w:r w:rsidRPr="00CF3E3D">
              <w:rPr>
                <w:sz w:val="18"/>
                <w:szCs w:val="18"/>
              </w:rPr>
              <w:t>82.5 (80.7, 84.0)</w:t>
            </w:r>
          </w:p>
        </w:tc>
        <w:tc>
          <w:tcPr>
            <w:cnfStyle w:val="000001000000" w:firstRow="0" w:lastRow="0" w:firstColumn="0" w:lastColumn="0" w:oddVBand="0" w:evenVBand="1" w:oddHBand="0" w:evenHBand="0" w:firstRowFirstColumn="0" w:firstRowLastColumn="0" w:lastRowFirstColumn="0" w:lastRowLastColumn="0"/>
            <w:tcW w:w="755" w:type="pct"/>
          </w:tcPr>
          <w:p w14:paraId="569D6B4D" w14:textId="77777777" w:rsidR="004E45CF" w:rsidRPr="00CF3E3D" w:rsidRDefault="004E45CF" w:rsidP="007007AC">
            <w:pPr>
              <w:spacing w:before="85" w:line="288" w:lineRule="auto"/>
              <w:jc w:val="center"/>
              <w:rPr>
                <w:sz w:val="18"/>
                <w:szCs w:val="18"/>
              </w:rPr>
            </w:pPr>
            <w:r w:rsidRPr="00CF3E3D">
              <w:rPr>
                <w:sz w:val="18"/>
                <w:szCs w:val="18"/>
              </w:rPr>
              <w:t>89.2 (88.3, 90.0)</w:t>
            </w:r>
          </w:p>
        </w:tc>
        <w:tc>
          <w:tcPr>
            <w:cnfStyle w:val="000010000000" w:firstRow="0" w:lastRow="0" w:firstColumn="0" w:lastColumn="0" w:oddVBand="1" w:evenVBand="0" w:oddHBand="0" w:evenHBand="0" w:firstRowFirstColumn="0" w:firstRowLastColumn="0" w:lastRowFirstColumn="0" w:lastRowLastColumn="0"/>
            <w:tcW w:w="755" w:type="pct"/>
          </w:tcPr>
          <w:p w14:paraId="702A4222" w14:textId="77777777" w:rsidR="004E45CF" w:rsidRPr="00CF3E3D" w:rsidRDefault="004E45CF" w:rsidP="007007AC">
            <w:pPr>
              <w:spacing w:before="85" w:line="288" w:lineRule="auto"/>
              <w:jc w:val="center"/>
              <w:rPr>
                <w:sz w:val="18"/>
                <w:szCs w:val="18"/>
              </w:rPr>
            </w:pPr>
            <w:r w:rsidRPr="00CF3E3D">
              <w:rPr>
                <w:sz w:val="18"/>
                <w:szCs w:val="18"/>
              </w:rPr>
              <w:t>90.9 (89.8, 91.8)</w:t>
            </w:r>
          </w:p>
        </w:tc>
      </w:tr>
      <w:tr w:rsidR="004E45CF" w:rsidRPr="00CF3E3D" w14:paraId="74DF072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30CD93F" w14:textId="77777777" w:rsidR="004E45CF" w:rsidRPr="001E400B" w:rsidRDefault="004E45CF" w:rsidP="00906343">
            <w:pPr>
              <w:spacing w:before="85" w:line="288" w:lineRule="auto"/>
              <w:rPr>
                <w:b/>
                <w:bCs/>
                <w:sz w:val="18"/>
                <w:szCs w:val="18"/>
                <w:highlight w:val="yellow"/>
                <w:lang w:eastAsia="en-AU"/>
              </w:rPr>
            </w:pPr>
            <w:r w:rsidRPr="001E400B">
              <w:rPr>
                <w:b/>
                <w:bCs/>
                <w:sz w:val="18"/>
                <w:szCs w:val="18"/>
                <w:lang w:eastAsia="en-AU"/>
              </w:rPr>
              <w:t>Avondale University*</w:t>
            </w:r>
          </w:p>
        </w:tc>
        <w:tc>
          <w:tcPr>
            <w:cnfStyle w:val="000001000000" w:firstRow="0" w:lastRow="0" w:firstColumn="0" w:lastColumn="0" w:oddVBand="0" w:evenVBand="1" w:oddHBand="0" w:evenHBand="0" w:firstRowFirstColumn="0" w:firstRowLastColumn="0" w:lastRowFirstColumn="0" w:lastRowLastColumn="0"/>
            <w:tcW w:w="709" w:type="pct"/>
          </w:tcPr>
          <w:p w14:paraId="3EF717B5" w14:textId="77777777" w:rsidR="004E45CF" w:rsidRPr="00CF3E3D" w:rsidRDefault="004E45CF" w:rsidP="007007AC">
            <w:pPr>
              <w:spacing w:before="85" w:line="288" w:lineRule="auto"/>
              <w:jc w:val="center"/>
              <w:rPr>
                <w:sz w:val="18"/>
                <w:szCs w:val="18"/>
              </w:rPr>
            </w:pPr>
            <w:r w:rsidRPr="00CF3E3D">
              <w:rPr>
                <w:sz w:val="18"/>
                <w:szCs w:val="18"/>
              </w:rPr>
              <w:t>90.9 (82.2, 94.9)</w:t>
            </w:r>
          </w:p>
        </w:tc>
        <w:tc>
          <w:tcPr>
            <w:cnfStyle w:val="000010000000" w:firstRow="0" w:lastRow="0" w:firstColumn="0" w:lastColumn="0" w:oddVBand="1" w:evenVBand="0" w:oddHBand="0" w:evenHBand="0" w:firstRowFirstColumn="0" w:firstRowLastColumn="0" w:lastRowFirstColumn="0" w:lastRowLastColumn="0"/>
            <w:tcW w:w="755" w:type="pct"/>
          </w:tcPr>
          <w:p w14:paraId="28556215" w14:textId="77777777" w:rsidR="004E45CF" w:rsidRPr="00CF3E3D" w:rsidRDefault="004E45CF" w:rsidP="007007AC">
            <w:pPr>
              <w:spacing w:before="85" w:line="288" w:lineRule="auto"/>
              <w:jc w:val="center"/>
              <w:rPr>
                <w:sz w:val="18"/>
                <w:szCs w:val="18"/>
              </w:rPr>
            </w:pPr>
            <w:r w:rsidRPr="00CF3E3D">
              <w:rPr>
                <w:sz w:val="18"/>
                <w:szCs w:val="18"/>
              </w:rPr>
              <w:t>77.4 (64.2, 86.2)</w:t>
            </w:r>
          </w:p>
        </w:tc>
        <w:tc>
          <w:tcPr>
            <w:cnfStyle w:val="000001000000" w:firstRow="0" w:lastRow="0" w:firstColumn="0" w:lastColumn="0" w:oddVBand="0" w:evenVBand="1" w:oddHBand="0" w:evenHBand="0" w:firstRowFirstColumn="0" w:firstRowLastColumn="0" w:lastRowFirstColumn="0" w:lastRowLastColumn="0"/>
            <w:tcW w:w="755" w:type="pct"/>
          </w:tcPr>
          <w:p w14:paraId="6EA0859C" w14:textId="77777777" w:rsidR="004E45CF" w:rsidRPr="00CF3E3D" w:rsidRDefault="004E45CF" w:rsidP="007007AC">
            <w:pPr>
              <w:spacing w:before="85" w:line="288" w:lineRule="auto"/>
              <w:jc w:val="center"/>
              <w:rPr>
                <w:sz w:val="18"/>
                <w:szCs w:val="18"/>
              </w:rPr>
            </w:pPr>
            <w:r w:rsidRPr="00CF3E3D">
              <w:rPr>
                <w:sz w:val="18"/>
                <w:szCs w:val="18"/>
              </w:rPr>
              <w:t>90.7 (83.4, 94.2)</w:t>
            </w:r>
          </w:p>
        </w:tc>
        <w:tc>
          <w:tcPr>
            <w:cnfStyle w:val="000010000000" w:firstRow="0" w:lastRow="0" w:firstColumn="0" w:lastColumn="0" w:oddVBand="1" w:evenVBand="0" w:oddHBand="0" w:evenHBand="0" w:firstRowFirstColumn="0" w:firstRowLastColumn="0" w:lastRowFirstColumn="0" w:lastRowLastColumn="0"/>
            <w:tcW w:w="755" w:type="pct"/>
          </w:tcPr>
          <w:p w14:paraId="1F32A48A" w14:textId="77777777" w:rsidR="004E45CF" w:rsidRPr="00CF3E3D" w:rsidRDefault="004E45CF" w:rsidP="007007AC">
            <w:pPr>
              <w:spacing w:before="85" w:line="288" w:lineRule="auto"/>
              <w:jc w:val="center"/>
              <w:rPr>
                <w:sz w:val="18"/>
                <w:szCs w:val="18"/>
              </w:rPr>
            </w:pPr>
            <w:r w:rsidRPr="00CF3E3D">
              <w:rPr>
                <w:sz w:val="18"/>
                <w:szCs w:val="18"/>
              </w:rPr>
              <w:t>92.7 (83.6, 96.5)</w:t>
            </w:r>
          </w:p>
        </w:tc>
      </w:tr>
      <w:tr w:rsidR="004E45CF" w:rsidRPr="00CF3E3D" w14:paraId="282B68A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B21D515" w14:textId="77777777" w:rsidR="004E45CF" w:rsidRPr="001E400B" w:rsidRDefault="004E45CF" w:rsidP="00906343">
            <w:pPr>
              <w:spacing w:before="85" w:line="288" w:lineRule="auto"/>
              <w:rPr>
                <w:b/>
                <w:bCs/>
                <w:sz w:val="18"/>
                <w:szCs w:val="18"/>
              </w:rPr>
            </w:pPr>
            <w:r w:rsidRPr="001E400B">
              <w:rPr>
                <w:b/>
                <w:bCs/>
                <w:sz w:val="18"/>
                <w:szCs w:val="18"/>
                <w:lang w:eastAsia="en-AU"/>
              </w:rPr>
              <w:t>Bond University</w:t>
            </w:r>
          </w:p>
        </w:tc>
        <w:tc>
          <w:tcPr>
            <w:cnfStyle w:val="000001000000" w:firstRow="0" w:lastRow="0" w:firstColumn="0" w:lastColumn="0" w:oddVBand="0" w:evenVBand="1" w:oddHBand="0" w:evenHBand="0" w:firstRowFirstColumn="0" w:firstRowLastColumn="0" w:lastRowFirstColumn="0" w:lastRowLastColumn="0"/>
            <w:tcW w:w="709" w:type="pct"/>
          </w:tcPr>
          <w:p w14:paraId="4BF85AC6" w14:textId="77777777" w:rsidR="004E45CF" w:rsidRPr="00CF3E3D" w:rsidRDefault="004E45CF" w:rsidP="007007AC">
            <w:pPr>
              <w:spacing w:before="85" w:line="288" w:lineRule="auto"/>
              <w:jc w:val="center"/>
              <w:rPr>
                <w:sz w:val="18"/>
                <w:szCs w:val="18"/>
              </w:rPr>
            </w:pPr>
            <w:r w:rsidRPr="00CF3E3D">
              <w:rPr>
                <w:sz w:val="18"/>
                <w:szCs w:val="18"/>
              </w:rPr>
              <w:t>67.3 (60.8, 72.9)</w:t>
            </w:r>
          </w:p>
        </w:tc>
        <w:tc>
          <w:tcPr>
            <w:cnfStyle w:val="000010000000" w:firstRow="0" w:lastRow="0" w:firstColumn="0" w:lastColumn="0" w:oddVBand="1" w:evenVBand="0" w:oddHBand="0" w:evenHBand="0" w:firstRowFirstColumn="0" w:firstRowLastColumn="0" w:lastRowFirstColumn="0" w:lastRowLastColumn="0"/>
            <w:tcW w:w="755" w:type="pct"/>
          </w:tcPr>
          <w:p w14:paraId="11BF3719" w14:textId="77777777" w:rsidR="004E45CF" w:rsidRPr="00CF3E3D" w:rsidRDefault="004E45CF" w:rsidP="007007AC">
            <w:pPr>
              <w:spacing w:before="85" w:line="288" w:lineRule="auto"/>
              <w:jc w:val="center"/>
              <w:rPr>
                <w:sz w:val="18"/>
                <w:szCs w:val="18"/>
              </w:rPr>
            </w:pPr>
            <w:r w:rsidRPr="00CF3E3D">
              <w:rPr>
                <w:sz w:val="18"/>
                <w:szCs w:val="18"/>
              </w:rPr>
              <w:t>72.2 (64.0, 78.8)</w:t>
            </w:r>
          </w:p>
        </w:tc>
        <w:tc>
          <w:tcPr>
            <w:cnfStyle w:val="000001000000" w:firstRow="0" w:lastRow="0" w:firstColumn="0" w:lastColumn="0" w:oddVBand="0" w:evenVBand="1" w:oddHBand="0" w:evenHBand="0" w:firstRowFirstColumn="0" w:firstRowLastColumn="0" w:lastRowFirstColumn="0" w:lastRowLastColumn="0"/>
            <w:tcW w:w="755" w:type="pct"/>
          </w:tcPr>
          <w:p w14:paraId="6FB17366" w14:textId="77777777" w:rsidR="004E45CF" w:rsidRPr="00CF3E3D" w:rsidRDefault="004E45CF" w:rsidP="007007AC">
            <w:pPr>
              <w:spacing w:before="85" w:line="288" w:lineRule="auto"/>
              <w:jc w:val="center"/>
              <w:rPr>
                <w:sz w:val="18"/>
                <w:szCs w:val="18"/>
              </w:rPr>
            </w:pPr>
            <w:r w:rsidRPr="00CF3E3D">
              <w:rPr>
                <w:sz w:val="18"/>
                <w:szCs w:val="18"/>
              </w:rPr>
              <w:t>79.7 (75.2, 83.1)</w:t>
            </w:r>
          </w:p>
        </w:tc>
        <w:tc>
          <w:tcPr>
            <w:cnfStyle w:val="000010000000" w:firstRow="0" w:lastRow="0" w:firstColumn="0" w:lastColumn="0" w:oddVBand="1" w:evenVBand="0" w:oddHBand="0" w:evenHBand="0" w:firstRowFirstColumn="0" w:firstRowLastColumn="0" w:lastRowFirstColumn="0" w:lastRowLastColumn="0"/>
            <w:tcW w:w="755" w:type="pct"/>
          </w:tcPr>
          <w:p w14:paraId="05A50E8A" w14:textId="77777777" w:rsidR="004E45CF" w:rsidRPr="00CF3E3D" w:rsidRDefault="004E45CF" w:rsidP="007007AC">
            <w:pPr>
              <w:spacing w:before="85" w:line="288" w:lineRule="auto"/>
              <w:jc w:val="center"/>
              <w:rPr>
                <w:sz w:val="18"/>
                <w:szCs w:val="18"/>
              </w:rPr>
            </w:pPr>
            <w:r w:rsidRPr="00CF3E3D">
              <w:rPr>
                <w:sz w:val="18"/>
                <w:szCs w:val="18"/>
              </w:rPr>
              <w:t>82.1 (76.3, 86.3)</w:t>
            </w:r>
          </w:p>
        </w:tc>
      </w:tr>
      <w:tr w:rsidR="004E45CF" w:rsidRPr="00CF3E3D" w14:paraId="3516579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4598736" w14:textId="77777777" w:rsidR="004E45CF" w:rsidRPr="001E400B" w:rsidRDefault="004E45CF" w:rsidP="00906343">
            <w:pPr>
              <w:spacing w:before="85" w:line="288" w:lineRule="auto"/>
              <w:rPr>
                <w:b/>
                <w:bCs/>
                <w:sz w:val="18"/>
                <w:szCs w:val="18"/>
              </w:rPr>
            </w:pPr>
            <w:r w:rsidRPr="001E400B">
              <w:rPr>
                <w:b/>
                <w:bCs/>
                <w:sz w:val="18"/>
                <w:szCs w:val="18"/>
                <w:lang w:eastAsia="en-AU"/>
              </w:rPr>
              <w:t>Central Queensland University</w:t>
            </w:r>
          </w:p>
        </w:tc>
        <w:tc>
          <w:tcPr>
            <w:cnfStyle w:val="000001000000" w:firstRow="0" w:lastRow="0" w:firstColumn="0" w:lastColumn="0" w:oddVBand="0" w:evenVBand="1" w:oddHBand="0" w:evenHBand="0" w:firstRowFirstColumn="0" w:firstRowLastColumn="0" w:lastRowFirstColumn="0" w:lastRowLastColumn="0"/>
            <w:tcW w:w="709" w:type="pct"/>
          </w:tcPr>
          <w:p w14:paraId="19A4E83A" w14:textId="77777777" w:rsidR="004E45CF" w:rsidRPr="00CF3E3D" w:rsidRDefault="004E45CF" w:rsidP="007007AC">
            <w:pPr>
              <w:spacing w:before="85" w:line="288" w:lineRule="auto"/>
              <w:jc w:val="center"/>
              <w:rPr>
                <w:sz w:val="18"/>
                <w:szCs w:val="18"/>
              </w:rPr>
            </w:pPr>
            <w:r w:rsidRPr="00CF3E3D">
              <w:rPr>
                <w:sz w:val="18"/>
                <w:szCs w:val="18"/>
              </w:rPr>
              <w:t>83.4 (80.9, 85.6)</w:t>
            </w:r>
          </w:p>
        </w:tc>
        <w:tc>
          <w:tcPr>
            <w:cnfStyle w:val="000010000000" w:firstRow="0" w:lastRow="0" w:firstColumn="0" w:lastColumn="0" w:oddVBand="1" w:evenVBand="0" w:oddHBand="0" w:evenHBand="0" w:firstRowFirstColumn="0" w:firstRowLastColumn="0" w:lastRowFirstColumn="0" w:lastRowLastColumn="0"/>
            <w:tcW w:w="755" w:type="pct"/>
          </w:tcPr>
          <w:p w14:paraId="666DC917" w14:textId="77777777" w:rsidR="004E45CF" w:rsidRPr="00CF3E3D" w:rsidRDefault="004E45CF" w:rsidP="007007AC">
            <w:pPr>
              <w:spacing w:before="85" w:line="288" w:lineRule="auto"/>
              <w:jc w:val="center"/>
              <w:rPr>
                <w:sz w:val="18"/>
                <w:szCs w:val="18"/>
              </w:rPr>
            </w:pPr>
            <w:r w:rsidRPr="00CF3E3D">
              <w:rPr>
                <w:sz w:val="18"/>
                <w:szCs w:val="18"/>
              </w:rPr>
              <w:t>86.9 (85.0, 88.6)</w:t>
            </w:r>
          </w:p>
        </w:tc>
        <w:tc>
          <w:tcPr>
            <w:cnfStyle w:val="000001000000" w:firstRow="0" w:lastRow="0" w:firstColumn="0" w:lastColumn="0" w:oddVBand="0" w:evenVBand="1" w:oddHBand="0" w:evenHBand="0" w:firstRowFirstColumn="0" w:firstRowLastColumn="0" w:lastRowFirstColumn="0" w:lastRowLastColumn="0"/>
            <w:tcW w:w="755" w:type="pct"/>
          </w:tcPr>
          <w:p w14:paraId="1CC87743" w14:textId="77777777" w:rsidR="004E45CF" w:rsidRPr="00CF3E3D" w:rsidRDefault="004E45CF" w:rsidP="007007AC">
            <w:pPr>
              <w:spacing w:before="85" w:line="288" w:lineRule="auto"/>
              <w:jc w:val="center"/>
              <w:rPr>
                <w:sz w:val="18"/>
                <w:szCs w:val="18"/>
              </w:rPr>
            </w:pPr>
            <w:r w:rsidRPr="00CF3E3D">
              <w:rPr>
                <w:sz w:val="18"/>
                <w:szCs w:val="18"/>
              </w:rPr>
              <w:t>90.2 (88.5, 91.5)</w:t>
            </w:r>
          </w:p>
        </w:tc>
        <w:tc>
          <w:tcPr>
            <w:cnfStyle w:val="000010000000" w:firstRow="0" w:lastRow="0" w:firstColumn="0" w:lastColumn="0" w:oddVBand="1" w:evenVBand="0" w:oddHBand="0" w:evenHBand="0" w:firstRowFirstColumn="0" w:firstRowLastColumn="0" w:lastRowFirstColumn="0" w:lastRowLastColumn="0"/>
            <w:tcW w:w="755" w:type="pct"/>
          </w:tcPr>
          <w:p w14:paraId="5193FB23" w14:textId="77777777" w:rsidR="004E45CF" w:rsidRPr="00CF3E3D" w:rsidRDefault="004E45CF" w:rsidP="007007AC">
            <w:pPr>
              <w:spacing w:before="85" w:line="288" w:lineRule="auto"/>
              <w:jc w:val="center"/>
              <w:rPr>
                <w:sz w:val="18"/>
                <w:szCs w:val="18"/>
              </w:rPr>
            </w:pPr>
            <w:r w:rsidRPr="00CF3E3D">
              <w:rPr>
                <w:sz w:val="18"/>
                <w:szCs w:val="18"/>
              </w:rPr>
              <w:t>93.3 (92.1, 94.2)</w:t>
            </w:r>
          </w:p>
        </w:tc>
      </w:tr>
      <w:tr w:rsidR="004E45CF" w:rsidRPr="00CF3E3D" w14:paraId="2D42062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52B0895" w14:textId="77777777" w:rsidR="004E45CF" w:rsidRPr="001E400B" w:rsidRDefault="004E45CF" w:rsidP="00906343">
            <w:pPr>
              <w:spacing w:before="85" w:line="288" w:lineRule="auto"/>
              <w:rPr>
                <w:b/>
                <w:bCs/>
                <w:sz w:val="18"/>
                <w:szCs w:val="18"/>
              </w:rPr>
            </w:pPr>
            <w:r w:rsidRPr="001E400B">
              <w:rPr>
                <w:b/>
                <w:bCs/>
                <w:sz w:val="18"/>
                <w:szCs w:val="18"/>
                <w:lang w:eastAsia="en-AU"/>
              </w:rPr>
              <w:t>Charles Darwin University</w:t>
            </w:r>
          </w:p>
        </w:tc>
        <w:tc>
          <w:tcPr>
            <w:cnfStyle w:val="000001000000" w:firstRow="0" w:lastRow="0" w:firstColumn="0" w:lastColumn="0" w:oddVBand="0" w:evenVBand="1" w:oddHBand="0" w:evenHBand="0" w:firstRowFirstColumn="0" w:firstRowLastColumn="0" w:lastRowFirstColumn="0" w:lastRowLastColumn="0"/>
            <w:tcW w:w="709" w:type="pct"/>
          </w:tcPr>
          <w:p w14:paraId="4EF515F8" w14:textId="77777777" w:rsidR="004E45CF" w:rsidRPr="00CF3E3D" w:rsidRDefault="004E45CF" w:rsidP="007007AC">
            <w:pPr>
              <w:spacing w:before="85" w:line="288" w:lineRule="auto"/>
              <w:jc w:val="center"/>
              <w:rPr>
                <w:sz w:val="18"/>
                <w:szCs w:val="18"/>
              </w:rPr>
            </w:pPr>
            <w:r w:rsidRPr="00CF3E3D">
              <w:rPr>
                <w:sz w:val="18"/>
                <w:szCs w:val="18"/>
              </w:rPr>
              <w:t>76.5 (73.5, 79.2)</w:t>
            </w:r>
          </w:p>
        </w:tc>
        <w:tc>
          <w:tcPr>
            <w:cnfStyle w:val="000010000000" w:firstRow="0" w:lastRow="0" w:firstColumn="0" w:lastColumn="0" w:oddVBand="1" w:evenVBand="0" w:oddHBand="0" w:evenHBand="0" w:firstRowFirstColumn="0" w:firstRowLastColumn="0" w:lastRowFirstColumn="0" w:lastRowLastColumn="0"/>
            <w:tcW w:w="755" w:type="pct"/>
          </w:tcPr>
          <w:p w14:paraId="2B589CC4" w14:textId="77777777" w:rsidR="004E45CF" w:rsidRPr="00CF3E3D" w:rsidRDefault="004E45CF" w:rsidP="007007AC">
            <w:pPr>
              <w:spacing w:before="85" w:line="288" w:lineRule="auto"/>
              <w:jc w:val="center"/>
              <w:rPr>
                <w:sz w:val="18"/>
                <w:szCs w:val="18"/>
              </w:rPr>
            </w:pPr>
            <w:r w:rsidRPr="00CF3E3D">
              <w:rPr>
                <w:sz w:val="18"/>
                <w:szCs w:val="18"/>
              </w:rPr>
              <w:t>80.4 (77.6, 82.9)</w:t>
            </w:r>
          </w:p>
        </w:tc>
        <w:tc>
          <w:tcPr>
            <w:cnfStyle w:val="000001000000" w:firstRow="0" w:lastRow="0" w:firstColumn="0" w:lastColumn="0" w:oddVBand="0" w:evenVBand="1" w:oddHBand="0" w:evenHBand="0" w:firstRowFirstColumn="0" w:firstRowLastColumn="0" w:lastRowFirstColumn="0" w:lastRowLastColumn="0"/>
            <w:tcW w:w="755" w:type="pct"/>
          </w:tcPr>
          <w:p w14:paraId="0182E499" w14:textId="77777777" w:rsidR="004E45CF" w:rsidRPr="00CF3E3D" w:rsidRDefault="004E45CF" w:rsidP="007007AC">
            <w:pPr>
              <w:spacing w:before="85" w:line="288" w:lineRule="auto"/>
              <w:jc w:val="center"/>
              <w:rPr>
                <w:sz w:val="18"/>
                <w:szCs w:val="18"/>
              </w:rPr>
            </w:pPr>
            <w:r w:rsidRPr="00CF3E3D">
              <w:rPr>
                <w:sz w:val="18"/>
                <w:szCs w:val="18"/>
              </w:rPr>
              <w:t>87.4 (85.5, 89.0)</w:t>
            </w:r>
          </w:p>
        </w:tc>
        <w:tc>
          <w:tcPr>
            <w:cnfStyle w:val="000010000000" w:firstRow="0" w:lastRow="0" w:firstColumn="0" w:lastColumn="0" w:oddVBand="1" w:evenVBand="0" w:oddHBand="0" w:evenHBand="0" w:firstRowFirstColumn="0" w:firstRowLastColumn="0" w:lastRowFirstColumn="0" w:lastRowLastColumn="0"/>
            <w:tcW w:w="755" w:type="pct"/>
          </w:tcPr>
          <w:p w14:paraId="15886972" w14:textId="77777777" w:rsidR="004E45CF" w:rsidRPr="00CF3E3D" w:rsidRDefault="004E45CF" w:rsidP="007007AC">
            <w:pPr>
              <w:spacing w:before="85" w:line="288" w:lineRule="auto"/>
              <w:jc w:val="center"/>
              <w:rPr>
                <w:sz w:val="18"/>
                <w:szCs w:val="18"/>
              </w:rPr>
            </w:pPr>
            <w:r w:rsidRPr="00CF3E3D">
              <w:rPr>
                <w:sz w:val="18"/>
                <w:szCs w:val="18"/>
              </w:rPr>
              <w:t>88.2 (86.3, 89.7)</w:t>
            </w:r>
          </w:p>
        </w:tc>
      </w:tr>
      <w:tr w:rsidR="004E45CF" w:rsidRPr="00CF3E3D" w14:paraId="613AFBC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8F37719" w14:textId="77777777" w:rsidR="004E45CF" w:rsidRPr="001E400B" w:rsidRDefault="004E45CF" w:rsidP="00906343">
            <w:pPr>
              <w:spacing w:before="85" w:line="288" w:lineRule="auto"/>
              <w:rPr>
                <w:b/>
                <w:bCs/>
                <w:sz w:val="18"/>
                <w:szCs w:val="18"/>
              </w:rPr>
            </w:pPr>
            <w:r w:rsidRPr="001E400B">
              <w:rPr>
                <w:b/>
                <w:bCs/>
                <w:sz w:val="18"/>
                <w:szCs w:val="18"/>
                <w:lang w:eastAsia="en-AU"/>
              </w:rPr>
              <w:t>Charles Sturt University</w:t>
            </w:r>
          </w:p>
        </w:tc>
        <w:tc>
          <w:tcPr>
            <w:cnfStyle w:val="000001000000" w:firstRow="0" w:lastRow="0" w:firstColumn="0" w:lastColumn="0" w:oddVBand="0" w:evenVBand="1" w:oddHBand="0" w:evenHBand="0" w:firstRowFirstColumn="0" w:firstRowLastColumn="0" w:lastRowFirstColumn="0" w:lastRowLastColumn="0"/>
            <w:tcW w:w="709" w:type="pct"/>
          </w:tcPr>
          <w:p w14:paraId="0F2CE99E" w14:textId="77777777" w:rsidR="004E45CF" w:rsidRPr="00CF3E3D" w:rsidRDefault="004E45CF" w:rsidP="007007AC">
            <w:pPr>
              <w:spacing w:before="85" w:line="288" w:lineRule="auto"/>
              <w:jc w:val="center"/>
              <w:rPr>
                <w:sz w:val="18"/>
                <w:szCs w:val="18"/>
              </w:rPr>
            </w:pPr>
            <w:r w:rsidRPr="00CF3E3D">
              <w:rPr>
                <w:sz w:val="18"/>
                <w:szCs w:val="18"/>
              </w:rPr>
              <w:t>84.6 (82.9, 86.1)</w:t>
            </w:r>
          </w:p>
        </w:tc>
        <w:tc>
          <w:tcPr>
            <w:cnfStyle w:val="000010000000" w:firstRow="0" w:lastRow="0" w:firstColumn="0" w:lastColumn="0" w:oddVBand="1" w:evenVBand="0" w:oddHBand="0" w:evenHBand="0" w:firstRowFirstColumn="0" w:firstRowLastColumn="0" w:lastRowFirstColumn="0" w:lastRowLastColumn="0"/>
            <w:tcW w:w="755" w:type="pct"/>
          </w:tcPr>
          <w:p w14:paraId="490B0101" w14:textId="77777777" w:rsidR="004E45CF" w:rsidRPr="00CF3E3D" w:rsidRDefault="004E45CF" w:rsidP="007007AC">
            <w:pPr>
              <w:spacing w:before="85" w:line="288" w:lineRule="auto"/>
              <w:jc w:val="center"/>
              <w:rPr>
                <w:sz w:val="18"/>
                <w:szCs w:val="18"/>
              </w:rPr>
            </w:pPr>
            <w:r w:rsidRPr="00CF3E3D">
              <w:rPr>
                <w:sz w:val="18"/>
                <w:szCs w:val="18"/>
              </w:rPr>
              <w:t>90.7 (89.4, 91.8)</w:t>
            </w:r>
          </w:p>
        </w:tc>
        <w:tc>
          <w:tcPr>
            <w:cnfStyle w:val="000001000000" w:firstRow="0" w:lastRow="0" w:firstColumn="0" w:lastColumn="0" w:oddVBand="0" w:evenVBand="1" w:oddHBand="0" w:evenHBand="0" w:firstRowFirstColumn="0" w:firstRowLastColumn="0" w:lastRowFirstColumn="0" w:lastRowLastColumn="0"/>
            <w:tcW w:w="755" w:type="pct"/>
          </w:tcPr>
          <w:p w14:paraId="46325C74" w14:textId="77777777" w:rsidR="004E45CF" w:rsidRPr="00CF3E3D" w:rsidRDefault="004E45CF" w:rsidP="007007AC">
            <w:pPr>
              <w:spacing w:before="85" w:line="288" w:lineRule="auto"/>
              <w:jc w:val="center"/>
              <w:rPr>
                <w:sz w:val="18"/>
                <w:szCs w:val="18"/>
              </w:rPr>
            </w:pPr>
            <w:r w:rsidRPr="00CF3E3D">
              <w:rPr>
                <w:sz w:val="18"/>
                <w:szCs w:val="18"/>
              </w:rPr>
              <w:t>90.8 (89.6, 91.8)</w:t>
            </w:r>
          </w:p>
        </w:tc>
        <w:tc>
          <w:tcPr>
            <w:cnfStyle w:val="000010000000" w:firstRow="0" w:lastRow="0" w:firstColumn="0" w:lastColumn="0" w:oddVBand="1" w:evenVBand="0" w:oddHBand="0" w:evenHBand="0" w:firstRowFirstColumn="0" w:firstRowLastColumn="0" w:lastRowFirstColumn="0" w:lastRowLastColumn="0"/>
            <w:tcW w:w="755" w:type="pct"/>
          </w:tcPr>
          <w:p w14:paraId="1511A6DC" w14:textId="77777777" w:rsidR="004E45CF" w:rsidRPr="00CF3E3D" w:rsidRDefault="004E45CF" w:rsidP="007007AC">
            <w:pPr>
              <w:spacing w:before="85" w:line="288" w:lineRule="auto"/>
              <w:jc w:val="center"/>
              <w:rPr>
                <w:sz w:val="18"/>
                <w:szCs w:val="18"/>
              </w:rPr>
            </w:pPr>
            <w:r w:rsidRPr="00CF3E3D">
              <w:rPr>
                <w:sz w:val="18"/>
                <w:szCs w:val="18"/>
              </w:rPr>
              <w:t>94.5 (93.6, 95.2)</w:t>
            </w:r>
          </w:p>
        </w:tc>
      </w:tr>
      <w:tr w:rsidR="004E45CF" w:rsidRPr="00CF3E3D" w14:paraId="51CE484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EDA8B97" w14:textId="77777777" w:rsidR="004E45CF" w:rsidRPr="001E400B" w:rsidRDefault="004E45CF" w:rsidP="00906343">
            <w:pPr>
              <w:spacing w:before="85" w:line="288" w:lineRule="auto"/>
              <w:rPr>
                <w:b/>
                <w:bCs/>
                <w:sz w:val="18"/>
                <w:szCs w:val="18"/>
              </w:rPr>
            </w:pPr>
            <w:r w:rsidRPr="001E400B">
              <w:rPr>
                <w:b/>
                <w:bCs/>
                <w:sz w:val="18"/>
                <w:szCs w:val="18"/>
                <w:lang w:eastAsia="en-AU"/>
              </w:rPr>
              <w:t>Curtin University</w:t>
            </w:r>
          </w:p>
        </w:tc>
        <w:tc>
          <w:tcPr>
            <w:cnfStyle w:val="000001000000" w:firstRow="0" w:lastRow="0" w:firstColumn="0" w:lastColumn="0" w:oddVBand="0" w:evenVBand="1" w:oddHBand="0" w:evenHBand="0" w:firstRowFirstColumn="0" w:firstRowLastColumn="0" w:lastRowFirstColumn="0" w:lastRowLastColumn="0"/>
            <w:tcW w:w="709" w:type="pct"/>
          </w:tcPr>
          <w:p w14:paraId="1129E877" w14:textId="77777777" w:rsidR="004E45CF" w:rsidRPr="00CF3E3D" w:rsidRDefault="004E45CF" w:rsidP="007007AC">
            <w:pPr>
              <w:spacing w:before="85" w:line="288" w:lineRule="auto"/>
              <w:jc w:val="center"/>
              <w:rPr>
                <w:sz w:val="18"/>
                <w:szCs w:val="18"/>
              </w:rPr>
            </w:pPr>
            <w:r w:rsidRPr="00CF3E3D">
              <w:rPr>
                <w:sz w:val="18"/>
                <w:szCs w:val="18"/>
              </w:rPr>
              <w:t>70.1 (68.1, 72.1)</w:t>
            </w:r>
          </w:p>
        </w:tc>
        <w:tc>
          <w:tcPr>
            <w:cnfStyle w:val="000010000000" w:firstRow="0" w:lastRow="0" w:firstColumn="0" w:lastColumn="0" w:oddVBand="1" w:evenVBand="0" w:oddHBand="0" w:evenHBand="0" w:firstRowFirstColumn="0" w:firstRowLastColumn="0" w:lastRowFirstColumn="0" w:lastRowLastColumn="0"/>
            <w:tcW w:w="755" w:type="pct"/>
          </w:tcPr>
          <w:p w14:paraId="0FC7D116" w14:textId="77777777" w:rsidR="004E45CF" w:rsidRPr="00CF3E3D" w:rsidRDefault="004E45CF" w:rsidP="007007AC">
            <w:pPr>
              <w:spacing w:before="85" w:line="288" w:lineRule="auto"/>
              <w:jc w:val="center"/>
              <w:rPr>
                <w:sz w:val="18"/>
                <w:szCs w:val="18"/>
              </w:rPr>
            </w:pPr>
            <w:r w:rsidRPr="00CF3E3D">
              <w:rPr>
                <w:sz w:val="18"/>
                <w:szCs w:val="18"/>
              </w:rPr>
              <w:t>82.2 (80.5, 83.9)</w:t>
            </w:r>
          </w:p>
        </w:tc>
        <w:tc>
          <w:tcPr>
            <w:cnfStyle w:val="000001000000" w:firstRow="0" w:lastRow="0" w:firstColumn="0" w:lastColumn="0" w:oddVBand="0" w:evenVBand="1" w:oddHBand="0" w:evenHBand="0" w:firstRowFirstColumn="0" w:firstRowLastColumn="0" w:lastRowFirstColumn="0" w:lastRowLastColumn="0"/>
            <w:tcW w:w="755" w:type="pct"/>
          </w:tcPr>
          <w:p w14:paraId="7FACE0C7" w14:textId="77777777" w:rsidR="004E45CF" w:rsidRPr="00CF3E3D" w:rsidRDefault="004E45CF" w:rsidP="007007AC">
            <w:pPr>
              <w:spacing w:before="85" w:line="288" w:lineRule="auto"/>
              <w:jc w:val="center"/>
              <w:rPr>
                <w:sz w:val="18"/>
                <w:szCs w:val="18"/>
              </w:rPr>
            </w:pPr>
            <w:r w:rsidRPr="00CF3E3D">
              <w:rPr>
                <w:sz w:val="18"/>
                <w:szCs w:val="18"/>
              </w:rPr>
              <w:t>87.7 (86.4, 88.8)</w:t>
            </w:r>
          </w:p>
        </w:tc>
        <w:tc>
          <w:tcPr>
            <w:cnfStyle w:val="000010000000" w:firstRow="0" w:lastRow="0" w:firstColumn="0" w:lastColumn="0" w:oddVBand="1" w:evenVBand="0" w:oddHBand="0" w:evenHBand="0" w:firstRowFirstColumn="0" w:firstRowLastColumn="0" w:lastRowFirstColumn="0" w:lastRowLastColumn="0"/>
            <w:tcW w:w="755" w:type="pct"/>
          </w:tcPr>
          <w:p w14:paraId="26381D71" w14:textId="77777777" w:rsidR="004E45CF" w:rsidRPr="00CF3E3D" w:rsidRDefault="004E45CF" w:rsidP="007007AC">
            <w:pPr>
              <w:spacing w:before="85" w:line="288" w:lineRule="auto"/>
              <w:jc w:val="center"/>
              <w:rPr>
                <w:sz w:val="18"/>
                <w:szCs w:val="18"/>
              </w:rPr>
            </w:pPr>
            <w:r w:rsidRPr="00CF3E3D">
              <w:rPr>
                <w:sz w:val="18"/>
                <w:szCs w:val="18"/>
              </w:rPr>
              <w:t>90.6 (89.4, 91.7)</w:t>
            </w:r>
          </w:p>
        </w:tc>
      </w:tr>
      <w:tr w:rsidR="004E45CF" w:rsidRPr="00CF3E3D" w14:paraId="7FE283F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1B87A0D" w14:textId="77777777" w:rsidR="004E45CF" w:rsidRPr="001E400B" w:rsidRDefault="004E45CF" w:rsidP="00906343">
            <w:pPr>
              <w:spacing w:before="85" w:line="288" w:lineRule="auto"/>
              <w:rPr>
                <w:b/>
                <w:bCs/>
                <w:sz w:val="18"/>
                <w:szCs w:val="18"/>
              </w:rPr>
            </w:pPr>
            <w:r w:rsidRPr="001E400B">
              <w:rPr>
                <w:b/>
                <w:bCs/>
                <w:sz w:val="18"/>
                <w:szCs w:val="18"/>
                <w:lang w:eastAsia="en-AU"/>
              </w:rPr>
              <w:t>Deakin University</w:t>
            </w:r>
          </w:p>
        </w:tc>
        <w:tc>
          <w:tcPr>
            <w:cnfStyle w:val="000001000000" w:firstRow="0" w:lastRow="0" w:firstColumn="0" w:lastColumn="0" w:oddVBand="0" w:evenVBand="1" w:oddHBand="0" w:evenHBand="0" w:firstRowFirstColumn="0" w:firstRowLastColumn="0" w:lastRowFirstColumn="0" w:lastRowLastColumn="0"/>
            <w:tcW w:w="709" w:type="pct"/>
          </w:tcPr>
          <w:p w14:paraId="4D2F3AE2" w14:textId="77777777" w:rsidR="004E45CF" w:rsidRPr="00CF3E3D" w:rsidRDefault="004E45CF" w:rsidP="007007AC">
            <w:pPr>
              <w:spacing w:before="85" w:line="288" w:lineRule="auto"/>
              <w:jc w:val="center"/>
              <w:rPr>
                <w:sz w:val="18"/>
                <w:szCs w:val="18"/>
              </w:rPr>
            </w:pPr>
            <w:r w:rsidRPr="00CF3E3D">
              <w:rPr>
                <w:sz w:val="18"/>
                <w:szCs w:val="18"/>
              </w:rPr>
              <w:t>67.7 (65.9, 69.3)</w:t>
            </w:r>
          </w:p>
        </w:tc>
        <w:tc>
          <w:tcPr>
            <w:cnfStyle w:val="000010000000" w:firstRow="0" w:lastRow="0" w:firstColumn="0" w:lastColumn="0" w:oddVBand="1" w:evenVBand="0" w:oddHBand="0" w:evenHBand="0" w:firstRowFirstColumn="0" w:firstRowLastColumn="0" w:lastRowFirstColumn="0" w:lastRowLastColumn="0"/>
            <w:tcW w:w="755" w:type="pct"/>
          </w:tcPr>
          <w:p w14:paraId="27F2DB2D" w14:textId="77777777" w:rsidR="004E45CF" w:rsidRPr="00CF3E3D" w:rsidRDefault="004E45CF" w:rsidP="007007AC">
            <w:pPr>
              <w:spacing w:before="85" w:line="288" w:lineRule="auto"/>
              <w:jc w:val="center"/>
              <w:rPr>
                <w:sz w:val="18"/>
                <w:szCs w:val="18"/>
              </w:rPr>
            </w:pPr>
            <w:r w:rsidRPr="00CF3E3D">
              <w:rPr>
                <w:sz w:val="18"/>
                <w:szCs w:val="18"/>
              </w:rPr>
              <w:t>79.7 (78.4, 81.0)</w:t>
            </w:r>
          </w:p>
        </w:tc>
        <w:tc>
          <w:tcPr>
            <w:cnfStyle w:val="000001000000" w:firstRow="0" w:lastRow="0" w:firstColumn="0" w:lastColumn="0" w:oddVBand="0" w:evenVBand="1" w:oddHBand="0" w:evenHBand="0" w:firstRowFirstColumn="0" w:firstRowLastColumn="0" w:lastRowFirstColumn="0" w:lastRowLastColumn="0"/>
            <w:tcW w:w="755" w:type="pct"/>
          </w:tcPr>
          <w:p w14:paraId="2ACF167B" w14:textId="77777777" w:rsidR="004E45CF" w:rsidRPr="00CF3E3D" w:rsidRDefault="004E45CF" w:rsidP="007007AC">
            <w:pPr>
              <w:spacing w:before="85" w:line="288" w:lineRule="auto"/>
              <w:jc w:val="center"/>
              <w:rPr>
                <w:sz w:val="18"/>
                <w:szCs w:val="18"/>
              </w:rPr>
            </w:pPr>
            <w:r w:rsidRPr="00CF3E3D">
              <w:rPr>
                <w:sz w:val="18"/>
                <w:szCs w:val="18"/>
              </w:rPr>
              <w:t>86.0 (84.9, 87.0)</w:t>
            </w:r>
          </w:p>
        </w:tc>
        <w:tc>
          <w:tcPr>
            <w:cnfStyle w:val="000010000000" w:firstRow="0" w:lastRow="0" w:firstColumn="0" w:lastColumn="0" w:oddVBand="1" w:evenVBand="0" w:oddHBand="0" w:evenHBand="0" w:firstRowFirstColumn="0" w:firstRowLastColumn="0" w:lastRowFirstColumn="0" w:lastRowLastColumn="0"/>
            <w:tcW w:w="755" w:type="pct"/>
          </w:tcPr>
          <w:p w14:paraId="659E2AF2" w14:textId="77777777" w:rsidR="004E45CF" w:rsidRPr="00CF3E3D" w:rsidRDefault="004E45CF" w:rsidP="007007AC">
            <w:pPr>
              <w:spacing w:before="85" w:line="288" w:lineRule="auto"/>
              <w:jc w:val="center"/>
              <w:rPr>
                <w:sz w:val="18"/>
                <w:szCs w:val="18"/>
              </w:rPr>
            </w:pPr>
            <w:r w:rsidRPr="00CF3E3D">
              <w:rPr>
                <w:sz w:val="18"/>
                <w:szCs w:val="18"/>
              </w:rPr>
              <w:t>90.8 (90.0, 91.5)</w:t>
            </w:r>
          </w:p>
        </w:tc>
      </w:tr>
      <w:tr w:rsidR="004E45CF" w:rsidRPr="00CF3E3D" w14:paraId="60C7943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FECA252" w14:textId="77777777" w:rsidR="004E45CF" w:rsidRPr="001E400B" w:rsidRDefault="004E45CF" w:rsidP="00906343">
            <w:pPr>
              <w:spacing w:before="85" w:line="288" w:lineRule="auto"/>
              <w:rPr>
                <w:b/>
                <w:bCs/>
                <w:sz w:val="18"/>
                <w:szCs w:val="18"/>
              </w:rPr>
            </w:pPr>
            <w:r w:rsidRPr="001E400B">
              <w:rPr>
                <w:b/>
                <w:bCs/>
                <w:sz w:val="18"/>
                <w:szCs w:val="18"/>
                <w:lang w:eastAsia="en-AU"/>
              </w:rPr>
              <w:t>Edith Cowan University</w:t>
            </w:r>
          </w:p>
        </w:tc>
        <w:tc>
          <w:tcPr>
            <w:cnfStyle w:val="000001000000" w:firstRow="0" w:lastRow="0" w:firstColumn="0" w:lastColumn="0" w:oddVBand="0" w:evenVBand="1" w:oddHBand="0" w:evenHBand="0" w:firstRowFirstColumn="0" w:firstRowLastColumn="0" w:lastRowFirstColumn="0" w:lastRowLastColumn="0"/>
            <w:tcW w:w="709" w:type="pct"/>
          </w:tcPr>
          <w:p w14:paraId="241C01AD" w14:textId="77777777" w:rsidR="004E45CF" w:rsidRPr="00CF3E3D" w:rsidRDefault="004E45CF" w:rsidP="007007AC">
            <w:pPr>
              <w:spacing w:before="85" w:line="288" w:lineRule="auto"/>
              <w:jc w:val="center"/>
              <w:rPr>
                <w:sz w:val="18"/>
                <w:szCs w:val="18"/>
              </w:rPr>
            </w:pPr>
            <w:r w:rsidRPr="00CF3E3D">
              <w:rPr>
                <w:sz w:val="18"/>
                <w:szCs w:val="18"/>
              </w:rPr>
              <w:t>62.6 (60.0, 65.1)</w:t>
            </w:r>
          </w:p>
        </w:tc>
        <w:tc>
          <w:tcPr>
            <w:cnfStyle w:val="000010000000" w:firstRow="0" w:lastRow="0" w:firstColumn="0" w:lastColumn="0" w:oddVBand="1" w:evenVBand="0" w:oddHBand="0" w:evenHBand="0" w:firstRowFirstColumn="0" w:firstRowLastColumn="0" w:lastRowFirstColumn="0" w:lastRowLastColumn="0"/>
            <w:tcW w:w="755" w:type="pct"/>
          </w:tcPr>
          <w:p w14:paraId="6179142D" w14:textId="77777777" w:rsidR="004E45CF" w:rsidRPr="00CF3E3D" w:rsidRDefault="004E45CF" w:rsidP="007007AC">
            <w:pPr>
              <w:spacing w:before="85" w:line="288" w:lineRule="auto"/>
              <w:jc w:val="center"/>
              <w:rPr>
                <w:sz w:val="18"/>
                <w:szCs w:val="18"/>
              </w:rPr>
            </w:pPr>
            <w:r w:rsidRPr="00CF3E3D">
              <w:rPr>
                <w:sz w:val="18"/>
                <w:szCs w:val="18"/>
              </w:rPr>
              <w:t>75.7 (73.5, 77.8)</w:t>
            </w:r>
          </w:p>
        </w:tc>
        <w:tc>
          <w:tcPr>
            <w:cnfStyle w:val="000001000000" w:firstRow="0" w:lastRow="0" w:firstColumn="0" w:lastColumn="0" w:oddVBand="0" w:evenVBand="1" w:oddHBand="0" w:evenHBand="0" w:firstRowFirstColumn="0" w:firstRowLastColumn="0" w:lastRowFirstColumn="0" w:lastRowLastColumn="0"/>
            <w:tcW w:w="755" w:type="pct"/>
          </w:tcPr>
          <w:p w14:paraId="7D07E360" w14:textId="77777777" w:rsidR="004E45CF" w:rsidRPr="00CF3E3D" w:rsidRDefault="004E45CF" w:rsidP="007007AC">
            <w:pPr>
              <w:spacing w:before="85" w:line="288" w:lineRule="auto"/>
              <w:jc w:val="center"/>
              <w:rPr>
                <w:sz w:val="18"/>
                <w:szCs w:val="18"/>
              </w:rPr>
            </w:pPr>
            <w:r w:rsidRPr="00CF3E3D">
              <w:rPr>
                <w:sz w:val="18"/>
                <w:szCs w:val="18"/>
              </w:rPr>
              <w:t>82.8 (81.1, 84.4)</w:t>
            </w:r>
          </w:p>
        </w:tc>
        <w:tc>
          <w:tcPr>
            <w:cnfStyle w:val="000010000000" w:firstRow="0" w:lastRow="0" w:firstColumn="0" w:lastColumn="0" w:oddVBand="1" w:evenVBand="0" w:oddHBand="0" w:evenHBand="0" w:firstRowFirstColumn="0" w:firstRowLastColumn="0" w:lastRowFirstColumn="0" w:lastRowLastColumn="0"/>
            <w:tcW w:w="755" w:type="pct"/>
          </w:tcPr>
          <w:p w14:paraId="32AAE2B2" w14:textId="77777777" w:rsidR="004E45CF" w:rsidRPr="00CF3E3D" w:rsidRDefault="004E45CF" w:rsidP="007007AC">
            <w:pPr>
              <w:spacing w:before="85" w:line="288" w:lineRule="auto"/>
              <w:jc w:val="center"/>
              <w:rPr>
                <w:sz w:val="18"/>
                <w:szCs w:val="18"/>
              </w:rPr>
            </w:pPr>
            <w:r w:rsidRPr="00CF3E3D">
              <w:rPr>
                <w:sz w:val="18"/>
                <w:szCs w:val="18"/>
              </w:rPr>
              <w:t>88.0 (86.7, 89.2)</w:t>
            </w:r>
          </w:p>
        </w:tc>
      </w:tr>
      <w:tr w:rsidR="004E45CF" w:rsidRPr="00CF3E3D" w14:paraId="27746B8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38DDBBE" w14:textId="77777777" w:rsidR="004E45CF" w:rsidRPr="001E400B" w:rsidRDefault="004E45CF" w:rsidP="00906343">
            <w:pPr>
              <w:spacing w:before="85" w:line="288" w:lineRule="auto"/>
              <w:rPr>
                <w:b/>
                <w:bCs/>
                <w:sz w:val="18"/>
                <w:szCs w:val="18"/>
              </w:rPr>
            </w:pPr>
            <w:r w:rsidRPr="001E400B">
              <w:rPr>
                <w:b/>
                <w:bCs/>
                <w:sz w:val="18"/>
                <w:szCs w:val="18"/>
                <w:lang w:eastAsia="en-AU"/>
              </w:rPr>
              <w:t>Federation University Australia</w:t>
            </w:r>
          </w:p>
        </w:tc>
        <w:tc>
          <w:tcPr>
            <w:cnfStyle w:val="000001000000" w:firstRow="0" w:lastRow="0" w:firstColumn="0" w:lastColumn="0" w:oddVBand="0" w:evenVBand="1" w:oddHBand="0" w:evenHBand="0" w:firstRowFirstColumn="0" w:firstRowLastColumn="0" w:lastRowFirstColumn="0" w:lastRowLastColumn="0"/>
            <w:tcW w:w="709" w:type="pct"/>
          </w:tcPr>
          <w:p w14:paraId="5433F917" w14:textId="77777777" w:rsidR="004E45CF" w:rsidRPr="00CF3E3D" w:rsidRDefault="004E45CF" w:rsidP="007007AC">
            <w:pPr>
              <w:spacing w:before="85" w:line="288" w:lineRule="auto"/>
              <w:jc w:val="center"/>
              <w:rPr>
                <w:sz w:val="18"/>
                <w:szCs w:val="18"/>
              </w:rPr>
            </w:pPr>
            <w:r w:rsidRPr="00CF3E3D">
              <w:rPr>
                <w:sz w:val="18"/>
                <w:szCs w:val="18"/>
              </w:rPr>
              <w:t>70.6 (66.4, 74.3)</w:t>
            </w:r>
          </w:p>
        </w:tc>
        <w:tc>
          <w:tcPr>
            <w:cnfStyle w:val="000010000000" w:firstRow="0" w:lastRow="0" w:firstColumn="0" w:lastColumn="0" w:oddVBand="1" w:evenVBand="0" w:oddHBand="0" w:evenHBand="0" w:firstRowFirstColumn="0" w:firstRowLastColumn="0" w:lastRowFirstColumn="0" w:lastRowLastColumn="0"/>
            <w:tcW w:w="755" w:type="pct"/>
          </w:tcPr>
          <w:p w14:paraId="68E7C4DD" w14:textId="77777777" w:rsidR="004E45CF" w:rsidRPr="00CF3E3D" w:rsidRDefault="004E45CF" w:rsidP="007007AC">
            <w:pPr>
              <w:spacing w:before="85" w:line="288" w:lineRule="auto"/>
              <w:jc w:val="center"/>
              <w:rPr>
                <w:sz w:val="18"/>
                <w:szCs w:val="18"/>
              </w:rPr>
            </w:pPr>
            <w:r w:rsidRPr="00CF3E3D">
              <w:rPr>
                <w:sz w:val="18"/>
                <w:szCs w:val="18"/>
              </w:rPr>
              <w:t>80.3 (76.7, 83.3)</w:t>
            </w:r>
          </w:p>
        </w:tc>
        <w:tc>
          <w:tcPr>
            <w:cnfStyle w:val="000001000000" w:firstRow="0" w:lastRow="0" w:firstColumn="0" w:lastColumn="0" w:oddVBand="0" w:evenVBand="1" w:oddHBand="0" w:evenHBand="0" w:firstRowFirstColumn="0" w:firstRowLastColumn="0" w:lastRowFirstColumn="0" w:lastRowLastColumn="0"/>
            <w:tcW w:w="755" w:type="pct"/>
          </w:tcPr>
          <w:p w14:paraId="1E784680" w14:textId="77777777" w:rsidR="004E45CF" w:rsidRPr="00CF3E3D" w:rsidRDefault="004E45CF" w:rsidP="007007AC">
            <w:pPr>
              <w:spacing w:before="85" w:line="288" w:lineRule="auto"/>
              <w:jc w:val="center"/>
              <w:rPr>
                <w:sz w:val="18"/>
                <w:szCs w:val="18"/>
              </w:rPr>
            </w:pPr>
            <w:r w:rsidRPr="00CF3E3D">
              <w:rPr>
                <w:sz w:val="18"/>
                <w:szCs w:val="18"/>
              </w:rPr>
              <w:t>88.5 (86.2, 90.3)</w:t>
            </w:r>
          </w:p>
        </w:tc>
        <w:tc>
          <w:tcPr>
            <w:cnfStyle w:val="000010000000" w:firstRow="0" w:lastRow="0" w:firstColumn="0" w:lastColumn="0" w:oddVBand="1" w:evenVBand="0" w:oddHBand="0" w:evenHBand="0" w:firstRowFirstColumn="0" w:firstRowLastColumn="0" w:lastRowFirstColumn="0" w:lastRowLastColumn="0"/>
            <w:tcW w:w="755" w:type="pct"/>
          </w:tcPr>
          <w:p w14:paraId="07356BC7" w14:textId="77777777" w:rsidR="004E45CF" w:rsidRPr="00CF3E3D" w:rsidRDefault="004E45CF" w:rsidP="007007AC">
            <w:pPr>
              <w:spacing w:before="85" w:line="288" w:lineRule="auto"/>
              <w:jc w:val="center"/>
              <w:rPr>
                <w:sz w:val="18"/>
                <w:szCs w:val="18"/>
              </w:rPr>
            </w:pPr>
            <w:r w:rsidRPr="00CF3E3D">
              <w:rPr>
                <w:sz w:val="18"/>
                <w:szCs w:val="18"/>
              </w:rPr>
              <w:t>90.5 (88.5, 92.1)</w:t>
            </w:r>
          </w:p>
        </w:tc>
      </w:tr>
      <w:tr w:rsidR="004E45CF" w:rsidRPr="00CF3E3D" w14:paraId="33B85D5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84D5F9A" w14:textId="77777777" w:rsidR="004E45CF" w:rsidRPr="001E400B" w:rsidRDefault="004E45CF" w:rsidP="00906343">
            <w:pPr>
              <w:spacing w:before="85" w:line="288" w:lineRule="auto"/>
              <w:rPr>
                <w:b/>
                <w:bCs/>
                <w:sz w:val="18"/>
                <w:szCs w:val="18"/>
              </w:rPr>
            </w:pPr>
            <w:r w:rsidRPr="001E400B">
              <w:rPr>
                <w:b/>
                <w:bCs/>
                <w:sz w:val="18"/>
                <w:szCs w:val="18"/>
                <w:lang w:eastAsia="en-AU"/>
              </w:rPr>
              <w:t>Flinders University</w:t>
            </w:r>
          </w:p>
        </w:tc>
        <w:tc>
          <w:tcPr>
            <w:cnfStyle w:val="000001000000" w:firstRow="0" w:lastRow="0" w:firstColumn="0" w:lastColumn="0" w:oddVBand="0" w:evenVBand="1" w:oddHBand="0" w:evenHBand="0" w:firstRowFirstColumn="0" w:firstRowLastColumn="0" w:lastRowFirstColumn="0" w:lastRowLastColumn="0"/>
            <w:tcW w:w="709" w:type="pct"/>
          </w:tcPr>
          <w:p w14:paraId="0B5956B6" w14:textId="77777777" w:rsidR="004E45CF" w:rsidRPr="00CF3E3D" w:rsidRDefault="004E45CF" w:rsidP="007007AC">
            <w:pPr>
              <w:spacing w:before="85" w:line="288" w:lineRule="auto"/>
              <w:jc w:val="center"/>
              <w:rPr>
                <w:sz w:val="18"/>
                <w:szCs w:val="18"/>
              </w:rPr>
            </w:pPr>
            <w:r w:rsidRPr="00CF3E3D">
              <w:rPr>
                <w:sz w:val="18"/>
                <w:szCs w:val="18"/>
              </w:rPr>
              <w:t>66.3 (63.6, 68.9)</w:t>
            </w:r>
          </w:p>
        </w:tc>
        <w:tc>
          <w:tcPr>
            <w:cnfStyle w:val="000010000000" w:firstRow="0" w:lastRow="0" w:firstColumn="0" w:lastColumn="0" w:oddVBand="1" w:evenVBand="0" w:oddHBand="0" w:evenHBand="0" w:firstRowFirstColumn="0" w:firstRowLastColumn="0" w:lastRowFirstColumn="0" w:lastRowLastColumn="0"/>
            <w:tcW w:w="755" w:type="pct"/>
          </w:tcPr>
          <w:p w14:paraId="7D604DB1" w14:textId="77777777" w:rsidR="004E45CF" w:rsidRPr="00CF3E3D" w:rsidRDefault="004E45CF" w:rsidP="007007AC">
            <w:pPr>
              <w:spacing w:before="85" w:line="288" w:lineRule="auto"/>
              <w:jc w:val="center"/>
              <w:rPr>
                <w:sz w:val="18"/>
                <w:szCs w:val="18"/>
              </w:rPr>
            </w:pPr>
            <w:r w:rsidRPr="00CF3E3D">
              <w:rPr>
                <w:sz w:val="18"/>
                <w:szCs w:val="18"/>
              </w:rPr>
              <w:t>76.2 (73.7, 78.4)</w:t>
            </w:r>
          </w:p>
        </w:tc>
        <w:tc>
          <w:tcPr>
            <w:cnfStyle w:val="000001000000" w:firstRow="0" w:lastRow="0" w:firstColumn="0" w:lastColumn="0" w:oddVBand="0" w:evenVBand="1" w:oddHBand="0" w:evenHBand="0" w:firstRowFirstColumn="0" w:firstRowLastColumn="0" w:lastRowFirstColumn="0" w:lastRowLastColumn="0"/>
            <w:tcW w:w="755" w:type="pct"/>
          </w:tcPr>
          <w:p w14:paraId="72918DBD" w14:textId="77777777" w:rsidR="004E45CF" w:rsidRPr="00CF3E3D" w:rsidRDefault="004E45CF" w:rsidP="007007AC">
            <w:pPr>
              <w:spacing w:before="85" w:line="288" w:lineRule="auto"/>
              <w:jc w:val="center"/>
              <w:rPr>
                <w:sz w:val="18"/>
                <w:szCs w:val="18"/>
              </w:rPr>
            </w:pPr>
            <w:r w:rsidRPr="00CF3E3D">
              <w:rPr>
                <w:sz w:val="18"/>
                <w:szCs w:val="18"/>
              </w:rPr>
              <w:t>83.0 (81.3, 84.5)</w:t>
            </w:r>
          </w:p>
        </w:tc>
        <w:tc>
          <w:tcPr>
            <w:cnfStyle w:val="000010000000" w:firstRow="0" w:lastRow="0" w:firstColumn="0" w:lastColumn="0" w:oddVBand="1" w:evenVBand="0" w:oddHBand="0" w:evenHBand="0" w:firstRowFirstColumn="0" w:firstRowLastColumn="0" w:lastRowFirstColumn="0" w:lastRowLastColumn="0"/>
            <w:tcW w:w="755" w:type="pct"/>
          </w:tcPr>
          <w:p w14:paraId="54F7710A" w14:textId="77777777" w:rsidR="004E45CF" w:rsidRPr="00CF3E3D" w:rsidRDefault="004E45CF" w:rsidP="007007AC">
            <w:pPr>
              <w:spacing w:before="85" w:line="288" w:lineRule="auto"/>
              <w:jc w:val="center"/>
              <w:rPr>
                <w:sz w:val="18"/>
                <w:szCs w:val="18"/>
              </w:rPr>
            </w:pPr>
            <w:r w:rsidRPr="00CF3E3D">
              <w:rPr>
                <w:sz w:val="18"/>
                <w:szCs w:val="18"/>
              </w:rPr>
              <w:t>88.4 (87.1, 89.5)</w:t>
            </w:r>
          </w:p>
        </w:tc>
      </w:tr>
      <w:tr w:rsidR="004E45CF" w:rsidRPr="00CF3E3D" w14:paraId="0D13A71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2E15168" w14:textId="77777777" w:rsidR="004E45CF" w:rsidRPr="001E400B" w:rsidRDefault="004E45CF" w:rsidP="00906343">
            <w:pPr>
              <w:spacing w:before="85" w:line="288" w:lineRule="auto"/>
              <w:rPr>
                <w:b/>
                <w:bCs/>
                <w:sz w:val="18"/>
                <w:szCs w:val="18"/>
              </w:rPr>
            </w:pPr>
            <w:r w:rsidRPr="001E400B">
              <w:rPr>
                <w:b/>
                <w:bCs/>
                <w:sz w:val="18"/>
                <w:szCs w:val="18"/>
                <w:lang w:eastAsia="en-AU"/>
              </w:rPr>
              <w:t>Griffith University</w:t>
            </w:r>
          </w:p>
        </w:tc>
        <w:tc>
          <w:tcPr>
            <w:cnfStyle w:val="000001000000" w:firstRow="0" w:lastRow="0" w:firstColumn="0" w:lastColumn="0" w:oddVBand="0" w:evenVBand="1" w:oddHBand="0" w:evenHBand="0" w:firstRowFirstColumn="0" w:firstRowLastColumn="0" w:lastRowFirstColumn="0" w:lastRowLastColumn="0"/>
            <w:tcW w:w="709" w:type="pct"/>
          </w:tcPr>
          <w:p w14:paraId="58FCE037" w14:textId="77777777" w:rsidR="004E45CF" w:rsidRPr="00CF3E3D" w:rsidRDefault="004E45CF" w:rsidP="007007AC">
            <w:pPr>
              <w:spacing w:before="85" w:line="288" w:lineRule="auto"/>
              <w:jc w:val="center"/>
              <w:rPr>
                <w:sz w:val="18"/>
                <w:szCs w:val="18"/>
              </w:rPr>
            </w:pPr>
            <w:r w:rsidRPr="00CF3E3D">
              <w:rPr>
                <w:sz w:val="18"/>
                <w:szCs w:val="18"/>
              </w:rPr>
              <w:t>59.2 (57.0, 61.3)</w:t>
            </w:r>
          </w:p>
        </w:tc>
        <w:tc>
          <w:tcPr>
            <w:cnfStyle w:val="000010000000" w:firstRow="0" w:lastRow="0" w:firstColumn="0" w:lastColumn="0" w:oddVBand="1" w:evenVBand="0" w:oddHBand="0" w:evenHBand="0" w:firstRowFirstColumn="0" w:firstRowLastColumn="0" w:lastRowFirstColumn="0" w:lastRowLastColumn="0"/>
            <w:tcW w:w="755" w:type="pct"/>
          </w:tcPr>
          <w:p w14:paraId="78328B39" w14:textId="77777777" w:rsidR="004E45CF" w:rsidRPr="00CF3E3D" w:rsidRDefault="004E45CF" w:rsidP="007007AC">
            <w:pPr>
              <w:spacing w:before="85" w:line="288" w:lineRule="auto"/>
              <w:jc w:val="center"/>
              <w:rPr>
                <w:sz w:val="18"/>
                <w:szCs w:val="18"/>
              </w:rPr>
            </w:pPr>
            <w:r w:rsidRPr="00CF3E3D">
              <w:rPr>
                <w:sz w:val="18"/>
                <w:szCs w:val="18"/>
              </w:rPr>
              <w:t>72.5 (70.6, 74.3)</w:t>
            </w:r>
          </w:p>
        </w:tc>
        <w:tc>
          <w:tcPr>
            <w:cnfStyle w:val="000001000000" w:firstRow="0" w:lastRow="0" w:firstColumn="0" w:lastColumn="0" w:oddVBand="0" w:evenVBand="1" w:oddHBand="0" w:evenHBand="0" w:firstRowFirstColumn="0" w:firstRowLastColumn="0" w:lastRowFirstColumn="0" w:lastRowLastColumn="0"/>
            <w:tcW w:w="755" w:type="pct"/>
          </w:tcPr>
          <w:p w14:paraId="46140377" w14:textId="77777777" w:rsidR="004E45CF" w:rsidRPr="00CF3E3D" w:rsidRDefault="004E45CF" w:rsidP="007007AC">
            <w:pPr>
              <w:spacing w:before="85" w:line="288" w:lineRule="auto"/>
              <w:jc w:val="center"/>
              <w:rPr>
                <w:sz w:val="18"/>
                <w:szCs w:val="18"/>
              </w:rPr>
            </w:pPr>
            <w:r w:rsidRPr="00CF3E3D">
              <w:rPr>
                <w:sz w:val="18"/>
                <w:szCs w:val="18"/>
              </w:rPr>
              <w:t>81.4 (79.9, 82.8)</w:t>
            </w:r>
          </w:p>
        </w:tc>
        <w:tc>
          <w:tcPr>
            <w:cnfStyle w:val="000010000000" w:firstRow="0" w:lastRow="0" w:firstColumn="0" w:lastColumn="0" w:oddVBand="1" w:evenVBand="0" w:oddHBand="0" w:evenHBand="0" w:firstRowFirstColumn="0" w:firstRowLastColumn="0" w:lastRowFirstColumn="0" w:lastRowLastColumn="0"/>
            <w:tcW w:w="755" w:type="pct"/>
          </w:tcPr>
          <w:p w14:paraId="08D5CC84" w14:textId="77777777" w:rsidR="004E45CF" w:rsidRPr="00CF3E3D" w:rsidRDefault="004E45CF" w:rsidP="007007AC">
            <w:pPr>
              <w:spacing w:before="85" w:line="288" w:lineRule="auto"/>
              <w:jc w:val="center"/>
              <w:rPr>
                <w:sz w:val="18"/>
                <w:szCs w:val="18"/>
              </w:rPr>
            </w:pPr>
            <w:r w:rsidRPr="00CF3E3D">
              <w:rPr>
                <w:sz w:val="18"/>
                <w:szCs w:val="18"/>
              </w:rPr>
              <w:t>85.6 (84.3, 86.7)</w:t>
            </w:r>
          </w:p>
        </w:tc>
      </w:tr>
      <w:tr w:rsidR="004E45CF" w:rsidRPr="00CF3E3D" w14:paraId="2DDD124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5FDED9B" w14:textId="77777777" w:rsidR="004E45CF" w:rsidRPr="001E400B" w:rsidRDefault="004E45CF" w:rsidP="00906343">
            <w:pPr>
              <w:spacing w:before="85" w:line="288" w:lineRule="auto"/>
              <w:rPr>
                <w:b/>
                <w:bCs/>
                <w:sz w:val="18"/>
                <w:szCs w:val="18"/>
              </w:rPr>
            </w:pPr>
            <w:r w:rsidRPr="001E400B">
              <w:rPr>
                <w:b/>
                <w:bCs/>
                <w:sz w:val="18"/>
                <w:szCs w:val="18"/>
                <w:lang w:eastAsia="en-AU"/>
              </w:rPr>
              <w:lastRenderedPageBreak/>
              <w:t>James Cook University</w:t>
            </w:r>
          </w:p>
        </w:tc>
        <w:tc>
          <w:tcPr>
            <w:cnfStyle w:val="000001000000" w:firstRow="0" w:lastRow="0" w:firstColumn="0" w:lastColumn="0" w:oddVBand="0" w:evenVBand="1" w:oddHBand="0" w:evenHBand="0" w:firstRowFirstColumn="0" w:firstRowLastColumn="0" w:lastRowFirstColumn="0" w:lastRowLastColumn="0"/>
            <w:tcW w:w="709" w:type="pct"/>
          </w:tcPr>
          <w:p w14:paraId="39911B64" w14:textId="77777777" w:rsidR="004E45CF" w:rsidRPr="00CF3E3D" w:rsidRDefault="004E45CF" w:rsidP="007007AC">
            <w:pPr>
              <w:spacing w:before="85" w:line="288" w:lineRule="auto"/>
              <w:jc w:val="center"/>
              <w:rPr>
                <w:sz w:val="18"/>
                <w:szCs w:val="18"/>
              </w:rPr>
            </w:pPr>
            <w:r w:rsidRPr="00CF3E3D">
              <w:rPr>
                <w:sz w:val="18"/>
                <w:szCs w:val="18"/>
              </w:rPr>
              <w:t>78.0 (75.3, 80.3)</w:t>
            </w:r>
          </w:p>
        </w:tc>
        <w:tc>
          <w:tcPr>
            <w:cnfStyle w:val="000010000000" w:firstRow="0" w:lastRow="0" w:firstColumn="0" w:lastColumn="0" w:oddVBand="1" w:evenVBand="0" w:oddHBand="0" w:evenHBand="0" w:firstRowFirstColumn="0" w:firstRowLastColumn="0" w:lastRowFirstColumn="0" w:lastRowLastColumn="0"/>
            <w:tcW w:w="755" w:type="pct"/>
          </w:tcPr>
          <w:p w14:paraId="0ED49B21" w14:textId="77777777" w:rsidR="004E45CF" w:rsidRPr="00CF3E3D" w:rsidRDefault="004E45CF" w:rsidP="007007AC">
            <w:pPr>
              <w:spacing w:before="85" w:line="288" w:lineRule="auto"/>
              <w:jc w:val="center"/>
              <w:rPr>
                <w:sz w:val="18"/>
                <w:szCs w:val="18"/>
              </w:rPr>
            </w:pPr>
            <w:r w:rsidRPr="00CF3E3D">
              <w:rPr>
                <w:sz w:val="18"/>
                <w:szCs w:val="18"/>
              </w:rPr>
              <w:t>82.1 (79.5, 84.4)</w:t>
            </w:r>
          </w:p>
        </w:tc>
        <w:tc>
          <w:tcPr>
            <w:cnfStyle w:val="000001000000" w:firstRow="0" w:lastRow="0" w:firstColumn="0" w:lastColumn="0" w:oddVBand="0" w:evenVBand="1" w:oddHBand="0" w:evenHBand="0" w:firstRowFirstColumn="0" w:firstRowLastColumn="0" w:lastRowFirstColumn="0" w:lastRowLastColumn="0"/>
            <w:tcW w:w="755" w:type="pct"/>
          </w:tcPr>
          <w:p w14:paraId="0D5005A0" w14:textId="77777777" w:rsidR="004E45CF" w:rsidRPr="00CF3E3D" w:rsidRDefault="004E45CF" w:rsidP="007007AC">
            <w:pPr>
              <w:spacing w:before="85" w:line="288" w:lineRule="auto"/>
              <w:jc w:val="center"/>
              <w:rPr>
                <w:sz w:val="18"/>
                <w:szCs w:val="18"/>
              </w:rPr>
            </w:pPr>
            <w:r w:rsidRPr="00CF3E3D">
              <w:rPr>
                <w:sz w:val="18"/>
                <w:szCs w:val="18"/>
              </w:rPr>
              <w:t>87.5 (85.7, 89.0)</w:t>
            </w:r>
          </w:p>
        </w:tc>
        <w:tc>
          <w:tcPr>
            <w:cnfStyle w:val="000010000000" w:firstRow="0" w:lastRow="0" w:firstColumn="0" w:lastColumn="0" w:oddVBand="1" w:evenVBand="0" w:oddHBand="0" w:evenHBand="0" w:firstRowFirstColumn="0" w:firstRowLastColumn="0" w:lastRowFirstColumn="0" w:lastRowLastColumn="0"/>
            <w:tcW w:w="755" w:type="pct"/>
          </w:tcPr>
          <w:p w14:paraId="51F48D49" w14:textId="77777777" w:rsidR="004E45CF" w:rsidRPr="00CF3E3D" w:rsidRDefault="004E45CF" w:rsidP="007007AC">
            <w:pPr>
              <w:spacing w:before="85" w:line="288" w:lineRule="auto"/>
              <w:jc w:val="center"/>
              <w:rPr>
                <w:sz w:val="18"/>
                <w:szCs w:val="18"/>
              </w:rPr>
            </w:pPr>
            <w:r w:rsidRPr="00CF3E3D">
              <w:rPr>
                <w:sz w:val="18"/>
                <w:szCs w:val="18"/>
              </w:rPr>
              <w:t>89.9 (88.1, 91.3)</w:t>
            </w:r>
          </w:p>
        </w:tc>
      </w:tr>
      <w:tr w:rsidR="004E45CF" w:rsidRPr="00CF3E3D" w14:paraId="75107AF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512B85C" w14:textId="77777777" w:rsidR="004E45CF" w:rsidRPr="001E400B" w:rsidRDefault="004E45CF" w:rsidP="00906343">
            <w:pPr>
              <w:spacing w:before="85" w:line="288" w:lineRule="auto"/>
              <w:rPr>
                <w:b/>
                <w:bCs/>
                <w:sz w:val="18"/>
                <w:szCs w:val="18"/>
              </w:rPr>
            </w:pPr>
            <w:r w:rsidRPr="001E400B">
              <w:rPr>
                <w:b/>
                <w:bCs/>
                <w:sz w:val="18"/>
                <w:szCs w:val="18"/>
                <w:lang w:eastAsia="en-AU"/>
              </w:rPr>
              <w:t>La Trobe University</w:t>
            </w:r>
          </w:p>
        </w:tc>
        <w:tc>
          <w:tcPr>
            <w:cnfStyle w:val="000001000000" w:firstRow="0" w:lastRow="0" w:firstColumn="0" w:lastColumn="0" w:oddVBand="0" w:evenVBand="1" w:oddHBand="0" w:evenHBand="0" w:firstRowFirstColumn="0" w:firstRowLastColumn="0" w:lastRowFirstColumn="0" w:lastRowLastColumn="0"/>
            <w:tcW w:w="709" w:type="pct"/>
          </w:tcPr>
          <w:p w14:paraId="0A376C5B" w14:textId="77777777" w:rsidR="004E45CF" w:rsidRPr="00CF3E3D" w:rsidRDefault="004E45CF" w:rsidP="007007AC">
            <w:pPr>
              <w:spacing w:before="85" w:line="288" w:lineRule="auto"/>
              <w:jc w:val="center"/>
              <w:rPr>
                <w:sz w:val="18"/>
                <w:szCs w:val="18"/>
              </w:rPr>
            </w:pPr>
            <w:r w:rsidRPr="00CF3E3D">
              <w:rPr>
                <w:sz w:val="18"/>
                <w:szCs w:val="18"/>
              </w:rPr>
              <w:t>70.1 (67.9, 72.3)</w:t>
            </w:r>
          </w:p>
        </w:tc>
        <w:tc>
          <w:tcPr>
            <w:cnfStyle w:val="000010000000" w:firstRow="0" w:lastRow="0" w:firstColumn="0" w:lastColumn="0" w:oddVBand="1" w:evenVBand="0" w:oddHBand="0" w:evenHBand="0" w:firstRowFirstColumn="0" w:firstRowLastColumn="0" w:lastRowFirstColumn="0" w:lastRowLastColumn="0"/>
            <w:tcW w:w="755" w:type="pct"/>
          </w:tcPr>
          <w:p w14:paraId="0B4484C0" w14:textId="77777777" w:rsidR="004E45CF" w:rsidRPr="00CF3E3D" w:rsidRDefault="004E45CF" w:rsidP="007007AC">
            <w:pPr>
              <w:spacing w:before="85" w:line="288" w:lineRule="auto"/>
              <w:jc w:val="center"/>
              <w:rPr>
                <w:sz w:val="18"/>
                <w:szCs w:val="18"/>
              </w:rPr>
            </w:pPr>
            <w:r w:rsidRPr="00CF3E3D">
              <w:rPr>
                <w:sz w:val="18"/>
                <w:szCs w:val="18"/>
              </w:rPr>
              <w:t>79.6 (77.6, 81.4)</w:t>
            </w:r>
          </w:p>
        </w:tc>
        <w:tc>
          <w:tcPr>
            <w:cnfStyle w:val="000001000000" w:firstRow="0" w:lastRow="0" w:firstColumn="0" w:lastColumn="0" w:oddVBand="0" w:evenVBand="1" w:oddHBand="0" w:evenHBand="0" w:firstRowFirstColumn="0" w:firstRowLastColumn="0" w:lastRowFirstColumn="0" w:lastRowLastColumn="0"/>
            <w:tcW w:w="755" w:type="pct"/>
          </w:tcPr>
          <w:p w14:paraId="5EA57B3C" w14:textId="77777777" w:rsidR="004E45CF" w:rsidRPr="00CF3E3D" w:rsidRDefault="004E45CF" w:rsidP="007007AC">
            <w:pPr>
              <w:spacing w:before="85" w:line="288" w:lineRule="auto"/>
              <w:jc w:val="center"/>
              <w:rPr>
                <w:sz w:val="18"/>
                <w:szCs w:val="18"/>
              </w:rPr>
            </w:pPr>
            <w:r w:rsidRPr="00CF3E3D">
              <w:rPr>
                <w:sz w:val="18"/>
                <w:szCs w:val="18"/>
              </w:rPr>
              <w:t>85.3 (83.9, 86.5)</w:t>
            </w:r>
          </w:p>
        </w:tc>
        <w:tc>
          <w:tcPr>
            <w:cnfStyle w:val="000010000000" w:firstRow="0" w:lastRow="0" w:firstColumn="0" w:lastColumn="0" w:oddVBand="1" w:evenVBand="0" w:oddHBand="0" w:evenHBand="0" w:firstRowFirstColumn="0" w:firstRowLastColumn="0" w:lastRowFirstColumn="0" w:lastRowLastColumn="0"/>
            <w:tcW w:w="755" w:type="pct"/>
          </w:tcPr>
          <w:p w14:paraId="0D75A390" w14:textId="77777777" w:rsidR="004E45CF" w:rsidRPr="00CF3E3D" w:rsidRDefault="004E45CF" w:rsidP="007007AC">
            <w:pPr>
              <w:spacing w:before="85" w:line="288" w:lineRule="auto"/>
              <w:jc w:val="center"/>
              <w:rPr>
                <w:sz w:val="18"/>
                <w:szCs w:val="18"/>
              </w:rPr>
            </w:pPr>
            <w:r w:rsidRPr="00CF3E3D">
              <w:rPr>
                <w:sz w:val="18"/>
                <w:szCs w:val="18"/>
              </w:rPr>
              <w:t>89.4 (88.2, 90.4)</w:t>
            </w:r>
          </w:p>
        </w:tc>
      </w:tr>
      <w:tr w:rsidR="004E45CF" w:rsidRPr="00CF3E3D" w14:paraId="5BEF41E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44A43A7" w14:textId="77777777" w:rsidR="004E45CF" w:rsidRPr="001E400B" w:rsidRDefault="004E45CF" w:rsidP="00906343">
            <w:pPr>
              <w:spacing w:before="85" w:line="288" w:lineRule="auto"/>
              <w:rPr>
                <w:b/>
                <w:bCs/>
                <w:sz w:val="18"/>
                <w:szCs w:val="18"/>
              </w:rPr>
            </w:pPr>
            <w:r w:rsidRPr="001E400B">
              <w:rPr>
                <w:b/>
                <w:bCs/>
                <w:sz w:val="18"/>
                <w:szCs w:val="18"/>
                <w:lang w:eastAsia="en-AU"/>
              </w:rPr>
              <w:t>Macquarie University</w:t>
            </w:r>
          </w:p>
        </w:tc>
        <w:tc>
          <w:tcPr>
            <w:cnfStyle w:val="000001000000" w:firstRow="0" w:lastRow="0" w:firstColumn="0" w:lastColumn="0" w:oddVBand="0" w:evenVBand="1" w:oddHBand="0" w:evenHBand="0" w:firstRowFirstColumn="0" w:firstRowLastColumn="0" w:lastRowFirstColumn="0" w:lastRowLastColumn="0"/>
            <w:tcW w:w="709" w:type="pct"/>
          </w:tcPr>
          <w:p w14:paraId="00122321" w14:textId="77777777" w:rsidR="004E45CF" w:rsidRPr="00CF3E3D" w:rsidRDefault="004E45CF" w:rsidP="007007AC">
            <w:pPr>
              <w:spacing w:before="85" w:line="288" w:lineRule="auto"/>
              <w:jc w:val="center"/>
              <w:rPr>
                <w:sz w:val="18"/>
                <w:szCs w:val="18"/>
              </w:rPr>
            </w:pPr>
            <w:r w:rsidRPr="00CF3E3D">
              <w:rPr>
                <w:sz w:val="18"/>
                <w:szCs w:val="18"/>
              </w:rPr>
              <w:t>66.9 (64.8, 68.8)</w:t>
            </w:r>
          </w:p>
        </w:tc>
        <w:tc>
          <w:tcPr>
            <w:cnfStyle w:val="000010000000" w:firstRow="0" w:lastRow="0" w:firstColumn="0" w:lastColumn="0" w:oddVBand="1" w:evenVBand="0" w:oddHBand="0" w:evenHBand="0" w:firstRowFirstColumn="0" w:firstRowLastColumn="0" w:lastRowFirstColumn="0" w:lastRowLastColumn="0"/>
            <w:tcW w:w="755" w:type="pct"/>
          </w:tcPr>
          <w:p w14:paraId="52DA6B13" w14:textId="77777777" w:rsidR="004E45CF" w:rsidRPr="00CF3E3D" w:rsidRDefault="004E45CF" w:rsidP="007007AC">
            <w:pPr>
              <w:spacing w:before="85" w:line="288" w:lineRule="auto"/>
              <w:jc w:val="center"/>
              <w:rPr>
                <w:sz w:val="18"/>
                <w:szCs w:val="18"/>
              </w:rPr>
            </w:pPr>
            <w:r w:rsidRPr="00CF3E3D">
              <w:rPr>
                <w:sz w:val="18"/>
                <w:szCs w:val="18"/>
              </w:rPr>
              <w:t>76.7 (74.9, 78.3)</w:t>
            </w:r>
          </w:p>
        </w:tc>
        <w:tc>
          <w:tcPr>
            <w:cnfStyle w:val="000001000000" w:firstRow="0" w:lastRow="0" w:firstColumn="0" w:lastColumn="0" w:oddVBand="0" w:evenVBand="1" w:oddHBand="0" w:evenHBand="0" w:firstRowFirstColumn="0" w:firstRowLastColumn="0" w:lastRowFirstColumn="0" w:lastRowLastColumn="0"/>
            <w:tcW w:w="755" w:type="pct"/>
          </w:tcPr>
          <w:p w14:paraId="204A99B0" w14:textId="77777777" w:rsidR="004E45CF" w:rsidRPr="00CF3E3D" w:rsidRDefault="004E45CF" w:rsidP="007007AC">
            <w:pPr>
              <w:spacing w:before="85" w:line="288" w:lineRule="auto"/>
              <w:jc w:val="center"/>
              <w:rPr>
                <w:sz w:val="18"/>
                <w:szCs w:val="18"/>
              </w:rPr>
            </w:pPr>
            <w:r w:rsidRPr="00CF3E3D">
              <w:rPr>
                <w:sz w:val="18"/>
                <w:szCs w:val="18"/>
              </w:rPr>
              <w:t>85.3 (83.9, 86.5)</w:t>
            </w:r>
          </w:p>
        </w:tc>
        <w:tc>
          <w:tcPr>
            <w:cnfStyle w:val="000010000000" w:firstRow="0" w:lastRow="0" w:firstColumn="0" w:lastColumn="0" w:oddVBand="1" w:evenVBand="0" w:oddHBand="0" w:evenHBand="0" w:firstRowFirstColumn="0" w:firstRowLastColumn="0" w:lastRowFirstColumn="0" w:lastRowLastColumn="0"/>
            <w:tcW w:w="755" w:type="pct"/>
          </w:tcPr>
          <w:p w14:paraId="68F6B79F" w14:textId="77777777" w:rsidR="004E45CF" w:rsidRPr="00CF3E3D" w:rsidRDefault="004E45CF" w:rsidP="007007AC">
            <w:pPr>
              <w:spacing w:before="85" w:line="288" w:lineRule="auto"/>
              <w:jc w:val="center"/>
              <w:rPr>
                <w:sz w:val="18"/>
                <w:szCs w:val="18"/>
              </w:rPr>
            </w:pPr>
            <w:r w:rsidRPr="00CF3E3D">
              <w:rPr>
                <w:sz w:val="18"/>
                <w:szCs w:val="18"/>
              </w:rPr>
              <w:t>87.5 (86.3, 88.5)</w:t>
            </w:r>
          </w:p>
        </w:tc>
      </w:tr>
      <w:tr w:rsidR="004E45CF" w:rsidRPr="00CF3E3D" w14:paraId="251FBE5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4C101E9" w14:textId="77777777" w:rsidR="004E45CF" w:rsidRPr="001E400B" w:rsidRDefault="004E45CF" w:rsidP="00906343">
            <w:pPr>
              <w:spacing w:before="85" w:line="288" w:lineRule="auto"/>
              <w:rPr>
                <w:b/>
                <w:bCs/>
                <w:sz w:val="18"/>
                <w:szCs w:val="18"/>
              </w:rPr>
            </w:pPr>
            <w:r w:rsidRPr="001E400B">
              <w:rPr>
                <w:b/>
                <w:bCs/>
                <w:sz w:val="18"/>
                <w:szCs w:val="18"/>
                <w:lang w:eastAsia="en-AU"/>
              </w:rPr>
              <w:t>Monash University</w:t>
            </w:r>
          </w:p>
        </w:tc>
        <w:tc>
          <w:tcPr>
            <w:cnfStyle w:val="000001000000" w:firstRow="0" w:lastRow="0" w:firstColumn="0" w:lastColumn="0" w:oddVBand="0" w:evenVBand="1" w:oddHBand="0" w:evenHBand="0" w:firstRowFirstColumn="0" w:firstRowLastColumn="0" w:lastRowFirstColumn="0" w:lastRowLastColumn="0"/>
            <w:tcW w:w="709" w:type="pct"/>
          </w:tcPr>
          <w:p w14:paraId="7B72EED4" w14:textId="77777777" w:rsidR="004E45CF" w:rsidRPr="00CF3E3D" w:rsidRDefault="004E45CF" w:rsidP="007007AC">
            <w:pPr>
              <w:spacing w:before="85" w:line="288" w:lineRule="auto"/>
              <w:jc w:val="center"/>
              <w:rPr>
                <w:sz w:val="18"/>
                <w:szCs w:val="18"/>
              </w:rPr>
            </w:pPr>
            <w:r w:rsidRPr="00CF3E3D">
              <w:rPr>
                <w:sz w:val="18"/>
                <w:szCs w:val="18"/>
              </w:rPr>
              <w:t>70.3 (68.8, 71.8)</w:t>
            </w:r>
          </w:p>
        </w:tc>
        <w:tc>
          <w:tcPr>
            <w:cnfStyle w:val="000010000000" w:firstRow="0" w:lastRow="0" w:firstColumn="0" w:lastColumn="0" w:oddVBand="1" w:evenVBand="0" w:oddHBand="0" w:evenHBand="0" w:firstRowFirstColumn="0" w:firstRowLastColumn="0" w:lastRowFirstColumn="0" w:lastRowLastColumn="0"/>
            <w:tcW w:w="755" w:type="pct"/>
          </w:tcPr>
          <w:p w14:paraId="03413B26" w14:textId="77777777" w:rsidR="004E45CF" w:rsidRPr="00CF3E3D" w:rsidRDefault="004E45CF" w:rsidP="007007AC">
            <w:pPr>
              <w:spacing w:before="85" w:line="288" w:lineRule="auto"/>
              <w:jc w:val="center"/>
              <w:rPr>
                <w:sz w:val="18"/>
                <w:szCs w:val="18"/>
              </w:rPr>
            </w:pPr>
            <w:r w:rsidRPr="00CF3E3D">
              <w:rPr>
                <w:sz w:val="18"/>
                <w:szCs w:val="18"/>
              </w:rPr>
              <w:t>80.9 (79.6, 82.2)</w:t>
            </w:r>
          </w:p>
        </w:tc>
        <w:tc>
          <w:tcPr>
            <w:cnfStyle w:val="000001000000" w:firstRow="0" w:lastRow="0" w:firstColumn="0" w:lastColumn="0" w:oddVBand="0" w:evenVBand="1" w:oddHBand="0" w:evenHBand="0" w:firstRowFirstColumn="0" w:firstRowLastColumn="0" w:lastRowFirstColumn="0" w:lastRowLastColumn="0"/>
            <w:tcW w:w="755" w:type="pct"/>
          </w:tcPr>
          <w:p w14:paraId="7886C54B" w14:textId="77777777" w:rsidR="004E45CF" w:rsidRPr="00CF3E3D" w:rsidRDefault="004E45CF" w:rsidP="007007AC">
            <w:pPr>
              <w:spacing w:before="85" w:line="288" w:lineRule="auto"/>
              <w:jc w:val="center"/>
              <w:rPr>
                <w:sz w:val="18"/>
                <w:szCs w:val="18"/>
              </w:rPr>
            </w:pPr>
            <w:r w:rsidRPr="00CF3E3D">
              <w:rPr>
                <w:sz w:val="18"/>
                <w:szCs w:val="18"/>
              </w:rPr>
              <w:t>84.6 (83.6, 85.5)</w:t>
            </w:r>
          </w:p>
        </w:tc>
        <w:tc>
          <w:tcPr>
            <w:cnfStyle w:val="000010000000" w:firstRow="0" w:lastRow="0" w:firstColumn="0" w:lastColumn="0" w:oddVBand="1" w:evenVBand="0" w:oddHBand="0" w:evenHBand="0" w:firstRowFirstColumn="0" w:firstRowLastColumn="0" w:lastRowFirstColumn="0" w:lastRowLastColumn="0"/>
            <w:tcW w:w="755" w:type="pct"/>
          </w:tcPr>
          <w:p w14:paraId="654BB9B2" w14:textId="77777777" w:rsidR="004E45CF" w:rsidRPr="00CF3E3D" w:rsidRDefault="004E45CF" w:rsidP="007007AC">
            <w:pPr>
              <w:spacing w:before="85" w:line="288" w:lineRule="auto"/>
              <w:jc w:val="center"/>
              <w:rPr>
                <w:sz w:val="18"/>
                <w:szCs w:val="18"/>
              </w:rPr>
            </w:pPr>
            <w:r w:rsidRPr="00CF3E3D">
              <w:rPr>
                <w:sz w:val="18"/>
                <w:szCs w:val="18"/>
              </w:rPr>
              <w:t>89.0 (88.2, 89.8)</w:t>
            </w:r>
          </w:p>
        </w:tc>
      </w:tr>
      <w:tr w:rsidR="004E45CF" w:rsidRPr="00CF3E3D" w14:paraId="0F618DA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DD6509F" w14:textId="77777777" w:rsidR="004E45CF" w:rsidRPr="001E400B" w:rsidRDefault="004E45CF" w:rsidP="00906343">
            <w:pPr>
              <w:spacing w:before="85" w:line="288" w:lineRule="auto"/>
              <w:rPr>
                <w:b/>
                <w:bCs/>
                <w:sz w:val="18"/>
                <w:szCs w:val="18"/>
              </w:rPr>
            </w:pPr>
            <w:r w:rsidRPr="001E400B">
              <w:rPr>
                <w:b/>
                <w:bCs/>
                <w:sz w:val="18"/>
                <w:szCs w:val="18"/>
                <w:lang w:eastAsia="en-AU"/>
              </w:rPr>
              <w:t>Murdoch University</w:t>
            </w:r>
          </w:p>
        </w:tc>
        <w:tc>
          <w:tcPr>
            <w:cnfStyle w:val="000001000000" w:firstRow="0" w:lastRow="0" w:firstColumn="0" w:lastColumn="0" w:oddVBand="0" w:evenVBand="1" w:oddHBand="0" w:evenHBand="0" w:firstRowFirstColumn="0" w:firstRowLastColumn="0" w:lastRowFirstColumn="0" w:lastRowLastColumn="0"/>
            <w:tcW w:w="709" w:type="pct"/>
          </w:tcPr>
          <w:p w14:paraId="31DFBA01" w14:textId="77777777" w:rsidR="004E45CF" w:rsidRPr="00CF3E3D" w:rsidRDefault="004E45CF" w:rsidP="007007AC">
            <w:pPr>
              <w:spacing w:before="85" w:line="288" w:lineRule="auto"/>
              <w:jc w:val="center"/>
              <w:rPr>
                <w:sz w:val="18"/>
                <w:szCs w:val="18"/>
              </w:rPr>
            </w:pPr>
            <w:r w:rsidRPr="00CF3E3D">
              <w:rPr>
                <w:sz w:val="18"/>
                <w:szCs w:val="18"/>
              </w:rPr>
              <w:t>62.3 (58.9, 65.5)</w:t>
            </w:r>
          </w:p>
        </w:tc>
        <w:tc>
          <w:tcPr>
            <w:cnfStyle w:val="000010000000" w:firstRow="0" w:lastRow="0" w:firstColumn="0" w:lastColumn="0" w:oddVBand="1" w:evenVBand="0" w:oddHBand="0" w:evenHBand="0" w:firstRowFirstColumn="0" w:firstRowLastColumn="0" w:lastRowFirstColumn="0" w:lastRowLastColumn="0"/>
            <w:tcW w:w="755" w:type="pct"/>
          </w:tcPr>
          <w:p w14:paraId="6EEF94D2" w14:textId="77777777" w:rsidR="004E45CF" w:rsidRPr="00CF3E3D" w:rsidRDefault="004E45CF" w:rsidP="007007AC">
            <w:pPr>
              <w:spacing w:before="85" w:line="288" w:lineRule="auto"/>
              <w:jc w:val="center"/>
              <w:rPr>
                <w:sz w:val="18"/>
                <w:szCs w:val="18"/>
              </w:rPr>
            </w:pPr>
            <w:r w:rsidRPr="00CF3E3D">
              <w:rPr>
                <w:sz w:val="18"/>
                <w:szCs w:val="18"/>
              </w:rPr>
              <w:t>73.1 (69.8, 76.1)</w:t>
            </w:r>
          </w:p>
        </w:tc>
        <w:tc>
          <w:tcPr>
            <w:cnfStyle w:val="000001000000" w:firstRow="0" w:lastRow="0" w:firstColumn="0" w:lastColumn="0" w:oddVBand="0" w:evenVBand="1" w:oddHBand="0" w:evenHBand="0" w:firstRowFirstColumn="0" w:firstRowLastColumn="0" w:lastRowFirstColumn="0" w:lastRowLastColumn="0"/>
            <w:tcW w:w="755" w:type="pct"/>
          </w:tcPr>
          <w:p w14:paraId="782D4208" w14:textId="77777777" w:rsidR="004E45CF" w:rsidRPr="00CF3E3D" w:rsidRDefault="004E45CF" w:rsidP="007007AC">
            <w:pPr>
              <w:spacing w:before="85" w:line="288" w:lineRule="auto"/>
              <w:jc w:val="center"/>
              <w:rPr>
                <w:sz w:val="18"/>
                <w:szCs w:val="18"/>
              </w:rPr>
            </w:pPr>
            <w:r w:rsidRPr="00CF3E3D">
              <w:rPr>
                <w:sz w:val="18"/>
                <w:szCs w:val="18"/>
              </w:rPr>
              <w:t>82.7 (80.5, 84.6)</w:t>
            </w:r>
          </w:p>
        </w:tc>
        <w:tc>
          <w:tcPr>
            <w:cnfStyle w:val="000010000000" w:firstRow="0" w:lastRow="0" w:firstColumn="0" w:lastColumn="0" w:oddVBand="1" w:evenVBand="0" w:oddHBand="0" w:evenHBand="0" w:firstRowFirstColumn="0" w:firstRowLastColumn="0" w:lastRowFirstColumn="0" w:lastRowLastColumn="0"/>
            <w:tcW w:w="755" w:type="pct"/>
          </w:tcPr>
          <w:p w14:paraId="7B4B35F2" w14:textId="77777777" w:rsidR="004E45CF" w:rsidRPr="00CF3E3D" w:rsidRDefault="004E45CF" w:rsidP="007007AC">
            <w:pPr>
              <w:spacing w:before="85" w:line="288" w:lineRule="auto"/>
              <w:jc w:val="center"/>
              <w:rPr>
                <w:sz w:val="18"/>
                <w:szCs w:val="18"/>
              </w:rPr>
            </w:pPr>
            <w:r w:rsidRPr="00CF3E3D">
              <w:rPr>
                <w:sz w:val="18"/>
                <w:szCs w:val="18"/>
              </w:rPr>
              <w:t>89.6 (87.7, 91.2)</w:t>
            </w:r>
          </w:p>
        </w:tc>
      </w:tr>
      <w:tr w:rsidR="004E45CF" w:rsidRPr="00CF3E3D" w14:paraId="7F01A69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C8452E7" w14:textId="77777777" w:rsidR="004E45CF" w:rsidRPr="001E400B" w:rsidRDefault="004E45CF" w:rsidP="00906343">
            <w:pPr>
              <w:spacing w:before="85" w:line="288" w:lineRule="auto"/>
              <w:rPr>
                <w:b/>
                <w:bCs/>
                <w:sz w:val="18"/>
                <w:szCs w:val="18"/>
              </w:rPr>
            </w:pPr>
            <w:r w:rsidRPr="001E400B">
              <w:rPr>
                <w:b/>
                <w:bCs/>
                <w:sz w:val="18"/>
                <w:szCs w:val="18"/>
                <w:lang w:eastAsia="en-AU"/>
              </w:rPr>
              <w:t>Queensland University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6B6D3ED5" w14:textId="77777777" w:rsidR="004E45CF" w:rsidRPr="00CF3E3D" w:rsidRDefault="004E45CF" w:rsidP="007007AC">
            <w:pPr>
              <w:spacing w:before="85" w:line="288" w:lineRule="auto"/>
              <w:jc w:val="center"/>
              <w:rPr>
                <w:sz w:val="18"/>
                <w:szCs w:val="18"/>
              </w:rPr>
            </w:pPr>
            <w:r w:rsidRPr="00CF3E3D">
              <w:rPr>
                <w:sz w:val="18"/>
                <w:szCs w:val="18"/>
              </w:rPr>
              <w:t>67.1 (65.5, 68.7)</w:t>
            </w:r>
          </w:p>
        </w:tc>
        <w:tc>
          <w:tcPr>
            <w:cnfStyle w:val="000010000000" w:firstRow="0" w:lastRow="0" w:firstColumn="0" w:lastColumn="0" w:oddVBand="1" w:evenVBand="0" w:oddHBand="0" w:evenHBand="0" w:firstRowFirstColumn="0" w:firstRowLastColumn="0" w:lastRowFirstColumn="0" w:lastRowLastColumn="0"/>
            <w:tcW w:w="755" w:type="pct"/>
          </w:tcPr>
          <w:p w14:paraId="59106631" w14:textId="77777777" w:rsidR="004E45CF" w:rsidRPr="00CF3E3D" w:rsidRDefault="004E45CF" w:rsidP="007007AC">
            <w:pPr>
              <w:spacing w:before="85" w:line="288" w:lineRule="auto"/>
              <w:jc w:val="center"/>
              <w:rPr>
                <w:sz w:val="18"/>
                <w:szCs w:val="18"/>
              </w:rPr>
            </w:pPr>
            <w:r w:rsidRPr="00CF3E3D">
              <w:rPr>
                <w:sz w:val="18"/>
                <w:szCs w:val="18"/>
              </w:rPr>
              <w:t>79.3 (77.9, 80.6)</w:t>
            </w:r>
          </w:p>
        </w:tc>
        <w:tc>
          <w:tcPr>
            <w:cnfStyle w:val="000001000000" w:firstRow="0" w:lastRow="0" w:firstColumn="0" w:lastColumn="0" w:oddVBand="0" w:evenVBand="1" w:oddHBand="0" w:evenHBand="0" w:firstRowFirstColumn="0" w:firstRowLastColumn="0" w:lastRowFirstColumn="0" w:lastRowLastColumn="0"/>
            <w:tcW w:w="755" w:type="pct"/>
          </w:tcPr>
          <w:p w14:paraId="652D4688" w14:textId="77777777" w:rsidR="004E45CF" w:rsidRPr="00CF3E3D" w:rsidRDefault="004E45CF" w:rsidP="007007AC">
            <w:pPr>
              <w:spacing w:before="85" w:line="288" w:lineRule="auto"/>
              <w:jc w:val="center"/>
              <w:rPr>
                <w:sz w:val="18"/>
                <w:szCs w:val="18"/>
              </w:rPr>
            </w:pPr>
            <w:r w:rsidRPr="00CF3E3D">
              <w:rPr>
                <w:sz w:val="18"/>
                <w:szCs w:val="18"/>
              </w:rPr>
              <w:t>85.6 (84.6, 86.6)</w:t>
            </w:r>
          </w:p>
        </w:tc>
        <w:tc>
          <w:tcPr>
            <w:cnfStyle w:val="000010000000" w:firstRow="0" w:lastRow="0" w:firstColumn="0" w:lastColumn="0" w:oddVBand="1" w:evenVBand="0" w:oddHBand="0" w:evenHBand="0" w:firstRowFirstColumn="0" w:firstRowLastColumn="0" w:lastRowFirstColumn="0" w:lastRowLastColumn="0"/>
            <w:tcW w:w="755" w:type="pct"/>
          </w:tcPr>
          <w:p w14:paraId="14F7BC5B" w14:textId="77777777" w:rsidR="004E45CF" w:rsidRPr="00CF3E3D" w:rsidRDefault="004E45CF" w:rsidP="007007AC">
            <w:pPr>
              <w:spacing w:before="85" w:line="288" w:lineRule="auto"/>
              <w:jc w:val="center"/>
              <w:rPr>
                <w:sz w:val="18"/>
                <w:szCs w:val="18"/>
              </w:rPr>
            </w:pPr>
            <w:r w:rsidRPr="00CF3E3D">
              <w:rPr>
                <w:sz w:val="18"/>
                <w:szCs w:val="18"/>
              </w:rPr>
              <w:t>89.7 (88.8, 90.5)</w:t>
            </w:r>
          </w:p>
        </w:tc>
      </w:tr>
      <w:tr w:rsidR="004E45CF" w:rsidRPr="00CF3E3D" w14:paraId="6C2B7A0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D606C74" w14:textId="77777777" w:rsidR="004E45CF" w:rsidRPr="001E400B" w:rsidRDefault="004E45CF" w:rsidP="00906343">
            <w:pPr>
              <w:spacing w:before="85" w:line="288" w:lineRule="auto"/>
              <w:rPr>
                <w:b/>
                <w:bCs/>
                <w:sz w:val="18"/>
                <w:szCs w:val="18"/>
              </w:rPr>
            </w:pPr>
            <w:r w:rsidRPr="001E400B">
              <w:rPr>
                <w:b/>
                <w:bCs/>
                <w:sz w:val="18"/>
                <w:szCs w:val="18"/>
                <w:lang w:eastAsia="en-AU"/>
              </w:rPr>
              <w:t>RMIT University</w:t>
            </w:r>
          </w:p>
        </w:tc>
        <w:tc>
          <w:tcPr>
            <w:cnfStyle w:val="000001000000" w:firstRow="0" w:lastRow="0" w:firstColumn="0" w:lastColumn="0" w:oddVBand="0" w:evenVBand="1" w:oddHBand="0" w:evenHBand="0" w:firstRowFirstColumn="0" w:firstRowLastColumn="0" w:lastRowFirstColumn="0" w:lastRowLastColumn="0"/>
            <w:tcW w:w="709" w:type="pct"/>
          </w:tcPr>
          <w:p w14:paraId="772DA588" w14:textId="77777777" w:rsidR="004E45CF" w:rsidRPr="00CF3E3D" w:rsidRDefault="004E45CF" w:rsidP="007007AC">
            <w:pPr>
              <w:spacing w:before="85" w:line="288" w:lineRule="auto"/>
              <w:jc w:val="center"/>
              <w:rPr>
                <w:sz w:val="18"/>
                <w:szCs w:val="18"/>
              </w:rPr>
            </w:pPr>
            <w:r w:rsidRPr="00CF3E3D">
              <w:rPr>
                <w:sz w:val="18"/>
                <w:szCs w:val="18"/>
              </w:rPr>
              <w:t>63.4 (61.8, 65.0)</w:t>
            </w:r>
          </w:p>
        </w:tc>
        <w:tc>
          <w:tcPr>
            <w:cnfStyle w:val="000010000000" w:firstRow="0" w:lastRow="0" w:firstColumn="0" w:lastColumn="0" w:oddVBand="1" w:evenVBand="0" w:oddHBand="0" w:evenHBand="0" w:firstRowFirstColumn="0" w:firstRowLastColumn="0" w:lastRowFirstColumn="0" w:lastRowLastColumn="0"/>
            <w:tcW w:w="755" w:type="pct"/>
          </w:tcPr>
          <w:p w14:paraId="2D345B4D" w14:textId="77777777" w:rsidR="004E45CF" w:rsidRPr="00CF3E3D" w:rsidRDefault="004E45CF" w:rsidP="007007AC">
            <w:pPr>
              <w:spacing w:before="85" w:line="288" w:lineRule="auto"/>
              <w:jc w:val="center"/>
              <w:rPr>
                <w:sz w:val="18"/>
                <w:szCs w:val="18"/>
              </w:rPr>
            </w:pPr>
            <w:r w:rsidRPr="00CF3E3D">
              <w:rPr>
                <w:sz w:val="18"/>
                <w:szCs w:val="18"/>
              </w:rPr>
              <w:t>72.4 (70.8, 73.9)</w:t>
            </w:r>
          </w:p>
        </w:tc>
        <w:tc>
          <w:tcPr>
            <w:cnfStyle w:val="000001000000" w:firstRow="0" w:lastRow="0" w:firstColumn="0" w:lastColumn="0" w:oddVBand="0" w:evenVBand="1" w:oddHBand="0" w:evenHBand="0" w:firstRowFirstColumn="0" w:firstRowLastColumn="0" w:lastRowFirstColumn="0" w:lastRowLastColumn="0"/>
            <w:tcW w:w="755" w:type="pct"/>
          </w:tcPr>
          <w:p w14:paraId="4C9F6D6B" w14:textId="77777777" w:rsidR="004E45CF" w:rsidRPr="00CF3E3D" w:rsidRDefault="004E45CF" w:rsidP="007007AC">
            <w:pPr>
              <w:spacing w:before="85" w:line="288" w:lineRule="auto"/>
              <w:jc w:val="center"/>
              <w:rPr>
                <w:sz w:val="18"/>
                <w:szCs w:val="18"/>
              </w:rPr>
            </w:pPr>
            <w:r w:rsidRPr="00CF3E3D">
              <w:rPr>
                <w:sz w:val="18"/>
                <w:szCs w:val="18"/>
              </w:rPr>
              <w:t>81.8 (80.6, 82.8)</w:t>
            </w:r>
          </w:p>
        </w:tc>
        <w:tc>
          <w:tcPr>
            <w:cnfStyle w:val="000010000000" w:firstRow="0" w:lastRow="0" w:firstColumn="0" w:lastColumn="0" w:oddVBand="1" w:evenVBand="0" w:oddHBand="0" w:evenHBand="0" w:firstRowFirstColumn="0" w:firstRowLastColumn="0" w:lastRowFirstColumn="0" w:lastRowLastColumn="0"/>
            <w:tcW w:w="755" w:type="pct"/>
          </w:tcPr>
          <w:p w14:paraId="1B35708C" w14:textId="77777777" w:rsidR="004E45CF" w:rsidRPr="00CF3E3D" w:rsidRDefault="004E45CF" w:rsidP="007007AC">
            <w:pPr>
              <w:spacing w:before="85" w:line="288" w:lineRule="auto"/>
              <w:jc w:val="center"/>
              <w:rPr>
                <w:sz w:val="18"/>
                <w:szCs w:val="18"/>
              </w:rPr>
            </w:pPr>
            <w:r w:rsidRPr="00CF3E3D">
              <w:rPr>
                <w:sz w:val="18"/>
                <w:szCs w:val="18"/>
              </w:rPr>
              <w:t>84.5 (83.4, 85.4)</w:t>
            </w:r>
          </w:p>
        </w:tc>
      </w:tr>
      <w:tr w:rsidR="004E45CF" w:rsidRPr="00CF3E3D" w14:paraId="6760D7C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AF66B10" w14:textId="77777777" w:rsidR="004E45CF" w:rsidRPr="001E400B" w:rsidRDefault="004E45CF" w:rsidP="00906343">
            <w:pPr>
              <w:spacing w:before="85" w:line="288" w:lineRule="auto"/>
              <w:rPr>
                <w:b/>
                <w:bCs/>
                <w:sz w:val="18"/>
                <w:szCs w:val="18"/>
              </w:rPr>
            </w:pPr>
            <w:r w:rsidRPr="001E400B">
              <w:rPr>
                <w:b/>
                <w:bCs/>
                <w:sz w:val="18"/>
                <w:szCs w:val="18"/>
                <w:lang w:eastAsia="en-AU"/>
              </w:rPr>
              <w:t>Southern Cross University</w:t>
            </w:r>
          </w:p>
        </w:tc>
        <w:tc>
          <w:tcPr>
            <w:cnfStyle w:val="000001000000" w:firstRow="0" w:lastRow="0" w:firstColumn="0" w:lastColumn="0" w:oddVBand="0" w:evenVBand="1" w:oddHBand="0" w:evenHBand="0" w:firstRowFirstColumn="0" w:firstRowLastColumn="0" w:lastRowFirstColumn="0" w:lastRowLastColumn="0"/>
            <w:tcW w:w="709" w:type="pct"/>
          </w:tcPr>
          <w:p w14:paraId="3A7627F1" w14:textId="77777777" w:rsidR="004E45CF" w:rsidRPr="00CF3E3D" w:rsidRDefault="004E45CF" w:rsidP="007007AC">
            <w:pPr>
              <w:spacing w:before="85" w:line="288" w:lineRule="auto"/>
              <w:jc w:val="center"/>
              <w:rPr>
                <w:sz w:val="18"/>
                <w:szCs w:val="18"/>
              </w:rPr>
            </w:pPr>
            <w:r w:rsidRPr="00CF3E3D">
              <w:rPr>
                <w:sz w:val="18"/>
                <w:szCs w:val="18"/>
              </w:rPr>
              <w:t>74.5 (71.2, 77.5)</w:t>
            </w:r>
          </w:p>
        </w:tc>
        <w:tc>
          <w:tcPr>
            <w:cnfStyle w:val="000010000000" w:firstRow="0" w:lastRow="0" w:firstColumn="0" w:lastColumn="0" w:oddVBand="1" w:evenVBand="0" w:oddHBand="0" w:evenHBand="0" w:firstRowFirstColumn="0" w:firstRowLastColumn="0" w:lastRowFirstColumn="0" w:lastRowLastColumn="0"/>
            <w:tcW w:w="755" w:type="pct"/>
          </w:tcPr>
          <w:p w14:paraId="61E72E4D" w14:textId="77777777" w:rsidR="004E45CF" w:rsidRPr="00CF3E3D" w:rsidRDefault="004E45CF" w:rsidP="007007AC">
            <w:pPr>
              <w:spacing w:before="85" w:line="288" w:lineRule="auto"/>
              <w:jc w:val="center"/>
              <w:rPr>
                <w:sz w:val="18"/>
                <w:szCs w:val="18"/>
              </w:rPr>
            </w:pPr>
            <w:r w:rsidRPr="00CF3E3D">
              <w:rPr>
                <w:sz w:val="18"/>
                <w:szCs w:val="18"/>
              </w:rPr>
              <w:t>79.3 (76.1, 82.0)</w:t>
            </w:r>
          </w:p>
        </w:tc>
        <w:tc>
          <w:tcPr>
            <w:cnfStyle w:val="000001000000" w:firstRow="0" w:lastRow="0" w:firstColumn="0" w:lastColumn="0" w:oddVBand="0" w:evenVBand="1" w:oddHBand="0" w:evenHBand="0" w:firstRowFirstColumn="0" w:firstRowLastColumn="0" w:lastRowFirstColumn="0" w:lastRowLastColumn="0"/>
            <w:tcW w:w="755" w:type="pct"/>
          </w:tcPr>
          <w:p w14:paraId="7CE8336F" w14:textId="77777777" w:rsidR="004E45CF" w:rsidRPr="00CF3E3D" w:rsidRDefault="004E45CF" w:rsidP="007007AC">
            <w:pPr>
              <w:spacing w:before="85" w:line="288" w:lineRule="auto"/>
              <w:jc w:val="center"/>
              <w:rPr>
                <w:sz w:val="18"/>
                <w:szCs w:val="18"/>
              </w:rPr>
            </w:pPr>
            <w:r w:rsidRPr="00CF3E3D">
              <w:rPr>
                <w:sz w:val="18"/>
                <w:szCs w:val="18"/>
              </w:rPr>
              <w:t>88.4 (86.5, 90.0)</w:t>
            </w:r>
          </w:p>
        </w:tc>
        <w:tc>
          <w:tcPr>
            <w:cnfStyle w:val="000010000000" w:firstRow="0" w:lastRow="0" w:firstColumn="0" w:lastColumn="0" w:oddVBand="1" w:evenVBand="0" w:oddHBand="0" w:evenHBand="0" w:firstRowFirstColumn="0" w:firstRowLastColumn="0" w:lastRowFirstColumn="0" w:lastRowLastColumn="0"/>
            <w:tcW w:w="755" w:type="pct"/>
          </w:tcPr>
          <w:p w14:paraId="730A2601" w14:textId="77777777" w:rsidR="004E45CF" w:rsidRPr="00CF3E3D" w:rsidRDefault="004E45CF" w:rsidP="007007AC">
            <w:pPr>
              <w:spacing w:before="85" w:line="288" w:lineRule="auto"/>
              <w:jc w:val="center"/>
              <w:rPr>
                <w:sz w:val="18"/>
                <w:szCs w:val="18"/>
              </w:rPr>
            </w:pPr>
            <w:r w:rsidRPr="00CF3E3D">
              <w:rPr>
                <w:sz w:val="18"/>
                <w:szCs w:val="18"/>
              </w:rPr>
              <w:t>90.6 (88.8, 92.1)</w:t>
            </w:r>
          </w:p>
        </w:tc>
      </w:tr>
      <w:tr w:rsidR="004E45CF" w:rsidRPr="00CF3E3D" w14:paraId="3DE50BC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9436216" w14:textId="77777777" w:rsidR="004E45CF" w:rsidRPr="001E400B" w:rsidRDefault="004E45CF" w:rsidP="00906343">
            <w:pPr>
              <w:spacing w:before="85" w:line="288" w:lineRule="auto"/>
              <w:rPr>
                <w:b/>
                <w:bCs/>
                <w:sz w:val="18"/>
                <w:szCs w:val="18"/>
              </w:rPr>
            </w:pPr>
            <w:r w:rsidRPr="001E400B">
              <w:rPr>
                <w:b/>
                <w:bCs/>
                <w:sz w:val="18"/>
                <w:szCs w:val="18"/>
                <w:lang w:eastAsia="en-AU"/>
              </w:rPr>
              <w:t>Swinburne University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7916A993" w14:textId="77777777" w:rsidR="004E45CF" w:rsidRPr="00CF3E3D" w:rsidRDefault="004E45CF" w:rsidP="007007AC">
            <w:pPr>
              <w:spacing w:before="85" w:line="288" w:lineRule="auto"/>
              <w:jc w:val="center"/>
              <w:rPr>
                <w:sz w:val="18"/>
                <w:szCs w:val="18"/>
              </w:rPr>
            </w:pPr>
            <w:r w:rsidRPr="00CF3E3D">
              <w:rPr>
                <w:sz w:val="18"/>
                <w:szCs w:val="18"/>
              </w:rPr>
              <w:t>66.6 (64.5, 68.6)</w:t>
            </w:r>
          </w:p>
        </w:tc>
        <w:tc>
          <w:tcPr>
            <w:cnfStyle w:val="000010000000" w:firstRow="0" w:lastRow="0" w:firstColumn="0" w:lastColumn="0" w:oddVBand="1" w:evenVBand="0" w:oddHBand="0" w:evenHBand="0" w:firstRowFirstColumn="0" w:firstRowLastColumn="0" w:lastRowFirstColumn="0" w:lastRowLastColumn="0"/>
            <w:tcW w:w="755" w:type="pct"/>
          </w:tcPr>
          <w:p w14:paraId="75746675" w14:textId="77777777" w:rsidR="004E45CF" w:rsidRPr="00CF3E3D" w:rsidRDefault="004E45CF" w:rsidP="007007AC">
            <w:pPr>
              <w:spacing w:before="85" w:line="288" w:lineRule="auto"/>
              <w:jc w:val="center"/>
              <w:rPr>
                <w:sz w:val="18"/>
                <w:szCs w:val="18"/>
              </w:rPr>
            </w:pPr>
            <w:r w:rsidRPr="00CF3E3D">
              <w:rPr>
                <w:sz w:val="18"/>
                <w:szCs w:val="18"/>
              </w:rPr>
              <w:t>78.1 (76.2, 79.9)</w:t>
            </w:r>
          </w:p>
        </w:tc>
        <w:tc>
          <w:tcPr>
            <w:cnfStyle w:val="000001000000" w:firstRow="0" w:lastRow="0" w:firstColumn="0" w:lastColumn="0" w:oddVBand="0" w:evenVBand="1" w:oddHBand="0" w:evenHBand="0" w:firstRowFirstColumn="0" w:firstRowLastColumn="0" w:lastRowFirstColumn="0" w:lastRowLastColumn="0"/>
            <w:tcW w:w="755" w:type="pct"/>
          </w:tcPr>
          <w:p w14:paraId="0D8B92AA" w14:textId="77777777" w:rsidR="004E45CF" w:rsidRPr="00CF3E3D" w:rsidRDefault="004E45CF" w:rsidP="007007AC">
            <w:pPr>
              <w:spacing w:before="85" w:line="288" w:lineRule="auto"/>
              <w:jc w:val="center"/>
              <w:rPr>
                <w:sz w:val="18"/>
                <w:szCs w:val="18"/>
              </w:rPr>
            </w:pPr>
            <w:r w:rsidRPr="00CF3E3D">
              <w:rPr>
                <w:sz w:val="18"/>
                <w:szCs w:val="18"/>
              </w:rPr>
              <w:t>85.5 (84.2, 86.7)</w:t>
            </w:r>
          </w:p>
        </w:tc>
        <w:tc>
          <w:tcPr>
            <w:cnfStyle w:val="000010000000" w:firstRow="0" w:lastRow="0" w:firstColumn="0" w:lastColumn="0" w:oddVBand="1" w:evenVBand="0" w:oddHBand="0" w:evenHBand="0" w:firstRowFirstColumn="0" w:firstRowLastColumn="0" w:lastRowFirstColumn="0" w:lastRowLastColumn="0"/>
            <w:tcW w:w="755" w:type="pct"/>
          </w:tcPr>
          <w:p w14:paraId="3E86367C" w14:textId="77777777" w:rsidR="004E45CF" w:rsidRPr="00CF3E3D" w:rsidRDefault="004E45CF" w:rsidP="007007AC">
            <w:pPr>
              <w:spacing w:before="85" w:line="288" w:lineRule="auto"/>
              <w:jc w:val="center"/>
              <w:rPr>
                <w:sz w:val="18"/>
                <w:szCs w:val="18"/>
              </w:rPr>
            </w:pPr>
            <w:r w:rsidRPr="00CF3E3D">
              <w:rPr>
                <w:sz w:val="18"/>
                <w:szCs w:val="18"/>
              </w:rPr>
              <w:t>87.1 (85.7, 88.2)</w:t>
            </w:r>
          </w:p>
        </w:tc>
      </w:tr>
      <w:tr w:rsidR="004E45CF" w:rsidRPr="00CF3E3D" w14:paraId="31617819"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7011414" w14:textId="77777777" w:rsidR="004E45CF" w:rsidRPr="001E400B" w:rsidRDefault="004E45CF" w:rsidP="00906343">
            <w:pPr>
              <w:spacing w:before="85" w:line="288" w:lineRule="auto"/>
              <w:rPr>
                <w:b/>
                <w:bCs/>
                <w:sz w:val="18"/>
                <w:szCs w:val="18"/>
              </w:rPr>
            </w:pPr>
            <w:r w:rsidRPr="001E400B">
              <w:rPr>
                <w:b/>
                <w:bCs/>
                <w:sz w:val="18"/>
                <w:szCs w:val="18"/>
                <w:lang w:eastAsia="en-AU"/>
              </w:rPr>
              <w:t>The Australian National University</w:t>
            </w:r>
          </w:p>
        </w:tc>
        <w:tc>
          <w:tcPr>
            <w:cnfStyle w:val="000001000000" w:firstRow="0" w:lastRow="0" w:firstColumn="0" w:lastColumn="0" w:oddVBand="0" w:evenVBand="1" w:oddHBand="0" w:evenHBand="0" w:firstRowFirstColumn="0" w:firstRowLastColumn="0" w:lastRowFirstColumn="0" w:lastRowLastColumn="0"/>
            <w:tcW w:w="709" w:type="pct"/>
          </w:tcPr>
          <w:p w14:paraId="1F6C0DBF" w14:textId="77777777" w:rsidR="004E45CF" w:rsidRPr="00CF3E3D" w:rsidRDefault="004E45CF" w:rsidP="007007AC">
            <w:pPr>
              <w:spacing w:before="85" w:line="288" w:lineRule="auto"/>
              <w:jc w:val="center"/>
              <w:rPr>
                <w:sz w:val="18"/>
                <w:szCs w:val="18"/>
              </w:rPr>
            </w:pPr>
            <w:r w:rsidRPr="00CF3E3D">
              <w:rPr>
                <w:sz w:val="18"/>
                <w:szCs w:val="18"/>
              </w:rPr>
              <w:t>67.6 (64.8, 70.3)</w:t>
            </w:r>
          </w:p>
        </w:tc>
        <w:tc>
          <w:tcPr>
            <w:cnfStyle w:val="000010000000" w:firstRow="0" w:lastRow="0" w:firstColumn="0" w:lastColumn="0" w:oddVBand="1" w:evenVBand="0" w:oddHBand="0" w:evenHBand="0" w:firstRowFirstColumn="0" w:firstRowLastColumn="0" w:lastRowFirstColumn="0" w:lastRowLastColumn="0"/>
            <w:tcW w:w="755" w:type="pct"/>
          </w:tcPr>
          <w:p w14:paraId="0F5820FF" w14:textId="77777777" w:rsidR="004E45CF" w:rsidRPr="00CF3E3D" w:rsidRDefault="004E45CF" w:rsidP="007007AC">
            <w:pPr>
              <w:spacing w:before="85" w:line="288" w:lineRule="auto"/>
              <w:jc w:val="center"/>
              <w:rPr>
                <w:sz w:val="18"/>
                <w:szCs w:val="18"/>
              </w:rPr>
            </w:pPr>
            <w:r w:rsidRPr="00CF3E3D">
              <w:rPr>
                <w:sz w:val="18"/>
                <w:szCs w:val="18"/>
              </w:rPr>
              <w:t>78.8 (76.5, 80.8)</w:t>
            </w:r>
          </w:p>
        </w:tc>
        <w:tc>
          <w:tcPr>
            <w:cnfStyle w:val="000001000000" w:firstRow="0" w:lastRow="0" w:firstColumn="0" w:lastColumn="0" w:oddVBand="0" w:evenVBand="1" w:oddHBand="0" w:evenHBand="0" w:firstRowFirstColumn="0" w:firstRowLastColumn="0" w:lastRowFirstColumn="0" w:lastRowLastColumn="0"/>
            <w:tcW w:w="755" w:type="pct"/>
          </w:tcPr>
          <w:p w14:paraId="42F68A7D" w14:textId="77777777" w:rsidR="004E45CF" w:rsidRPr="00CF3E3D" w:rsidRDefault="004E45CF" w:rsidP="007007AC">
            <w:pPr>
              <w:spacing w:before="85" w:line="288" w:lineRule="auto"/>
              <w:jc w:val="center"/>
              <w:rPr>
                <w:sz w:val="18"/>
                <w:szCs w:val="18"/>
              </w:rPr>
            </w:pPr>
            <w:r w:rsidRPr="00CF3E3D">
              <w:rPr>
                <w:sz w:val="18"/>
                <w:szCs w:val="18"/>
              </w:rPr>
              <w:t>85.5 (83.6, 87.1)</w:t>
            </w:r>
          </w:p>
        </w:tc>
        <w:tc>
          <w:tcPr>
            <w:cnfStyle w:val="000010000000" w:firstRow="0" w:lastRow="0" w:firstColumn="0" w:lastColumn="0" w:oddVBand="1" w:evenVBand="0" w:oddHBand="0" w:evenHBand="0" w:firstRowFirstColumn="0" w:firstRowLastColumn="0" w:lastRowFirstColumn="0" w:lastRowLastColumn="0"/>
            <w:tcW w:w="755" w:type="pct"/>
          </w:tcPr>
          <w:p w14:paraId="072BAB90" w14:textId="77777777" w:rsidR="004E45CF" w:rsidRPr="00CF3E3D" w:rsidRDefault="004E45CF" w:rsidP="007007AC">
            <w:pPr>
              <w:spacing w:before="85" w:line="288" w:lineRule="auto"/>
              <w:jc w:val="center"/>
              <w:rPr>
                <w:sz w:val="18"/>
                <w:szCs w:val="18"/>
              </w:rPr>
            </w:pPr>
            <w:r w:rsidRPr="00CF3E3D">
              <w:rPr>
                <w:sz w:val="18"/>
                <w:szCs w:val="18"/>
              </w:rPr>
              <w:t>87.3 (85.8, 88.5)</w:t>
            </w:r>
          </w:p>
        </w:tc>
      </w:tr>
      <w:tr w:rsidR="004E45CF" w:rsidRPr="00CF3E3D" w14:paraId="4EF6921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349272F" w14:textId="77777777" w:rsidR="004E45CF" w:rsidRPr="001E400B" w:rsidRDefault="004E45CF" w:rsidP="00906343">
            <w:pPr>
              <w:spacing w:before="85" w:line="288" w:lineRule="auto"/>
              <w:rPr>
                <w:b/>
                <w:bCs/>
                <w:sz w:val="18"/>
                <w:szCs w:val="18"/>
              </w:rPr>
            </w:pPr>
            <w:r w:rsidRPr="001E400B">
              <w:rPr>
                <w:b/>
                <w:bCs/>
                <w:sz w:val="18"/>
                <w:szCs w:val="18"/>
                <w:lang w:eastAsia="en-AU"/>
              </w:rPr>
              <w:t>The University of Adelaide</w:t>
            </w:r>
          </w:p>
        </w:tc>
        <w:tc>
          <w:tcPr>
            <w:cnfStyle w:val="000001000000" w:firstRow="0" w:lastRow="0" w:firstColumn="0" w:lastColumn="0" w:oddVBand="0" w:evenVBand="1" w:oddHBand="0" w:evenHBand="0" w:firstRowFirstColumn="0" w:firstRowLastColumn="0" w:lastRowFirstColumn="0" w:lastRowLastColumn="0"/>
            <w:tcW w:w="709" w:type="pct"/>
          </w:tcPr>
          <w:p w14:paraId="2870F038" w14:textId="77777777" w:rsidR="004E45CF" w:rsidRPr="00CF3E3D" w:rsidRDefault="004E45CF" w:rsidP="007007AC">
            <w:pPr>
              <w:spacing w:before="85" w:line="288" w:lineRule="auto"/>
              <w:jc w:val="center"/>
              <w:rPr>
                <w:b/>
                <w:bCs/>
                <w:sz w:val="18"/>
                <w:szCs w:val="18"/>
              </w:rPr>
            </w:pPr>
            <w:r w:rsidRPr="00CF3E3D">
              <w:rPr>
                <w:sz w:val="18"/>
                <w:szCs w:val="18"/>
              </w:rPr>
              <w:t>66.5 (64.2, 68.7)</w:t>
            </w:r>
          </w:p>
        </w:tc>
        <w:tc>
          <w:tcPr>
            <w:cnfStyle w:val="000010000000" w:firstRow="0" w:lastRow="0" w:firstColumn="0" w:lastColumn="0" w:oddVBand="1" w:evenVBand="0" w:oddHBand="0" w:evenHBand="0" w:firstRowFirstColumn="0" w:firstRowLastColumn="0" w:lastRowFirstColumn="0" w:lastRowLastColumn="0"/>
            <w:tcW w:w="755" w:type="pct"/>
          </w:tcPr>
          <w:p w14:paraId="0FBC6C64" w14:textId="77777777" w:rsidR="004E45CF" w:rsidRPr="00CF3E3D" w:rsidRDefault="004E45CF" w:rsidP="007007AC">
            <w:pPr>
              <w:spacing w:before="85" w:line="288" w:lineRule="auto"/>
              <w:jc w:val="center"/>
              <w:rPr>
                <w:sz w:val="18"/>
                <w:szCs w:val="18"/>
              </w:rPr>
            </w:pPr>
            <w:r w:rsidRPr="00CF3E3D">
              <w:rPr>
                <w:sz w:val="18"/>
                <w:szCs w:val="18"/>
              </w:rPr>
              <w:t>71.2 (68.9, 73.4)</w:t>
            </w:r>
          </w:p>
        </w:tc>
        <w:tc>
          <w:tcPr>
            <w:cnfStyle w:val="000001000000" w:firstRow="0" w:lastRow="0" w:firstColumn="0" w:lastColumn="0" w:oddVBand="0" w:evenVBand="1" w:oddHBand="0" w:evenHBand="0" w:firstRowFirstColumn="0" w:firstRowLastColumn="0" w:lastRowFirstColumn="0" w:lastRowLastColumn="0"/>
            <w:tcW w:w="755" w:type="pct"/>
          </w:tcPr>
          <w:p w14:paraId="4A96ECDA" w14:textId="77777777" w:rsidR="004E45CF" w:rsidRPr="00CF3E3D" w:rsidRDefault="004E45CF" w:rsidP="007007AC">
            <w:pPr>
              <w:spacing w:before="85" w:line="288" w:lineRule="auto"/>
              <w:jc w:val="center"/>
              <w:rPr>
                <w:b/>
                <w:bCs/>
                <w:sz w:val="18"/>
                <w:szCs w:val="18"/>
              </w:rPr>
            </w:pPr>
            <w:r w:rsidRPr="00CF3E3D">
              <w:rPr>
                <w:sz w:val="18"/>
                <w:szCs w:val="18"/>
              </w:rPr>
              <w:t>81.6 (80.2, 83.0)</w:t>
            </w:r>
          </w:p>
        </w:tc>
        <w:tc>
          <w:tcPr>
            <w:cnfStyle w:val="000010000000" w:firstRow="0" w:lastRow="0" w:firstColumn="0" w:lastColumn="0" w:oddVBand="1" w:evenVBand="0" w:oddHBand="0" w:evenHBand="0" w:firstRowFirstColumn="0" w:firstRowLastColumn="0" w:lastRowFirstColumn="0" w:lastRowLastColumn="0"/>
            <w:tcW w:w="755" w:type="pct"/>
          </w:tcPr>
          <w:p w14:paraId="1B094DB3" w14:textId="77777777" w:rsidR="004E45CF" w:rsidRPr="00CF3E3D" w:rsidRDefault="004E45CF" w:rsidP="007007AC">
            <w:pPr>
              <w:spacing w:before="85" w:line="288" w:lineRule="auto"/>
              <w:jc w:val="center"/>
              <w:rPr>
                <w:sz w:val="18"/>
                <w:szCs w:val="18"/>
              </w:rPr>
            </w:pPr>
            <w:r w:rsidRPr="00CF3E3D">
              <w:rPr>
                <w:sz w:val="18"/>
                <w:szCs w:val="18"/>
              </w:rPr>
              <w:t>84.8 (83.3, 86.0)</w:t>
            </w:r>
          </w:p>
        </w:tc>
      </w:tr>
      <w:tr w:rsidR="004E45CF" w:rsidRPr="00CF3E3D" w14:paraId="6F9D724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44F2976" w14:textId="77777777" w:rsidR="004E45CF" w:rsidRPr="001E400B" w:rsidRDefault="004E45CF" w:rsidP="00906343">
            <w:pPr>
              <w:spacing w:before="85" w:line="288" w:lineRule="auto"/>
              <w:rPr>
                <w:b/>
                <w:bCs/>
                <w:sz w:val="18"/>
                <w:szCs w:val="18"/>
              </w:rPr>
            </w:pPr>
            <w:r w:rsidRPr="001E400B">
              <w:rPr>
                <w:b/>
                <w:bCs/>
                <w:sz w:val="18"/>
                <w:szCs w:val="18"/>
                <w:lang w:eastAsia="en-AU"/>
              </w:rPr>
              <w:t>The University of Melbourne</w:t>
            </w:r>
          </w:p>
        </w:tc>
        <w:tc>
          <w:tcPr>
            <w:cnfStyle w:val="000001000000" w:firstRow="0" w:lastRow="0" w:firstColumn="0" w:lastColumn="0" w:oddVBand="0" w:evenVBand="1" w:oddHBand="0" w:evenHBand="0" w:firstRowFirstColumn="0" w:firstRowLastColumn="0" w:lastRowFirstColumn="0" w:lastRowLastColumn="0"/>
            <w:tcW w:w="709" w:type="pct"/>
          </w:tcPr>
          <w:p w14:paraId="4BF67B0B" w14:textId="77777777" w:rsidR="004E45CF" w:rsidRPr="00CF3E3D" w:rsidRDefault="004E45CF" w:rsidP="007007AC">
            <w:pPr>
              <w:spacing w:before="85" w:line="288" w:lineRule="auto"/>
              <w:jc w:val="center"/>
              <w:rPr>
                <w:b/>
                <w:bCs/>
                <w:sz w:val="18"/>
                <w:szCs w:val="18"/>
              </w:rPr>
            </w:pPr>
            <w:r w:rsidRPr="00CF3E3D">
              <w:rPr>
                <w:sz w:val="18"/>
                <w:szCs w:val="18"/>
              </w:rPr>
              <w:t>55.7 (53.3, 58.0)</w:t>
            </w:r>
          </w:p>
        </w:tc>
        <w:tc>
          <w:tcPr>
            <w:cnfStyle w:val="000010000000" w:firstRow="0" w:lastRow="0" w:firstColumn="0" w:lastColumn="0" w:oddVBand="1" w:evenVBand="0" w:oddHBand="0" w:evenHBand="0" w:firstRowFirstColumn="0" w:firstRowLastColumn="0" w:lastRowFirstColumn="0" w:lastRowLastColumn="0"/>
            <w:tcW w:w="755" w:type="pct"/>
          </w:tcPr>
          <w:p w14:paraId="49DB3368" w14:textId="77777777" w:rsidR="004E45CF" w:rsidRPr="00CF3E3D" w:rsidRDefault="004E45CF" w:rsidP="007007AC">
            <w:pPr>
              <w:spacing w:before="85" w:line="288" w:lineRule="auto"/>
              <w:jc w:val="center"/>
              <w:rPr>
                <w:sz w:val="18"/>
                <w:szCs w:val="18"/>
              </w:rPr>
            </w:pPr>
            <w:r w:rsidRPr="00CF3E3D">
              <w:rPr>
                <w:sz w:val="18"/>
                <w:szCs w:val="18"/>
              </w:rPr>
              <w:t>72.3 (70.3, 74.3)</w:t>
            </w:r>
          </w:p>
        </w:tc>
        <w:tc>
          <w:tcPr>
            <w:cnfStyle w:val="000001000000" w:firstRow="0" w:lastRow="0" w:firstColumn="0" w:lastColumn="0" w:oddVBand="0" w:evenVBand="1" w:oddHBand="0" w:evenHBand="0" w:firstRowFirstColumn="0" w:firstRowLastColumn="0" w:lastRowFirstColumn="0" w:lastRowLastColumn="0"/>
            <w:tcW w:w="755" w:type="pct"/>
          </w:tcPr>
          <w:p w14:paraId="794FF186" w14:textId="77777777" w:rsidR="004E45CF" w:rsidRPr="00CF3E3D" w:rsidRDefault="004E45CF" w:rsidP="007007AC">
            <w:pPr>
              <w:spacing w:before="85" w:line="288" w:lineRule="auto"/>
              <w:jc w:val="center"/>
              <w:rPr>
                <w:b/>
                <w:bCs/>
                <w:sz w:val="18"/>
                <w:szCs w:val="18"/>
              </w:rPr>
            </w:pPr>
            <w:r w:rsidRPr="00CF3E3D">
              <w:rPr>
                <w:sz w:val="18"/>
                <w:szCs w:val="18"/>
              </w:rPr>
              <w:t>79.9 (78.6, 81.0)</w:t>
            </w:r>
          </w:p>
        </w:tc>
        <w:tc>
          <w:tcPr>
            <w:cnfStyle w:val="000010000000" w:firstRow="0" w:lastRow="0" w:firstColumn="0" w:lastColumn="0" w:oddVBand="1" w:evenVBand="0" w:oddHBand="0" w:evenHBand="0" w:firstRowFirstColumn="0" w:firstRowLastColumn="0" w:lastRowFirstColumn="0" w:lastRowLastColumn="0"/>
            <w:tcW w:w="755" w:type="pct"/>
          </w:tcPr>
          <w:p w14:paraId="0AF18C3B" w14:textId="77777777" w:rsidR="004E45CF" w:rsidRPr="00CF3E3D" w:rsidRDefault="004E45CF" w:rsidP="007007AC">
            <w:pPr>
              <w:spacing w:before="85" w:line="288" w:lineRule="auto"/>
              <w:jc w:val="center"/>
              <w:rPr>
                <w:sz w:val="18"/>
                <w:szCs w:val="18"/>
              </w:rPr>
            </w:pPr>
            <w:r w:rsidRPr="00CF3E3D">
              <w:rPr>
                <w:sz w:val="18"/>
                <w:szCs w:val="18"/>
              </w:rPr>
              <w:t>86.1 (85.0, 87.0)</w:t>
            </w:r>
          </w:p>
        </w:tc>
      </w:tr>
      <w:tr w:rsidR="004E45CF" w:rsidRPr="00CF3E3D" w14:paraId="16FCFF0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636B6AA"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The University of Notre Dame Australia</w:t>
            </w:r>
          </w:p>
        </w:tc>
        <w:tc>
          <w:tcPr>
            <w:cnfStyle w:val="000001000000" w:firstRow="0" w:lastRow="0" w:firstColumn="0" w:lastColumn="0" w:oddVBand="0" w:evenVBand="1" w:oddHBand="0" w:evenHBand="0" w:firstRowFirstColumn="0" w:firstRowLastColumn="0" w:lastRowFirstColumn="0" w:lastRowLastColumn="0"/>
            <w:tcW w:w="709" w:type="pct"/>
          </w:tcPr>
          <w:p w14:paraId="7C0A3E58" w14:textId="77777777" w:rsidR="004E45CF" w:rsidRPr="00CF3E3D" w:rsidRDefault="004E45CF" w:rsidP="007007AC">
            <w:pPr>
              <w:spacing w:before="85" w:line="288" w:lineRule="auto"/>
              <w:jc w:val="center"/>
              <w:rPr>
                <w:b/>
                <w:bCs/>
                <w:sz w:val="18"/>
                <w:szCs w:val="18"/>
              </w:rPr>
            </w:pPr>
            <w:r w:rsidRPr="00CF3E3D">
              <w:rPr>
                <w:sz w:val="18"/>
                <w:szCs w:val="18"/>
              </w:rPr>
              <w:t>77.1 (73.7, 80.1)</w:t>
            </w:r>
          </w:p>
        </w:tc>
        <w:tc>
          <w:tcPr>
            <w:cnfStyle w:val="000010000000" w:firstRow="0" w:lastRow="0" w:firstColumn="0" w:lastColumn="0" w:oddVBand="1" w:evenVBand="0" w:oddHBand="0" w:evenHBand="0" w:firstRowFirstColumn="0" w:firstRowLastColumn="0" w:lastRowFirstColumn="0" w:lastRowLastColumn="0"/>
            <w:tcW w:w="755" w:type="pct"/>
          </w:tcPr>
          <w:p w14:paraId="3006A4B7" w14:textId="77777777" w:rsidR="004E45CF" w:rsidRPr="00CF3E3D" w:rsidRDefault="004E45CF" w:rsidP="007007AC">
            <w:pPr>
              <w:spacing w:before="85" w:line="288" w:lineRule="auto"/>
              <w:jc w:val="center"/>
              <w:rPr>
                <w:sz w:val="18"/>
                <w:szCs w:val="18"/>
              </w:rPr>
            </w:pPr>
            <w:r w:rsidRPr="00CF3E3D">
              <w:rPr>
                <w:sz w:val="18"/>
                <w:szCs w:val="18"/>
              </w:rPr>
              <w:t>85.5 (82.4, 88.0)</w:t>
            </w:r>
          </w:p>
        </w:tc>
        <w:tc>
          <w:tcPr>
            <w:cnfStyle w:val="000001000000" w:firstRow="0" w:lastRow="0" w:firstColumn="0" w:lastColumn="0" w:oddVBand="0" w:evenVBand="1" w:oddHBand="0" w:evenHBand="0" w:firstRowFirstColumn="0" w:firstRowLastColumn="0" w:lastRowFirstColumn="0" w:lastRowLastColumn="0"/>
            <w:tcW w:w="755" w:type="pct"/>
          </w:tcPr>
          <w:p w14:paraId="09E9C5F1" w14:textId="77777777" w:rsidR="004E45CF" w:rsidRPr="00CF3E3D" w:rsidRDefault="004E45CF" w:rsidP="007007AC">
            <w:pPr>
              <w:spacing w:before="85" w:line="288" w:lineRule="auto"/>
              <w:jc w:val="center"/>
              <w:rPr>
                <w:b/>
                <w:bCs/>
                <w:sz w:val="18"/>
                <w:szCs w:val="18"/>
              </w:rPr>
            </w:pPr>
            <w:r w:rsidRPr="00CF3E3D">
              <w:rPr>
                <w:sz w:val="18"/>
                <w:szCs w:val="18"/>
              </w:rPr>
              <w:t>89.5 (87.4, 91.2)</w:t>
            </w:r>
          </w:p>
        </w:tc>
        <w:tc>
          <w:tcPr>
            <w:cnfStyle w:val="000010000000" w:firstRow="0" w:lastRow="0" w:firstColumn="0" w:lastColumn="0" w:oddVBand="1" w:evenVBand="0" w:oddHBand="0" w:evenHBand="0" w:firstRowFirstColumn="0" w:firstRowLastColumn="0" w:lastRowFirstColumn="0" w:lastRowLastColumn="0"/>
            <w:tcW w:w="755" w:type="pct"/>
          </w:tcPr>
          <w:p w14:paraId="685B70A3" w14:textId="77777777" w:rsidR="004E45CF" w:rsidRPr="00CF3E3D" w:rsidRDefault="004E45CF" w:rsidP="007007AC">
            <w:pPr>
              <w:spacing w:before="85" w:line="288" w:lineRule="auto"/>
              <w:jc w:val="center"/>
              <w:rPr>
                <w:sz w:val="18"/>
                <w:szCs w:val="18"/>
              </w:rPr>
            </w:pPr>
            <w:r w:rsidRPr="00CF3E3D">
              <w:rPr>
                <w:sz w:val="18"/>
                <w:szCs w:val="18"/>
              </w:rPr>
              <w:t>91.4 (89.3, 92.9)</w:t>
            </w:r>
          </w:p>
        </w:tc>
      </w:tr>
      <w:tr w:rsidR="004E45CF" w:rsidRPr="00CF3E3D" w14:paraId="2A91156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2CF580E"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The University of Queensland</w:t>
            </w:r>
          </w:p>
        </w:tc>
        <w:tc>
          <w:tcPr>
            <w:cnfStyle w:val="000001000000" w:firstRow="0" w:lastRow="0" w:firstColumn="0" w:lastColumn="0" w:oddVBand="0" w:evenVBand="1" w:oddHBand="0" w:evenHBand="0" w:firstRowFirstColumn="0" w:firstRowLastColumn="0" w:lastRowFirstColumn="0" w:lastRowLastColumn="0"/>
            <w:tcW w:w="709" w:type="pct"/>
          </w:tcPr>
          <w:p w14:paraId="6771B546" w14:textId="77777777" w:rsidR="004E45CF" w:rsidRPr="00CF3E3D" w:rsidRDefault="004E45CF" w:rsidP="007007AC">
            <w:pPr>
              <w:spacing w:before="85" w:line="288" w:lineRule="auto"/>
              <w:jc w:val="center"/>
              <w:rPr>
                <w:b/>
                <w:bCs/>
                <w:sz w:val="18"/>
                <w:szCs w:val="18"/>
              </w:rPr>
            </w:pPr>
            <w:r w:rsidRPr="00CF3E3D">
              <w:rPr>
                <w:sz w:val="18"/>
                <w:szCs w:val="18"/>
              </w:rPr>
              <w:t>71.4 (69.6, 73.1)</w:t>
            </w:r>
          </w:p>
        </w:tc>
        <w:tc>
          <w:tcPr>
            <w:cnfStyle w:val="000010000000" w:firstRow="0" w:lastRow="0" w:firstColumn="0" w:lastColumn="0" w:oddVBand="1" w:evenVBand="0" w:oddHBand="0" w:evenHBand="0" w:firstRowFirstColumn="0" w:firstRowLastColumn="0" w:lastRowFirstColumn="0" w:lastRowLastColumn="0"/>
            <w:tcW w:w="755" w:type="pct"/>
          </w:tcPr>
          <w:p w14:paraId="1044345F" w14:textId="77777777" w:rsidR="004E45CF" w:rsidRPr="00CF3E3D" w:rsidRDefault="004E45CF" w:rsidP="007007AC">
            <w:pPr>
              <w:spacing w:before="85" w:line="288" w:lineRule="auto"/>
              <w:jc w:val="center"/>
              <w:rPr>
                <w:sz w:val="18"/>
                <w:szCs w:val="18"/>
              </w:rPr>
            </w:pPr>
            <w:r w:rsidRPr="00CF3E3D">
              <w:rPr>
                <w:sz w:val="18"/>
                <w:szCs w:val="18"/>
              </w:rPr>
              <w:t>81.0 (79.4, 82.5)</w:t>
            </w:r>
          </w:p>
        </w:tc>
        <w:tc>
          <w:tcPr>
            <w:cnfStyle w:val="000001000000" w:firstRow="0" w:lastRow="0" w:firstColumn="0" w:lastColumn="0" w:oddVBand="0" w:evenVBand="1" w:oddHBand="0" w:evenHBand="0" w:firstRowFirstColumn="0" w:firstRowLastColumn="0" w:lastRowFirstColumn="0" w:lastRowLastColumn="0"/>
            <w:tcW w:w="755" w:type="pct"/>
          </w:tcPr>
          <w:p w14:paraId="2399E73F" w14:textId="77777777" w:rsidR="004E45CF" w:rsidRPr="00CF3E3D" w:rsidRDefault="004E45CF" w:rsidP="007007AC">
            <w:pPr>
              <w:spacing w:before="85" w:line="288" w:lineRule="auto"/>
              <w:jc w:val="center"/>
              <w:rPr>
                <w:b/>
                <w:bCs/>
                <w:sz w:val="18"/>
                <w:szCs w:val="18"/>
              </w:rPr>
            </w:pPr>
            <w:r w:rsidRPr="00CF3E3D">
              <w:rPr>
                <w:sz w:val="18"/>
                <w:szCs w:val="18"/>
              </w:rPr>
              <w:t>85.6 (84.4, 86.6)</w:t>
            </w:r>
          </w:p>
        </w:tc>
        <w:tc>
          <w:tcPr>
            <w:cnfStyle w:val="000010000000" w:firstRow="0" w:lastRow="0" w:firstColumn="0" w:lastColumn="0" w:oddVBand="1" w:evenVBand="0" w:oddHBand="0" w:evenHBand="0" w:firstRowFirstColumn="0" w:firstRowLastColumn="0" w:lastRowFirstColumn="0" w:lastRowLastColumn="0"/>
            <w:tcW w:w="755" w:type="pct"/>
          </w:tcPr>
          <w:p w14:paraId="62492158" w14:textId="77777777" w:rsidR="004E45CF" w:rsidRPr="00CF3E3D" w:rsidRDefault="004E45CF" w:rsidP="007007AC">
            <w:pPr>
              <w:spacing w:before="85" w:line="288" w:lineRule="auto"/>
              <w:jc w:val="center"/>
              <w:rPr>
                <w:sz w:val="18"/>
                <w:szCs w:val="18"/>
              </w:rPr>
            </w:pPr>
            <w:r w:rsidRPr="00CF3E3D">
              <w:rPr>
                <w:sz w:val="18"/>
                <w:szCs w:val="18"/>
              </w:rPr>
              <w:t>91.1 (90.1, 91.9)</w:t>
            </w:r>
          </w:p>
        </w:tc>
      </w:tr>
      <w:tr w:rsidR="004E45CF" w:rsidRPr="00CF3E3D" w14:paraId="5624AA9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AEF8BA8"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The University of South Australia</w:t>
            </w:r>
          </w:p>
        </w:tc>
        <w:tc>
          <w:tcPr>
            <w:cnfStyle w:val="000001000000" w:firstRow="0" w:lastRow="0" w:firstColumn="0" w:lastColumn="0" w:oddVBand="0" w:evenVBand="1" w:oddHBand="0" w:evenHBand="0" w:firstRowFirstColumn="0" w:firstRowLastColumn="0" w:lastRowFirstColumn="0" w:lastRowLastColumn="0"/>
            <w:tcW w:w="709" w:type="pct"/>
          </w:tcPr>
          <w:p w14:paraId="72CD6114" w14:textId="77777777" w:rsidR="004E45CF" w:rsidRPr="00CF3E3D" w:rsidRDefault="004E45CF" w:rsidP="007007AC">
            <w:pPr>
              <w:spacing w:before="85" w:line="288" w:lineRule="auto"/>
              <w:jc w:val="center"/>
              <w:rPr>
                <w:b/>
                <w:bCs/>
                <w:sz w:val="18"/>
                <w:szCs w:val="18"/>
              </w:rPr>
            </w:pPr>
            <w:r w:rsidRPr="00CF3E3D">
              <w:rPr>
                <w:sz w:val="18"/>
                <w:szCs w:val="18"/>
              </w:rPr>
              <w:t>74.6 (72.7, 76.5)</w:t>
            </w:r>
          </w:p>
        </w:tc>
        <w:tc>
          <w:tcPr>
            <w:cnfStyle w:val="000010000000" w:firstRow="0" w:lastRow="0" w:firstColumn="0" w:lastColumn="0" w:oddVBand="1" w:evenVBand="0" w:oddHBand="0" w:evenHBand="0" w:firstRowFirstColumn="0" w:firstRowLastColumn="0" w:lastRowFirstColumn="0" w:lastRowLastColumn="0"/>
            <w:tcW w:w="755" w:type="pct"/>
          </w:tcPr>
          <w:p w14:paraId="4C122D2F" w14:textId="77777777" w:rsidR="004E45CF" w:rsidRPr="00CF3E3D" w:rsidRDefault="004E45CF" w:rsidP="007007AC">
            <w:pPr>
              <w:spacing w:before="85" w:line="288" w:lineRule="auto"/>
              <w:jc w:val="center"/>
              <w:rPr>
                <w:sz w:val="18"/>
                <w:szCs w:val="18"/>
              </w:rPr>
            </w:pPr>
            <w:r w:rsidRPr="00CF3E3D">
              <w:rPr>
                <w:sz w:val="18"/>
                <w:szCs w:val="18"/>
              </w:rPr>
              <w:t>79.6 (77.8, 81.2)</w:t>
            </w:r>
          </w:p>
        </w:tc>
        <w:tc>
          <w:tcPr>
            <w:cnfStyle w:val="000001000000" w:firstRow="0" w:lastRow="0" w:firstColumn="0" w:lastColumn="0" w:oddVBand="0" w:evenVBand="1" w:oddHBand="0" w:evenHBand="0" w:firstRowFirstColumn="0" w:firstRowLastColumn="0" w:lastRowFirstColumn="0" w:lastRowLastColumn="0"/>
            <w:tcW w:w="755" w:type="pct"/>
          </w:tcPr>
          <w:p w14:paraId="705C33B8" w14:textId="77777777" w:rsidR="004E45CF" w:rsidRPr="00CF3E3D" w:rsidRDefault="004E45CF" w:rsidP="007007AC">
            <w:pPr>
              <w:spacing w:before="85" w:line="288" w:lineRule="auto"/>
              <w:jc w:val="center"/>
              <w:rPr>
                <w:b/>
                <w:bCs/>
                <w:sz w:val="18"/>
                <w:szCs w:val="18"/>
              </w:rPr>
            </w:pPr>
            <w:r w:rsidRPr="00CF3E3D">
              <w:rPr>
                <w:sz w:val="18"/>
                <w:szCs w:val="18"/>
              </w:rPr>
              <w:t>88.2 (87.1, 89.2)</w:t>
            </w:r>
          </w:p>
        </w:tc>
        <w:tc>
          <w:tcPr>
            <w:cnfStyle w:val="000010000000" w:firstRow="0" w:lastRow="0" w:firstColumn="0" w:lastColumn="0" w:oddVBand="1" w:evenVBand="0" w:oddHBand="0" w:evenHBand="0" w:firstRowFirstColumn="0" w:firstRowLastColumn="0" w:lastRowFirstColumn="0" w:lastRowLastColumn="0"/>
            <w:tcW w:w="755" w:type="pct"/>
          </w:tcPr>
          <w:p w14:paraId="1C391D45" w14:textId="77777777" w:rsidR="004E45CF" w:rsidRPr="00CF3E3D" w:rsidRDefault="004E45CF" w:rsidP="007007AC">
            <w:pPr>
              <w:spacing w:before="85" w:line="288" w:lineRule="auto"/>
              <w:jc w:val="center"/>
              <w:rPr>
                <w:sz w:val="18"/>
                <w:szCs w:val="18"/>
              </w:rPr>
            </w:pPr>
            <w:r w:rsidRPr="00CF3E3D">
              <w:rPr>
                <w:sz w:val="18"/>
                <w:szCs w:val="18"/>
              </w:rPr>
              <w:t>88.8 (87.7, 89.7)</w:t>
            </w:r>
          </w:p>
        </w:tc>
      </w:tr>
      <w:tr w:rsidR="004E45CF" w:rsidRPr="00CF3E3D" w14:paraId="4D74906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7B26556"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The University of Sydney</w:t>
            </w:r>
          </w:p>
        </w:tc>
        <w:tc>
          <w:tcPr>
            <w:cnfStyle w:val="000001000000" w:firstRow="0" w:lastRow="0" w:firstColumn="0" w:lastColumn="0" w:oddVBand="0" w:evenVBand="1" w:oddHBand="0" w:evenHBand="0" w:firstRowFirstColumn="0" w:firstRowLastColumn="0" w:lastRowFirstColumn="0" w:lastRowLastColumn="0"/>
            <w:tcW w:w="709" w:type="pct"/>
          </w:tcPr>
          <w:p w14:paraId="71E66A55" w14:textId="77777777" w:rsidR="004E45CF" w:rsidRPr="00CF3E3D" w:rsidRDefault="004E45CF" w:rsidP="007007AC">
            <w:pPr>
              <w:spacing w:before="85" w:line="288" w:lineRule="auto"/>
              <w:jc w:val="center"/>
              <w:rPr>
                <w:b/>
                <w:bCs/>
                <w:sz w:val="18"/>
                <w:szCs w:val="18"/>
              </w:rPr>
            </w:pPr>
            <w:r w:rsidRPr="00CF3E3D">
              <w:rPr>
                <w:sz w:val="18"/>
                <w:szCs w:val="18"/>
              </w:rPr>
              <w:t>71.8 (70.3, 73.1)</w:t>
            </w:r>
          </w:p>
        </w:tc>
        <w:tc>
          <w:tcPr>
            <w:cnfStyle w:val="000010000000" w:firstRow="0" w:lastRow="0" w:firstColumn="0" w:lastColumn="0" w:oddVBand="1" w:evenVBand="0" w:oddHBand="0" w:evenHBand="0" w:firstRowFirstColumn="0" w:firstRowLastColumn="0" w:lastRowFirstColumn="0" w:lastRowLastColumn="0"/>
            <w:tcW w:w="755" w:type="pct"/>
          </w:tcPr>
          <w:p w14:paraId="2F8A33C5" w14:textId="77777777" w:rsidR="004E45CF" w:rsidRPr="00CF3E3D" w:rsidRDefault="004E45CF" w:rsidP="007007AC">
            <w:pPr>
              <w:spacing w:before="85" w:line="288" w:lineRule="auto"/>
              <w:jc w:val="center"/>
              <w:rPr>
                <w:sz w:val="18"/>
                <w:szCs w:val="18"/>
              </w:rPr>
            </w:pPr>
            <w:r w:rsidRPr="00CF3E3D">
              <w:rPr>
                <w:sz w:val="18"/>
                <w:szCs w:val="18"/>
              </w:rPr>
              <w:t>83.7 (82.2, 85.1)</w:t>
            </w:r>
          </w:p>
        </w:tc>
        <w:tc>
          <w:tcPr>
            <w:cnfStyle w:val="000001000000" w:firstRow="0" w:lastRow="0" w:firstColumn="0" w:lastColumn="0" w:oddVBand="0" w:evenVBand="1" w:oddHBand="0" w:evenHBand="0" w:firstRowFirstColumn="0" w:firstRowLastColumn="0" w:lastRowFirstColumn="0" w:lastRowLastColumn="0"/>
            <w:tcW w:w="755" w:type="pct"/>
          </w:tcPr>
          <w:p w14:paraId="63F0CDD4" w14:textId="77777777" w:rsidR="004E45CF" w:rsidRPr="00CF3E3D" w:rsidRDefault="004E45CF" w:rsidP="007007AC">
            <w:pPr>
              <w:spacing w:before="85" w:line="288" w:lineRule="auto"/>
              <w:jc w:val="center"/>
              <w:rPr>
                <w:b/>
                <w:bCs/>
                <w:sz w:val="18"/>
                <w:szCs w:val="18"/>
              </w:rPr>
            </w:pPr>
            <w:r w:rsidRPr="00CF3E3D">
              <w:rPr>
                <w:sz w:val="18"/>
                <w:szCs w:val="18"/>
              </w:rPr>
              <w:t>86.0 (85.1, 86.7)</w:t>
            </w:r>
          </w:p>
        </w:tc>
        <w:tc>
          <w:tcPr>
            <w:cnfStyle w:val="000010000000" w:firstRow="0" w:lastRow="0" w:firstColumn="0" w:lastColumn="0" w:oddVBand="1" w:evenVBand="0" w:oddHBand="0" w:evenHBand="0" w:firstRowFirstColumn="0" w:firstRowLastColumn="0" w:lastRowFirstColumn="0" w:lastRowLastColumn="0"/>
            <w:tcW w:w="755" w:type="pct"/>
          </w:tcPr>
          <w:p w14:paraId="28151FE0" w14:textId="77777777" w:rsidR="004E45CF" w:rsidRPr="00CF3E3D" w:rsidRDefault="004E45CF" w:rsidP="007007AC">
            <w:pPr>
              <w:spacing w:before="85" w:line="288" w:lineRule="auto"/>
              <w:jc w:val="center"/>
              <w:rPr>
                <w:sz w:val="18"/>
                <w:szCs w:val="18"/>
              </w:rPr>
            </w:pPr>
            <w:r w:rsidRPr="00CF3E3D">
              <w:rPr>
                <w:sz w:val="18"/>
                <w:szCs w:val="18"/>
              </w:rPr>
              <w:t>88.9 (87.8, 89.9)</w:t>
            </w:r>
          </w:p>
        </w:tc>
      </w:tr>
      <w:tr w:rsidR="004E45CF" w:rsidRPr="00CF3E3D" w14:paraId="0614FE2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BD43921"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The University of Western Australia</w:t>
            </w:r>
          </w:p>
        </w:tc>
        <w:tc>
          <w:tcPr>
            <w:cnfStyle w:val="000001000000" w:firstRow="0" w:lastRow="0" w:firstColumn="0" w:lastColumn="0" w:oddVBand="0" w:evenVBand="1" w:oddHBand="0" w:evenHBand="0" w:firstRowFirstColumn="0" w:firstRowLastColumn="0" w:lastRowFirstColumn="0" w:lastRowLastColumn="0"/>
            <w:tcW w:w="709" w:type="pct"/>
          </w:tcPr>
          <w:p w14:paraId="67A05092" w14:textId="77777777" w:rsidR="004E45CF" w:rsidRPr="00CF3E3D" w:rsidRDefault="004E45CF" w:rsidP="007007AC">
            <w:pPr>
              <w:spacing w:before="85" w:line="288" w:lineRule="auto"/>
              <w:jc w:val="center"/>
              <w:rPr>
                <w:b/>
                <w:bCs/>
                <w:sz w:val="18"/>
                <w:szCs w:val="18"/>
              </w:rPr>
            </w:pPr>
            <w:r w:rsidRPr="00CF3E3D">
              <w:rPr>
                <w:sz w:val="18"/>
                <w:szCs w:val="18"/>
              </w:rPr>
              <w:t>57.2 (53.8, 60.6)</w:t>
            </w:r>
          </w:p>
        </w:tc>
        <w:tc>
          <w:tcPr>
            <w:cnfStyle w:val="000010000000" w:firstRow="0" w:lastRow="0" w:firstColumn="0" w:lastColumn="0" w:oddVBand="1" w:evenVBand="0" w:oddHBand="0" w:evenHBand="0" w:firstRowFirstColumn="0" w:firstRowLastColumn="0" w:lastRowFirstColumn="0" w:lastRowLastColumn="0"/>
            <w:tcW w:w="755" w:type="pct"/>
          </w:tcPr>
          <w:p w14:paraId="0C3FE9FA" w14:textId="77777777" w:rsidR="004E45CF" w:rsidRPr="00CF3E3D" w:rsidRDefault="004E45CF" w:rsidP="007007AC">
            <w:pPr>
              <w:spacing w:before="85" w:line="288" w:lineRule="auto"/>
              <w:jc w:val="center"/>
              <w:rPr>
                <w:sz w:val="18"/>
                <w:szCs w:val="18"/>
              </w:rPr>
            </w:pPr>
            <w:r w:rsidRPr="00CF3E3D">
              <w:rPr>
                <w:sz w:val="18"/>
                <w:szCs w:val="18"/>
              </w:rPr>
              <w:t>72.5 (69.2, 75.4)</w:t>
            </w:r>
          </w:p>
        </w:tc>
        <w:tc>
          <w:tcPr>
            <w:cnfStyle w:val="000001000000" w:firstRow="0" w:lastRow="0" w:firstColumn="0" w:lastColumn="0" w:oddVBand="0" w:evenVBand="1" w:oddHBand="0" w:evenHBand="0" w:firstRowFirstColumn="0" w:firstRowLastColumn="0" w:lastRowFirstColumn="0" w:lastRowLastColumn="0"/>
            <w:tcW w:w="755" w:type="pct"/>
          </w:tcPr>
          <w:p w14:paraId="0AFFD5BE" w14:textId="77777777" w:rsidR="004E45CF" w:rsidRPr="00CF3E3D" w:rsidRDefault="004E45CF" w:rsidP="007007AC">
            <w:pPr>
              <w:spacing w:before="85" w:line="288" w:lineRule="auto"/>
              <w:jc w:val="center"/>
              <w:rPr>
                <w:b/>
                <w:bCs/>
                <w:sz w:val="18"/>
                <w:szCs w:val="18"/>
              </w:rPr>
            </w:pPr>
            <w:r w:rsidRPr="00CF3E3D">
              <w:rPr>
                <w:sz w:val="18"/>
                <w:szCs w:val="18"/>
              </w:rPr>
              <w:t>83.7 (81.9, 85.4)</w:t>
            </w:r>
          </w:p>
        </w:tc>
        <w:tc>
          <w:tcPr>
            <w:cnfStyle w:val="000010000000" w:firstRow="0" w:lastRow="0" w:firstColumn="0" w:lastColumn="0" w:oddVBand="1" w:evenVBand="0" w:oddHBand="0" w:evenHBand="0" w:firstRowFirstColumn="0" w:firstRowLastColumn="0" w:lastRowFirstColumn="0" w:lastRowLastColumn="0"/>
            <w:tcW w:w="755" w:type="pct"/>
          </w:tcPr>
          <w:p w14:paraId="13B79D2A" w14:textId="77777777" w:rsidR="004E45CF" w:rsidRPr="00CF3E3D" w:rsidRDefault="004E45CF" w:rsidP="007007AC">
            <w:pPr>
              <w:spacing w:before="85" w:line="288" w:lineRule="auto"/>
              <w:jc w:val="center"/>
              <w:rPr>
                <w:sz w:val="18"/>
                <w:szCs w:val="18"/>
              </w:rPr>
            </w:pPr>
            <w:r w:rsidRPr="00CF3E3D">
              <w:rPr>
                <w:sz w:val="18"/>
                <w:szCs w:val="18"/>
              </w:rPr>
              <w:t>86.7 (84.9, 88.2)</w:t>
            </w:r>
          </w:p>
        </w:tc>
      </w:tr>
      <w:tr w:rsidR="004E45CF" w:rsidRPr="00CF3E3D" w14:paraId="160B0FC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E669985"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Torrens University</w:t>
            </w:r>
          </w:p>
        </w:tc>
        <w:tc>
          <w:tcPr>
            <w:cnfStyle w:val="000001000000" w:firstRow="0" w:lastRow="0" w:firstColumn="0" w:lastColumn="0" w:oddVBand="0" w:evenVBand="1" w:oddHBand="0" w:evenHBand="0" w:firstRowFirstColumn="0" w:firstRowLastColumn="0" w:lastRowFirstColumn="0" w:lastRowLastColumn="0"/>
            <w:tcW w:w="709" w:type="pct"/>
          </w:tcPr>
          <w:p w14:paraId="711C797A" w14:textId="77777777" w:rsidR="004E45CF" w:rsidRPr="00CF3E3D" w:rsidRDefault="004E45CF" w:rsidP="007007AC">
            <w:pPr>
              <w:spacing w:before="85" w:line="288" w:lineRule="auto"/>
              <w:jc w:val="center"/>
              <w:rPr>
                <w:b/>
                <w:bCs/>
                <w:sz w:val="18"/>
                <w:szCs w:val="18"/>
              </w:rPr>
            </w:pPr>
            <w:r w:rsidRPr="00CF3E3D">
              <w:rPr>
                <w:sz w:val="18"/>
                <w:szCs w:val="18"/>
              </w:rPr>
              <w:t>59.1 (55.9, 62.2)</w:t>
            </w:r>
          </w:p>
        </w:tc>
        <w:tc>
          <w:tcPr>
            <w:cnfStyle w:val="000010000000" w:firstRow="0" w:lastRow="0" w:firstColumn="0" w:lastColumn="0" w:oddVBand="1" w:evenVBand="0" w:oddHBand="0" w:evenHBand="0" w:firstRowFirstColumn="0" w:firstRowLastColumn="0" w:lastRowFirstColumn="0" w:lastRowLastColumn="0"/>
            <w:tcW w:w="755" w:type="pct"/>
          </w:tcPr>
          <w:p w14:paraId="6C6D2864" w14:textId="77777777" w:rsidR="004E45CF" w:rsidRPr="00CF3E3D" w:rsidRDefault="004E45CF" w:rsidP="007007AC">
            <w:pPr>
              <w:spacing w:before="85" w:line="288" w:lineRule="auto"/>
              <w:jc w:val="center"/>
              <w:rPr>
                <w:sz w:val="18"/>
                <w:szCs w:val="18"/>
              </w:rPr>
            </w:pPr>
            <w:r w:rsidRPr="00CF3E3D">
              <w:rPr>
                <w:sz w:val="18"/>
                <w:szCs w:val="18"/>
              </w:rPr>
              <w:t>68.4 (65.2, 71.5)</w:t>
            </w:r>
          </w:p>
        </w:tc>
        <w:tc>
          <w:tcPr>
            <w:cnfStyle w:val="000001000000" w:firstRow="0" w:lastRow="0" w:firstColumn="0" w:lastColumn="0" w:oddVBand="0" w:evenVBand="1" w:oddHBand="0" w:evenHBand="0" w:firstRowFirstColumn="0" w:firstRowLastColumn="0" w:lastRowFirstColumn="0" w:lastRowLastColumn="0"/>
            <w:tcW w:w="755" w:type="pct"/>
          </w:tcPr>
          <w:p w14:paraId="32B373E6" w14:textId="77777777" w:rsidR="004E45CF" w:rsidRPr="00CF3E3D" w:rsidRDefault="004E45CF" w:rsidP="007007AC">
            <w:pPr>
              <w:spacing w:before="85" w:line="288" w:lineRule="auto"/>
              <w:jc w:val="center"/>
              <w:rPr>
                <w:b/>
                <w:bCs/>
                <w:sz w:val="18"/>
                <w:szCs w:val="18"/>
              </w:rPr>
            </w:pPr>
            <w:r w:rsidRPr="00CF3E3D">
              <w:rPr>
                <w:sz w:val="18"/>
                <w:szCs w:val="18"/>
              </w:rPr>
              <w:t>79.4 (77.2, 81.3)</w:t>
            </w:r>
          </w:p>
        </w:tc>
        <w:tc>
          <w:tcPr>
            <w:cnfStyle w:val="000010000000" w:firstRow="0" w:lastRow="0" w:firstColumn="0" w:lastColumn="0" w:oddVBand="1" w:evenVBand="0" w:oddHBand="0" w:evenHBand="0" w:firstRowFirstColumn="0" w:firstRowLastColumn="0" w:lastRowFirstColumn="0" w:lastRowLastColumn="0"/>
            <w:tcW w:w="755" w:type="pct"/>
          </w:tcPr>
          <w:p w14:paraId="297203DD" w14:textId="77777777" w:rsidR="004E45CF" w:rsidRPr="00CF3E3D" w:rsidRDefault="004E45CF" w:rsidP="007007AC">
            <w:pPr>
              <w:spacing w:before="85" w:line="288" w:lineRule="auto"/>
              <w:jc w:val="center"/>
              <w:rPr>
                <w:sz w:val="18"/>
                <w:szCs w:val="18"/>
              </w:rPr>
            </w:pPr>
            <w:r w:rsidRPr="00CF3E3D">
              <w:rPr>
                <w:sz w:val="18"/>
                <w:szCs w:val="18"/>
              </w:rPr>
              <w:t>83.8 (81.7, 85.5)</w:t>
            </w:r>
          </w:p>
        </w:tc>
      </w:tr>
      <w:tr w:rsidR="004E45CF" w:rsidRPr="00CF3E3D" w14:paraId="7E8C43C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169EF22"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Canberra</w:t>
            </w:r>
          </w:p>
        </w:tc>
        <w:tc>
          <w:tcPr>
            <w:cnfStyle w:val="000001000000" w:firstRow="0" w:lastRow="0" w:firstColumn="0" w:lastColumn="0" w:oddVBand="0" w:evenVBand="1" w:oddHBand="0" w:evenHBand="0" w:firstRowFirstColumn="0" w:firstRowLastColumn="0" w:lastRowFirstColumn="0" w:lastRowLastColumn="0"/>
            <w:tcW w:w="709" w:type="pct"/>
          </w:tcPr>
          <w:p w14:paraId="1807C604" w14:textId="77777777" w:rsidR="004E45CF" w:rsidRPr="00CF3E3D" w:rsidRDefault="004E45CF" w:rsidP="007007AC">
            <w:pPr>
              <w:spacing w:before="85" w:line="288" w:lineRule="auto"/>
              <w:jc w:val="center"/>
              <w:rPr>
                <w:b/>
                <w:bCs/>
                <w:sz w:val="18"/>
                <w:szCs w:val="18"/>
              </w:rPr>
            </w:pPr>
            <w:r w:rsidRPr="00CF3E3D">
              <w:rPr>
                <w:sz w:val="18"/>
                <w:szCs w:val="18"/>
              </w:rPr>
              <w:t>73.5 (70.9, 75.9)</w:t>
            </w:r>
          </w:p>
        </w:tc>
        <w:tc>
          <w:tcPr>
            <w:cnfStyle w:val="000010000000" w:firstRow="0" w:lastRow="0" w:firstColumn="0" w:lastColumn="0" w:oddVBand="1" w:evenVBand="0" w:oddHBand="0" w:evenHBand="0" w:firstRowFirstColumn="0" w:firstRowLastColumn="0" w:lastRowFirstColumn="0" w:lastRowLastColumn="0"/>
            <w:tcW w:w="755" w:type="pct"/>
          </w:tcPr>
          <w:p w14:paraId="7D44590C" w14:textId="77777777" w:rsidR="004E45CF" w:rsidRPr="00CF3E3D" w:rsidRDefault="004E45CF" w:rsidP="007007AC">
            <w:pPr>
              <w:spacing w:before="85" w:line="288" w:lineRule="auto"/>
              <w:jc w:val="center"/>
              <w:rPr>
                <w:sz w:val="18"/>
                <w:szCs w:val="18"/>
              </w:rPr>
            </w:pPr>
            <w:r w:rsidRPr="00CF3E3D">
              <w:rPr>
                <w:sz w:val="18"/>
                <w:szCs w:val="18"/>
              </w:rPr>
              <w:t>82.3 (80.0, 84.4)</w:t>
            </w:r>
          </w:p>
        </w:tc>
        <w:tc>
          <w:tcPr>
            <w:cnfStyle w:val="000001000000" w:firstRow="0" w:lastRow="0" w:firstColumn="0" w:lastColumn="0" w:oddVBand="0" w:evenVBand="1" w:oddHBand="0" w:evenHBand="0" w:firstRowFirstColumn="0" w:firstRowLastColumn="0" w:lastRowFirstColumn="0" w:lastRowLastColumn="0"/>
            <w:tcW w:w="755" w:type="pct"/>
          </w:tcPr>
          <w:p w14:paraId="42191A25" w14:textId="77777777" w:rsidR="004E45CF" w:rsidRPr="00CF3E3D" w:rsidRDefault="004E45CF" w:rsidP="007007AC">
            <w:pPr>
              <w:spacing w:before="85" w:line="288" w:lineRule="auto"/>
              <w:jc w:val="center"/>
              <w:rPr>
                <w:b/>
                <w:bCs/>
                <w:sz w:val="18"/>
                <w:szCs w:val="18"/>
              </w:rPr>
            </w:pPr>
            <w:r w:rsidRPr="00CF3E3D">
              <w:rPr>
                <w:sz w:val="18"/>
                <w:szCs w:val="18"/>
              </w:rPr>
              <w:t>87.8 (86.1, 89.3)</w:t>
            </w:r>
          </w:p>
        </w:tc>
        <w:tc>
          <w:tcPr>
            <w:cnfStyle w:val="000010000000" w:firstRow="0" w:lastRow="0" w:firstColumn="0" w:lastColumn="0" w:oddVBand="1" w:evenVBand="0" w:oddHBand="0" w:evenHBand="0" w:firstRowFirstColumn="0" w:firstRowLastColumn="0" w:lastRowFirstColumn="0" w:lastRowLastColumn="0"/>
            <w:tcW w:w="755" w:type="pct"/>
          </w:tcPr>
          <w:p w14:paraId="580CCFC9" w14:textId="77777777" w:rsidR="004E45CF" w:rsidRPr="00CF3E3D" w:rsidRDefault="004E45CF" w:rsidP="007007AC">
            <w:pPr>
              <w:spacing w:before="85" w:line="288" w:lineRule="auto"/>
              <w:jc w:val="center"/>
              <w:rPr>
                <w:sz w:val="18"/>
                <w:szCs w:val="18"/>
              </w:rPr>
            </w:pPr>
            <w:r w:rsidRPr="00CF3E3D">
              <w:rPr>
                <w:sz w:val="18"/>
                <w:szCs w:val="18"/>
              </w:rPr>
              <w:t>90.8 (89.2, 92.1)</w:t>
            </w:r>
          </w:p>
        </w:tc>
      </w:tr>
      <w:tr w:rsidR="004E45CF" w:rsidRPr="00CF3E3D" w14:paraId="69EE595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6105F56"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Divinity</w:t>
            </w:r>
          </w:p>
        </w:tc>
        <w:tc>
          <w:tcPr>
            <w:cnfStyle w:val="000001000000" w:firstRow="0" w:lastRow="0" w:firstColumn="0" w:lastColumn="0" w:oddVBand="0" w:evenVBand="1" w:oddHBand="0" w:evenHBand="0" w:firstRowFirstColumn="0" w:firstRowLastColumn="0" w:lastRowFirstColumn="0" w:lastRowLastColumn="0"/>
            <w:tcW w:w="709" w:type="pct"/>
          </w:tcPr>
          <w:p w14:paraId="1D265BCF" w14:textId="77777777" w:rsidR="004E45CF" w:rsidRPr="00CF3E3D" w:rsidRDefault="004E45CF" w:rsidP="007007AC">
            <w:pPr>
              <w:spacing w:before="85" w:line="288" w:lineRule="auto"/>
              <w:jc w:val="center"/>
              <w:rPr>
                <w:b/>
                <w:bCs/>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639CC773" w14:textId="77777777" w:rsidR="004E45CF" w:rsidRPr="00CF3E3D" w:rsidRDefault="004E45CF" w:rsidP="007007AC">
            <w:pPr>
              <w:spacing w:before="85" w:line="288" w:lineRule="auto"/>
              <w:jc w:val="center"/>
              <w:rPr>
                <w:sz w:val="18"/>
                <w:szCs w:val="18"/>
              </w:rPr>
            </w:pPr>
            <w:r w:rsidRPr="00CF3E3D">
              <w:rPr>
                <w:sz w:val="18"/>
                <w:szCs w:val="18"/>
              </w:rPr>
              <w:t>80.6 (69.1, 87.7)</w:t>
            </w:r>
          </w:p>
        </w:tc>
        <w:tc>
          <w:tcPr>
            <w:cnfStyle w:val="000001000000" w:firstRow="0" w:lastRow="0" w:firstColumn="0" w:lastColumn="0" w:oddVBand="0" w:evenVBand="1" w:oddHBand="0" w:evenHBand="0" w:firstRowFirstColumn="0" w:firstRowLastColumn="0" w:lastRowFirstColumn="0" w:lastRowLastColumn="0"/>
            <w:tcW w:w="755" w:type="pct"/>
          </w:tcPr>
          <w:p w14:paraId="109C69E9" w14:textId="77777777" w:rsidR="004E45CF" w:rsidRPr="00CF3E3D" w:rsidRDefault="004E45CF" w:rsidP="007007AC">
            <w:pPr>
              <w:spacing w:before="85" w:line="288" w:lineRule="auto"/>
              <w:jc w:val="center"/>
              <w:rPr>
                <w:b/>
                <w:bCs/>
                <w:sz w:val="18"/>
                <w:szCs w:val="18"/>
              </w:rPr>
            </w:pPr>
            <w:r w:rsidRPr="00CF3E3D">
              <w:rPr>
                <w:sz w:val="18"/>
                <w:szCs w:val="18"/>
              </w:rPr>
              <w:t>80.9 (71.6, 86.8)</w:t>
            </w:r>
          </w:p>
        </w:tc>
        <w:tc>
          <w:tcPr>
            <w:cnfStyle w:val="000010000000" w:firstRow="0" w:lastRow="0" w:firstColumn="0" w:lastColumn="0" w:oddVBand="1" w:evenVBand="0" w:oddHBand="0" w:evenHBand="0" w:firstRowFirstColumn="0" w:firstRowLastColumn="0" w:lastRowFirstColumn="0" w:lastRowLastColumn="0"/>
            <w:tcW w:w="755" w:type="pct"/>
          </w:tcPr>
          <w:p w14:paraId="5B97CF08" w14:textId="77777777" w:rsidR="004E45CF" w:rsidRPr="00CF3E3D" w:rsidRDefault="004E45CF" w:rsidP="007007AC">
            <w:pPr>
              <w:spacing w:before="85" w:line="288" w:lineRule="auto"/>
              <w:jc w:val="center"/>
              <w:rPr>
                <w:sz w:val="18"/>
                <w:szCs w:val="18"/>
              </w:rPr>
            </w:pPr>
            <w:r w:rsidRPr="00CF3E3D">
              <w:rPr>
                <w:sz w:val="18"/>
                <w:szCs w:val="18"/>
              </w:rPr>
              <w:t>87.0 (79.3, 91.3)</w:t>
            </w:r>
          </w:p>
        </w:tc>
      </w:tr>
      <w:tr w:rsidR="004E45CF" w:rsidRPr="00CF3E3D" w14:paraId="5B2836A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7E767D3"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New England</w:t>
            </w:r>
          </w:p>
        </w:tc>
        <w:tc>
          <w:tcPr>
            <w:cnfStyle w:val="000001000000" w:firstRow="0" w:lastRow="0" w:firstColumn="0" w:lastColumn="0" w:oddVBand="0" w:evenVBand="1" w:oddHBand="0" w:evenHBand="0" w:firstRowFirstColumn="0" w:firstRowLastColumn="0" w:lastRowFirstColumn="0" w:lastRowLastColumn="0"/>
            <w:tcW w:w="709" w:type="pct"/>
          </w:tcPr>
          <w:p w14:paraId="03871373" w14:textId="77777777" w:rsidR="004E45CF" w:rsidRPr="00CF3E3D" w:rsidRDefault="004E45CF" w:rsidP="007007AC">
            <w:pPr>
              <w:spacing w:before="85" w:line="288" w:lineRule="auto"/>
              <w:jc w:val="center"/>
              <w:rPr>
                <w:b/>
                <w:bCs/>
                <w:sz w:val="18"/>
                <w:szCs w:val="18"/>
              </w:rPr>
            </w:pPr>
            <w:r w:rsidRPr="00CF3E3D">
              <w:rPr>
                <w:sz w:val="18"/>
                <w:szCs w:val="18"/>
              </w:rPr>
              <w:t>80.9 (78.8, 82.8)</w:t>
            </w:r>
          </w:p>
        </w:tc>
        <w:tc>
          <w:tcPr>
            <w:cnfStyle w:val="000010000000" w:firstRow="0" w:lastRow="0" w:firstColumn="0" w:lastColumn="0" w:oddVBand="1" w:evenVBand="0" w:oddHBand="0" w:evenHBand="0" w:firstRowFirstColumn="0" w:firstRowLastColumn="0" w:lastRowFirstColumn="0" w:lastRowLastColumn="0"/>
            <w:tcW w:w="755" w:type="pct"/>
          </w:tcPr>
          <w:p w14:paraId="7001D7C0" w14:textId="77777777" w:rsidR="004E45CF" w:rsidRPr="00CF3E3D" w:rsidRDefault="004E45CF" w:rsidP="007007AC">
            <w:pPr>
              <w:spacing w:before="85" w:line="288" w:lineRule="auto"/>
              <w:jc w:val="center"/>
              <w:rPr>
                <w:sz w:val="18"/>
                <w:szCs w:val="18"/>
              </w:rPr>
            </w:pPr>
            <w:r w:rsidRPr="00CF3E3D">
              <w:rPr>
                <w:sz w:val="18"/>
                <w:szCs w:val="18"/>
              </w:rPr>
              <w:t>86.8 (85.1, 88.2)</w:t>
            </w:r>
          </w:p>
        </w:tc>
        <w:tc>
          <w:tcPr>
            <w:cnfStyle w:val="000001000000" w:firstRow="0" w:lastRow="0" w:firstColumn="0" w:lastColumn="0" w:oddVBand="0" w:evenVBand="1" w:oddHBand="0" w:evenHBand="0" w:firstRowFirstColumn="0" w:firstRowLastColumn="0" w:lastRowFirstColumn="0" w:lastRowLastColumn="0"/>
            <w:tcW w:w="755" w:type="pct"/>
          </w:tcPr>
          <w:p w14:paraId="11BECAB4" w14:textId="77777777" w:rsidR="004E45CF" w:rsidRPr="00CF3E3D" w:rsidRDefault="004E45CF" w:rsidP="007007AC">
            <w:pPr>
              <w:spacing w:before="85" w:line="288" w:lineRule="auto"/>
              <w:jc w:val="center"/>
              <w:rPr>
                <w:b/>
                <w:bCs/>
                <w:sz w:val="18"/>
                <w:szCs w:val="18"/>
              </w:rPr>
            </w:pPr>
            <w:r w:rsidRPr="00CF3E3D">
              <w:rPr>
                <w:sz w:val="18"/>
                <w:szCs w:val="18"/>
              </w:rPr>
              <w:t>86.8 (85.3, 88.1)</w:t>
            </w:r>
          </w:p>
        </w:tc>
        <w:tc>
          <w:tcPr>
            <w:cnfStyle w:val="000010000000" w:firstRow="0" w:lastRow="0" w:firstColumn="0" w:lastColumn="0" w:oddVBand="1" w:evenVBand="0" w:oddHBand="0" w:evenHBand="0" w:firstRowFirstColumn="0" w:firstRowLastColumn="0" w:lastRowFirstColumn="0" w:lastRowLastColumn="0"/>
            <w:tcW w:w="755" w:type="pct"/>
          </w:tcPr>
          <w:p w14:paraId="5F7308DF" w14:textId="77777777" w:rsidR="004E45CF" w:rsidRPr="00CF3E3D" w:rsidRDefault="004E45CF" w:rsidP="007007AC">
            <w:pPr>
              <w:spacing w:before="85" w:line="288" w:lineRule="auto"/>
              <w:jc w:val="center"/>
              <w:rPr>
                <w:sz w:val="18"/>
                <w:szCs w:val="18"/>
              </w:rPr>
            </w:pPr>
            <w:r w:rsidRPr="00CF3E3D">
              <w:rPr>
                <w:sz w:val="18"/>
                <w:szCs w:val="18"/>
              </w:rPr>
              <w:t>90.0 (88.8, 91.0)</w:t>
            </w:r>
          </w:p>
        </w:tc>
      </w:tr>
      <w:tr w:rsidR="004E45CF" w:rsidRPr="00CF3E3D" w14:paraId="3810DDC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0C607ED"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lastRenderedPageBreak/>
              <w:t>University of New South Wales</w:t>
            </w:r>
          </w:p>
        </w:tc>
        <w:tc>
          <w:tcPr>
            <w:cnfStyle w:val="000001000000" w:firstRow="0" w:lastRow="0" w:firstColumn="0" w:lastColumn="0" w:oddVBand="0" w:evenVBand="1" w:oddHBand="0" w:evenHBand="0" w:firstRowFirstColumn="0" w:firstRowLastColumn="0" w:lastRowFirstColumn="0" w:lastRowLastColumn="0"/>
            <w:tcW w:w="709" w:type="pct"/>
          </w:tcPr>
          <w:p w14:paraId="382AE5B7" w14:textId="77777777" w:rsidR="004E45CF" w:rsidRPr="00CF3E3D" w:rsidRDefault="004E45CF" w:rsidP="007007AC">
            <w:pPr>
              <w:spacing w:before="85" w:line="288" w:lineRule="auto"/>
              <w:jc w:val="center"/>
              <w:rPr>
                <w:b/>
                <w:bCs/>
                <w:sz w:val="18"/>
                <w:szCs w:val="18"/>
              </w:rPr>
            </w:pPr>
            <w:r w:rsidRPr="00CF3E3D">
              <w:rPr>
                <w:sz w:val="18"/>
                <w:szCs w:val="18"/>
              </w:rPr>
              <w:t>73.9 (72.0, 75.8)</w:t>
            </w:r>
          </w:p>
        </w:tc>
        <w:tc>
          <w:tcPr>
            <w:cnfStyle w:val="000010000000" w:firstRow="0" w:lastRow="0" w:firstColumn="0" w:lastColumn="0" w:oddVBand="1" w:evenVBand="0" w:oddHBand="0" w:evenHBand="0" w:firstRowFirstColumn="0" w:firstRowLastColumn="0" w:lastRowFirstColumn="0" w:lastRowLastColumn="0"/>
            <w:tcW w:w="755" w:type="pct"/>
          </w:tcPr>
          <w:p w14:paraId="60BB766B" w14:textId="77777777" w:rsidR="004E45CF" w:rsidRPr="00CF3E3D" w:rsidRDefault="004E45CF" w:rsidP="007007AC">
            <w:pPr>
              <w:spacing w:before="85" w:line="288" w:lineRule="auto"/>
              <w:jc w:val="center"/>
              <w:rPr>
                <w:sz w:val="18"/>
                <w:szCs w:val="18"/>
              </w:rPr>
            </w:pPr>
            <w:r w:rsidRPr="00CF3E3D">
              <w:rPr>
                <w:sz w:val="18"/>
                <w:szCs w:val="18"/>
              </w:rPr>
              <w:t>83.5 (81.8, 85.1)</w:t>
            </w:r>
          </w:p>
        </w:tc>
        <w:tc>
          <w:tcPr>
            <w:cnfStyle w:val="000001000000" w:firstRow="0" w:lastRow="0" w:firstColumn="0" w:lastColumn="0" w:oddVBand="0" w:evenVBand="1" w:oddHBand="0" w:evenHBand="0" w:firstRowFirstColumn="0" w:firstRowLastColumn="0" w:lastRowFirstColumn="0" w:lastRowLastColumn="0"/>
            <w:tcW w:w="755" w:type="pct"/>
          </w:tcPr>
          <w:p w14:paraId="12BAD804" w14:textId="77777777" w:rsidR="004E45CF" w:rsidRPr="00CF3E3D" w:rsidRDefault="004E45CF" w:rsidP="007007AC">
            <w:pPr>
              <w:spacing w:before="85" w:line="288" w:lineRule="auto"/>
              <w:jc w:val="center"/>
              <w:rPr>
                <w:b/>
                <w:bCs/>
                <w:sz w:val="18"/>
                <w:szCs w:val="18"/>
              </w:rPr>
            </w:pPr>
            <w:r w:rsidRPr="00CF3E3D">
              <w:rPr>
                <w:sz w:val="18"/>
                <w:szCs w:val="18"/>
              </w:rPr>
              <w:t>83.5 (82.0, 84.8)</w:t>
            </w:r>
          </w:p>
        </w:tc>
        <w:tc>
          <w:tcPr>
            <w:cnfStyle w:val="000010000000" w:firstRow="0" w:lastRow="0" w:firstColumn="0" w:lastColumn="0" w:oddVBand="1" w:evenVBand="0" w:oddHBand="0" w:evenHBand="0" w:firstRowFirstColumn="0" w:firstRowLastColumn="0" w:lastRowFirstColumn="0" w:lastRowLastColumn="0"/>
            <w:tcW w:w="755" w:type="pct"/>
          </w:tcPr>
          <w:p w14:paraId="24FDCF92" w14:textId="77777777" w:rsidR="004E45CF" w:rsidRPr="00CF3E3D" w:rsidRDefault="004E45CF" w:rsidP="007007AC">
            <w:pPr>
              <w:spacing w:before="85" w:line="288" w:lineRule="auto"/>
              <w:jc w:val="center"/>
              <w:rPr>
                <w:sz w:val="18"/>
                <w:szCs w:val="18"/>
              </w:rPr>
            </w:pPr>
            <w:r w:rsidRPr="00CF3E3D">
              <w:rPr>
                <w:sz w:val="18"/>
                <w:szCs w:val="18"/>
              </w:rPr>
              <w:t>88.5 (87.2, 89.6)</w:t>
            </w:r>
          </w:p>
        </w:tc>
      </w:tr>
      <w:tr w:rsidR="004E45CF" w:rsidRPr="00CF3E3D" w14:paraId="70D7122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A189E36"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Newcastle</w:t>
            </w:r>
          </w:p>
        </w:tc>
        <w:tc>
          <w:tcPr>
            <w:cnfStyle w:val="000001000000" w:firstRow="0" w:lastRow="0" w:firstColumn="0" w:lastColumn="0" w:oddVBand="0" w:evenVBand="1" w:oddHBand="0" w:evenHBand="0" w:firstRowFirstColumn="0" w:firstRowLastColumn="0" w:lastRowFirstColumn="0" w:lastRowLastColumn="0"/>
            <w:tcW w:w="709" w:type="pct"/>
          </w:tcPr>
          <w:p w14:paraId="1D7A810B" w14:textId="77777777" w:rsidR="004E45CF" w:rsidRPr="00CF3E3D" w:rsidRDefault="004E45CF" w:rsidP="007007AC">
            <w:pPr>
              <w:spacing w:before="85" w:line="288" w:lineRule="auto"/>
              <w:jc w:val="center"/>
              <w:rPr>
                <w:b/>
                <w:bCs/>
                <w:sz w:val="18"/>
                <w:szCs w:val="18"/>
              </w:rPr>
            </w:pPr>
            <w:r w:rsidRPr="00CF3E3D">
              <w:rPr>
                <w:sz w:val="18"/>
                <w:szCs w:val="18"/>
              </w:rPr>
              <w:t>76.9 (74.8, 78.8)</w:t>
            </w:r>
          </w:p>
        </w:tc>
        <w:tc>
          <w:tcPr>
            <w:cnfStyle w:val="000010000000" w:firstRow="0" w:lastRow="0" w:firstColumn="0" w:lastColumn="0" w:oddVBand="1" w:evenVBand="0" w:oddHBand="0" w:evenHBand="0" w:firstRowFirstColumn="0" w:firstRowLastColumn="0" w:lastRowFirstColumn="0" w:lastRowLastColumn="0"/>
            <w:tcW w:w="755" w:type="pct"/>
          </w:tcPr>
          <w:p w14:paraId="7FB54D8C" w14:textId="77777777" w:rsidR="004E45CF" w:rsidRPr="00CF3E3D" w:rsidRDefault="004E45CF" w:rsidP="007007AC">
            <w:pPr>
              <w:spacing w:before="85" w:line="288" w:lineRule="auto"/>
              <w:jc w:val="center"/>
              <w:rPr>
                <w:sz w:val="18"/>
                <w:szCs w:val="18"/>
              </w:rPr>
            </w:pPr>
            <w:r w:rsidRPr="00CF3E3D">
              <w:rPr>
                <w:sz w:val="18"/>
                <w:szCs w:val="18"/>
              </w:rPr>
              <w:t>81.3 (79.3, 83.1)</w:t>
            </w:r>
          </w:p>
        </w:tc>
        <w:tc>
          <w:tcPr>
            <w:cnfStyle w:val="000001000000" w:firstRow="0" w:lastRow="0" w:firstColumn="0" w:lastColumn="0" w:oddVBand="0" w:evenVBand="1" w:oddHBand="0" w:evenHBand="0" w:firstRowFirstColumn="0" w:firstRowLastColumn="0" w:lastRowFirstColumn="0" w:lastRowLastColumn="0"/>
            <w:tcW w:w="755" w:type="pct"/>
          </w:tcPr>
          <w:p w14:paraId="696CE9CB" w14:textId="77777777" w:rsidR="004E45CF" w:rsidRPr="00CF3E3D" w:rsidRDefault="004E45CF" w:rsidP="007007AC">
            <w:pPr>
              <w:spacing w:before="85" w:line="288" w:lineRule="auto"/>
              <w:jc w:val="center"/>
              <w:rPr>
                <w:b/>
                <w:bCs/>
                <w:sz w:val="18"/>
                <w:szCs w:val="18"/>
              </w:rPr>
            </w:pPr>
            <w:r w:rsidRPr="00CF3E3D">
              <w:rPr>
                <w:sz w:val="18"/>
                <w:szCs w:val="18"/>
              </w:rPr>
              <w:t>90.2 (89.0, 91.3)</w:t>
            </w:r>
          </w:p>
        </w:tc>
        <w:tc>
          <w:tcPr>
            <w:cnfStyle w:val="000010000000" w:firstRow="0" w:lastRow="0" w:firstColumn="0" w:lastColumn="0" w:oddVBand="1" w:evenVBand="0" w:oddHBand="0" w:evenHBand="0" w:firstRowFirstColumn="0" w:firstRowLastColumn="0" w:lastRowFirstColumn="0" w:lastRowLastColumn="0"/>
            <w:tcW w:w="755" w:type="pct"/>
          </w:tcPr>
          <w:p w14:paraId="12520D5B" w14:textId="77777777" w:rsidR="004E45CF" w:rsidRPr="00CF3E3D" w:rsidRDefault="004E45CF" w:rsidP="007007AC">
            <w:pPr>
              <w:spacing w:before="85" w:line="288" w:lineRule="auto"/>
              <w:jc w:val="center"/>
              <w:rPr>
                <w:sz w:val="18"/>
                <w:szCs w:val="18"/>
              </w:rPr>
            </w:pPr>
            <w:r w:rsidRPr="00CF3E3D">
              <w:rPr>
                <w:sz w:val="18"/>
                <w:szCs w:val="18"/>
              </w:rPr>
              <w:t>89.7 (88.3, 90.8)</w:t>
            </w:r>
          </w:p>
        </w:tc>
      </w:tr>
      <w:tr w:rsidR="004E45CF" w:rsidRPr="00CF3E3D" w14:paraId="0616F96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5E067EB"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Southern Queensland</w:t>
            </w:r>
          </w:p>
        </w:tc>
        <w:tc>
          <w:tcPr>
            <w:cnfStyle w:val="000001000000" w:firstRow="0" w:lastRow="0" w:firstColumn="0" w:lastColumn="0" w:oddVBand="0" w:evenVBand="1" w:oddHBand="0" w:evenHBand="0" w:firstRowFirstColumn="0" w:firstRowLastColumn="0" w:lastRowFirstColumn="0" w:lastRowLastColumn="0"/>
            <w:tcW w:w="709" w:type="pct"/>
          </w:tcPr>
          <w:p w14:paraId="0CFF5EB1" w14:textId="77777777" w:rsidR="004E45CF" w:rsidRPr="00CF3E3D" w:rsidRDefault="004E45CF" w:rsidP="007007AC">
            <w:pPr>
              <w:spacing w:before="85" w:line="288" w:lineRule="auto"/>
              <w:jc w:val="center"/>
              <w:rPr>
                <w:b/>
                <w:bCs/>
                <w:sz w:val="18"/>
                <w:szCs w:val="18"/>
              </w:rPr>
            </w:pPr>
            <w:r w:rsidRPr="00CF3E3D">
              <w:rPr>
                <w:sz w:val="18"/>
                <w:szCs w:val="18"/>
              </w:rPr>
              <w:t>79.2 (77.0, 81.1)</w:t>
            </w:r>
          </w:p>
        </w:tc>
        <w:tc>
          <w:tcPr>
            <w:cnfStyle w:val="000010000000" w:firstRow="0" w:lastRow="0" w:firstColumn="0" w:lastColumn="0" w:oddVBand="1" w:evenVBand="0" w:oddHBand="0" w:evenHBand="0" w:firstRowFirstColumn="0" w:firstRowLastColumn="0" w:lastRowFirstColumn="0" w:lastRowLastColumn="0"/>
            <w:tcW w:w="755" w:type="pct"/>
          </w:tcPr>
          <w:p w14:paraId="3BE0683E" w14:textId="77777777" w:rsidR="004E45CF" w:rsidRPr="00CF3E3D" w:rsidRDefault="004E45CF" w:rsidP="007007AC">
            <w:pPr>
              <w:spacing w:before="85" w:line="288" w:lineRule="auto"/>
              <w:jc w:val="center"/>
              <w:rPr>
                <w:sz w:val="18"/>
                <w:szCs w:val="18"/>
              </w:rPr>
            </w:pPr>
            <w:r w:rsidRPr="00CF3E3D">
              <w:rPr>
                <w:sz w:val="18"/>
                <w:szCs w:val="18"/>
              </w:rPr>
              <w:t>82.9 (81.0, 84.5)</w:t>
            </w:r>
          </w:p>
        </w:tc>
        <w:tc>
          <w:tcPr>
            <w:cnfStyle w:val="000001000000" w:firstRow="0" w:lastRow="0" w:firstColumn="0" w:lastColumn="0" w:oddVBand="0" w:evenVBand="1" w:oddHBand="0" w:evenHBand="0" w:firstRowFirstColumn="0" w:firstRowLastColumn="0" w:lastRowFirstColumn="0" w:lastRowLastColumn="0"/>
            <w:tcW w:w="755" w:type="pct"/>
          </w:tcPr>
          <w:p w14:paraId="2B0BF85A" w14:textId="77777777" w:rsidR="004E45CF" w:rsidRPr="00CF3E3D" w:rsidRDefault="004E45CF" w:rsidP="007007AC">
            <w:pPr>
              <w:spacing w:before="85" w:line="288" w:lineRule="auto"/>
              <w:jc w:val="center"/>
              <w:rPr>
                <w:b/>
                <w:bCs/>
                <w:sz w:val="18"/>
                <w:szCs w:val="18"/>
              </w:rPr>
            </w:pPr>
            <w:r w:rsidRPr="00CF3E3D">
              <w:rPr>
                <w:sz w:val="18"/>
                <w:szCs w:val="18"/>
              </w:rPr>
              <w:t>90.3 (88.9, 91.4)</w:t>
            </w:r>
          </w:p>
        </w:tc>
        <w:tc>
          <w:tcPr>
            <w:cnfStyle w:val="000010000000" w:firstRow="0" w:lastRow="0" w:firstColumn="0" w:lastColumn="0" w:oddVBand="1" w:evenVBand="0" w:oddHBand="0" w:evenHBand="0" w:firstRowFirstColumn="0" w:firstRowLastColumn="0" w:lastRowFirstColumn="0" w:lastRowLastColumn="0"/>
            <w:tcW w:w="755" w:type="pct"/>
          </w:tcPr>
          <w:p w14:paraId="054368C5" w14:textId="77777777" w:rsidR="004E45CF" w:rsidRPr="00CF3E3D" w:rsidRDefault="004E45CF" w:rsidP="007007AC">
            <w:pPr>
              <w:spacing w:before="85" w:line="288" w:lineRule="auto"/>
              <w:jc w:val="center"/>
              <w:rPr>
                <w:sz w:val="18"/>
                <w:szCs w:val="18"/>
              </w:rPr>
            </w:pPr>
            <w:r w:rsidRPr="00CF3E3D">
              <w:rPr>
                <w:sz w:val="18"/>
                <w:szCs w:val="18"/>
              </w:rPr>
              <w:t>92.5 (91.4, 93.4)</w:t>
            </w:r>
          </w:p>
        </w:tc>
      </w:tr>
      <w:tr w:rsidR="004E45CF" w:rsidRPr="00CF3E3D" w14:paraId="3960627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A6AA1DC"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Tasmania</w:t>
            </w:r>
          </w:p>
        </w:tc>
        <w:tc>
          <w:tcPr>
            <w:cnfStyle w:val="000001000000" w:firstRow="0" w:lastRow="0" w:firstColumn="0" w:lastColumn="0" w:oddVBand="0" w:evenVBand="1" w:oddHBand="0" w:evenHBand="0" w:firstRowFirstColumn="0" w:firstRowLastColumn="0" w:lastRowFirstColumn="0" w:lastRowLastColumn="0"/>
            <w:tcW w:w="709" w:type="pct"/>
          </w:tcPr>
          <w:p w14:paraId="27D04CAA" w14:textId="77777777" w:rsidR="004E45CF" w:rsidRPr="00CF3E3D" w:rsidRDefault="004E45CF" w:rsidP="007007AC">
            <w:pPr>
              <w:spacing w:before="85" w:line="288" w:lineRule="auto"/>
              <w:jc w:val="center"/>
              <w:rPr>
                <w:b/>
                <w:bCs/>
                <w:sz w:val="18"/>
                <w:szCs w:val="18"/>
              </w:rPr>
            </w:pPr>
            <w:r w:rsidRPr="00CF3E3D">
              <w:rPr>
                <w:sz w:val="18"/>
                <w:szCs w:val="18"/>
              </w:rPr>
              <w:t>72.4 (70.3, 74.4)</w:t>
            </w:r>
          </w:p>
        </w:tc>
        <w:tc>
          <w:tcPr>
            <w:cnfStyle w:val="000010000000" w:firstRow="0" w:lastRow="0" w:firstColumn="0" w:lastColumn="0" w:oddVBand="1" w:evenVBand="0" w:oddHBand="0" w:evenHBand="0" w:firstRowFirstColumn="0" w:firstRowLastColumn="0" w:lastRowFirstColumn="0" w:lastRowLastColumn="0"/>
            <w:tcW w:w="755" w:type="pct"/>
          </w:tcPr>
          <w:p w14:paraId="7D19E421" w14:textId="77777777" w:rsidR="004E45CF" w:rsidRPr="00CF3E3D" w:rsidRDefault="004E45CF" w:rsidP="007007AC">
            <w:pPr>
              <w:spacing w:before="85" w:line="288" w:lineRule="auto"/>
              <w:jc w:val="center"/>
              <w:rPr>
                <w:sz w:val="18"/>
                <w:szCs w:val="18"/>
              </w:rPr>
            </w:pPr>
            <w:r w:rsidRPr="00CF3E3D">
              <w:rPr>
                <w:sz w:val="18"/>
                <w:szCs w:val="18"/>
              </w:rPr>
              <w:t>81.5 (79.9, 83.0)</w:t>
            </w:r>
          </w:p>
        </w:tc>
        <w:tc>
          <w:tcPr>
            <w:cnfStyle w:val="000001000000" w:firstRow="0" w:lastRow="0" w:firstColumn="0" w:lastColumn="0" w:oddVBand="0" w:evenVBand="1" w:oddHBand="0" w:evenHBand="0" w:firstRowFirstColumn="0" w:firstRowLastColumn="0" w:lastRowFirstColumn="0" w:lastRowLastColumn="0"/>
            <w:tcW w:w="755" w:type="pct"/>
          </w:tcPr>
          <w:p w14:paraId="6551C60A" w14:textId="77777777" w:rsidR="004E45CF" w:rsidRPr="00CF3E3D" w:rsidRDefault="004E45CF" w:rsidP="007007AC">
            <w:pPr>
              <w:spacing w:before="85" w:line="288" w:lineRule="auto"/>
              <w:jc w:val="center"/>
              <w:rPr>
                <w:b/>
                <w:bCs/>
                <w:sz w:val="18"/>
                <w:szCs w:val="18"/>
              </w:rPr>
            </w:pPr>
            <w:r w:rsidRPr="00CF3E3D">
              <w:rPr>
                <w:sz w:val="18"/>
                <w:szCs w:val="18"/>
              </w:rPr>
              <w:t>85.9 (84.7, 87.0)</w:t>
            </w:r>
          </w:p>
        </w:tc>
        <w:tc>
          <w:tcPr>
            <w:cnfStyle w:val="000010000000" w:firstRow="0" w:lastRow="0" w:firstColumn="0" w:lastColumn="0" w:oddVBand="1" w:evenVBand="0" w:oddHBand="0" w:evenHBand="0" w:firstRowFirstColumn="0" w:firstRowLastColumn="0" w:lastRowFirstColumn="0" w:lastRowLastColumn="0"/>
            <w:tcW w:w="755" w:type="pct"/>
          </w:tcPr>
          <w:p w14:paraId="0D2757CF" w14:textId="77777777" w:rsidR="004E45CF" w:rsidRPr="00CF3E3D" w:rsidRDefault="004E45CF" w:rsidP="007007AC">
            <w:pPr>
              <w:spacing w:before="85" w:line="288" w:lineRule="auto"/>
              <w:jc w:val="center"/>
              <w:rPr>
                <w:sz w:val="18"/>
                <w:szCs w:val="18"/>
              </w:rPr>
            </w:pPr>
            <w:r w:rsidRPr="00CF3E3D">
              <w:rPr>
                <w:sz w:val="18"/>
                <w:szCs w:val="18"/>
              </w:rPr>
              <w:t>88.4 (87.4, 89.2)</w:t>
            </w:r>
          </w:p>
        </w:tc>
      </w:tr>
      <w:tr w:rsidR="004E45CF" w:rsidRPr="00CF3E3D" w14:paraId="1610A29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1AD2C0B"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Technology Sydney</w:t>
            </w:r>
          </w:p>
        </w:tc>
        <w:tc>
          <w:tcPr>
            <w:cnfStyle w:val="000001000000" w:firstRow="0" w:lastRow="0" w:firstColumn="0" w:lastColumn="0" w:oddVBand="0" w:evenVBand="1" w:oddHBand="0" w:evenHBand="0" w:firstRowFirstColumn="0" w:firstRowLastColumn="0" w:lastRowFirstColumn="0" w:lastRowLastColumn="0"/>
            <w:tcW w:w="709" w:type="pct"/>
          </w:tcPr>
          <w:p w14:paraId="2B7F752B" w14:textId="77777777" w:rsidR="004E45CF" w:rsidRPr="00CF3E3D" w:rsidRDefault="004E45CF" w:rsidP="007007AC">
            <w:pPr>
              <w:spacing w:before="85" w:line="288" w:lineRule="auto"/>
              <w:jc w:val="center"/>
              <w:rPr>
                <w:b/>
                <w:bCs/>
                <w:sz w:val="18"/>
                <w:szCs w:val="18"/>
              </w:rPr>
            </w:pPr>
            <w:r w:rsidRPr="00CF3E3D">
              <w:rPr>
                <w:sz w:val="18"/>
                <w:szCs w:val="18"/>
              </w:rPr>
              <w:t>71.0 (69.4, 72.6)</w:t>
            </w:r>
          </w:p>
        </w:tc>
        <w:tc>
          <w:tcPr>
            <w:cnfStyle w:val="000010000000" w:firstRow="0" w:lastRow="0" w:firstColumn="0" w:lastColumn="0" w:oddVBand="1" w:evenVBand="0" w:oddHBand="0" w:evenHBand="0" w:firstRowFirstColumn="0" w:firstRowLastColumn="0" w:lastRowFirstColumn="0" w:lastRowLastColumn="0"/>
            <w:tcW w:w="755" w:type="pct"/>
          </w:tcPr>
          <w:p w14:paraId="53BEBDEC" w14:textId="77777777" w:rsidR="004E45CF" w:rsidRPr="00CF3E3D" w:rsidRDefault="004E45CF" w:rsidP="007007AC">
            <w:pPr>
              <w:spacing w:before="85" w:line="288" w:lineRule="auto"/>
              <w:jc w:val="center"/>
              <w:rPr>
                <w:sz w:val="18"/>
                <w:szCs w:val="18"/>
              </w:rPr>
            </w:pPr>
            <w:r w:rsidRPr="00CF3E3D">
              <w:rPr>
                <w:sz w:val="18"/>
                <w:szCs w:val="18"/>
              </w:rPr>
              <w:t>78.7 (77.1, 80.2)</w:t>
            </w:r>
          </w:p>
        </w:tc>
        <w:tc>
          <w:tcPr>
            <w:cnfStyle w:val="000001000000" w:firstRow="0" w:lastRow="0" w:firstColumn="0" w:lastColumn="0" w:oddVBand="0" w:evenVBand="1" w:oddHBand="0" w:evenHBand="0" w:firstRowFirstColumn="0" w:firstRowLastColumn="0" w:lastRowFirstColumn="0" w:lastRowLastColumn="0"/>
            <w:tcW w:w="755" w:type="pct"/>
          </w:tcPr>
          <w:p w14:paraId="5788F5A1" w14:textId="77777777" w:rsidR="004E45CF" w:rsidRPr="00CF3E3D" w:rsidRDefault="004E45CF" w:rsidP="007007AC">
            <w:pPr>
              <w:spacing w:before="85" w:line="288" w:lineRule="auto"/>
              <w:jc w:val="center"/>
              <w:rPr>
                <w:b/>
                <w:bCs/>
                <w:sz w:val="18"/>
                <w:szCs w:val="18"/>
              </w:rPr>
            </w:pPr>
            <w:r w:rsidRPr="00CF3E3D">
              <w:rPr>
                <w:sz w:val="18"/>
                <w:szCs w:val="18"/>
              </w:rPr>
              <w:t>85.8 (84.7, 86.8)</w:t>
            </w:r>
          </w:p>
        </w:tc>
        <w:tc>
          <w:tcPr>
            <w:cnfStyle w:val="000010000000" w:firstRow="0" w:lastRow="0" w:firstColumn="0" w:lastColumn="0" w:oddVBand="1" w:evenVBand="0" w:oddHBand="0" w:evenHBand="0" w:firstRowFirstColumn="0" w:firstRowLastColumn="0" w:lastRowFirstColumn="0" w:lastRowLastColumn="0"/>
            <w:tcW w:w="755" w:type="pct"/>
          </w:tcPr>
          <w:p w14:paraId="3C43F4BC" w14:textId="77777777" w:rsidR="004E45CF" w:rsidRPr="00CF3E3D" w:rsidRDefault="004E45CF" w:rsidP="007007AC">
            <w:pPr>
              <w:spacing w:before="85" w:line="288" w:lineRule="auto"/>
              <w:jc w:val="center"/>
              <w:rPr>
                <w:sz w:val="18"/>
                <w:szCs w:val="18"/>
              </w:rPr>
            </w:pPr>
            <w:r w:rsidRPr="00CF3E3D">
              <w:rPr>
                <w:sz w:val="18"/>
                <w:szCs w:val="18"/>
              </w:rPr>
              <w:t>89.3 (88.2, 90.3)</w:t>
            </w:r>
          </w:p>
        </w:tc>
      </w:tr>
      <w:tr w:rsidR="004E45CF" w:rsidRPr="00CF3E3D" w14:paraId="16AF461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7397F74"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the Sunshine Coast</w:t>
            </w:r>
          </w:p>
        </w:tc>
        <w:tc>
          <w:tcPr>
            <w:cnfStyle w:val="000001000000" w:firstRow="0" w:lastRow="0" w:firstColumn="0" w:lastColumn="0" w:oddVBand="0" w:evenVBand="1" w:oddHBand="0" w:evenHBand="0" w:firstRowFirstColumn="0" w:firstRowLastColumn="0" w:lastRowFirstColumn="0" w:lastRowLastColumn="0"/>
            <w:tcW w:w="709" w:type="pct"/>
          </w:tcPr>
          <w:p w14:paraId="13DB3266" w14:textId="77777777" w:rsidR="004E45CF" w:rsidRPr="00CF3E3D" w:rsidRDefault="004E45CF" w:rsidP="007007AC">
            <w:pPr>
              <w:spacing w:before="85" w:line="288" w:lineRule="auto"/>
              <w:jc w:val="center"/>
              <w:rPr>
                <w:b/>
                <w:bCs/>
                <w:sz w:val="18"/>
                <w:szCs w:val="18"/>
              </w:rPr>
            </w:pPr>
            <w:r w:rsidRPr="00CF3E3D">
              <w:rPr>
                <w:sz w:val="18"/>
                <w:szCs w:val="18"/>
              </w:rPr>
              <w:t>59.0 (55.9, 62.0)</w:t>
            </w:r>
          </w:p>
        </w:tc>
        <w:tc>
          <w:tcPr>
            <w:cnfStyle w:val="000010000000" w:firstRow="0" w:lastRow="0" w:firstColumn="0" w:lastColumn="0" w:oddVBand="1" w:evenVBand="0" w:oddHBand="0" w:evenHBand="0" w:firstRowFirstColumn="0" w:firstRowLastColumn="0" w:lastRowFirstColumn="0" w:lastRowLastColumn="0"/>
            <w:tcW w:w="755" w:type="pct"/>
          </w:tcPr>
          <w:p w14:paraId="5B2941CE" w14:textId="77777777" w:rsidR="004E45CF" w:rsidRPr="00CF3E3D" w:rsidRDefault="004E45CF" w:rsidP="007007AC">
            <w:pPr>
              <w:spacing w:before="85" w:line="288" w:lineRule="auto"/>
              <w:jc w:val="center"/>
              <w:rPr>
                <w:sz w:val="18"/>
                <w:szCs w:val="18"/>
              </w:rPr>
            </w:pPr>
            <w:r w:rsidRPr="00CF3E3D">
              <w:rPr>
                <w:sz w:val="18"/>
                <w:szCs w:val="18"/>
              </w:rPr>
              <w:t>75.8 (73.3, 78.1)</w:t>
            </w:r>
          </w:p>
        </w:tc>
        <w:tc>
          <w:tcPr>
            <w:cnfStyle w:val="000001000000" w:firstRow="0" w:lastRow="0" w:firstColumn="0" w:lastColumn="0" w:oddVBand="0" w:evenVBand="1" w:oddHBand="0" w:evenHBand="0" w:firstRowFirstColumn="0" w:firstRowLastColumn="0" w:lastRowFirstColumn="0" w:lastRowLastColumn="0"/>
            <w:tcW w:w="755" w:type="pct"/>
          </w:tcPr>
          <w:p w14:paraId="58CE5201" w14:textId="77777777" w:rsidR="004E45CF" w:rsidRPr="00CF3E3D" w:rsidRDefault="004E45CF" w:rsidP="007007AC">
            <w:pPr>
              <w:spacing w:before="85" w:line="288" w:lineRule="auto"/>
              <w:jc w:val="center"/>
              <w:rPr>
                <w:b/>
                <w:bCs/>
                <w:sz w:val="18"/>
                <w:szCs w:val="18"/>
              </w:rPr>
            </w:pPr>
            <w:r w:rsidRPr="00CF3E3D">
              <w:rPr>
                <w:sz w:val="18"/>
                <w:szCs w:val="18"/>
              </w:rPr>
              <w:t>81.8 (79.8, 83.5)</w:t>
            </w:r>
          </w:p>
        </w:tc>
        <w:tc>
          <w:tcPr>
            <w:cnfStyle w:val="000010000000" w:firstRow="0" w:lastRow="0" w:firstColumn="0" w:lastColumn="0" w:oddVBand="1" w:evenVBand="0" w:oddHBand="0" w:evenHBand="0" w:firstRowFirstColumn="0" w:firstRowLastColumn="0" w:lastRowFirstColumn="0" w:lastRowLastColumn="0"/>
            <w:tcW w:w="755" w:type="pct"/>
          </w:tcPr>
          <w:p w14:paraId="7E2CC5DA" w14:textId="77777777" w:rsidR="004E45CF" w:rsidRPr="00CF3E3D" w:rsidRDefault="004E45CF" w:rsidP="007007AC">
            <w:pPr>
              <w:spacing w:before="85" w:line="288" w:lineRule="auto"/>
              <w:jc w:val="center"/>
              <w:rPr>
                <w:sz w:val="18"/>
                <w:szCs w:val="18"/>
              </w:rPr>
            </w:pPr>
            <w:r w:rsidRPr="00CF3E3D">
              <w:rPr>
                <w:sz w:val="18"/>
                <w:szCs w:val="18"/>
              </w:rPr>
              <w:t>89.6 (88.2, 90.8)</w:t>
            </w:r>
          </w:p>
        </w:tc>
      </w:tr>
      <w:tr w:rsidR="004E45CF" w:rsidRPr="00CF3E3D" w14:paraId="7275A22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D1FB60B"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University of Wollongong</w:t>
            </w:r>
          </w:p>
        </w:tc>
        <w:tc>
          <w:tcPr>
            <w:cnfStyle w:val="000001000000" w:firstRow="0" w:lastRow="0" w:firstColumn="0" w:lastColumn="0" w:oddVBand="0" w:evenVBand="1" w:oddHBand="0" w:evenHBand="0" w:firstRowFirstColumn="0" w:firstRowLastColumn="0" w:lastRowFirstColumn="0" w:lastRowLastColumn="0"/>
            <w:tcW w:w="709" w:type="pct"/>
          </w:tcPr>
          <w:p w14:paraId="2497A2DB" w14:textId="77777777" w:rsidR="004E45CF" w:rsidRPr="00CF3E3D" w:rsidRDefault="004E45CF" w:rsidP="007007AC">
            <w:pPr>
              <w:spacing w:before="85" w:line="288" w:lineRule="auto"/>
              <w:jc w:val="center"/>
              <w:rPr>
                <w:b/>
                <w:bCs/>
                <w:sz w:val="18"/>
                <w:szCs w:val="18"/>
              </w:rPr>
            </w:pPr>
            <w:r w:rsidRPr="00CF3E3D">
              <w:rPr>
                <w:sz w:val="18"/>
                <w:szCs w:val="18"/>
              </w:rPr>
              <w:t>65.5 (62.7, 68.2)</w:t>
            </w:r>
          </w:p>
        </w:tc>
        <w:tc>
          <w:tcPr>
            <w:cnfStyle w:val="000010000000" w:firstRow="0" w:lastRow="0" w:firstColumn="0" w:lastColumn="0" w:oddVBand="1" w:evenVBand="0" w:oddHBand="0" w:evenHBand="0" w:firstRowFirstColumn="0" w:firstRowLastColumn="0" w:lastRowFirstColumn="0" w:lastRowLastColumn="0"/>
            <w:tcW w:w="755" w:type="pct"/>
          </w:tcPr>
          <w:p w14:paraId="684F83BF" w14:textId="77777777" w:rsidR="004E45CF" w:rsidRPr="00CF3E3D" w:rsidRDefault="004E45CF" w:rsidP="007007AC">
            <w:pPr>
              <w:spacing w:before="85" w:line="288" w:lineRule="auto"/>
              <w:jc w:val="center"/>
              <w:rPr>
                <w:sz w:val="18"/>
                <w:szCs w:val="18"/>
              </w:rPr>
            </w:pPr>
            <w:r w:rsidRPr="00CF3E3D">
              <w:rPr>
                <w:sz w:val="18"/>
                <w:szCs w:val="18"/>
              </w:rPr>
              <w:t>80.2 (77.9, 82.4)</w:t>
            </w:r>
          </w:p>
        </w:tc>
        <w:tc>
          <w:tcPr>
            <w:cnfStyle w:val="000001000000" w:firstRow="0" w:lastRow="0" w:firstColumn="0" w:lastColumn="0" w:oddVBand="0" w:evenVBand="1" w:oddHBand="0" w:evenHBand="0" w:firstRowFirstColumn="0" w:firstRowLastColumn="0" w:lastRowFirstColumn="0" w:lastRowLastColumn="0"/>
            <w:tcW w:w="755" w:type="pct"/>
          </w:tcPr>
          <w:p w14:paraId="4D7E2E92" w14:textId="77777777" w:rsidR="004E45CF" w:rsidRPr="00CF3E3D" w:rsidRDefault="004E45CF" w:rsidP="007007AC">
            <w:pPr>
              <w:spacing w:before="85" w:line="288" w:lineRule="auto"/>
              <w:jc w:val="center"/>
              <w:rPr>
                <w:b/>
                <w:bCs/>
                <w:sz w:val="18"/>
                <w:szCs w:val="18"/>
              </w:rPr>
            </w:pPr>
            <w:r w:rsidRPr="00CF3E3D">
              <w:rPr>
                <w:sz w:val="18"/>
                <w:szCs w:val="18"/>
              </w:rPr>
              <w:t>85.4 (83.5, 87.0)</w:t>
            </w:r>
          </w:p>
        </w:tc>
        <w:tc>
          <w:tcPr>
            <w:cnfStyle w:val="000010000000" w:firstRow="0" w:lastRow="0" w:firstColumn="0" w:lastColumn="0" w:oddVBand="1" w:evenVBand="0" w:oddHBand="0" w:evenHBand="0" w:firstRowFirstColumn="0" w:firstRowLastColumn="0" w:lastRowFirstColumn="0" w:lastRowLastColumn="0"/>
            <w:tcW w:w="755" w:type="pct"/>
          </w:tcPr>
          <w:p w14:paraId="7CCD7E5D" w14:textId="77777777" w:rsidR="004E45CF" w:rsidRPr="00CF3E3D" w:rsidRDefault="004E45CF" w:rsidP="007007AC">
            <w:pPr>
              <w:spacing w:before="85" w:line="288" w:lineRule="auto"/>
              <w:jc w:val="center"/>
              <w:rPr>
                <w:sz w:val="18"/>
                <w:szCs w:val="18"/>
              </w:rPr>
            </w:pPr>
            <w:r w:rsidRPr="00CF3E3D">
              <w:rPr>
                <w:sz w:val="18"/>
                <w:szCs w:val="18"/>
              </w:rPr>
              <w:t>88.3 (86.6, 89.7)</w:t>
            </w:r>
          </w:p>
        </w:tc>
      </w:tr>
      <w:tr w:rsidR="004E45CF" w:rsidRPr="00CF3E3D" w14:paraId="5492D23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5D9BF01"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Victoria University</w:t>
            </w:r>
          </w:p>
        </w:tc>
        <w:tc>
          <w:tcPr>
            <w:cnfStyle w:val="000001000000" w:firstRow="0" w:lastRow="0" w:firstColumn="0" w:lastColumn="0" w:oddVBand="0" w:evenVBand="1" w:oddHBand="0" w:evenHBand="0" w:firstRowFirstColumn="0" w:firstRowLastColumn="0" w:lastRowFirstColumn="0" w:lastRowLastColumn="0"/>
            <w:tcW w:w="709" w:type="pct"/>
          </w:tcPr>
          <w:p w14:paraId="2D815C4F" w14:textId="77777777" w:rsidR="004E45CF" w:rsidRPr="00CF3E3D" w:rsidRDefault="004E45CF" w:rsidP="007007AC">
            <w:pPr>
              <w:spacing w:before="85" w:line="288" w:lineRule="auto"/>
              <w:jc w:val="center"/>
              <w:rPr>
                <w:b/>
                <w:bCs/>
                <w:sz w:val="18"/>
                <w:szCs w:val="18"/>
              </w:rPr>
            </w:pPr>
            <w:r w:rsidRPr="00CF3E3D">
              <w:rPr>
                <w:sz w:val="18"/>
                <w:szCs w:val="18"/>
              </w:rPr>
              <w:t>59.1 (56.3, 61.7)</w:t>
            </w:r>
          </w:p>
        </w:tc>
        <w:tc>
          <w:tcPr>
            <w:cnfStyle w:val="000010000000" w:firstRow="0" w:lastRow="0" w:firstColumn="0" w:lastColumn="0" w:oddVBand="1" w:evenVBand="0" w:oddHBand="0" w:evenHBand="0" w:firstRowFirstColumn="0" w:firstRowLastColumn="0" w:lastRowFirstColumn="0" w:lastRowLastColumn="0"/>
            <w:tcW w:w="755" w:type="pct"/>
          </w:tcPr>
          <w:p w14:paraId="56BF1F76" w14:textId="77777777" w:rsidR="004E45CF" w:rsidRPr="00CF3E3D" w:rsidRDefault="004E45CF" w:rsidP="007007AC">
            <w:pPr>
              <w:spacing w:before="85" w:line="288" w:lineRule="auto"/>
              <w:jc w:val="center"/>
              <w:rPr>
                <w:sz w:val="18"/>
                <w:szCs w:val="18"/>
              </w:rPr>
            </w:pPr>
            <w:r w:rsidRPr="00CF3E3D">
              <w:rPr>
                <w:sz w:val="18"/>
                <w:szCs w:val="18"/>
              </w:rPr>
              <w:t>67.9 (65.1, 70.6)</w:t>
            </w:r>
          </w:p>
        </w:tc>
        <w:tc>
          <w:tcPr>
            <w:cnfStyle w:val="000001000000" w:firstRow="0" w:lastRow="0" w:firstColumn="0" w:lastColumn="0" w:oddVBand="0" w:evenVBand="1" w:oddHBand="0" w:evenHBand="0" w:firstRowFirstColumn="0" w:firstRowLastColumn="0" w:lastRowFirstColumn="0" w:lastRowLastColumn="0"/>
            <w:tcW w:w="755" w:type="pct"/>
          </w:tcPr>
          <w:p w14:paraId="7D26C6C2" w14:textId="77777777" w:rsidR="004E45CF" w:rsidRPr="00CF3E3D" w:rsidRDefault="004E45CF" w:rsidP="007007AC">
            <w:pPr>
              <w:spacing w:before="85" w:line="288" w:lineRule="auto"/>
              <w:jc w:val="center"/>
              <w:rPr>
                <w:b/>
                <w:bCs/>
                <w:sz w:val="18"/>
                <w:szCs w:val="18"/>
              </w:rPr>
            </w:pPr>
            <w:r w:rsidRPr="00CF3E3D">
              <w:rPr>
                <w:sz w:val="18"/>
                <w:szCs w:val="18"/>
              </w:rPr>
              <w:t>78.8 (77.0, 80.4)</w:t>
            </w:r>
          </w:p>
        </w:tc>
        <w:tc>
          <w:tcPr>
            <w:cnfStyle w:val="000010000000" w:firstRow="0" w:lastRow="0" w:firstColumn="0" w:lastColumn="0" w:oddVBand="1" w:evenVBand="0" w:oddHBand="0" w:evenHBand="0" w:firstRowFirstColumn="0" w:firstRowLastColumn="0" w:lastRowFirstColumn="0" w:lastRowLastColumn="0"/>
            <w:tcW w:w="755" w:type="pct"/>
          </w:tcPr>
          <w:p w14:paraId="53A3F8F6" w14:textId="77777777" w:rsidR="004E45CF" w:rsidRPr="00CF3E3D" w:rsidRDefault="004E45CF" w:rsidP="007007AC">
            <w:pPr>
              <w:spacing w:before="85" w:line="288" w:lineRule="auto"/>
              <w:jc w:val="center"/>
              <w:rPr>
                <w:sz w:val="18"/>
                <w:szCs w:val="18"/>
              </w:rPr>
            </w:pPr>
            <w:r w:rsidRPr="00CF3E3D">
              <w:rPr>
                <w:sz w:val="18"/>
                <w:szCs w:val="18"/>
              </w:rPr>
              <w:t>81.2 (79.4, 82.9)</w:t>
            </w:r>
          </w:p>
        </w:tc>
      </w:tr>
      <w:tr w:rsidR="004E45CF" w:rsidRPr="00CF3E3D" w14:paraId="544E3A7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F96F0C1"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Western Sydney University</w:t>
            </w:r>
          </w:p>
        </w:tc>
        <w:tc>
          <w:tcPr>
            <w:cnfStyle w:val="000001000000" w:firstRow="0" w:lastRow="0" w:firstColumn="0" w:lastColumn="0" w:oddVBand="0" w:evenVBand="1" w:oddHBand="0" w:evenHBand="0" w:firstRowFirstColumn="0" w:firstRowLastColumn="0" w:lastRowFirstColumn="0" w:lastRowLastColumn="0"/>
            <w:tcW w:w="709" w:type="pct"/>
          </w:tcPr>
          <w:p w14:paraId="7C9EEA1C" w14:textId="77777777" w:rsidR="004E45CF" w:rsidRPr="00CF3E3D" w:rsidRDefault="004E45CF" w:rsidP="007007AC">
            <w:pPr>
              <w:spacing w:before="85" w:line="288" w:lineRule="auto"/>
              <w:jc w:val="center"/>
              <w:rPr>
                <w:b/>
                <w:bCs/>
                <w:sz w:val="18"/>
                <w:szCs w:val="18"/>
              </w:rPr>
            </w:pPr>
            <w:r w:rsidRPr="00CF3E3D">
              <w:rPr>
                <w:sz w:val="18"/>
                <w:szCs w:val="18"/>
              </w:rPr>
              <w:t>61.8 (60.6, 63.0)</w:t>
            </w:r>
          </w:p>
        </w:tc>
        <w:tc>
          <w:tcPr>
            <w:cnfStyle w:val="000010000000" w:firstRow="0" w:lastRow="0" w:firstColumn="0" w:lastColumn="0" w:oddVBand="1" w:evenVBand="0" w:oddHBand="0" w:evenHBand="0" w:firstRowFirstColumn="0" w:firstRowLastColumn="0" w:lastRowFirstColumn="0" w:lastRowLastColumn="0"/>
            <w:tcW w:w="755" w:type="pct"/>
          </w:tcPr>
          <w:p w14:paraId="778837BE" w14:textId="77777777" w:rsidR="004E45CF" w:rsidRPr="00CF3E3D" w:rsidRDefault="004E45CF" w:rsidP="007007AC">
            <w:pPr>
              <w:spacing w:before="85" w:line="288" w:lineRule="auto"/>
              <w:jc w:val="center"/>
              <w:rPr>
                <w:sz w:val="18"/>
                <w:szCs w:val="18"/>
              </w:rPr>
            </w:pPr>
            <w:r w:rsidRPr="00CF3E3D">
              <w:rPr>
                <w:sz w:val="18"/>
                <w:szCs w:val="18"/>
              </w:rPr>
              <w:t>73.4 (71.8, 74.9)</w:t>
            </w:r>
          </w:p>
        </w:tc>
        <w:tc>
          <w:tcPr>
            <w:cnfStyle w:val="000001000000" w:firstRow="0" w:lastRow="0" w:firstColumn="0" w:lastColumn="0" w:oddVBand="0" w:evenVBand="1" w:oddHBand="0" w:evenHBand="0" w:firstRowFirstColumn="0" w:firstRowLastColumn="0" w:lastRowFirstColumn="0" w:lastRowLastColumn="0"/>
            <w:tcW w:w="755" w:type="pct"/>
          </w:tcPr>
          <w:p w14:paraId="3FCF72BA" w14:textId="77777777" w:rsidR="004E45CF" w:rsidRPr="00CF3E3D" w:rsidRDefault="004E45CF" w:rsidP="007007AC">
            <w:pPr>
              <w:spacing w:before="85" w:line="288" w:lineRule="auto"/>
              <w:jc w:val="center"/>
              <w:rPr>
                <w:b/>
                <w:bCs/>
                <w:sz w:val="18"/>
                <w:szCs w:val="18"/>
              </w:rPr>
            </w:pPr>
            <w:r w:rsidRPr="00CF3E3D">
              <w:rPr>
                <w:sz w:val="18"/>
                <w:szCs w:val="18"/>
              </w:rPr>
              <w:t>79.2 (78.6, 79.7)</w:t>
            </w:r>
          </w:p>
        </w:tc>
        <w:tc>
          <w:tcPr>
            <w:cnfStyle w:val="000010000000" w:firstRow="0" w:lastRow="0" w:firstColumn="0" w:lastColumn="0" w:oddVBand="1" w:evenVBand="0" w:oddHBand="0" w:evenHBand="0" w:firstRowFirstColumn="0" w:firstRowLastColumn="0" w:lastRowFirstColumn="0" w:lastRowLastColumn="0"/>
            <w:tcW w:w="755" w:type="pct"/>
          </w:tcPr>
          <w:p w14:paraId="14712968" w14:textId="77777777" w:rsidR="004E45CF" w:rsidRPr="00CF3E3D" w:rsidRDefault="004E45CF" w:rsidP="007007AC">
            <w:pPr>
              <w:spacing w:before="85" w:line="288" w:lineRule="auto"/>
              <w:jc w:val="center"/>
              <w:rPr>
                <w:sz w:val="18"/>
                <w:szCs w:val="18"/>
              </w:rPr>
            </w:pPr>
            <w:r w:rsidRPr="00CF3E3D">
              <w:rPr>
                <w:sz w:val="18"/>
                <w:szCs w:val="18"/>
              </w:rPr>
              <w:t>84.0 (82.8, 85.1)</w:t>
            </w:r>
          </w:p>
        </w:tc>
      </w:tr>
      <w:tr w:rsidR="004E45CF" w:rsidRPr="00CF3E3D" w14:paraId="6B8B85D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825F691"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All Universities</w:t>
            </w:r>
          </w:p>
        </w:tc>
        <w:tc>
          <w:tcPr>
            <w:cnfStyle w:val="000001000000" w:firstRow="0" w:lastRow="0" w:firstColumn="0" w:lastColumn="0" w:oddVBand="0" w:evenVBand="1" w:oddHBand="0" w:evenHBand="0" w:firstRowFirstColumn="0" w:firstRowLastColumn="0" w:lastRowFirstColumn="0" w:lastRowLastColumn="0"/>
            <w:tcW w:w="709" w:type="pct"/>
          </w:tcPr>
          <w:p w14:paraId="437104DF" w14:textId="77777777" w:rsidR="004E45CF" w:rsidRPr="00CF3E3D" w:rsidRDefault="004E45CF" w:rsidP="007007AC">
            <w:pPr>
              <w:spacing w:before="85" w:line="288" w:lineRule="auto"/>
              <w:jc w:val="center"/>
              <w:rPr>
                <w:b/>
                <w:bCs/>
                <w:sz w:val="18"/>
                <w:szCs w:val="18"/>
              </w:rPr>
            </w:pPr>
            <w:r w:rsidRPr="00CF3E3D">
              <w:rPr>
                <w:b/>
                <w:bCs/>
                <w:sz w:val="18"/>
                <w:szCs w:val="18"/>
              </w:rPr>
              <w:t>69.2 (68.8, 69.5)</w:t>
            </w:r>
          </w:p>
        </w:tc>
        <w:tc>
          <w:tcPr>
            <w:cnfStyle w:val="000010000000" w:firstRow="0" w:lastRow="0" w:firstColumn="0" w:lastColumn="0" w:oddVBand="1" w:evenVBand="0" w:oddHBand="0" w:evenHBand="0" w:firstRowFirstColumn="0" w:firstRowLastColumn="0" w:lastRowFirstColumn="0" w:lastRowLastColumn="0"/>
            <w:tcW w:w="755" w:type="pct"/>
          </w:tcPr>
          <w:p w14:paraId="61D4C3F0" w14:textId="77777777" w:rsidR="004E45CF" w:rsidRPr="00CF3E3D" w:rsidRDefault="004E45CF" w:rsidP="007007AC">
            <w:pPr>
              <w:spacing w:before="85" w:line="288" w:lineRule="auto"/>
              <w:jc w:val="center"/>
              <w:rPr>
                <w:b/>
                <w:bCs/>
                <w:sz w:val="18"/>
                <w:szCs w:val="18"/>
              </w:rPr>
            </w:pPr>
            <w:r w:rsidRPr="00CF3E3D">
              <w:rPr>
                <w:b/>
                <w:bCs/>
                <w:sz w:val="18"/>
                <w:szCs w:val="18"/>
              </w:rPr>
              <w:t>79.0 (78.7, 79.3)</w:t>
            </w:r>
          </w:p>
        </w:tc>
        <w:tc>
          <w:tcPr>
            <w:cnfStyle w:val="000001000000" w:firstRow="0" w:lastRow="0" w:firstColumn="0" w:lastColumn="0" w:oddVBand="0" w:evenVBand="1" w:oddHBand="0" w:evenHBand="0" w:firstRowFirstColumn="0" w:firstRowLastColumn="0" w:lastRowFirstColumn="0" w:lastRowLastColumn="0"/>
            <w:tcW w:w="755" w:type="pct"/>
          </w:tcPr>
          <w:p w14:paraId="3A6DC1BA" w14:textId="77777777" w:rsidR="004E45CF" w:rsidRPr="00CF3E3D" w:rsidRDefault="004E45CF" w:rsidP="007007AC">
            <w:pPr>
              <w:spacing w:before="85" w:line="288" w:lineRule="auto"/>
              <w:jc w:val="center"/>
              <w:rPr>
                <w:b/>
                <w:bCs/>
                <w:sz w:val="18"/>
                <w:szCs w:val="18"/>
              </w:rPr>
            </w:pPr>
            <w:r w:rsidRPr="00CF3E3D">
              <w:rPr>
                <w:b/>
                <w:bCs/>
                <w:sz w:val="18"/>
                <w:szCs w:val="18"/>
              </w:rPr>
              <w:t>85.0 (84.8, 85.3)</w:t>
            </w:r>
          </w:p>
        </w:tc>
        <w:tc>
          <w:tcPr>
            <w:cnfStyle w:val="000010000000" w:firstRow="0" w:lastRow="0" w:firstColumn="0" w:lastColumn="0" w:oddVBand="1" w:evenVBand="0" w:oddHBand="0" w:evenHBand="0" w:firstRowFirstColumn="0" w:firstRowLastColumn="0" w:lastRowFirstColumn="0" w:lastRowLastColumn="0"/>
            <w:tcW w:w="755" w:type="pct"/>
          </w:tcPr>
          <w:p w14:paraId="1FADD9DC" w14:textId="77777777" w:rsidR="004E45CF" w:rsidRPr="00CF3E3D" w:rsidRDefault="004E45CF" w:rsidP="007007AC">
            <w:pPr>
              <w:spacing w:before="85" w:line="288" w:lineRule="auto"/>
              <w:jc w:val="center"/>
              <w:rPr>
                <w:b/>
                <w:bCs/>
                <w:sz w:val="18"/>
                <w:szCs w:val="18"/>
              </w:rPr>
            </w:pPr>
            <w:r w:rsidRPr="00CF3E3D">
              <w:rPr>
                <w:b/>
                <w:bCs/>
                <w:sz w:val="18"/>
                <w:szCs w:val="18"/>
              </w:rPr>
              <w:t>88.5 (88.3, 88.7)</w:t>
            </w:r>
          </w:p>
        </w:tc>
      </w:tr>
      <w:tr w:rsidR="004E45CF" w:rsidRPr="00CF3E3D" w14:paraId="2379DBE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29B7149" w14:textId="77777777" w:rsidR="004E45CF" w:rsidRPr="001E400B" w:rsidRDefault="004E45CF" w:rsidP="00906343">
            <w:pPr>
              <w:spacing w:before="85" w:line="288" w:lineRule="auto"/>
              <w:rPr>
                <w:b/>
                <w:bCs/>
                <w:sz w:val="18"/>
                <w:szCs w:val="18"/>
                <w:lang w:eastAsia="en-AU"/>
              </w:rPr>
            </w:pPr>
            <w:r w:rsidRPr="001E400B">
              <w:rPr>
                <w:b/>
                <w:bCs/>
                <w:sz w:val="18"/>
                <w:szCs w:val="18"/>
                <w:lang w:eastAsia="en-AU"/>
              </w:rPr>
              <w:t>Standard deviation</w:t>
            </w:r>
          </w:p>
        </w:tc>
        <w:tc>
          <w:tcPr>
            <w:cnfStyle w:val="000001000000" w:firstRow="0" w:lastRow="0" w:firstColumn="0" w:lastColumn="0" w:oddVBand="0" w:evenVBand="1" w:oddHBand="0" w:evenHBand="0" w:firstRowFirstColumn="0" w:firstRowLastColumn="0" w:lastRowFirstColumn="0" w:lastRowLastColumn="0"/>
            <w:tcW w:w="709" w:type="pct"/>
          </w:tcPr>
          <w:p w14:paraId="0055DD0F" w14:textId="77777777" w:rsidR="004E45CF" w:rsidRPr="00CF3E3D" w:rsidRDefault="004E45CF" w:rsidP="007007AC">
            <w:pPr>
              <w:spacing w:before="85" w:line="288" w:lineRule="auto"/>
              <w:jc w:val="center"/>
              <w:rPr>
                <w:sz w:val="18"/>
                <w:szCs w:val="18"/>
                <w:lang w:eastAsia="en-AU"/>
              </w:rPr>
            </w:pPr>
            <w:r w:rsidRPr="00CF3E3D">
              <w:rPr>
                <w:sz w:val="18"/>
                <w:szCs w:val="18"/>
              </w:rPr>
              <w:t>7.3</w:t>
            </w:r>
          </w:p>
        </w:tc>
        <w:tc>
          <w:tcPr>
            <w:cnfStyle w:val="000010000000" w:firstRow="0" w:lastRow="0" w:firstColumn="0" w:lastColumn="0" w:oddVBand="1" w:evenVBand="0" w:oddHBand="0" w:evenHBand="0" w:firstRowFirstColumn="0" w:firstRowLastColumn="0" w:lastRowFirstColumn="0" w:lastRowLastColumn="0"/>
            <w:tcW w:w="755" w:type="pct"/>
          </w:tcPr>
          <w:p w14:paraId="790E2C43" w14:textId="77777777" w:rsidR="004E45CF" w:rsidRPr="00CF3E3D" w:rsidRDefault="004E45CF" w:rsidP="007007AC">
            <w:pPr>
              <w:spacing w:before="85" w:line="288" w:lineRule="auto"/>
              <w:jc w:val="center"/>
              <w:rPr>
                <w:sz w:val="18"/>
                <w:szCs w:val="18"/>
              </w:rPr>
            </w:pPr>
            <w:r w:rsidRPr="00CF3E3D">
              <w:rPr>
                <w:sz w:val="18"/>
                <w:szCs w:val="18"/>
              </w:rPr>
              <w:t>5.1</w:t>
            </w:r>
          </w:p>
        </w:tc>
        <w:tc>
          <w:tcPr>
            <w:cnfStyle w:val="000001000000" w:firstRow="0" w:lastRow="0" w:firstColumn="0" w:lastColumn="0" w:oddVBand="0" w:evenVBand="1" w:oddHBand="0" w:evenHBand="0" w:firstRowFirstColumn="0" w:firstRowLastColumn="0" w:lastRowFirstColumn="0" w:lastRowLastColumn="0"/>
            <w:tcW w:w="755" w:type="pct"/>
          </w:tcPr>
          <w:p w14:paraId="2FC4FFCD" w14:textId="77777777" w:rsidR="004E45CF" w:rsidRPr="00CF3E3D" w:rsidRDefault="004E45CF" w:rsidP="007007AC">
            <w:pPr>
              <w:spacing w:before="85" w:line="288" w:lineRule="auto"/>
              <w:jc w:val="center"/>
              <w:rPr>
                <w:sz w:val="18"/>
                <w:szCs w:val="18"/>
                <w:lang w:eastAsia="en-AU"/>
              </w:rPr>
            </w:pPr>
            <w:r w:rsidRPr="00CF3E3D">
              <w:rPr>
                <w:sz w:val="18"/>
                <w:szCs w:val="18"/>
              </w:rPr>
              <w:t>3.4</w:t>
            </w:r>
          </w:p>
        </w:tc>
        <w:tc>
          <w:tcPr>
            <w:cnfStyle w:val="000010000000" w:firstRow="0" w:lastRow="0" w:firstColumn="0" w:lastColumn="0" w:oddVBand="1" w:evenVBand="0" w:oddHBand="0" w:evenHBand="0" w:firstRowFirstColumn="0" w:firstRowLastColumn="0" w:lastRowFirstColumn="0" w:lastRowLastColumn="0"/>
            <w:tcW w:w="755" w:type="pct"/>
          </w:tcPr>
          <w:p w14:paraId="33962E45" w14:textId="77777777" w:rsidR="004E45CF" w:rsidRPr="00CF3E3D" w:rsidRDefault="004E45CF" w:rsidP="007007AC">
            <w:pPr>
              <w:spacing w:before="85" w:line="288" w:lineRule="auto"/>
              <w:jc w:val="center"/>
              <w:rPr>
                <w:sz w:val="18"/>
                <w:szCs w:val="18"/>
              </w:rPr>
            </w:pPr>
            <w:r w:rsidRPr="00CF3E3D">
              <w:rPr>
                <w:sz w:val="18"/>
                <w:szCs w:val="18"/>
              </w:rPr>
              <w:t>2.9</w:t>
            </w:r>
          </w:p>
        </w:tc>
      </w:tr>
    </w:tbl>
    <w:p w14:paraId="14F596F8" w14:textId="77777777" w:rsidR="004E45CF" w:rsidRPr="00CF3E3D" w:rsidRDefault="004E45CF" w:rsidP="004E45CF">
      <w:pPr>
        <w:pStyle w:val="Note"/>
        <w:spacing w:before="0"/>
        <w:rPr>
          <w:szCs w:val="16"/>
        </w:rPr>
      </w:pPr>
      <w:bookmarkStart w:id="85" w:name="_Toc22200706"/>
      <w:r w:rsidRPr="00CF3E3D">
        <w:rPr>
          <w:szCs w:val="16"/>
        </w:rPr>
        <w:t xml:space="preserve">Note: A n/a indicates a suppressed value (n&lt;25). </w:t>
      </w:r>
      <w:bookmarkStart w:id="86" w:name="_Hlk109901054"/>
    </w:p>
    <w:p w14:paraId="2CAD531B" w14:textId="77777777" w:rsidR="004E45CF" w:rsidRPr="00CF3E3D" w:rsidRDefault="004E45CF" w:rsidP="004E45CF">
      <w:pPr>
        <w:pStyle w:val="Note"/>
        <w:spacing w:before="0" w:line="240" w:lineRule="auto"/>
        <w:rPr>
          <w:szCs w:val="16"/>
        </w:rPr>
      </w:pPr>
      <w:r w:rsidRPr="00CF3E3D">
        <w:rPr>
          <w:szCs w:val="16"/>
        </w:rPr>
        <w:t>*In GOS reports prior to 2022, Avondale University was reported as a NUHEI.</w:t>
      </w:r>
      <w:bookmarkEnd w:id="86"/>
    </w:p>
    <w:p w14:paraId="1059F054" w14:textId="77777777" w:rsidR="004E45CF" w:rsidRPr="00CF3E3D" w:rsidRDefault="004E45CF" w:rsidP="004E45CF">
      <w:pPr>
        <w:pStyle w:val="Body"/>
        <w:spacing w:before="0"/>
      </w:pPr>
    </w:p>
    <w:p w14:paraId="65657EDC" w14:textId="77777777" w:rsidR="004E45CF" w:rsidRPr="00CF3E3D" w:rsidRDefault="004E45CF" w:rsidP="009B199C">
      <w:pPr>
        <w:pStyle w:val="Body"/>
      </w:pPr>
      <w:r w:rsidRPr="00CF3E3D">
        <w:t xml:space="preserve">In 2022, universities with the highest median full-time undergraduate salaries immediately following graduation include University of Tasmania, $78,300, University of Southern Queensland, $75,000, Central Queensland University, $73,100, Charles Darwin University, $73,100, Charles Sturt University, $72,800, Curtin University, $71,000, and Southern Cross University, $71,000. </w:t>
      </w:r>
    </w:p>
    <w:p w14:paraId="01C0AE8B" w14:textId="77777777" w:rsidR="004E45CF" w:rsidRPr="00CF3E3D" w:rsidRDefault="004E45CF" w:rsidP="009B199C">
      <w:pPr>
        <w:pStyle w:val="Body"/>
      </w:pPr>
      <w:r w:rsidRPr="00CF3E3D">
        <w:t xml:space="preserve">Several institutions had a median undergraduate full-time salary increase from 2021 to 2022 greater than $4,000. These institutions were University of Tasmania, $8,300, La Trobe University, $5,500, RMIT University, $4,700, Murdoch University, $4,600, University of Wollongong, $4,400, and The University of Sydney, $4,100. Repeating the earlier caveat, factors beyond the quality of teaching, careers advice and the like, such as course offerings, the composition of the student population and variations in state / territory and regional labour markets, may also impact on salary outcomes. </w:t>
      </w:r>
    </w:p>
    <w:p w14:paraId="57F4BE32" w14:textId="0BAA4BEC" w:rsidR="004E45CF" w:rsidRPr="00CB5298" w:rsidRDefault="004E45CF" w:rsidP="00CB5298">
      <w:pPr>
        <w:pStyle w:val="Caption"/>
        <w:ind w:left="851" w:hanging="851"/>
        <w:rPr>
          <w:color w:val="000000" w:themeColor="text1"/>
        </w:rPr>
      </w:pPr>
      <w:bookmarkStart w:id="87" w:name="_Toc77927542"/>
      <w:bookmarkStart w:id="88" w:name="_Toc116035806"/>
      <w:bookmarkStart w:id="89" w:name="_Toc116040361"/>
      <w:r w:rsidRPr="00CB5298">
        <w:rPr>
          <w:color w:val="000000" w:themeColor="text1"/>
        </w:rPr>
        <w:t xml:space="preserve">Table </w:t>
      </w:r>
      <w:r w:rsidRPr="00CB5298">
        <w:rPr>
          <w:color w:val="000000" w:themeColor="text1"/>
        </w:rPr>
        <w:fldChar w:fldCharType="begin"/>
      </w:r>
      <w:r w:rsidRPr="00CB5298">
        <w:rPr>
          <w:color w:val="000000" w:themeColor="text1"/>
        </w:rPr>
        <w:instrText xml:space="preserve"> SEQ Table \* ARABIC </w:instrText>
      </w:r>
      <w:r w:rsidRPr="00CB5298">
        <w:rPr>
          <w:color w:val="000000" w:themeColor="text1"/>
        </w:rPr>
        <w:fldChar w:fldCharType="separate"/>
      </w:r>
      <w:r w:rsidR="005606F7">
        <w:rPr>
          <w:noProof/>
          <w:color w:val="000000" w:themeColor="text1"/>
        </w:rPr>
        <w:t>12</w:t>
      </w:r>
      <w:r w:rsidRPr="00CB5298">
        <w:rPr>
          <w:color w:val="000000" w:themeColor="text1"/>
        </w:rPr>
        <w:fldChar w:fldCharType="end"/>
      </w:r>
      <w:bookmarkEnd w:id="85"/>
      <w:r w:rsidRPr="00CB5298">
        <w:rPr>
          <w:color w:val="000000" w:themeColor="text1"/>
        </w:rPr>
        <w:t xml:space="preserve"> Undergraduate labour force participation and median full-time salary by university, 2021-202</w:t>
      </w:r>
      <w:bookmarkEnd w:id="87"/>
      <w:r w:rsidRPr="00CB5298">
        <w:rPr>
          <w:color w:val="000000" w:themeColor="text1"/>
        </w:rPr>
        <w:t>2</w:t>
      </w:r>
      <w:bookmarkEnd w:id="88"/>
      <w:bookmarkEnd w:id="89"/>
    </w:p>
    <w:tbl>
      <w:tblPr>
        <w:tblStyle w:val="TableGrid"/>
        <w:tblW w:w="5000" w:type="pct"/>
        <w:tblLook w:val="0020" w:firstRow="1" w:lastRow="0" w:firstColumn="0" w:lastColumn="0" w:noHBand="0" w:noVBand="0"/>
        <w:tblCaption w:val="Table 5  Short- (2014) and medium-term (2017) outcomes for undergraduates by study area "/>
      </w:tblPr>
      <w:tblGrid>
        <w:gridCol w:w="3669"/>
        <w:gridCol w:w="1297"/>
        <w:gridCol w:w="1368"/>
        <w:gridCol w:w="1368"/>
        <w:gridCol w:w="1368"/>
      </w:tblGrid>
      <w:tr w:rsidR="004E45CF" w:rsidRPr="00CF3E3D" w14:paraId="2E5BB03A" w14:textId="77777777" w:rsidTr="00BC6766">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63316ABE" w14:textId="77777777" w:rsidR="004E45CF" w:rsidRPr="00CB5298" w:rsidRDefault="004E45CF" w:rsidP="00CB5298">
            <w:pPr>
              <w:jc w:val="left"/>
              <w:rPr>
                <w:color w:val="FFFFFF" w:themeColor="background1"/>
                <w:sz w:val="18"/>
                <w:szCs w:val="18"/>
              </w:rPr>
            </w:pPr>
            <w:bookmarkStart w:id="90" w:name="Title12"/>
            <w:bookmarkEnd w:id="90"/>
            <w:r w:rsidRPr="00CB5298">
              <w:rPr>
                <w:color w:val="FFFFFF" w:themeColor="background1"/>
                <w:sz w:val="18"/>
                <w:szCs w:val="18"/>
              </w:rPr>
              <w:t>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79D8DF0D" w14:textId="77777777" w:rsidR="004E45CF" w:rsidRPr="00CB5298" w:rsidRDefault="004E45CF" w:rsidP="00CB5298">
            <w:pPr>
              <w:pStyle w:val="TablecolumnheadCENTRETABLES"/>
              <w:rPr>
                <w:rFonts w:ascii="Arial" w:hAnsi="Arial" w:cs="Arial"/>
                <w:b/>
                <w:bCs w:val="0"/>
                <w:caps w:val="0"/>
                <w:color w:val="FFFFFF" w:themeColor="background1"/>
                <w:sz w:val="18"/>
                <w:szCs w:val="18"/>
              </w:rPr>
            </w:pPr>
            <w:r w:rsidRPr="00CB5298">
              <w:rPr>
                <w:rFonts w:ascii="Arial" w:hAnsi="Arial" w:cs="Arial"/>
                <w:b/>
                <w:bCs w:val="0"/>
                <w:caps w:val="0"/>
                <w:color w:val="FFFFFF" w:themeColor="background1"/>
                <w:sz w:val="18"/>
                <w:szCs w:val="18"/>
              </w:rPr>
              <w:t>Labour force participation rate</w:t>
            </w:r>
          </w:p>
          <w:p w14:paraId="0FF1E25F" w14:textId="77777777" w:rsidR="004E45CF" w:rsidRPr="00CB5298" w:rsidRDefault="004E45CF" w:rsidP="00CB5298">
            <w:pPr>
              <w:pStyle w:val="TablecolumnheadCENTRETABLES"/>
              <w:rPr>
                <w:rFonts w:ascii="Arial" w:hAnsi="Arial" w:cs="Arial"/>
                <w:b/>
                <w:bCs w:val="0"/>
                <w:color w:val="FFFFFF" w:themeColor="background1"/>
                <w:sz w:val="18"/>
                <w:szCs w:val="18"/>
              </w:rPr>
            </w:pPr>
            <w:r w:rsidRPr="00CB5298">
              <w:rPr>
                <w:rFonts w:ascii="Arial" w:hAnsi="Arial" w:cs="Arial"/>
                <w:b/>
                <w:bCs w:val="0"/>
                <w:caps w:val="0"/>
                <w:color w:val="FFFFFF" w:themeColor="background1"/>
                <w:sz w:val="18"/>
                <w:szCs w:val="18"/>
              </w:rPr>
              <w:t xml:space="preserve">(%) </w:t>
            </w:r>
            <w:r w:rsidRPr="00CB5298">
              <w:rPr>
                <w:rFonts w:ascii="Arial" w:hAnsi="Arial" w:cs="Arial"/>
                <w:b/>
                <w:bCs w:val="0"/>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4D8618AC" w14:textId="77777777" w:rsidR="004E45CF" w:rsidRPr="00CB5298" w:rsidRDefault="004E45CF" w:rsidP="00CB5298">
            <w:pPr>
              <w:pStyle w:val="TablecolumnheadCENTRETABLES"/>
              <w:rPr>
                <w:rFonts w:ascii="Arial" w:hAnsi="Arial" w:cs="Arial"/>
                <w:b/>
                <w:bCs w:val="0"/>
                <w:caps w:val="0"/>
                <w:color w:val="FFFFFF" w:themeColor="background1"/>
                <w:sz w:val="18"/>
                <w:szCs w:val="18"/>
              </w:rPr>
            </w:pPr>
            <w:r w:rsidRPr="00CB5298">
              <w:rPr>
                <w:rFonts w:ascii="Arial" w:hAnsi="Arial" w:cs="Arial"/>
                <w:b/>
                <w:bCs w:val="0"/>
                <w:caps w:val="0"/>
                <w:color w:val="FFFFFF" w:themeColor="background1"/>
                <w:sz w:val="18"/>
                <w:szCs w:val="18"/>
              </w:rPr>
              <w:t>Labour force participation rate</w:t>
            </w:r>
          </w:p>
          <w:p w14:paraId="2C6D673C" w14:textId="77777777" w:rsidR="004E45CF" w:rsidRPr="00CB5298" w:rsidRDefault="004E45CF" w:rsidP="00CB5298">
            <w:pPr>
              <w:pStyle w:val="TablecolumnheadCENTRETABLES"/>
              <w:rPr>
                <w:rFonts w:ascii="Arial" w:hAnsi="Arial" w:cs="Arial"/>
                <w:b/>
                <w:bCs w:val="0"/>
                <w:color w:val="FFFFFF" w:themeColor="background1"/>
                <w:sz w:val="18"/>
                <w:szCs w:val="18"/>
              </w:rPr>
            </w:pPr>
            <w:r w:rsidRPr="00CB5298">
              <w:rPr>
                <w:rFonts w:ascii="Arial" w:hAnsi="Arial" w:cs="Arial"/>
                <w:b/>
                <w:bCs w:val="0"/>
                <w:caps w:val="0"/>
                <w:color w:val="FFFFFF" w:themeColor="background1"/>
                <w:sz w:val="18"/>
                <w:szCs w:val="18"/>
              </w:rPr>
              <w:t>(%)</w:t>
            </w:r>
            <w:r w:rsidRPr="00CB5298">
              <w:rPr>
                <w:rFonts w:ascii="Arial" w:hAnsi="Arial" w:cs="Arial"/>
                <w:b/>
                <w:bCs w:val="0"/>
                <w:color w:val="FFFFFF" w:themeColor="background1"/>
                <w:sz w:val="18"/>
                <w:szCs w:val="18"/>
              </w:rPr>
              <w:t>2022</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7C1E4016" w14:textId="77777777" w:rsidR="004E45CF" w:rsidRPr="00CB5298" w:rsidRDefault="004E45CF" w:rsidP="00CB5298">
            <w:pPr>
              <w:pStyle w:val="TablecolumnheadCENTRETABLES"/>
              <w:rPr>
                <w:rFonts w:ascii="Arial" w:hAnsi="Arial" w:cs="Arial"/>
                <w:b/>
                <w:bCs w:val="0"/>
                <w:caps w:val="0"/>
                <w:color w:val="FFFFFF" w:themeColor="background1"/>
                <w:sz w:val="18"/>
                <w:szCs w:val="18"/>
              </w:rPr>
            </w:pPr>
            <w:r w:rsidRPr="00CB5298">
              <w:rPr>
                <w:rFonts w:ascii="Arial" w:hAnsi="Arial" w:cs="Arial"/>
                <w:b/>
                <w:bCs w:val="0"/>
                <w:caps w:val="0"/>
                <w:color w:val="FFFFFF" w:themeColor="background1"/>
                <w:sz w:val="18"/>
                <w:szCs w:val="18"/>
              </w:rPr>
              <w:t>Median full-time salary</w:t>
            </w:r>
          </w:p>
          <w:p w14:paraId="2F8D7D49" w14:textId="77777777" w:rsidR="004E45CF" w:rsidRPr="00CB5298" w:rsidRDefault="004E45CF" w:rsidP="00CB5298">
            <w:pPr>
              <w:pStyle w:val="TablecolumnheadCENTRETABLES"/>
              <w:rPr>
                <w:rFonts w:ascii="Arial" w:hAnsi="Arial" w:cs="Arial"/>
                <w:b/>
                <w:bCs w:val="0"/>
                <w:color w:val="FFFFFF" w:themeColor="background1"/>
                <w:sz w:val="18"/>
                <w:szCs w:val="18"/>
              </w:rPr>
            </w:pPr>
            <w:r w:rsidRPr="00CB5298">
              <w:rPr>
                <w:rFonts w:ascii="Arial" w:hAnsi="Arial" w:cs="Arial"/>
                <w:b/>
                <w:bCs w:val="0"/>
                <w:caps w:val="0"/>
                <w:color w:val="FFFFFF" w:themeColor="background1"/>
                <w:sz w:val="18"/>
                <w:szCs w:val="18"/>
              </w:rPr>
              <w:t xml:space="preserve">($) </w:t>
            </w:r>
            <w:r w:rsidRPr="00CB5298">
              <w:rPr>
                <w:rFonts w:ascii="Arial" w:hAnsi="Arial" w:cs="Arial"/>
                <w:b/>
                <w:bCs w:val="0"/>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620C2592" w14:textId="77777777" w:rsidR="004E45CF" w:rsidRPr="00CB5298" w:rsidRDefault="004E45CF" w:rsidP="00CB5298">
            <w:pPr>
              <w:pStyle w:val="TablecolumnheadCENTRETABLES"/>
              <w:rPr>
                <w:rFonts w:ascii="Arial" w:hAnsi="Arial" w:cs="Arial"/>
                <w:b/>
                <w:bCs w:val="0"/>
                <w:caps w:val="0"/>
                <w:color w:val="FFFFFF" w:themeColor="background1"/>
                <w:sz w:val="18"/>
                <w:szCs w:val="18"/>
              </w:rPr>
            </w:pPr>
            <w:r w:rsidRPr="00CB5298">
              <w:rPr>
                <w:rFonts w:ascii="Arial" w:hAnsi="Arial" w:cs="Arial"/>
                <w:b/>
                <w:bCs w:val="0"/>
                <w:caps w:val="0"/>
                <w:color w:val="FFFFFF" w:themeColor="background1"/>
                <w:sz w:val="18"/>
                <w:szCs w:val="18"/>
              </w:rPr>
              <w:t>Median full-time salary</w:t>
            </w:r>
          </w:p>
          <w:p w14:paraId="070A39E5" w14:textId="77777777" w:rsidR="004E45CF" w:rsidRPr="00CB5298" w:rsidRDefault="004E45CF" w:rsidP="00CB5298">
            <w:pPr>
              <w:pStyle w:val="TablecolumnheadCENTRETABLES"/>
              <w:rPr>
                <w:rFonts w:ascii="Arial" w:hAnsi="Arial" w:cs="Arial"/>
                <w:b/>
                <w:bCs w:val="0"/>
                <w:color w:val="FFFFFF" w:themeColor="background1"/>
                <w:sz w:val="18"/>
                <w:szCs w:val="18"/>
              </w:rPr>
            </w:pPr>
            <w:r w:rsidRPr="00CB5298">
              <w:rPr>
                <w:rFonts w:ascii="Arial" w:hAnsi="Arial" w:cs="Arial"/>
                <w:b/>
                <w:bCs w:val="0"/>
                <w:caps w:val="0"/>
                <w:color w:val="FFFFFF" w:themeColor="background1"/>
                <w:sz w:val="18"/>
                <w:szCs w:val="18"/>
              </w:rPr>
              <w:t xml:space="preserve">($) </w:t>
            </w:r>
            <w:r w:rsidRPr="00CB5298">
              <w:rPr>
                <w:rFonts w:ascii="Arial" w:hAnsi="Arial" w:cs="Arial"/>
                <w:b/>
                <w:bCs w:val="0"/>
                <w:color w:val="FFFFFF" w:themeColor="background1"/>
                <w:sz w:val="18"/>
                <w:szCs w:val="18"/>
              </w:rPr>
              <w:t>2022</w:t>
            </w:r>
          </w:p>
        </w:tc>
      </w:tr>
      <w:tr w:rsidR="004E45CF" w:rsidRPr="00CF3E3D" w14:paraId="5F43867B"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0E847717" w14:textId="77777777" w:rsidR="004E45CF" w:rsidRPr="001E400B" w:rsidRDefault="004E45CF" w:rsidP="00CB5298">
            <w:pPr>
              <w:spacing w:before="85" w:line="288" w:lineRule="auto"/>
              <w:jc w:val="left"/>
              <w:rPr>
                <w:b/>
                <w:bCs/>
                <w:sz w:val="18"/>
                <w:szCs w:val="18"/>
              </w:rPr>
            </w:pPr>
            <w:r w:rsidRPr="001E400B">
              <w:rPr>
                <w:b/>
                <w:bCs/>
                <w:sz w:val="18"/>
                <w:szCs w:val="18"/>
                <w:lang w:eastAsia="en-AU"/>
              </w:rPr>
              <w:t>Australian Catholic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0AD974EA" w14:textId="77777777" w:rsidR="004E45CF" w:rsidRPr="00CF3E3D" w:rsidRDefault="004E45CF" w:rsidP="00CB5298">
            <w:pPr>
              <w:spacing w:before="85" w:line="288" w:lineRule="auto"/>
              <w:jc w:val="center"/>
              <w:rPr>
                <w:sz w:val="18"/>
                <w:szCs w:val="18"/>
              </w:rPr>
            </w:pPr>
            <w:r w:rsidRPr="00CF3E3D">
              <w:rPr>
                <w:sz w:val="18"/>
                <w:szCs w:val="18"/>
              </w:rPr>
              <w:t>95.5 (94.9, 96.0)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5366FA64" w14:textId="77777777" w:rsidR="004E45CF" w:rsidRPr="00CF3E3D" w:rsidRDefault="004E45CF" w:rsidP="00CB5298">
            <w:pPr>
              <w:spacing w:before="85" w:line="288" w:lineRule="auto"/>
              <w:jc w:val="center"/>
              <w:rPr>
                <w:sz w:val="18"/>
                <w:szCs w:val="18"/>
              </w:rPr>
            </w:pPr>
            <w:r w:rsidRPr="00CF3E3D">
              <w:rPr>
                <w:sz w:val="18"/>
                <w:szCs w:val="18"/>
              </w:rPr>
              <w:t>94.5 (93.6, 95.1)</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30A0AFD0" w14:textId="77777777" w:rsidR="004E45CF" w:rsidRPr="00CF3E3D" w:rsidRDefault="004E45CF" w:rsidP="00CB5298">
            <w:pPr>
              <w:spacing w:before="85" w:line="288" w:lineRule="auto"/>
              <w:jc w:val="center"/>
              <w:rPr>
                <w:sz w:val="18"/>
                <w:szCs w:val="18"/>
              </w:rPr>
            </w:pPr>
            <w:r w:rsidRPr="00CF3E3D">
              <w:rPr>
                <w:sz w:val="18"/>
                <w:szCs w:val="18"/>
              </w:rPr>
              <w:t>65,400 (64,300, 66,500)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1F857E1B" w14:textId="77777777" w:rsidR="004E45CF" w:rsidRPr="00CF3E3D" w:rsidRDefault="004E45CF" w:rsidP="00CB5298">
            <w:pPr>
              <w:spacing w:before="85" w:line="288" w:lineRule="auto"/>
              <w:jc w:val="center"/>
              <w:rPr>
                <w:sz w:val="18"/>
                <w:szCs w:val="18"/>
              </w:rPr>
            </w:pPr>
            <w:r w:rsidRPr="00CF3E3D">
              <w:rPr>
                <w:sz w:val="18"/>
                <w:szCs w:val="18"/>
              </w:rPr>
              <w:t>68,700 (67,500, 70,000)</w:t>
            </w:r>
          </w:p>
        </w:tc>
      </w:tr>
      <w:tr w:rsidR="00BC6766" w:rsidRPr="00CF3E3D" w14:paraId="71F23EB7"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3C8B111F" w14:textId="77777777" w:rsidR="00BC6766" w:rsidRPr="001E400B" w:rsidRDefault="00BC6766" w:rsidP="00BC6766">
            <w:pPr>
              <w:spacing w:before="85" w:line="288" w:lineRule="auto"/>
              <w:jc w:val="left"/>
              <w:rPr>
                <w:b/>
                <w:bCs/>
                <w:sz w:val="18"/>
                <w:szCs w:val="18"/>
                <w:lang w:eastAsia="en-AU"/>
              </w:rPr>
            </w:pPr>
            <w:r w:rsidRPr="001E400B">
              <w:rPr>
                <w:b/>
                <w:bCs/>
                <w:sz w:val="18"/>
                <w:szCs w:val="18"/>
                <w:lang w:eastAsia="en-AU"/>
              </w:rPr>
              <w:lastRenderedPageBreak/>
              <w:t>Avondale University</w:t>
            </w:r>
            <w:r>
              <w:rPr>
                <w:b/>
                <w:bCs/>
                <w:sz w:val="18"/>
                <w:szCs w:val="18"/>
                <w:lang w:eastAsia="en-AU"/>
              </w:rPr>
              <w:t>*</w:t>
            </w:r>
          </w:p>
        </w:tc>
        <w:tc>
          <w:tcPr>
            <w:cnfStyle w:val="000001000000" w:firstRow="0" w:lastRow="0" w:firstColumn="0" w:lastColumn="0" w:oddVBand="0" w:evenVBand="1" w:oddHBand="0" w:evenHBand="0" w:firstRowFirstColumn="0" w:firstRowLastColumn="0" w:lastRowFirstColumn="0" w:lastRowLastColumn="0"/>
            <w:tcW w:w="715" w:type="pct"/>
          </w:tcPr>
          <w:p w14:paraId="3E1CB671" w14:textId="29E22EE0" w:rsidR="00BC6766" w:rsidRPr="00CF3E3D" w:rsidRDefault="00BC6766" w:rsidP="00BC6766">
            <w:pPr>
              <w:spacing w:before="85" w:line="288" w:lineRule="auto"/>
              <w:jc w:val="center"/>
              <w:rPr>
                <w:sz w:val="18"/>
                <w:szCs w:val="18"/>
              </w:rPr>
            </w:pPr>
            <w:r>
              <w:rPr>
                <w:sz w:val="18"/>
                <w:szCs w:val="18"/>
              </w:rPr>
              <w:t>100.0 (95.0, 100.0)</w:t>
            </w:r>
          </w:p>
        </w:tc>
        <w:tc>
          <w:tcPr>
            <w:cnfStyle w:val="000010000000" w:firstRow="0" w:lastRow="0" w:firstColumn="0" w:lastColumn="0" w:oddVBand="1" w:evenVBand="0" w:oddHBand="0" w:evenHBand="0" w:firstRowFirstColumn="0" w:firstRowLastColumn="0" w:lastRowFirstColumn="0" w:lastRowLastColumn="0"/>
            <w:tcW w:w="754" w:type="pct"/>
          </w:tcPr>
          <w:p w14:paraId="6E8FE145" w14:textId="0F37CE77" w:rsidR="00BC6766" w:rsidRPr="00CF3E3D" w:rsidRDefault="00BC6766" w:rsidP="00BC6766">
            <w:pPr>
              <w:spacing w:before="85" w:line="288" w:lineRule="auto"/>
              <w:jc w:val="center"/>
              <w:rPr>
                <w:sz w:val="18"/>
                <w:szCs w:val="18"/>
              </w:rPr>
            </w:pPr>
            <w:r w:rsidRPr="00962849">
              <w:rPr>
                <w:sz w:val="18"/>
                <w:szCs w:val="18"/>
              </w:rPr>
              <w:t>87.2 (78.2, 92.2)</w:t>
            </w:r>
          </w:p>
        </w:tc>
        <w:tc>
          <w:tcPr>
            <w:cnfStyle w:val="000001000000" w:firstRow="0" w:lastRow="0" w:firstColumn="0" w:lastColumn="0" w:oddVBand="0" w:evenVBand="1" w:oddHBand="0" w:evenHBand="0" w:firstRowFirstColumn="0" w:firstRowLastColumn="0" w:lastRowFirstColumn="0" w:lastRowLastColumn="0"/>
            <w:tcW w:w="754" w:type="pct"/>
          </w:tcPr>
          <w:p w14:paraId="20C1F434" w14:textId="582A76D6" w:rsidR="00BC6766" w:rsidRPr="00CF3E3D" w:rsidRDefault="00BC6766" w:rsidP="00BC6766">
            <w:pPr>
              <w:spacing w:before="85" w:line="288" w:lineRule="auto"/>
              <w:jc w:val="center"/>
              <w:rPr>
                <w:sz w:val="18"/>
                <w:szCs w:val="18"/>
              </w:rPr>
            </w:pPr>
            <w:r>
              <w:rPr>
                <w:sz w:val="18"/>
                <w:szCs w:val="18"/>
              </w:rPr>
              <w:t>66,800 (64,900, 68,700)</w:t>
            </w:r>
          </w:p>
        </w:tc>
        <w:tc>
          <w:tcPr>
            <w:cnfStyle w:val="000010000000" w:firstRow="0" w:lastRow="0" w:firstColumn="0" w:lastColumn="0" w:oddVBand="1" w:evenVBand="0" w:oddHBand="0" w:evenHBand="0" w:firstRowFirstColumn="0" w:firstRowLastColumn="0" w:lastRowFirstColumn="0" w:lastRowLastColumn="0"/>
            <w:tcW w:w="754" w:type="pct"/>
          </w:tcPr>
          <w:p w14:paraId="4BC2242A" w14:textId="77777777" w:rsidR="00BC6766" w:rsidRPr="00CF3E3D" w:rsidRDefault="00BC6766" w:rsidP="00BC6766">
            <w:pPr>
              <w:spacing w:before="85" w:line="288" w:lineRule="auto"/>
              <w:jc w:val="center"/>
              <w:rPr>
                <w:sz w:val="18"/>
                <w:szCs w:val="18"/>
              </w:rPr>
            </w:pPr>
            <w:r w:rsidRPr="00CF3E3D">
              <w:rPr>
                <w:sz w:val="18"/>
                <w:szCs w:val="18"/>
              </w:rPr>
              <w:t>n/a</w:t>
            </w:r>
          </w:p>
        </w:tc>
      </w:tr>
      <w:tr w:rsidR="004E45CF" w:rsidRPr="00CF3E3D" w14:paraId="49DD5ED8"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755CDC0D" w14:textId="77777777" w:rsidR="004E45CF" w:rsidRPr="001E400B" w:rsidRDefault="004E45CF" w:rsidP="00CB5298">
            <w:pPr>
              <w:spacing w:before="85" w:line="288" w:lineRule="auto"/>
              <w:jc w:val="left"/>
              <w:rPr>
                <w:b/>
                <w:bCs/>
                <w:sz w:val="18"/>
                <w:szCs w:val="18"/>
              </w:rPr>
            </w:pPr>
            <w:r w:rsidRPr="001E400B">
              <w:rPr>
                <w:b/>
                <w:bCs/>
                <w:sz w:val="18"/>
                <w:szCs w:val="18"/>
                <w:lang w:eastAsia="en-AU"/>
              </w:rPr>
              <w:t>Bond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0672DC62" w14:textId="77777777" w:rsidR="004E45CF" w:rsidRPr="00CF3E3D" w:rsidRDefault="004E45CF" w:rsidP="00CB5298">
            <w:pPr>
              <w:spacing w:before="85" w:line="288" w:lineRule="auto"/>
              <w:jc w:val="center"/>
              <w:rPr>
                <w:sz w:val="18"/>
                <w:szCs w:val="18"/>
              </w:rPr>
            </w:pPr>
            <w:r w:rsidRPr="00CF3E3D">
              <w:rPr>
                <w:sz w:val="18"/>
                <w:szCs w:val="18"/>
              </w:rPr>
              <w:t>88.5 (85.0, 90.6)</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7F7D403D" w14:textId="77777777" w:rsidR="004E45CF" w:rsidRPr="00CF3E3D" w:rsidRDefault="004E45CF" w:rsidP="00CB5298">
            <w:pPr>
              <w:spacing w:before="85" w:line="288" w:lineRule="auto"/>
              <w:jc w:val="center"/>
              <w:rPr>
                <w:sz w:val="18"/>
                <w:szCs w:val="18"/>
              </w:rPr>
            </w:pPr>
            <w:r w:rsidRPr="00CF3E3D">
              <w:rPr>
                <w:sz w:val="18"/>
                <w:szCs w:val="18"/>
              </w:rPr>
              <w:t>92.1 (87.8, 94.7)</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03165D8C" w14:textId="77777777" w:rsidR="004E45CF" w:rsidRPr="00CF3E3D" w:rsidRDefault="004E45CF" w:rsidP="00CB5298">
            <w:pPr>
              <w:spacing w:before="85" w:line="288" w:lineRule="auto"/>
              <w:jc w:val="center"/>
              <w:rPr>
                <w:sz w:val="18"/>
                <w:szCs w:val="18"/>
              </w:rPr>
            </w:pPr>
            <w:r w:rsidRPr="00CF3E3D">
              <w:rPr>
                <w:sz w:val="18"/>
                <w:szCs w:val="18"/>
              </w:rPr>
              <w:t>60,000 (54,500, 65,500)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0C0F813B" w14:textId="77777777" w:rsidR="004E45CF" w:rsidRPr="00CF3E3D" w:rsidRDefault="004E45CF" w:rsidP="00CB5298">
            <w:pPr>
              <w:spacing w:before="85" w:line="288" w:lineRule="auto"/>
              <w:jc w:val="center"/>
              <w:rPr>
                <w:sz w:val="18"/>
                <w:szCs w:val="18"/>
              </w:rPr>
            </w:pPr>
            <w:r w:rsidRPr="00CF3E3D">
              <w:rPr>
                <w:sz w:val="18"/>
                <w:szCs w:val="18"/>
              </w:rPr>
              <w:t>63,400 (58,200, 68,700)</w:t>
            </w:r>
          </w:p>
        </w:tc>
      </w:tr>
      <w:tr w:rsidR="004E45CF" w:rsidRPr="00CF3E3D" w14:paraId="4939AE55"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4C8C6DF5" w14:textId="77777777" w:rsidR="004E45CF" w:rsidRPr="001E400B" w:rsidRDefault="004E45CF" w:rsidP="00CB5298">
            <w:pPr>
              <w:spacing w:before="85" w:line="288" w:lineRule="auto"/>
              <w:jc w:val="left"/>
              <w:rPr>
                <w:b/>
                <w:bCs/>
                <w:sz w:val="18"/>
                <w:szCs w:val="18"/>
              </w:rPr>
            </w:pPr>
            <w:r w:rsidRPr="001E400B">
              <w:rPr>
                <w:b/>
                <w:bCs/>
                <w:sz w:val="18"/>
                <w:szCs w:val="18"/>
                <w:lang w:eastAsia="en-AU"/>
              </w:rPr>
              <w:t>Central Queensland University</w:t>
            </w:r>
          </w:p>
        </w:tc>
        <w:tc>
          <w:tcPr>
            <w:cnfStyle w:val="000001000000" w:firstRow="0" w:lastRow="0" w:firstColumn="0" w:lastColumn="0" w:oddVBand="0" w:evenVBand="1" w:oddHBand="0" w:evenHBand="0" w:firstRowFirstColumn="0" w:firstRowLastColumn="0" w:lastRowFirstColumn="0" w:lastRowLastColumn="0"/>
            <w:tcW w:w="715" w:type="pct"/>
          </w:tcPr>
          <w:p w14:paraId="42633755" w14:textId="77777777" w:rsidR="004E45CF" w:rsidRPr="00CF3E3D" w:rsidRDefault="004E45CF" w:rsidP="00CB5298">
            <w:pPr>
              <w:spacing w:before="85" w:line="288" w:lineRule="auto"/>
              <w:jc w:val="center"/>
              <w:rPr>
                <w:sz w:val="18"/>
                <w:szCs w:val="18"/>
              </w:rPr>
            </w:pPr>
            <w:r w:rsidRPr="00CF3E3D">
              <w:rPr>
                <w:sz w:val="18"/>
                <w:szCs w:val="18"/>
              </w:rPr>
              <w:t>94.4 (93.2, 95.4)</w:t>
            </w:r>
          </w:p>
        </w:tc>
        <w:tc>
          <w:tcPr>
            <w:cnfStyle w:val="000010000000" w:firstRow="0" w:lastRow="0" w:firstColumn="0" w:lastColumn="0" w:oddVBand="1" w:evenVBand="0" w:oddHBand="0" w:evenHBand="0" w:firstRowFirstColumn="0" w:firstRowLastColumn="0" w:lastRowFirstColumn="0" w:lastRowLastColumn="0"/>
            <w:tcW w:w="754" w:type="pct"/>
          </w:tcPr>
          <w:p w14:paraId="734E7DDC" w14:textId="77777777" w:rsidR="004E45CF" w:rsidRPr="00CF3E3D" w:rsidRDefault="004E45CF" w:rsidP="00CB5298">
            <w:pPr>
              <w:spacing w:before="85" w:line="288" w:lineRule="auto"/>
              <w:jc w:val="center"/>
              <w:rPr>
                <w:sz w:val="18"/>
                <w:szCs w:val="18"/>
              </w:rPr>
            </w:pPr>
            <w:r w:rsidRPr="00CF3E3D">
              <w:rPr>
                <w:sz w:val="18"/>
                <w:szCs w:val="18"/>
              </w:rPr>
              <w:t>94.1 (93.1, 94.9)</w:t>
            </w:r>
          </w:p>
        </w:tc>
        <w:tc>
          <w:tcPr>
            <w:cnfStyle w:val="000001000000" w:firstRow="0" w:lastRow="0" w:firstColumn="0" w:lastColumn="0" w:oddVBand="0" w:evenVBand="1" w:oddHBand="0" w:evenHBand="0" w:firstRowFirstColumn="0" w:firstRowLastColumn="0" w:lastRowFirstColumn="0" w:lastRowLastColumn="0"/>
            <w:tcW w:w="754" w:type="pct"/>
          </w:tcPr>
          <w:p w14:paraId="253F53CA" w14:textId="77777777" w:rsidR="004E45CF" w:rsidRPr="00CF3E3D" w:rsidRDefault="004E45CF" w:rsidP="00CB5298">
            <w:pPr>
              <w:spacing w:before="85" w:line="288" w:lineRule="auto"/>
              <w:jc w:val="center"/>
              <w:rPr>
                <w:sz w:val="18"/>
                <w:szCs w:val="18"/>
              </w:rPr>
            </w:pPr>
            <w:r w:rsidRPr="00CF3E3D">
              <w:rPr>
                <w:sz w:val="18"/>
                <w:szCs w:val="18"/>
              </w:rPr>
              <w:t>70,000 (67,600, 72,400)</w:t>
            </w:r>
          </w:p>
        </w:tc>
        <w:tc>
          <w:tcPr>
            <w:cnfStyle w:val="000010000000" w:firstRow="0" w:lastRow="0" w:firstColumn="0" w:lastColumn="0" w:oddVBand="1" w:evenVBand="0" w:oddHBand="0" w:evenHBand="0" w:firstRowFirstColumn="0" w:firstRowLastColumn="0" w:lastRowFirstColumn="0" w:lastRowLastColumn="0"/>
            <w:tcW w:w="754" w:type="pct"/>
          </w:tcPr>
          <w:p w14:paraId="097E3165" w14:textId="77777777" w:rsidR="004E45CF" w:rsidRPr="00CF3E3D" w:rsidRDefault="004E45CF" w:rsidP="00CB5298">
            <w:pPr>
              <w:spacing w:before="85" w:line="288" w:lineRule="auto"/>
              <w:jc w:val="center"/>
              <w:rPr>
                <w:sz w:val="18"/>
                <w:szCs w:val="18"/>
              </w:rPr>
            </w:pPr>
            <w:r w:rsidRPr="00CF3E3D">
              <w:rPr>
                <w:sz w:val="18"/>
                <w:szCs w:val="18"/>
              </w:rPr>
              <w:t>73,100 (71,900, 74,200)</w:t>
            </w:r>
          </w:p>
        </w:tc>
      </w:tr>
      <w:tr w:rsidR="004E45CF" w:rsidRPr="00CF3E3D" w14:paraId="5371BE88"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44E1C706" w14:textId="77777777" w:rsidR="004E45CF" w:rsidRPr="001E400B" w:rsidRDefault="004E45CF" w:rsidP="00CB5298">
            <w:pPr>
              <w:spacing w:before="85" w:line="288" w:lineRule="auto"/>
              <w:jc w:val="left"/>
              <w:rPr>
                <w:b/>
                <w:bCs/>
                <w:sz w:val="18"/>
                <w:szCs w:val="18"/>
              </w:rPr>
            </w:pPr>
            <w:r w:rsidRPr="001E400B">
              <w:rPr>
                <w:b/>
                <w:bCs/>
                <w:sz w:val="18"/>
                <w:szCs w:val="18"/>
                <w:lang w:eastAsia="en-AU"/>
              </w:rPr>
              <w:t>Charles Darwin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249D0A59" w14:textId="77777777" w:rsidR="004E45CF" w:rsidRPr="00CF3E3D" w:rsidRDefault="004E45CF" w:rsidP="00CB5298">
            <w:pPr>
              <w:spacing w:before="85" w:line="288" w:lineRule="auto"/>
              <w:jc w:val="center"/>
              <w:rPr>
                <w:sz w:val="18"/>
                <w:szCs w:val="18"/>
              </w:rPr>
            </w:pPr>
            <w:r w:rsidRPr="00CF3E3D">
              <w:rPr>
                <w:sz w:val="18"/>
                <w:szCs w:val="18"/>
              </w:rPr>
              <w:t>91.5 (90.0, 92.7)</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37A2B1A7" w14:textId="77777777" w:rsidR="004E45CF" w:rsidRPr="00CF3E3D" w:rsidRDefault="004E45CF" w:rsidP="00CB5298">
            <w:pPr>
              <w:spacing w:before="85" w:line="288" w:lineRule="auto"/>
              <w:jc w:val="center"/>
              <w:rPr>
                <w:sz w:val="18"/>
                <w:szCs w:val="18"/>
              </w:rPr>
            </w:pPr>
            <w:r w:rsidRPr="00CF3E3D">
              <w:rPr>
                <w:sz w:val="18"/>
                <w:szCs w:val="18"/>
              </w:rPr>
              <w:t>93.7 (92.3, 94.7)</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77862BC8" w14:textId="77777777" w:rsidR="004E45CF" w:rsidRPr="00CF3E3D" w:rsidRDefault="004E45CF" w:rsidP="00CB5298">
            <w:pPr>
              <w:spacing w:before="85" w:line="288" w:lineRule="auto"/>
              <w:jc w:val="center"/>
              <w:rPr>
                <w:sz w:val="18"/>
                <w:szCs w:val="18"/>
              </w:rPr>
            </w:pPr>
            <w:r w:rsidRPr="00CF3E3D">
              <w:rPr>
                <w:sz w:val="18"/>
                <w:szCs w:val="18"/>
              </w:rPr>
              <w:t>70,000 (66,700, 73,300)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714A88DF" w14:textId="77777777" w:rsidR="004E45CF" w:rsidRPr="00CF3E3D" w:rsidRDefault="004E45CF" w:rsidP="00CB5298">
            <w:pPr>
              <w:spacing w:before="85" w:line="288" w:lineRule="auto"/>
              <w:jc w:val="center"/>
              <w:rPr>
                <w:sz w:val="18"/>
                <w:szCs w:val="18"/>
              </w:rPr>
            </w:pPr>
            <w:r w:rsidRPr="00CF3E3D">
              <w:rPr>
                <w:sz w:val="18"/>
                <w:szCs w:val="18"/>
              </w:rPr>
              <w:t>73,100 (71,100, 75,000)</w:t>
            </w:r>
          </w:p>
        </w:tc>
      </w:tr>
      <w:tr w:rsidR="004E45CF" w:rsidRPr="00CF3E3D" w14:paraId="732770E4"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4DA75A6C" w14:textId="77777777" w:rsidR="004E45CF" w:rsidRPr="001E400B" w:rsidRDefault="004E45CF" w:rsidP="00CB5298">
            <w:pPr>
              <w:spacing w:before="85" w:line="288" w:lineRule="auto"/>
              <w:jc w:val="left"/>
              <w:rPr>
                <w:b/>
                <w:bCs/>
                <w:sz w:val="18"/>
                <w:szCs w:val="18"/>
              </w:rPr>
            </w:pPr>
            <w:r w:rsidRPr="001E400B">
              <w:rPr>
                <w:b/>
                <w:bCs/>
                <w:sz w:val="18"/>
                <w:szCs w:val="18"/>
                <w:lang w:eastAsia="en-AU"/>
              </w:rPr>
              <w:t>Charles Sturt University</w:t>
            </w:r>
          </w:p>
        </w:tc>
        <w:tc>
          <w:tcPr>
            <w:cnfStyle w:val="000001000000" w:firstRow="0" w:lastRow="0" w:firstColumn="0" w:lastColumn="0" w:oddVBand="0" w:evenVBand="1" w:oddHBand="0" w:evenHBand="0" w:firstRowFirstColumn="0" w:firstRowLastColumn="0" w:lastRowFirstColumn="0" w:lastRowLastColumn="0"/>
            <w:tcW w:w="715" w:type="pct"/>
          </w:tcPr>
          <w:p w14:paraId="2844B41B" w14:textId="77777777" w:rsidR="004E45CF" w:rsidRPr="00CF3E3D" w:rsidRDefault="004E45CF" w:rsidP="00CB5298">
            <w:pPr>
              <w:spacing w:before="85" w:line="288" w:lineRule="auto"/>
              <w:jc w:val="center"/>
              <w:rPr>
                <w:sz w:val="18"/>
                <w:szCs w:val="18"/>
              </w:rPr>
            </w:pPr>
            <w:r w:rsidRPr="00CF3E3D">
              <w:rPr>
                <w:sz w:val="18"/>
                <w:szCs w:val="18"/>
              </w:rPr>
              <w:t>94.0 (93.0, 94.8)</w:t>
            </w:r>
          </w:p>
        </w:tc>
        <w:tc>
          <w:tcPr>
            <w:cnfStyle w:val="000010000000" w:firstRow="0" w:lastRow="0" w:firstColumn="0" w:lastColumn="0" w:oddVBand="1" w:evenVBand="0" w:oddHBand="0" w:evenHBand="0" w:firstRowFirstColumn="0" w:firstRowLastColumn="0" w:lastRowFirstColumn="0" w:lastRowLastColumn="0"/>
            <w:tcW w:w="754" w:type="pct"/>
          </w:tcPr>
          <w:p w14:paraId="6EBE4599" w14:textId="77777777" w:rsidR="004E45CF" w:rsidRPr="00CF3E3D" w:rsidRDefault="004E45CF" w:rsidP="00CB5298">
            <w:pPr>
              <w:spacing w:before="85" w:line="288" w:lineRule="auto"/>
              <w:jc w:val="center"/>
              <w:rPr>
                <w:sz w:val="18"/>
                <w:szCs w:val="18"/>
              </w:rPr>
            </w:pPr>
            <w:r w:rsidRPr="00CF3E3D">
              <w:rPr>
                <w:sz w:val="18"/>
                <w:szCs w:val="18"/>
              </w:rPr>
              <w:t>94.4 (93.5, 95.1)</w:t>
            </w:r>
          </w:p>
        </w:tc>
        <w:tc>
          <w:tcPr>
            <w:cnfStyle w:val="000001000000" w:firstRow="0" w:lastRow="0" w:firstColumn="0" w:lastColumn="0" w:oddVBand="0" w:evenVBand="1" w:oddHBand="0" w:evenHBand="0" w:firstRowFirstColumn="0" w:firstRowLastColumn="0" w:lastRowFirstColumn="0" w:lastRowLastColumn="0"/>
            <w:tcW w:w="754" w:type="pct"/>
          </w:tcPr>
          <w:p w14:paraId="1480FDF7" w14:textId="77777777" w:rsidR="004E45CF" w:rsidRPr="00CF3E3D" w:rsidRDefault="004E45CF" w:rsidP="00CB5298">
            <w:pPr>
              <w:spacing w:before="85" w:line="288" w:lineRule="auto"/>
              <w:jc w:val="center"/>
              <w:rPr>
                <w:sz w:val="18"/>
                <w:szCs w:val="18"/>
              </w:rPr>
            </w:pPr>
            <w:r w:rsidRPr="00CF3E3D">
              <w:rPr>
                <w:sz w:val="18"/>
                <w:szCs w:val="18"/>
              </w:rPr>
              <w:t>70,000 (69,100, 70,900)</w:t>
            </w:r>
          </w:p>
        </w:tc>
        <w:tc>
          <w:tcPr>
            <w:cnfStyle w:val="000010000000" w:firstRow="0" w:lastRow="0" w:firstColumn="0" w:lastColumn="0" w:oddVBand="1" w:evenVBand="0" w:oddHBand="0" w:evenHBand="0" w:firstRowFirstColumn="0" w:firstRowLastColumn="0" w:lastRowFirstColumn="0" w:lastRowLastColumn="0"/>
            <w:tcW w:w="754" w:type="pct"/>
          </w:tcPr>
          <w:p w14:paraId="339B981D" w14:textId="77777777" w:rsidR="004E45CF" w:rsidRPr="00CF3E3D" w:rsidRDefault="004E45CF" w:rsidP="00CB5298">
            <w:pPr>
              <w:spacing w:before="85" w:line="288" w:lineRule="auto"/>
              <w:jc w:val="center"/>
              <w:rPr>
                <w:sz w:val="18"/>
                <w:szCs w:val="18"/>
              </w:rPr>
            </w:pPr>
            <w:r w:rsidRPr="00CF3E3D">
              <w:rPr>
                <w:sz w:val="18"/>
                <w:szCs w:val="18"/>
              </w:rPr>
              <w:t>72,800 (71,700, 73,900)</w:t>
            </w:r>
          </w:p>
        </w:tc>
      </w:tr>
      <w:tr w:rsidR="004E45CF" w:rsidRPr="00CF3E3D" w14:paraId="0FA8906E"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4B22CB4C" w14:textId="77777777" w:rsidR="004E45CF" w:rsidRPr="001E400B" w:rsidRDefault="004E45CF" w:rsidP="00CB5298">
            <w:pPr>
              <w:spacing w:before="85" w:line="288" w:lineRule="auto"/>
              <w:jc w:val="left"/>
              <w:rPr>
                <w:b/>
                <w:bCs/>
                <w:sz w:val="18"/>
                <w:szCs w:val="18"/>
              </w:rPr>
            </w:pPr>
            <w:r w:rsidRPr="001E400B">
              <w:rPr>
                <w:b/>
                <w:bCs/>
                <w:sz w:val="18"/>
                <w:szCs w:val="18"/>
                <w:lang w:eastAsia="en-AU"/>
              </w:rPr>
              <w:t>Curtin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10DDEED1" w14:textId="77777777" w:rsidR="004E45CF" w:rsidRPr="00CF3E3D" w:rsidRDefault="004E45CF" w:rsidP="00CB5298">
            <w:pPr>
              <w:spacing w:before="85" w:line="288" w:lineRule="auto"/>
              <w:jc w:val="center"/>
              <w:rPr>
                <w:sz w:val="18"/>
                <w:szCs w:val="18"/>
              </w:rPr>
            </w:pPr>
            <w:r w:rsidRPr="00CF3E3D">
              <w:rPr>
                <w:sz w:val="18"/>
                <w:szCs w:val="18"/>
              </w:rPr>
              <w:t>94.6 (93.7, 95.3)</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2D1F70FD" w14:textId="77777777" w:rsidR="004E45CF" w:rsidRPr="00CF3E3D" w:rsidRDefault="004E45CF" w:rsidP="00CB5298">
            <w:pPr>
              <w:spacing w:before="85" w:line="288" w:lineRule="auto"/>
              <w:jc w:val="center"/>
              <w:rPr>
                <w:sz w:val="18"/>
                <w:szCs w:val="18"/>
              </w:rPr>
            </w:pPr>
            <w:r w:rsidRPr="00CF3E3D">
              <w:rPr>
                <w:sz w:val="18"/>
                <w:szCs w:val="18"/>
              </w:rPr>
              <w:t>94.4 (93.4, 95.1)</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2A3E6211" w14:textId="77777777" w:rsidR="004E45CF" w:rsidRPr="00CF3E3D" w:rsidRDefault="004E45CF" w:rsidP="00CB5298">
            <w:pPr>
              <w:spacing w:before="85" w:line="288" w:lineRule="auto"/>
              <w:jc w:val="center"/>
              <w:rPr>
                <w:sz w:val="18"/>
                <w:szCs w:val="18"/>
              </w:rPr>
            </w:pPr>
            <w:r w:rsidRPr="00CF3E3D">
              <w:rPr>
                <w:sz w:val="18"/>
                <w:szCs w:val="18"/>
              </w:rPr>
              <w:t>70,000 (68,700, 71,300)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3644FCF2" w14:textId="77777777" w:rsidR="004E45CF" w:rsidRPr="00CF3E3D" w:rsidRDefault="004E45CF" w:rsidP="00CB5298">
            <w:pPr>
              <w:spacing w:before="85" w:line="288" w:lineRule="auto"/>
              <w:jc w:val="center"/>
              <w:rPr>
                <w:sz w:val="18"/>
                <w:szCs w:val="18"/>
              </w:rPr>
            </w:pPr>
            <w:r w:rsidRPr="00CF3E3D">
              <w:rPr>
                <w:sz w:val="18"/>
                <w:szCs w:val="18"/>
              </w:rPr>
              <w:t>71,000 (69,500, 72,500)</w:t>
            </w:r>
          </w:p>
        </w:tc>
      </w:tr>
      <w:tr w:rsidR="004E45CF" w:rsidRPr="00CF3E3D" w14:paraId="15A48BAC"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50B98E7F" w14:textId="77777777" w:rsidR="004E45CF" w:rsidRPr="001E400B" w:rsidRDefault="004E45CF" w:rsidP="00CB5298">
            <w:pPr>
              <w:spacing w:before="85" w:line="288" w:lineRule="auto"/>
              <w:jc w:val="left"/>
              <w:rPr>
                <w:b/>
                <w:bCs/>
                <w:sz w:val="18"/>
                <w:szCs w:val="18"/>
              </w:rPr>
            </w:pPr>
            <w:r w:rsidRPr="001E400B">
              <w:rPr>
                <w:b/>
                <w:bCs/>
                <w:sz w:val="18"/>
                <w:szCs w:val="18"/>
                <w:lang w:eastAsia="en-AU"/>
              </w:rPr>
              <w:t>Deakin University</w:t>
            </w:r>
          </w:p>
        </w:tc>
        <w:tc>
          <w:tcPr>
            <w:cnfStyle w:val="000001000000" w:firstRow="0" w:lastRow="0" w:firstColumn="0" w:lastColumn="0" w:oddVBand="0" w:evenVBand="1" w:oddHBand="0" w:evenHBand="0" w:firstRowFirstColumn="0" w:firstRowLastColumn="0" w:lastRowFirstColumn="0" w:lastRowLastColumn="0"/>
            <w:tcW w:w="715" w:type="pct"/>
          </w:tcPr>
          <w:p w14:paraId="799C835D" w14:textId="77777777" w:rsidR="004E45CF" w:rsidRPr="00CF3E3D" w:rsidRDefault="004E45CF" w:rsidP="00CB5298">
            <w:pPr>
              <w:spacing w:before="85" w:line="288" w:lineRule="auto"/>
              <w:jc w:val="center"/>
              <w:rPr>
                <w:sz w:val="18"/>
                <w:szCs w:val="18"/>
              </w:rPr>
            </w:pPr>
            <w:r w:rsidRPr="00CF3E3D">
              <w:rPr>
                <w:sz w:val="18"/>
                <w:szCs w:val="18"/>
              </w:rPr>
              <w:t>92.3 (91.5, 93.0)</w:t>
            </w:r>
          </w:p>
        </w:tc>
        <w:tc>
          <w:tcPr>
            <w:cnfStyle w:val="000010000000" w:firstRow="0" w:lastRow="0" w:firstColumn="0" w:lastColumn="0" w:oddVBand="1" w:evenVBand="0" w:oddHBand="0" w:evenHBand="0" w:firstRowFirstColumn="0" w:firstRowLastColumn="0" w:lastRowFirstColumn="0" w:lastRowLastColumn="0"/>
            <w:tcW w:w="754" w:type="pct"/>
          </w:tcPr>
          <w:p w14:paraId="04686FD7" w14:textId="77777777" w:rsidR="004E45CF" w:rsidRPr="00CF3E3D" w:rsidRDefault="004E45CF" w:rsidP="00CB5298">
            <w:pPr>
              <w:spacing w:before="85" w:line="288" w:lineRule="auto"/>
              <w:jc w:val="center"/>
              <w:rPr>
                <w:sz w:val="18"/>
                <w:szCs w:val="18"/>
              </w:rPr>
            </w:pPr>
            <w:r w:rsidRPr="00CF3E3D">
              <w:rPr>
                <w:sz w:val="18"/>
                <w:szCs w:val="18"/>
              </w:rPr>
              <w:t>93.7 (93.0, 94.2)</w:t>
            </w:r>
          </w:p>
        </w:tc>
        <w:tc>
          <w:tcPr>
            <w:cnfStyle w:val="000001000000" w:firstRow="0" w:lastRow="0" w:firstColumn="0" w:lastColumn="0" w:oddVBand="0" w:evenVBand="1" w:oddHBand="0" w:evenHBand="0" w:firstRowFirstColumn="0" w:firstRowLastColumn="0" w:lastRowFirstColumn="0" w:lastRowLastColumn="0"/>
            <w:tcW w:w="754" w:type="pct"/>
          </w:tcPr>
          <w:p w14:paraId="359731B2" w14:textId="77777777" w:rsidR="004E45CF" w:rsidRPr="00CF3E3D" w:rsidRDefault="004E45CF" w:rsidP="00CB5298">
            <w:pPr>
              <w:spacing w:before="85" w:line="288" w:lineRule="auto"/>
              <w:jc w:val="center"/>
              <w:rPr>
                <w:sz w:val="18"/>
                <w:szCs w:val="18"/>
              </w:rPr>
            </w:pPr>
            <w:r w:rsidRPr="00CF3E3D">
              <w:rPr>
                <w:sz w:val="18"/>
                <w:szCs w:val="18"/>
              </w:rPr>
              <w:t>65,000 (63,600, 66,400)</w:t>
            </w:r>
          </w:p>
        </w:tc>
        <w:tc>
          <w:tcPr>
            <w:cnfStyle w:val="000010000000" w:firstRow="0" w:lastRow="0" w:firstColumn="0" w:lastColumn="0" w:oddVBand="1" w:evenVBand="0" w:oddHBand="0" w:evenHBand="0" w:firstRowFirstColumn="0" w:firstRowLastColumn="0" w:lastRowFirstColumn="0" w:lastRowLastColumn="0"/>
            <w:tcW w:w="754" w:type="pct"/>
          </w:tcPr>
          <w:p w14:paraId="045A420C" w14:textId="77777777" w:rsidR="004E45CF" w:rsidRPr="00CF3E3D" w:rsidRDefault="004E45CF" w:rsidP="00CB5298">
            <w:pPr>
              <w:spacing w:before="85" w:line="288" w:lineRule="auto"/>
              <w:jc w:val="center"/>
              <w:rPr>
                <w:sz w:val="18"/>
                <w:szCs w:val="18"/>
              </w:rPr>
            </w:pPr>
            <w:r w:rsidRPr="00CF3E3D">
              <w:rPr>
                <w:sz w:val="18"/>
                <w:szCs w:val="18"/>
              </w:rPr>
              <w:t>65,200 (64,400, 66,100)</w:t>
            </w:r>
          </w:p>
        </w:tc>
      </w:tr>
      <w:tr w:rsidR="004E45CF" w:rsidRPr="00CF3E3D" w14:paraId="2D5972E8"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648EF9A2" w14:textId="77777777" w:rsidR="004E45CF" w:rsidRPr="001E400B" w:rsidRDefault="004E45CF" w:rsidP="00CB5298">
            <w:pPr>
              <w:spacing w:before="85" w:line="288" w:lineRule="auto"/>
              <w:jc w:val="left"/>
              <w:rPr>
                <w:b/>
                <w:bCs/>
                <w:sz w:val="18"/>
                <w:szCs w:val="18"/>
              </w:rPr>
            </w:pPr>
            <w:r w:rsidRPr="001E400B">
              <w:rPr>
                <w:b/>
                <w:bCs/>
                <w:sz w:val="18"/>
                <w:szCs w:val="18"/>
                <w:lang w:eastAsia="en-AU"/>
              </w:rPr>
              <w:t>Edith Cowan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5C0BA5E0" w14:textId="77777777" w:rsidR="004E45CF" w:rsidRPr="00CF3E3D" w:rsidRDefault="004E45CF" w:rsidP="00CB5298">
            <w:pPr>
              <w:spacing w:before="85" w:line="288" w:lineRule="auto"/>
              <w:jc w:val="center"/>
              <w:rPr>
                <w:sz w:val="18"/>
                <w:szCs w:val="18"/>
              </w:rPr>
            </w:pPr>
            <w:r w:rsidRPr="00CF3E3D">
              <w:rPr>
                <w:sz w:val="18"/>
                <w:szCs w:val="18"/>
              </w:rPr>
              <w:t>94.6 (93.5, 95.4)</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45E75D0A" w14:textId="77777777" w:rsidR="004E45CF" w:rsidRPr="00CF3E3D" w:rsidRDefault="004E45CF" w:rsidP="00CB5298">
            <w:pPr>
              <w:spacing w:before="85" w:line="288" w:lineRule="auto"/>
              <w:jc w:val="center"/>
              <w:rPr>
                <w:sz w:val="18"/>
                <w:szCs w:val="18"/>
              </w:rPr>
            </w:pPr>
            <w:r w:rsidRPr="00CF3E3D">
              <w:rPr>
                <w:sz w:val="18"/>
                <w:szCs w:val="18"/>
              </w:rPr>
              <w:t>93.5 (92.5, 94.3)</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57E91A3B" w14:textId="77777777" w:rsidR="004E45CF" w:rsidRPr="00CF3E3D" w:rsidRDefault="004E45CF" w:rsidP="00CB5298">
            <w:pPr>
              <w:spacing w:before="85" w:line="288" w:lineRule="auto"/>
              <w:jc w:val="center"/>
              <w:rPr>
                <w:sz w:val="18"/>
                <w:szCs w:val="18"/>
              </w:rPr>
            </w:pPr>
            <w:r w:rsidRPr="00CF3E3D">
              <w:rPr>
                <w:sz w:val="18"/>
                <w:szCs w:val="18"/>
              </w:rPr>
              <w:t>69,000 (67,000, 70,900)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24A01BDB" w14:textId="77777777" w:rsidR="004E45CF" w:rsidRPr="00CF3E3D" w:rsidRDefault="004E45CF" w:rsidP="00CB5298">
            <w:pPr>
              <w:spacing w:before="85" w:line="288" w:lineRule="auto"/>
              <w:jc w:val="center"/>
              <w:rPr>
                <w:sz w:val="18"/>
                <w:szCs w:val="18"/>
              </w:rPr>
            </w:pPr>
            <w:r w:rsidRPr="00CF3E3D">
              <w:rPr>
                <w:sz w:val="18"/>
                <w:szCs w:val="18"/>
              </w:rPr>
              <w:t>70,000 (69,100, 70,900)</w:t>
            </w:r>
          </w:p>
        </w:tc>
      </w:tr>
      <w:tr w:rsidR="004E45CF" w:rsidRPr="00CF3E3D" w14:paraId="17E5D844"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5B99F9A8" w14:textId="77777777" w:rsidR="004E45CF" w:rsidRPr="001E400B" w:rsidRDefault="004E45CF" w:rsidP="00CB5298">
            <w:pPr>
              <w:spacing w:before="85" w:line="288" w:lineRule="auto"/>
              <w:jc w:val="left"/>
              <w:rPr>
                <w:b/>
                <w:bCs/>
                <w:sz w:val="18"/>
                <w:szCs w:val="18"/>
              </w:rPr>
            </w:pPr>
            <w:r w:rsidRPr="001E400B">
              <w:rPr>
                <w:b/>
                <w:bCs/>
                <w:sz w:val="18"/>
                <w:szCs w:val="18"/>
                <w:lang w:eastAsia="en-AU"/>
              </w:rPr>
              <w:t>Federation University Australia</w:t>
            </w:r>
          </w:p>
        </w:tc>
        <w:tc>
          <w:tcPr>
            <w:cnfStyle w:val="000001000000" w:firstRow="0" w:lastRow="0" w:firstColumn="0" w:lastColumn="0" w:oddVBand="0" w:evenVBand="1" w:oddHBand="0" w:evenHBand="0" w:firstRowFirstColumn="0" w:firstRowLastColumn="0" w:lastRowFirstColumn="0" w:lastRowLastColumn="0"/>
            <w:tcW w:w="715" w:type="pct"/>
          </w:tcPr>
          <w:p w14:paraId="3D0B97E5" w14:textId="77777777" w:rsidR="004E45CF" w:rsidRPr="00CF3E3D" w:rsidRDefault="004E45CF" w:rsidP="00CB5298">
            <w:pPr>
              <w:spacing w:before="85" w:line="288" w:lineRule="auto"/>
              <w:jc w:val="center"/>
              <w:rPr>
                <w:sz w:val="18"/>
                <w:szCs w:val="18"/>
              </w:rPr>
            </w:pPr>
            <w:r w:rsidRPr="00CF3E3D">
              <w:rPr>
                <w:sz w:val="18"/>
                <w:szCs w:val="18"/>
              </w:rPr>
              <w:t>93.3 (91.5, 94.6)</w:t>
            </w:r>
          </w:p>
        </w:tc>
        <w:tc>
          <w:tcPr>
            <w:cnfStyle w:val="000010000000" w:firstRow="0" w:lastRow="0" w:firstColumn="0" w:lastColumn="0" w:oddVBand="1" w:evenVBand="0" w:oddHBand="0" w:evenHBand="0" w:firstRowFirstColumn="0" w:firstRowLastColumn="0" w:lastRowFirstColumn="0" w:lastRowLastColumn="0"/>
            <w:tcW w:w="754" w:type="pct"/>
          </w:tcPr>
          <w:p w14:paraId="00CEFB52" w14:textId="77777777" w:rsidR="004E45CF" w:rsidRPr="00CF3E3D" w:rsidRDefault="004E45CF" w:rsidP="00CB5298">
            <w:pPr>
              <w:spacing w:before="85" w:line="288" w:lineRule="auto"/>
              <w:jc w:val="center"/>
              <w:rPr>
                <w:sz w:val="18"/>
                <w:szCs w:val="18"/>
              </w:rPr>
            </w:pPr>
            <w:r w:rsidRPr="00CF3E3D">
              <w:rPr>
                <w:sz w:val="18"/>
                <w:szCs w:val="18"/>
              </w:rPr>
              <w:t>92.1 (90.3, 93.4)</w:t>
            </w:r>
          </w:p>
        </w:tc>
        <w:tc>
          <w:tcPr>
            <w:cnfStyle w:val="000001000000" w:firstRow="0" w:lastRow="0" w:firstColumn="0" w:lastColumn="0" w:oddVBand="0" w:evenVBand="1" w:oddHBand="0" w:evenHBand="0" w:firstRowFirstColumn="0" w:firstRowLastColumn="0" w:lastRowFirstColumn="0" w:lastRowLastColumn="0"/>
            <w:tcW w:w="754" w:type="pct"/>
          </w:tcPr>
          <w:p w14:paraId="1F8C2513" w14:textId="77777777" w:rsidR="004E45CF" w:rsidRPr="00CF3E3D" w:rsidRDefault="004E45CF" w:rsidP="00CB5298">
            <w:pPr>
              <w:spacing w:before="85" w:line="288" w:lineRule="auto"/>
              <w:jc w:val="center"/>
              <w:rPr>
                <w:sz w:val="18"/>
                <w:szCs w:val="18"/>
              </w:rPr>
            </w:pPr>
            <w:r w:rsidRPr="00CF3E3D">
              <w:rPr>
                <w:sz w:val="18"/>
                <w:szCs w:val="18"/>
              </w:rPr>
              <w:t>67,400 (63,100, 71,700)</w:t>
            </w:r>
          </w:p>
        </w:tc>
        <w:tc>
          <w:tcPr>
            <w:cnfStyle w:val="000010000000" w:firstRow="0" w:lastRow="0" w:firstColumn="0" w:lastColumn="0" w:oddVBand="1" w:evenVBand="0" w:oddHBand="0" w:evenHBand="0" w:firstRowFirstColumn="0" w:firstRowLastColumn="0" w:lastRowFirstColumn="0" w:lastRowLastColumn="0"/>
            <w:tcW w:w="754" w:type="pct"/>
          </w:tcPr>
          <w:p w14:paraId="5E770ACA" w14:textId="77777777" w:rsidR="004E45CF" w:rsidRPr="00CF3E3D" w:rsidRDefault="004E45CF" w:rsidP="00CB5298">
            <w:pPr>
              <w:spacing w:before="85" w:line="288" w:lineRule="auto"/>
              <w:jc w:val="center"/>
              <w:rPr>
                <w:sz w:val="18"/>
                <w:szCs w:val="18"/>
              </w:rPr>
            </w:pPr>
            <w:r w:rsidRPr="00CF3E3D">
              <w:rPr>
                <w:sz w:val="18"/>
                <w:szCs w:val="18"/>
              </w:rPr>
              <w:t>68,200 (65,600, 70,900)</w:t>
            </w:r>
          </w:p>
        </w:tc>
      </w:tr>
      <w:tr w:rsidR="004E45CF" w:rsidRPr="00CF3E3D" w14:paraId="550AFB8B"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67A661A6" w14:textId="77777777" w:rsidR="004E45CF" w:rsidRPr="001E400B" w:rsidRDefault="004E45CF" w:rsidP="00CB5298">
            <w:pPr>
              <w:spacing w:before="85" w:line="288" w:lineRule="auto"/>
              <w:jc w:val="left"/>
              <w:rPr>
                <w:b/>
                <w:bCs/>
                <w:sz w:val="18"/>
                <w:szCs w:val="18"/>
              </w:rPr>
            </w:pPr>
            <w:r w:rsidRPr="001E400B">
              <w:rPr>
                <w:b/>
                <w:bCs/>
                <w:sz w:val="18"/>
                <w:szCs w:val="18"/>
                <w:lang w:eastAsia="en-AU"/>
              </w:rPr>
              <w:t>Flinders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74FCF8F0" w14:textId="77777777" w:rsidR="004E45CF" w:rsidRPr="00CF3E3D" w:rsidRDefault="004E45CF" w:rsidP="00CB5298">
            <w:pPr>
              <w:spacing w:before="85" w:line="288" w:lineRule="auto"/>
              <w:jc w:val="center"/>
              <w:rPr>
                <w:sz w:val="18"/>
                <w:szCs w:val="18"/>
              </w:rPr>
            </w:pPr>
            <w:r w:rsidRPr="00CF3E3D">
              <w:rPr>
                <w:sz w:val="18"/>
                <w:szCs w:val="18"/>
              </w:rPr>
              <w:t>89.8 (88.5, 90.9)</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27E71503" w14:textId="77777777" w:rsidR="004E45CF" w:rsidRPr="00CF3E3D" w:rsidRDefault="004E45CF" w:rsidP="00CB5298">
            <w:pPr>
              <w:spacing w:before="85" w:line="288" w:lineRule="auto"/>
              <w:jc w:val="center"/>
              <w:rPr>
                <w:sz w:val="18"/>
                <w:szCs w:val="18"/>
              </w:rPr>
            </w:pPr>
            <w:r w:rsidRPr="00CF3E3D">
              <w:rPr>
                <w:sz w:val="18"/>
                <w:szCs w:val="18"/>
              </w:rPr>
              <w:t>92.2 (91.1, 93.1)</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671DD773" w14:textId="77777777" w:rsidR="004E45CF" w:rsidRPr="00CF3E3D" w:rsidRDefault="004E45CF" w:rsidP="00CB5298">
            <w:pPr>
              <w:spacing w:before="85" w:line="288" w:lineRule="auto"/>
              <w:jc w:val="center"/>
              <w:rPr>
                <w:sz w:val="18"/>
                <w:szCs w:val="18"/>
              </w:rPr>
            </w:pPr>
            <w:r w:rsidRPr="00CF3E3D">
              <w:rPr>
                <w:sz w:val="18"/>
                <w:szCs w:val="18"/>
              </w:rPr>
              <w:t>66,000 (64,100, 67,900)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7EDF3BED" w14:textId="77777777" w:rsidR="004E45CF" w:rsidRPr="00CF3E3D" w:rsidRDefault="004E45CF" w:rsidP="00CB5298">
            <w:pPr>
              <w:spacing w:before="85" w:line="288" w:lineRule="auto"/>
              <w:jc w:val="center"/>
              <w:rPr>
                <w:sz w:val="18"/>
                <w:szCs w:val="18"/>
              </w:rPr>
            </w:pPr>
            <w:r w:rsidRPr="00CF3E3D">
              <w:rPr>
                <w:sz w:val="18"/>
                <w:szCs w:val="18"/>
              </w:rPr>
              <w:t>67,000 (65,100, 69,000)</w:t>
            </w:r>
          </w:p>
        </w:tc>
      </w:tr>
      <w:tr w:rsidR="004E45CF" w:rsidRPr="00CF3E3D" w14:paraId="4DE52EA9"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2160D47F" w14:textId="77777777" w:rsidR="004E45CF" w:rsidRPr="001E400B" w:rsidRDefault="004E45CF" w:rsidP="00CB5298">
            <w:pPr>
              <w:spacing w:before="85" w:line="288" w:lineRule="auto"/>
              <w:jc w:val="left"/>
              <w:rPr>
                <w:b/>
                <w:bCs/>
                <w:sz w:val="18"/>
                <w:szCs w:val="18"/>
              </w:rPr>
            </w:pPr>
            <w:r w:rsidRPr="001E400B">
              <w:rPr>
                <w:b/>
                <w:bCs/>
                <w:sz w:val="18"/>
                <w:szCs w:val="18"/>
                <w:lang w:eastAsia="en-AU"/>
              </w:rPr>
              <w:t>Griffith University</w:t>
            </w:r>
          </w:p>
        </w:tc>
        <w:tc>
          <w:tcPr>
            <w:cnfStyle w:val="000001000000" w:firstRow="0" w:lastRow="0" w:firstColumn="0" w:lastColumn="0" w:oddVBand="0" w:evenVBand="1" w:oddHBand="0" w:evenHBand="0" w:firstRowFirstColumn="0" w:firstRowLastColumn="0" w:lastRowFirstColumn="0" w:lastRowLastColumn="0"/>
            <w:tcW w:w="715" w:type="pct"/>
          </w:tcPr>
          <w:p w14:paraId="1AC4CD2D" w14:textId="77777777" w:rsidR="004E45CF" w:rsidRPr="00CF3E3D" w:rsidRDefault="004E45CF" w:rsidP="00CB5298">
            <w:pPr>
              <w:spacing w:before="85" w:line="288" w:lineRule="auto"/>
              <w:jc w:val="center"/>
              <w:rPr>
                <w:sz w:val="18"/>
                <w:szCs w:val="18"/>
              </w:rPr>
            </w:pPr>
            <w:r w:rsidRPr="00CF3E3D">
              <w:rPr>
                <w:sz w:val="18"/>
                <w:szCs w:val="18"/>
              </w:rPr>
              <w:t>92.5 (91.5, 93.4)</w:t>
            </w:r>
          </w:p>
        </w:tc>
        <w:tc>
          <w:tcPr>
            <w:cnfStyle w:val="000010000000" w:firstRow="0" w:lastRow="0" w:firstColumn="0" w:lastColumn="0" w:oddVBand="1" w:evenVBand="0" w:oddHBand="0" w:evenHBand="0" w:firstRowFirstColumn="0" w:firstRowLastColumn="0" w:lastRowFirstColumn="0" w:lastRowLastColumn="0"/>
            <w:tcW w:w="754" w:type="pct"/>
          </w:tcPr>
          <w:p w14:paraId="0B00044D" w14:textId="77777777" w:rsidR="004E45CF" w:rsidRPr="00CF3E3D" w:rsidRDefault="004E45CF" w:rsidP="00CB5298">
            <w:pPr>
              <w:spacing w:before="85" w:line="288" w:lineRule="auto"/>
              <w:jc w:val="center"/>
              <w:rPr>
                <w:sz w:val="18"/>
                <w:szCs w:val="18"/>
              </w:rPr>
            </w:pPr>
            <w:r w:rsidRPr="00CF3E3D">
              <w:rPr>
                <w:sz w:val="18"/>
                <w:szCs w:val="18"/>
              </w:rPr>
              <w:t>93.1 (92.2, 93.8)</w:t>
            </w:r>
          </w:p>
        </w:tc>
        <w:tc>
          <w:tcPr>
            <w:cnfStyle w:val="000001000000" w:firstRow="0" w:lastRow="0" w:firstColumn="0" w:lastColumn="0" w:oddVBand="0" w:evenVBand="1" w:oddHBand="0" w:evenHBand="0" w:firstRowFirstColumn="0" w:firstRowLastColumn="0" w:lastRowFirstColumn="0" w:lastRowLastColumn="0"/>
            <w:tcW w:w="754" w:type="pct"/>
          </w:tcPr>
          <w:p w14:paraId="1AB1C65B" w14:textId="77777777" w:rsidR="004E45CF" w:rsidRPr="00CF3E3D" w:rsidRDefault="004E45CF" w:rsidP="00CB5298">
            <w:pPr>
              <w:spacing w:before="85" w:line="288" w:lineRule="auto"/>
              <w:jc w:val="center"/>
              <w:rPr>
                <w:sz w:val="18"/>
                <w:szCs w:val="18"/>
              </w:rPr>
            </w:pPr>
            <w:r w:rsidRPr="00CF3E3D">
              <w:rPr>
                <w:sz w:val="18"/>
                <w:szCs w:val="18"/>
              </w:rPr>
              <w:t>61,100 (59,100, 63,100)</w:t>
            </w:r>
          </w:p>
        </w:tc>
        <w:tc>
          <w:tcPr>
            <w:cnfStyle w:val="000010000000" w:firstRow="0" w:lastRow="0" w:firstColumn="0" w:lastColumn="0" w:oddVBand="1" w:evenVBand="0" w:oddHBand="0" w:evenHBand="0" w:firstRowFirstColumn="0" w:firstRowLastColumn="0" w:lastRowFirstColumn="0" w:lastRowLastColumn="0"/>
            <w:tcW w:w="754" w:type="pct"/>
          </w:tcPr>
          <w:p w14:paraId="3113565E" w14:textId="77777777" w:rsidR="004E45CF" w:rsidRPr="00CF3E3D" w:rsidRDefault="004E45CF" w:rsidP="00CB5298">
            <w:pPr>
              <w:spacing w:before="85" w:line="288" w:lineRule="auto"/>
              <w:jc w:val="center"/>
              <w:rPr>
                <w:sz w:val="18"/>
                <w:szCs w:val="18"/>
              </w:rPr>
            </w:pPr>
            <w:r w:rsidRPr="00CF3E3D">
              <w:rPr>
                <w:sz w:val="18"/>
                <w:szCs w:val="18"/>
              </w:rPr>
              <w:t>65,000 (64,100, 65,900)</w:t>
            </w:r>
          </w:p>
        </w:tc>
      </w:tr>
      <w:tr w:rsidR="004E45CF" w:rsidRPr="00CF3E3D" w14:paraId="575677BF"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6C3BF36A" w14:textId="77777777" w:rsidR="004E45CF" w:rsidRPr="001E400B" w:rsidRDefault="004E45CF" w:rsidP="00CB5298">
            <w:pPr>
              <w:spacing w:before="85" w:line="288" w:lineRule="auto"/>
              <w:jc w:val="left"/>
              <w:rPr>
                <w:b/>
                <w:bCs/>
                <w:sz w:val="18"/>
                <w:szCs w:val="18"/>
              </w:rPr>
            </w:pPr>
            <w:r w:rsidRPr="001E400B">
              <w:rPr>
                <w:b/>
                <w:bCs/>
                <w:sz w:val="18"/>
                <w:szCs w:val="18"/>
                <w:lang w:eastAsia="en-AU"/>
              </w:rPr>
              <w:t>James Cook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52F62A89" w14:textId="77777777" w:rsidR="004E45CF" w:rsidRPr="00CF3E3D" w:rsidRDefault="004E45CF" w:rsidP="00CB5298">
            <w:pPr>
              <w:spacing w:before="85" w:line="288" w:lineRule="auto"/>
              <w:jc w:val="center"/>
              <w:rPr>
                <w:sz w:val="18"/>
                <w:szCs w:val="18"/>
              </w:rPr>
            </w:pPr>
            <w:r w:rsidRPr="00CF3E3D">
              <w:rPr>
                <w:sz w:val="18"/>
                <w:szCs w:val="18"/>
              </w:rPr>
              <w:t>93.6 (92.3, 94.6)</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48CA9B84" w14:textId="77777777" w:rsidR="004E45CF" w:rsidRPr="00CF3E3D" w:rsidRDefault="004E45CF" w:rsidP="00CB5298">
            <w:pPr>
              <w:spacing w:before="85" w:line="288" w:lineRule="auto"/>
              <w:jc w:val="center"/>
              <w:rPr>
                <w:sz w:val="18"/>
                <w:szCs w:val="18"/>
              </w:rPr>
            </w:pPr>
            <w:r w:rsidRPr="00CF3E3D">
              <w:rPr>
                <w:sz w:val="18"/>
                <w:szCs w:val="18"/>
              </w:rPr>
              <w:t>93.5 (92.1, 94.6)</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1FBCF750" w14:textId="77777777" w:rsidR="004E45CF" w:rsidRPr="00CF3E3D" w:rsidRDefault="004E45CF" w:rsidP="00CB5298">
            <w:pPr>
              <w:spacing w:before="85" w:line="288" w:lineRule="auto"/>
              <w:jc w:val="center"/>
              <w:rPr>
                <w:sz w:val="18"/>
                <w:szCs w:val="18"/>
              </w:rPr>
            </w:pPr>
            <w:r w:rsidRPr="00CF3E3D">
              <w:rPr>
                <w:sz w:val="18"/>
                <w:szCs w:val="18"/>
              </w:rPr>
              <w:t>67,000 (65,000, 69,000)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2F68822B" w14:textId="77777777" w:rsidR="004E45CF" w:rsidRPr="00CF3E3D" w:rsidRDefault="004E45CF" w:rsidP="00CB5298">
            <w:pPr>
              <w:spacing w:before="85" w:line="288" w:lineRule="auto"/>
              <w:jc w:val="center"/>
              <w:rPr>
                <w:sz w:val="18"/>
                <w:szCs w:val="18"/>
              </w:rPr>
            </w:pPr>
            <w:r w:rsidRPr="00CF3E3D">
              <w:rPr>
                <w:sz w:val="18"/>
                <w:szCs w:val="18"/>
              </w:rPr>
              <w:t>69,500 (67,500, 71,500)</w:t>
            </w:r>
          </w:p>
        </w:tc>
      </w:tr>
      <w:tr w:rsidR="004E45CF" w:rsidRPr="00CF3E3D" w14:paraId="622E9494"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2B3CC935" w14:textId="77777777" w:rsidR="004E45CF" w:rsidRPr="001E400B" w:rsidRDefault="004E45CF" w:rsidP="00CB5298">
            <w:pPr>
              <w:spacing w:before="85" w:line="288" w:lineRule="auto"/>
              <w:jc w:val="left"/>
              <w:rPr>
                <w:b/>
                <w:bCs/>
                <w:sz w:val="18"/>
                <w:szCs w:val="18"/>
              </w:rPr>
            </w:pPr>
            <w:r w:rsidRPr="001E400B">
              <w:rPr>
                <w:b/>
                <w:bCs/>
                <w:sz w:val="18"/>
                <w:szCs w:val="18"/>
                <w:lang w:eastAsia="en-AU"/>
              </w:rPr>
              <w:t>La Trobe University</w:t>
            </w:r>
          </w:p>
        </w:tc>
        <w:tc>
          <w:tcPr>
            <w:cnfStyle w:val="000001000000" w:firstRow="0" w:lastRow="0" w:firstColumn="0" w:lastColumn="0" w:oddVBand="0" w:evenVBand="1" w:oddHBand="0" w:evenHBand="0" w:firstRowFirstColumn="0" w:firstRowLastColumn="0" w:lastRowFirstColumn="0" w:lastRowLastColumn="0"/>
            <w:tcW w:w="715" w:type="pct"/>
          </w:tcPr>
          <w:p w14:paraId="55FFC288" w14:textId="77777777" w:rsidR="004E45CF" w:rsidRPr="00CF3E3D" w:rsidRDefault="004E45CF" w:rsidP="00CB5298">
            <w:pPr>
              <w:spacing w:before="85" w:line="288" w:lineRule="auto"/>
              <w:jc w:val="center"/>
              <w:rPr>
                <w:sz w:val="18"/>
                <w:szCs w:val="18"/>
              </w:rPr>
            </w:pPr>
            <w:r w:rsidRPr="00CF3E3D">
              <w:rPr>
                <w:sz w:val="18"/>
                <w:szCs w:val="18"/>
              </w:rPr>
              <w:t>91.8 (90.8, 92.7)</w:t>
            </w:r>
          </w:p>
        </w:tc>
        <w:tc>
          <w:tcPr>
            <w:cnfStyle w:val="000010000000" w:firstRow="0" w:lastRow="0" w:firstColumn="0" w:lastColumn="0" w:oddVBand="1" w:evenVBand="0" w:oddHBand="0" w:evenHBand="0" w:firstRowFirstColumn="0" w:firstRowLastColumn="0" w:lastRowFirstColumn="0" w:lastRowLastColumn="0"/>
            <w:tcW w:w="754" w:type="pct"/>
          </w:tcPr>
          <w:p w14:paraId="4FD6B1CC" w14:textId="77777777" w:rsidR="004E45CF" w:rsidRPr="00CF3E3D" w:rsidRDefault="004E45CF" w:rsidP="00CB5298">
            <w:pPr>
              <w:spacing w:before="85" w:line="288" w:lineRule="auto"/>
              <w:jc w:val="center"/>
              <w:rPr>
                <w:sz w:val="18"/>
                <w:szCs w:val="18"/>
              </w:rPr>
            </w:pPr>
            <w:r w:rsidRPr="00CF3E3D">
              <w:rPr>
                <w:sz w:val="18"/>
                <w:szCs w:val="18"/>
              </w:rPr>
              <w:t>92.3 (91.3, 93.1)</w:t>
            </w:r>
          </w:p>
        </w:tc>
        <w:tc>
          <w:tcPr>
            <w:cnfStyle w:val="000001000000" w:firstRow="0" w:lastRow="0" w:firstColumn="0" w:lastColumn="0" w:oddVBand="0" w:evenVBand="1" w:oddHBand="0" w:evenHBand="0" w:firstRowFirstColumn="0" w:firstRowLastColumn="0" w:lastRowFirstColumn="0" w:lastRowLastColumn="0"/>
            <w:tcW w:w="754" w:type="pct"/>
          </w:tcPr>
          <w:p w14:paraId="7A6FC981" w14:textId="77777777" w:rsidR="004E45CF" w:rsidRPr="00CF3E3D" w:rsidRDefault="004E45CF" w:rsidP="00CB5298">
            <w:pPr>
              <w:spacing w:before="85" w:line="288" w:lineRule="auto"/>
              <w:jc w:val="center"/>
              <w:rPr>
                <w:sz w:val="18"/>
                <w:szCs w:val="18"/>
              </w:rPr>
            </w:pPr>
            <w:r w:rsidRPr="00CF3E3D">
              <w:rPr>
                <w:sz w:val="18"/>
                <w:szCs w:val="18"/>
              </w:rPr>
              <w:t>61,500 (59,800, 63,200)</w:t>
            </w:r>
          </w:p>
        </w:tc>
        <w:tc>
          <w:tcPr>
            <w:cnfStyle w:val="000010000000" w:firstRow="0" w:lastRow="0" w:firstColumn="0" w:lastColumn="0" w:oddVBand="1" w:evenVBand="0" w:oddHBand="0" w:evenHBand="0" w:firstRowFirstColumn="0" w:firstRowLastColumn="0" w:lastRowFirstColumn="0" w:lastRowLastColumn="0"/>
            <w:tcW w:w="754" w:type="pct"/>
          </w:tcPr>
          <w:p w14:paraId="2D92575F" w14:textId="77777777" w:rsidR="004E45CF" w:rsidRPr="00CF3E3D" w:rsidRDefault="004E45CF" w:rsidP="00CB5298">
            <w:pPr>
              <w:spacing w:before="85" w:line="288" w:lineRule="auto"/>
              <w:jc w:val="center"/>
              <w:rPr>
                <w:sz w:val="18"/>
                <w:szCs w:val="18"/>
              </w:rPr>
            </w:pPr>
            <w:r w:rsidRPr="00CF3E3D">
              <w:rPr>
                <w:sz w:val="18"/>
                <w:szCs w:val="18"/>
              </w:rPr>
              <w:t>67,000 (65,500, 68,500)</w:t>
            </w:r>
          </w:p>
        </w:tc>
      </w:tr>
      <w:tr w:rsidR="004E45CF" w:rsidRPr="00CF3E3D" w14:paraId="6F1D3EB8"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3006CD08" w14:textId="77777777" w:rsidR="004E45CF" w:rsidRPr="001E400B" w:rsidRDefault="004E45CF" w:rsidP="00CB5298">
            <w:pPr>
              <w:spacing w:before="85" w:line="288" w:lineRule="auto"/>
              <w:jc w:val="left"/>
              <w:rPr>
                <w:b/>
                <w:bCs/>
                <w:sz w:val="18"/>
                <w:szCs w:val="18"/>
              </w:rPr>
            </w:pPr>
            <w:r w:rsidRPr="001E400B">
              <w:rPr>
                <w:b/>
                <w:bCs/>
                <w:sz w:val="18"/>
                <w:szCs w:val="18"/>
                <w:lang w:eastAsia="en-AU"/>
              </w:rPr>
              <w:t>Macquarie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0FF46887" w14:textId="77777777" w:rsidR="004E45CF" w:rsidRPr="00CF3E3D" w:rsidRDefault="004E45CF" w:rsidP="00CB5298">
            <w:pPr>
              <w:spacing w:before="85" w:line="288" w:lineRule="auto"/>
              <w:jc w:val="center"/>
              <w:rPr>
                <w:sz w:val="18"/>
                <w:szCs w:val="18"/>
              </w:rPr>
            </w:pPr>
            <w:r w:rsidRPr="00CF3E3D">
              <w:rPr>
                <w:sz w:val="18"/>
                <w:szCs w:val="18"/>
              </w:rPr>
              <w:t>92.7 (91.7, 93.5)</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2E5AB47F" w14:textId="77777777" w:rsidR="004E45CF" w:rsidRPr="00CF3E3D" w:rsidRDefault="004E45CF" w:rsidP="00CB5298">
            <w:pPr>
              <w:spacing w:before="85" w:line="288" w:lineRule="auto"/>
              <w:jc w:val="center"/>
              <w:rPr>
                <w:sz w:val="18"/>
                <w:szCs w:val="18"/>
              </w:rPr>
            </w:pPr>
            <w:r w:rsidRPr="00CF3E3D">
              <w:rPr>
                <w:sz w:val="18"/>
                <w:szCs w:val="18"/>
              </w:rPr>
              <w:t>92.4 (91.5, 93.2)</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68CB417A" w14:textId="77777777" w:rsidR="004E45CF" w:rsidRPr="00CF3E3D" w:rsidRDefault="004E45CF" w:rsidP="00CB5298">
            <w:pPr>
              <w:spacing w:before="85" w:line="288" w:lineRule="auto"/>
              <w:jc w:val="center"/>
              <w:rPr>
                <w:sz w:val="18"/>
                <w:szCs w:val="18"/>
              </w:rPr>
            </w:pPr>
            <w:r w:rsidRPr="00CF3E3D">
              <w:rPr>
                <w:sz w:val="18"/>
                <w:szCs w:val="18"/>
              </w:rPr>
              <w:t>62,000 (60,100, 63,900)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589BE140" w14:textId="77777777" w:rsidR="004E45CF" w:rsidRPr="00CF3E3D" w:rsidRDefault="004E45CF" w:rsidP="00CB5298">
            <w:pPr>
              <w:spacing w:before="85" w:line="288" w:lineRule="auto"/>
              <w:jc w:val="center"/>
              <w:rPr>
                <w:sz w:val="18"/>
                <w:szCs w:val="18"/>
              </w:rPr>
            </w:pPr>
            <w:r w:rsidRPr="00CF3E3D">
              <w:rPr>
                <w:sz w:val="18"/>
                <w:szCs w:val="18"/>
              </w:rPr>
              <w:t>65,200 (64,200, 66,200)</w:t>
            </w:r>
          </w:p>
        </w:tc>
      </w:tr>
      <w:tr w:rsidR="004E45CF" w:rsidRPr="00CF3E3D" w14:paraId="3D10DAC8"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4FFC1D51" w14:textId="77777777" w:rsidR="004E45CF" w:rsidRPr="001E400B" w:rsidRDefault="004E45CF" w:rsidP="00CB5298">
            <w:pPr>
              <w:spacing w:before="85" w:line="288" w:lineRule="auto"/>
              <w:jc w:val="left"/>
              <w:rPr>
                <w:b/>
                <w:bCs/>
                <w:sz w:val="18"/>
                <w:szCs w:val="18"/>
              </w:rPr>
            </w:pPr>
            <w:r w:rsidRPr="001E400B">
              <w:rPr>
                <w:b/>
                <w:bCs/>
                <w:sz w:val="18"/>
                <w:szCs w:val="18"/>
                <w:lang w:eastAsia="en-AU"/>
              </w:rPr>
              <w:lastRenderedPageBreak/>
              <w:t>Monash University</w:t>
            </w:r>
          </w:p>
        </w:tc>
        <w:tc>
          <w:tcPr>
            <w:cnfStyle w:val="000001000000" w:firstRow="0" w:lastRow="0" w:firstColumn="0" w:lastColumn="0" w:oddVBand="0" w:evenVBand="1" w:oddHBand="0" w:evenHBand="0" w:firstRowFirstColumn="0" w:firstRowLastColumn="0" w:lastRowFirstColumn="0" w:lastRowLastColumn="0"/>
            <w:tcW w:w="715" w:type="pct"/>
          </w:tcPr>
          <w:p w14:paraId="15FD8BAA" w14:textId="77777777" w:rsidR="004E45CF" w:rsidRPr="00CF3E3D" w:rsidRDefault="004E45CF" w:rsidP="00CB5298">
            <w:pPr>
              <w:spacing w:before="85" w:line="288" w:lineRule="auto"/>
              <w:jc w:val="center"/>
              <w:rPr>
                <w:sz w:val="18"/>
                <w:szCs w:val="18"/>
              </w:rPr>
            </w:pPr>
            <w:r w:rsidRPr="00CF3E3D">
              <w:rPr>
                <w:sz w:val="18"/>
                <w:szCs w:val="18"/>
              </w:rPr>
              <w:t>89.9 (89.2, 90.6)</w:t>
            </w:r>
          </w:p>
        </w:tc>
        <w:tc>
          <w:tcPr>
            <w:cnfStyle w:val="000010000000" w:firstRow="0" w:lastRow="0" w:firstColumn="0" w:lastColumn="0" w:oddVBand="1" w:evenVBand="0" w:oddHBand="0" w:evenHBand="0" w:firstRowFirstColumn="0" w:firstRowLastColumn="0" w:lastRowFirstColumn="0" w:lastRowLastColumn="0"/>
            <w:tcW w:w="754" w:type="pct"/>
          </w:tcPr>
          <w:p w14:paraId="3AE3A710" w14:textId="77777777" w:rsidR="004E45CF" w:rsidRPr="00CF3E3D" w:rsidRDefault="004E45CF" w:rsidP="00CB5298">
            <w:pPr>
              <w:spacing w:before="85" w:line="288" w:lineRule="auto"/>
              <w:jc w:val="center"/>
              <w:rPr>
                <w:sz w:val="18"/>
                <w:szCs w:val="18"/>
              </w:rPr>
            </w:pPr>
            <w:r w:rsidRPr="00CF3E3D">
              <w:rPr>
                <w:sz w:val="18"/>
                <w:szCs w:val="18"/>
              </w:rPr>
              <w:t>92.4 (91.7, 93.0)</w:t>
            </w:r>
          </w:p>
        </w:tc>
        <w:tc>
          <w:tcPr>
            <w:cnfStyle w:val="000001000000" w:firstRow="0" w:lastRow="0" w:firstColumn="0" w:lastColumn="0" w:oddVBand="0" w:evenVBand="1" w:oddHBand="0" w:evenHBand="0" w:firstRowFirstColumn="0" w:firstRowLastColumn="0" w:lastRowFirstColumn="0" w:lastRowLastColumn="0"/>
            <w:tcW w:w="754" w:type="pct"/>
          </w:tcPr>
          <w:p w14:paraId="4A8CF464" w14:textId="77777777" w:rsidR="004E45CF" w:rsidRPr="00CF3E3D" w:rsidRDefault="004E45CF" w:rsidP="00CB5298">
            <w:pPr>
              <w:spacing w:before="85" w:line="288" w:lineRule="auto"/>
              <w:jc w:val="center"/>
              <w:rPr>
                <w:sz w:val="18"/>
                <w:szCs w:val="18"/>
              </w:rPr>
            </w:pPr>
            <w:r w:rsidRPr="00CF3E3D">
              <w:rPr>
                <w:sz w:val="18"/>
                <w:szCs w:val="18"/>
              </w:rPr>
              <w:t>64,400 (63,200, 65,600)</w:t>
            </w:r>
          </w:p>
        </w:tc>
        <w:tc>
          <w:tcPr>
            <w:cnfStyle w:val="000010000000" w:firstRow="0" w:lastRow="0" w:firstColumn="0" w:lastColumn="0" w:oddVBand="1" w:evenVBand="0" w:oddHBand="0" w:evenHBand="0" w:firstRowFirstColumn="0" w:firstRowLastColumn="0" w:lastRowFirstColumn="0" w:lastRowLastColumn="0"/>
            <w:tcW w:w="754" w:type="pct"/>
          </w:tcPr>
          <w:p w14:paraId="1C888988" w14:textId="77777777" w:rsidR="004E45CF" w:rsidRPr="00CF3E3D" w:rsidRDefault="004E45CF" w:rsidP="00CB5298">
            <w:pPr>
              <w:spacing w:before="85" w:line="288" w:lineRule="auto"/>
              <w:jc w:val="center"/>
              <w:rPr>
                <w:sz w:val="18"/>
                <w:szCs w:val="18"/>
              </w:rPr>
            </w:pPr>
            <w:r w:rsidRPr="00CF3E3D">
              <w:rPr>
                <w:sz w:val="18"/>
                <w:szCs w:val="18"/>
              </w:rPr>
              <w:t>67,000 (65,700, 68,300)</w:t>
            </w:r>
          </w:p>
        </w:tc>
      </w:tr>
      <w:tr w:rsidR="004E45CF" w:rsidRPr="00CF3E3D" w14:paraId="62E2F151"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4AA60339" w14:textId="77777777" w:rsidR="004E45CF" w:rsidRPr="001E400B" w:rsidRDefault="004E45CF" w:rsidP="00CB5298">
            <w:pPr>
              <w:spacing w:before="85" w:line="288" w:lineRule="auto"/>
              <w:jc w:val="left"/>
              <w:rPr>
                <w:b/>
                <w:bCs/>
                <w:sz w:val="18"/>
                <w:szCs w:val="18"/>
              </w:rPr>
            </w:pPr>
            <w:r w:rsidRPr="001E400B">
              <w:rPr>
                <w:b/>
                <w:bCs/>
                <w:sz w:val="18"/>
                <w:szCs w:val="18"/>
                <w:lang w:eastAsia="en-AU"/>
              </w:rPr>
              <w:t>Murdoch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5DD67001" w14:textId="77777777" w:rsidR="004E45CF" w:rsidRPr="00CF3E3D" w:rsidRDefault="004E45CF" w:rsidP="00CB5298">
            <w:pPr>
              <w:spacing w:before="85" w:line="288" w:lineRule="auto"/>
              <w:jc w:val="center"/>
              <w:rPr>
                <w:sz w:val="18"/>
                <w:szCs w:val="18"/>
              </w:rPr>
            </w:pPr>
            <w:r w:rsidRPr="00CF3E3D">
              <w:rPr>
                <w:sz w:val="18"/>
                <w:szCs w:val="18"/>
              </w:rPr>
              <w:t>91.4 (89.8, 92.7)</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0693CF74" w14:textId="77777777" w:rsidR="004E45CF" w:rsidRPr="00CF3E3D" w:rsidRDefault="004E45CF" w:rsidP="00CB5298">
            <w:pPr>
              <w:spacing w:before="85" w:line="288" w:lineRule="auto"/>
              <w:jc w:val="center"/>
              <w:rPr>
                <w:sz w:val="18"/>
                <w:szCs w:val="18"/>
              </w:rPr>
            </w:pPr>
            <w:r w:rsidRPr="00CF3E3D">
              <w:rPr>
                <w:sz w:val="18"/>
                <w:szCs w:val="18"/>
              </w:rPr>
              <w:t>93.5 (91.9, 94.7)</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6F8A36A2" w14:textId="77777777" w:rsidR="004E45CF" w:rsidRPr="00CF3E3D" w:rsidRDefault="004E45CF" w:rsidP="00CB5298">
            <w:pPr>
              <w:spacing w:before="85" w:line="288" w:lineRule="auto"/>
              <w:jc w:val="center"/>
              <w:rPr>
                <w:sz w:val="18"/>
                <w:szCs w:val="18"/>
              </w:rPr>
            </w:pPr>
            <w:r w:rsidRPr="00CF3E3D">
              <w:rPr>
                <w:sz w:val="18"/>
                <w:szCs w:val="18"/>
              </w:rPr>
              <w:t>65,400 (63,500, 67,400)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245EC61C" w14:textId="77777777" w:rsidR="004E45CF" w:rsidRPr="00CF3E3D" w:rsidRDefault="004E45CF" w:rsidP="00CB5298">
            <w:pPr>
              <w:spacing w:before="85" w:line="288" w:lineRule="auto"/>
              <w:jc w:val="center"/>
              <w:rPr>
                <w:sz w:val="18"/>
                <w:szCs w:val="18"/>
              </w:rPr>
            </w:pPr>
            <w:r w:rsidRPr="00CF3E3D">
              <w:rPr>
                <w:sz w:val="18"/>
                <w:szCs w:val="18"/>
              </w:rPr>
              <w:t>70,000 (68,700, 71,300)</w:t>
            </w:r>
          </w:p>
        </w:tc>
      </w:tr>
      <w:tr w:rsidR="004E45CF" w:rsidRPr="00CF3E3D" w14:paraId="4147D09F"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3750A5C4" w14:textId="77777777" w:rsidR="004E45CF" w:rsidRPr="001E400B" w:rsidRDefault="004E45CF" w:rsidP="00CB5298">
            <w:pPr>
              <w:spacing w:before="85" w:line="288" w:lineRule="auto"/>
              <w:jc w:val="left"/>
              <w:rPr>
                <w:b/>
                <w:bCs/>
                <w:sz w:val="18"/>
                <w:szCs w:val="18"/>
              </w:rPr>
            </w:pPr>
            <w:r w:rsidRPr="001E400B">
              <w:rPr>
                <w:b/>
                <w:bCs/>
                <w:sz w:val="18"/>
                <w:szCs w:val="18"/>
                <w:lang w:eastAsia="en-AU"/>
              </w:rPr>
              <w:t>Queensland University of Technology</w:t>
            </w:r>
          </w:p>
        </w:tc>
        <w:tc>
          <w:tcPr>
            <w:cnfStyle w:val="000001000000" w:firstRow="0" w:lastRow="0" w:firstColumn="0" w:lastColumn="0" w:oddVBand="0" w:evenVBand="1" w:oddHBand="0" w:evenHBand="0" w:firstRowFirstColumn="0" w:firstRowLastColumn="0" w:lastRowFirstColumn="0" w:lastRowLastColumn="0"/>
            <w:tcW w:w="715" w:type="pct"/>
          </w:tcPr>
          <w:p w14:paraId="2BF414EA" w14:textId="77777777" w:rsidR="004E45CF" w:rsidRPr="00CF3E3D" w:rsidRDefault="004E45CF" w:rsidP="00CB5298">
            <w:pPr>
              <w:spacing w:before="85" w:line="288" w:lineRule="auto"/>
              <w:jc w:val="center"/>
              <w:rPr>
                <w:sz w:val="18"/>
                <w:szCs w:val="18"/>
              </w:rPr>
            </w:pPr>
            <w:r w:rsidRPr="00CF3E3D">
              <w:rPr>
                <w:sz w:val="18"/>
                <w:szCs w:val="18"/>
              </w:rPr>
              <w:t>96.1 (95.5, 96.6)</w:t>
            </w:r>
          </w:p>
        </w:tc>
        <w:tc>
          <w:tcPr>
            <w:cnfStyle w:val="000010000000" w:firstRow="0" w:lastRow="0" w:firstColumn="0" w:lastColumn="0" w:oddVBand="1" w:evenVBand="0" w:oddHBand="0" w:evenHBand="0" w:firstRowFirstColumn="0" w:firstRowLastColumn="0" w:lastRowFirstColumn="0" w:lastRowLastColumn="0"/>
            <w:tcW w:w="754" w:type="pct"/>
          </w:tcPr>
          <w:p w14:paraId="4DD31E23" w14:textId="77777777" w:rsidR="004E45CF" w:rsidRPr="00CF3E3D" w:rsidRDefault="004E45CF" w:rsidP="00CB5298">
            <w:pPr>
              <w:spacing w:before="85" w:line="288" w:lineRule="auto"/>
              <w:jc w:val="center"/>
              <w:rPr>
                <w:sz w:val="18"/>
                <w:szCs w:val="18"/>
              </w:rPr>
            </w:pPr>
            <w:r w:rsidRPr="00CF3E3D">
              <w:rPr>
                <w:sz w:val="18"/>
                <w:szCs w:val="18"/>
              </w:rPr>
              <w:t>94.9 (94.2, 95.4)</w:t>
            </w:r>
          </w:p>
        </w:tc>
        <w:tc>
          <w:tcPr>
            <w:cnfStyle w:val="000001000000" w:firstRow="0" w:lastRow="0" w:firstColumn="0" w:lastColumn="0" w:oddVBand="0" w:evenVBand="1" w:oddHBand="0" w:evenHBand="0" w:firstRowFirstColumn="0" w:firstRowLastColumn="0" w:lastRowFirstColumn="0" w:lastRowLastColumn="0"/>
            <w:tcW w:w="754" w:type="pct"/>
          </w:tcPr>
          <w:p w14:paraId="37380958" w14:textId="77777777" w:rsidR="004E45CF" w:rsidRPr="00CF3E3D" w:rsidRDefault="004E45CF" w:rsidP="00CB5298">
            <w:pPr>
              <w:spacing w:before="85" w:line="288" w:lineRule="auto"/>
              <w:jc w:val="center"/>
              <w:rPr>
                <w:sz w:val="18"/>
                <w:szCs w:val="18"/>
              </w:rPr>
            </w:pPr>
            <w:r w:rsidRPr="00CF3E3D">
              <w:rPr>
                <w:sz w:val="18"/>
                <w:szCs w:val="18"/>
              </w:rPr>
              <w:t>62,600 (61,700, 63,600)</w:t>
            </w:r>
          </w:p>
        </w:tc>
        <w:tc>
          <w:tcPr>
            <w:cnfStyle w:val="000010000000" w:firstRow="0" w:lastRow="0" w:firstColumn="0" w:lastColumn="0" w:oddVBand="1" w:evenVBand="0" w:oddHBand="0" w:evenHBand="0" w:firstRowFirstColumn="0" w:firstRowLastColumn="0" w:lastRowFirstColumn="0" w:lastRowLastColumn="0"/>
            <w:tcW w:w="754" w:type="pct"/>
          </w:tcPr>
          <w:p w14:paraId="7BCB4CA2" w14:textId="77777777" w:rsidR="004E45CF" w:rsidRPr="00CF3E3D" w:rsidRDefault="004E45CF" w:rsidP="00CB5298">
            <w:pPr>
              <w:spacing w:before="85" w:line="288" w:lineRule="auto"/>
              <w:jc w:val="center"/>
              <w:rPr>
                <w:sz w:val="18"/>
                <w:szCs w:val="18"/>
              </w:rPr>
            </w:pPr>
            <w:r w:rsidRPr="00CF3E3D">
              <w:rPr>
                <w:sz w:val="18"/>
                <w:szCs w:val="18"/>
              </w:rPr>
              <w:t>65,000 (64,800, 65,200)</w:t>
            </w:r>
          </w:p>
        </w:tc>
      </w:tr>
      <w:tr w:rsidR="004E45CF" w:rsidRPr="00CF3E3D" w14:paraId="150F3187"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7B1B41A5" w14:textId="77777777" w:rsidR="004E45CF" w:rsidRPr="001E400B" w:rsidRDefault="004E45CF" w:rsidP="00CB5298">
            <w:pPr>
              <w:spacing w:before="85" w:line="288" w:lineRule="auto"/>
              <w:jc w:val="left"/>
              <w:rPr>
                <w:b/>
                <w:bCs/>
                <w:sz w:val="18"/>
                <w:szCs w:val="18"/>
              </w:rPr>
            </w:pPr>
            <w:r w:rsidRPr="001E400B">
              <w:rPr>
                <w:b/>
                <w:bCs/>
                <w:sz w:val="18"/>
                <w:szCs w:val="18"/>
                <w:lang w:eastAsia="en-AU"/>
              </w:rPr>
              <w:t>RMIT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5FB247A2" w14:textId="77777777" w:rsidR="004E45CF" w:rsidRPr="00CF3E3D" w:rsidRDefault="004E45CF" w:rsidP="00CB5298">
            <w:pPr>
              <w:spacing w:before="85" w:line="288" w:lineRule="auto"/>
              <w:jc w:val="center"/>
              <w:rPr>
                <w:sz w:val="18"/>
                <w:szCs w:val="18"/>
              </w:rPr>
            </w:pPr>
            <w:r w:rsidRPr="00CF3E3D">
              <w:rPr>
                <w:sz w:val="18"/>
                <w:szCs w:val="18"/>
              </w:rPr>
              <w:t>93.6 (92.9, 94.2)</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5572F2E2" w14:textId="77777777" w:rsidR="004E45CF" w:rsidRPr="00CF3E3D" w:rsidRDefault="004E45CF" w:rsidP="00CB5298">
            <w:pPr>
              <w:spacing w:before="85" w:line="288" w:lineRule="auto"/>
              <w:jc w:val="center"/>
              <w:rPr>
                <w:sz w:val="18"/>
                <w:szCs w:val="18"/>
              </w:rPr>
            </w:pPr>
            <w:r w:rsidRPr="00CF3E3D">
              <w:rPr>
                <w:sz w:val="18"/>
                <w:szCs w:val="18"/>
              </w:rPr>
              <w:t>93.5 (92.8, 94.1)</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35DCAA8F" w14:textId="77777777" w:rsidR="004E45CF" w:rsidRPr="00CF3E3D" w:rsidRDefault="004E45CF" w:rsidP="00CB5298">
            <w:pPr>
              <w:spacing w:before="85" w:line="288" w:lineRule="auto"/>
              <w:jc w:val="center"/>
              <w:rPr>
                <w:sz w:val="18"/>
                <w:szCs w:val="18"/>
              </w:rPr>
            </w:pPr>
            <w:r w:rsidRPr="00CF3E3D">
              <w:rPr>
                <w:sz w:val="18"/>
                <w:szCs w:val="18"/>
              </w:rPr>
              <w:t>60,000 (59,500, 60,500)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6D87FD59" w14:textId="77777777" w:rsidR="004E45CF" w:rsidRPr="00CF3E3D" w:rsidRDefault="004E45CF" w:rsidP="00CB5298">
            <w:pPr>
              <w:spacing w:before="85" w:line="288" w:lineRule="auto"/>
              <w:jc w:val="center"/>
              <w:rPr>
                <w:sz w:val="18"/>
                <w:szCs w:val="18"/>
              </w:rPr>
            </w:pPr>
            <w:r w:rsidRPr="00CF3E3D">
              <w:rPr>
                <w:sz w:val="18"/>
                <w:szCs w:val="18"/>
              </w:rPr>
              <w:t>64,700 (63,400, 66,000)</w:t>
            </w:r>
          </w:p>
        </w:tc>
      </w:tr>
      <w:tr w:rsidR="004E45CF" w:rsidRPr="00CF3E3D" w14:paraId="22652C2D"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02EBB4A1" w14:textId="77777777" w:rsidR="004E45CF" w:rsidRPr="001E400B" w:rsidRDefault="004E45CF" w:rsidP="00CB5298">
            <w:pPr>
              <w:spacing w:before="85" w:line="288" w:lineRule="auto"/>
              <w:jc w:val="left"/>
              <w:rPr>
                <w:b/>
                <w:bCs/>
                <w:sz w:val="18"/>
                <w:szCs w:val="18"/>
              </w:rPr>
            </w:pPr>
            <w:r w:rsidRPr="001E400B">
              <w:rPr>
                <w:b/>
                <w:bCs/>
                <w:sz w:val="18"/>
                <w:szCs w:val="18"/>
                <w:lang w:eastAsia="en-AU"/>
              </w:rPr>
              <w:t>Southern Cross University</w:t>
            </w:r>
          </w:p>
        </w:tc>
        <w:tc>
          <w:tcPr>
            <w:cnfStyle w:val="000001000000" w:firstRow="0" w:lastRow="0" w:firstColumn="0" w:lastColumn="0" w:oddVBand="0" w:evenVBand="1" w:oddHBand="0" w:evenHBand="0" w:firstRowFirstColumn="0" w:firstRowLastColumn="0" w:lastRowFirstColumn="0" w:lastRowLastColumn="0"/>
            <w:tcW w:w="715" w:type="pct"/>
          </w:tcPr>
          <w:p w14:paraId="277D3AE3" w14:textId="77777777" w:rsidR="004E45CF" w:rsidRPr="00CF3E3D" w:rsidRDefault="004E45CF" w:rsidP="00CB5298">
            <w:pPr>
              <w:spacing w:before="85" w:line="288" w:lineRule="auto"/>
              <w:jc w:val="center"/>
              <w:rPr>
                <w:sz w:val="18"/>
                <w:szCs w:val="18"/>
              </w:rPr>
            </w:pPr>
            <w:r w:rsidRPr="00CF3E3D">
              <w:rPr>
                <w:sz w:val="18"/>
                <w:szCs w:val="18"/>
              </w:rPr>
              <w:t>91.4 (89.7, 92.6)</w:t>
            </w:r>
          </w:p>
        </w:tc>
        <w:tc>
          <w:tcPr>
            <w:cnfStyle w:val="000010000000" w:firstRow="0" w:lastRow="0" w:firstColumn="0" w:lastColumn="0" w:oddVBand="1" w:evenVBand="0" w:oddHBand="0" w:evenHBand="0" w:firstRowFirstColumn="0" w:firstRowLastColumn="0" w:lastRowFirstColumn="0" w:lastRowLastColumn="0"/>
            <w:tcW w:w="754" w:type="pct"/>
          </w:tcPr>
          <w:p w14:paraId="0A48EB5D" w14:textId="77777777" w:rsidR="004E45CF" w:rsidRPr="00CF3E3D" w:rsidRDefault="004E45CF" w:rsidP="00CB5298">
            <w:pPr>
              <w:spacing w:before="85" w:line="288" w:lineRule="auto"/>
              <w:jc w:val="center"/>
              <w:rPr>
                <w:sz w:val="18"/>
                <w:szCs w:val="18"/>
              </w:rPr>
            </w:pPr>
            <w:r w:rsidRPr="00CF3E3D">
              <w:rPr>
                <w:sz w:val="18"/>
                <w:szCs w:val="18"/>
              </w:rPr>
              <w:t>92.6 (91.0, 93.8)</w:t>
            </w:r>
          </w:p>
        </w:tc>
        <w:tc>
          <w:tcPr>
            <w:cnfStyle w:val="000001000000" w:firstRow="0" w:lastRow="0" w:firstColumn="0" w:lastColumn="0" w:oddVBand="0" w:evenVBand="1" w:oddHBand="0" w:evenHBand="0" w:firstRowFirstColumn="0" w:firstRowLastColumn="0" w:lastRowFirstColumn="0" w:lastRowLastColumn="0"/>
            <w:tcW w:w="754" w:type="pct"/>
          </w:tcPr>
          <w:p w14:paraId="2A7A118C" w14:textId="77777777" w:rsidR="004E45CF" w:rsidRPr="00CF3E3D" w:rsidRDefault="004E45CF" w:rsidP="00CB5298">
            <w:pPr>
              <w:spacing w:before="85" w:line="288" w:lineRule="auto"/>
              <w:jc w:val="center"/>
              <w:rPr>
                <w:sz w:val="18"/>
                <w:szCs w:val="18"/>
              </w:rPr>
            </w:pPr>
            <w:r w:rsidRPr="00CF3E3D">
              <w:rPr>
                <w:sz w:val="18"/>
                <w:szCs w:val="18"/>
              </w:rPr>
              <w:t>67,100 (64,700, 69,600)</w:t>
            </w:r>
          </w:p>
        </w:tc>
        <w:tc>
          <w:tcPr>
            <w:cnfStyle w:val="000010000000" w:firstRow="0" w:lastRow="0" w:firstColumn="0" w:lastColumn="0" w:oddVBand="1" w:evenVBand="0" w:oddHBand="0" w:evenHBand="0" w:firstRowFirstColumn="0" w:firstRowLastColumn="0" w:lastRowFirstColumn="0" w:lastRowLastColumn="0"/>
            <w:tcW w:w="754" w:type="pct"/>
          </w:tcPr>
          <w:p w14:paraId="27FFFBA2" w14:textId="77777777" w:rsidR="004E45CF" w:rsidRPr="00CF3E3D" w:rsidRDefault="004E45CF" w:rsidP="00CB5298">
            <w:pPr>
              <w:spacing w:before="85" w:line="288" w:lineRule="auto"/>
              <w:jc w:val="center"/>
              <w:rPr>
                <w:sz w:val="18"/>
                <w:szCs w:val="18"/>
              </w:rPr>
            </w:pPr>
            <w:r w:rsidRPr="00CF3E3D">
              <w:rPr>
                <w:sz w:val="18"/>
                <w:szCs w:val="18"/>
              </w:rPr>
              <w:t>71,000 (69,300, 72,700)</w:t>
            </w:r>
          </w:p>
        </w:tc>
      </w:tr>
      <w:tr w:rsidR="004E45CF" w:rsidRPr="00CF3E3D" w14:paraId="6700D751"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1E5C8847" w14:textId="77777777" w:rsidR="004E45CF" w:rsidRPr="001E400B" w:rsidRDefault="004E45CF" w:rsidP="00CB5298">
            <w:pPr>
              <w:spacing w:before="85" w:line="288" w:lineRule="auto"/>
              <w:jc w:val="left"/>
              <w:rPr>
                <w:b/>
                <w:bCs/>
                <w:sz w:val="18"/>
                <w:szCs w:val="18"/>
              </w:rPr>
            </w:pPr>
            <w:r w:rsidRPr="001E400B">
              <w:rPr>
                <w:b/>
                <w:bCs/>
                <w:sz w:val="18"/>
                <w:szCs w:val="18"/>
                <w:lang w:eastAsia="en-AU"/>
              </w:rPr>
              <w:t>Swinburne University of Technology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5EE4BBAC" w14:textId="77777777" w:rsidR="004E45CF" w:rsidRPr="00CF3E3D" w:rsidRDefault="004E45CF" w:rsidP="00CB5298">
            <w:pPr>
              <w:spacing w:before="85" w:line="288" w:lineRule="auto"/>
              <w:jc w:val="center"/>
              <w:rPr>
                <w:sz w:val="18"/>
                <w:szCs w:val="18"/>
              </w:rPr>
            </w:pPr>
            <w:r w:rsidRPr="00CF3E3D">
              <w:rPr>
                <w:sz w:val="18"/>
                <w:szCs w:val="18"/>
              </w:rPr>
              <w:t>92.1 (91.2, 93.0)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080091F3" w14:textId="77777777" w:rsidR="004E45CF" w:rsidRPr="00CF3E3D" w:rsidRDefault="004E45CF" w:rsidP="00CB5298">
            <w:pPr>
              <w:spacing w:before="85" w:line="288" w:lineRule="auto"/>
              <w:jc w:val="center"/>
              <w:rPr>
                <w:sz w:val="18"/>
                <w:szCs w:val="18"/>
              </w:rPr>
            </w:pPr>
            <w:r w:rsidRPr="00CF3E3D">
              <w:rPr>
                <w:sz w:val="18"/>
                <w:szCs w:val="18"/>
              </w:rPr>
              <w:t>92.7 (91.7, 93.5)</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18EBD04D" w14:textId="77777777" w:rsidR="004E45CF" w:rsidRPr="00CF3E3D" w:rsidRDefault="004E45CF" w:rsidP="00CB5298">
            <w:pPr>
              <w:spacing w:before="85" w:line="288" w:lineRule="auto"/>
              <w:jc w:val="center"/>
              <w:rPr>
                <w:sz w:val="18"/>
                <w:szCs w:val="18"/>
              </w:rPr>
            </w:pPr>
            <w:r w:rsidRPr="00CF3E3D">
              <w:rPr>
                <w:sz w:val="18"/>
                <w:szCs w:val="18"/>
              </w:rPr>
              <w:t>67,900 (65,800, 70,000)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29A2D637" w14:textId="77777777" w:rsidR="004E45CF" w:rsidRPr="00CF3E3D" w:rsidRDefault="004E45CF" w:rsidP="00CB5298">
            <w:pPr>
              <w:spacing w:before="85" w:line="288" w:lineRule="auto"/>
              <w:jc w:val="center"/>
              <w:rPr>
                <w:sz w:val="18"/>
                <w:szCs w:val="18"/>
              </w:rPr>
            </w:pPr>
            <w:r w:rsidRPr="00CF3E3D">
              <w:rPr>
                <w:sz w:val="18"/>
                <w:szCs w:val="18"/>
              </w:rPr>
              <w:t>70,000 (68,900, 71,100)</w:t>
            </w:r>
          </w:p>
        </w:tc>
      </w:tr>
      <w:tr w:rsidR="004E45CF" w:rsidRPr="00CF3E3D" w14:paraId="745B8CD7"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26512860" w14:textId="77777777" w:rsidR="004E45CF" w:rsidRPr="001E400B" w:rsidRDefault="004E45CF" w:rsidP="00CB5298">
            <w:pPr>
              <w:spacing w:before="85" w:line="288" w:lineRule="auto"/>
              <w:jc w:val="left"/>
              <w:rPr>
                <w:b/>
                <w:bCs/>
                <w:sz w:val="18"/>
                <w:szCs w:val="18"/>
              </w:rPr>
            </w:pPr>
            <w:r w:rsidRPr="001E400B">
              <w:rPr>
                <w:b/>
                <w:bCs/>
                <w:sz w:val="18"/>
                <w:szCs w:val="18"/>
                <w:lang w:eastAsia="en-AU"/>
              </w:rPr>
              <w:t>The Australian National University</w:t>
            </w:r>
          </w:p>
        </w:tc>
        <w:tc>
          <w:tcPr>
            <w:cnfStyle w:val="000001000000" w:firstRow="0" w:lastRow="0" w:firstColumn="0" w:lastColumn="0" w:oddVBand="0" w:evenVBand="1" w:oddHBand="0" w:evenHBand="0" w:firstRowFirstColumn="0" w:firstRowLastColumn="0" w:lastRowFirstColumn="0" w:lastRowLastColumn="0"/>
            <w:tcW w:w="715" w:type="pct"/>
          </w:tcPr>
          <w:p w14:paraId="1286BE93" w14:textId="77777777" w:rsidR="004E45CF" w:rsidRPr="00CF3E3D" w:rsidRDefault="004E45CF" w:rsidP="00CB5298">
            <w:pPr>
              <w:spacing w:before="85" w:line="288" w:lineRule="auto"/>
              <w:jc w:val="center"/>
              <w:rPr>
                <w:sz w:val="18"/>
                <w:szCs w:val="18"/>
              </w:rPr>
            </w:pPr>
            <w:r w:rsidRPr="00CF3E3D">
              <w:rPr>
                <w:sz w:val="18"/>
                <w:szCs w:val="18"/>
              </w:rPr>
              <w:t>90.6 (89.1, 91.8)</w:t>
            </w:r>
          </w:p>
        </w:tc>
        <w:tc>
          <w:tcPr>
            <w:cnfStyle w:val="000010000000" w:firstRow="0" w:lastRow="0" w:firstColumn="0" w:lastColumn="0" w:oddVBand="1" w:evenVBand="0" w:oddHBand="0" w:evenHBand="0" w:firstRowFirstColumn="0" w:firstRowLastColumn="0" w:lastRowFirstColumn="0" w:lastRowLastColumn="0"/>
            <w:tcW w:w="754" w:type="pct"/>
          </w:tcPr>
          <w:p w14:paraId="5649BCC2" w14:textId="77777777" w:rsidR="004E45CF" w:rsidRPr="00CF3E3D" w:rsidRDefault="004E45CF" w:rsidP="00CB5298">
            <w:pPr>
              <w:spacing w:before="85" w:line="288" w:lineRule="auto"/>
              <w:jc w:val="center"/>
              <w:rPr>
                <w:sz w:val="18"/>
                <w:szCs w:val="18"/>
              </w:rPr>
            </w:pPr>
            <w:r w:rsidRPr="00CF3E3D">
              <w:rPr>
                <w:sz w:val="18"/>
                <w:szCs w:val="18"/>
              </w:rPr>
              <w:t>92.6 (91.5, 93.5)</w:t>
            </w:r>
          </w:p>
        </w:tc>
        <w:tc>
          <w:tcPr>
            <w:cnfStyle w:val="000001000000" w:firstRow="0" w:lastRow="0" w:firstColumn="0" w:lastColumn="0" w:oddVBand="0" w:evenVBand="1" w:oddHBand="0" w:evenHBand="0" w:firstRowFirstColumn="0" w:firstRowLastColumn="0" w:lastRowFirstColumn="0" w:lastRowLastColumn="0"/>
            <w:tcW w:w="754" w:type="pct"/>
          </w:tcPr>
          <w:p w14:paraId="65DB3085" w14:textId="77777777" w:rsidR="004E45CF" w:rsidRPr="00CF3E3D" w:rsidRDefault="004E45CF" w:rsidP="00CB5298">
            <w:pPr>
              <w:spacing w:before="85" w:line="288" w:lineRule="auto"/>
              <w:jc w:val="center"/>
              <w:rPr>
                <w:sz w:val="18"/>
                <w:szCs w:val="18"/>
              </w:rPr>
            </w:pPr>
            <w:r w:rsidRPr="00CF3E3D">
              <w:rPr>
                <w:sz w:val="18"/>
                <w:szCs w:val="18"/>
              </w:rPr>
              <w:t>65,000 (64,100, 65,900)</w:t>
            </w:r>
          </w:p>
        </w:tc>
        <w:tc>
          <w:tcPr>
            <w:cnfStyle w:val="000010000000" w:firstRow="0" w:lastRow="0" w:firstColumn="0" w:lastColumn="0" w:oddVBand="1" w:evenVBand="0" w:oddHBand="0" w:evenHBand="0" w:firstRowFirstColumn="0" w:firstRowLastColumn="0" w:lastRowFirstColumn="0" w:lastRowLastColumn="0"/>
            <w:tcW w:w="754" w:type="pct"/>
          </w:tcPr>
          <w:p w14:paraId="24E15A8D" w14:textId="77777777" w:rsidR="004E45CF" w:rsidRPr="00CF3E3D" w:rsidRDefault="004E45CF" w:rsidP="00CB5298">
            <w:pPr>
              <w:spacing w:before="85" w:line="288" w:lineRule="auto"/>
              <w:jc w:val="center"/>
              <w:rPr>
                <w:sz w:val="18"/>
                <w:szCs w:val="18"/>
              </w:rPr>
            </w:pPr>
            <w:r w:rsidRPr="00CF3E3D">
              <w:rPr>
                <w:sz w:val="18"/>
                <w:szCs w:val="18"/>
              </w:rPr>
              <w:t>68,000 (67,400, 68,600)</w:t>
            </w:r>
          </w:p>
        </w:tc>
      </w:tr>
      <w:tr w:rsidR="004E45CF" w:rsidRPr="00CF3E3D" w14:paraId="75257C97"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77370817" w14:textId="77777777" w:rsidR="004E45CF" w:rsidRPr="001E400B" w:rsidRDefault="004E45CF" w:rsidP="00CB5298">
            <w:pPr>
              <w:spacing w:before="85" w:line="288" w:lineRule="auto"/>
              <w:jc w:val="left"/>
              <w:rPr>
                <w:b/>
                <w:bCs/>
                <w:sz w:val="18"/>
                <w:szCs w:val="18"/>
              </w:rPr>
            </w:pPr>
            <w:r w:rsidRPr="001E400B">
              <w:rPr>
                <w:b/>
                <w:bCs/>
                <w:sz w:val="18"/>
                <w:szCs w:val="18"/>
                <w:lang w:eastAsia="en-AU"/>
              </w:rPr>
              <w:t>The University of Adelaide</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153E6174" w14:textId="77777777" w:rsidR="004E45CF" w:rsidRPr="00CF3E3D" w:rsidRDefault="004E45CF" w:rsidP="00CB5298">
            <w:pPr>
              <w:spacing w:before="85" w:line="288" w:lineRule="auto"/>
              <w:jc w:val="center"/>
              <w:rPr>
                <w:b/>
                <w:bCs/>
                <w:sz w:val="18"/>
                <w:szCs w:val="18"/>
              </w:rPr>
            </w:pPr>
            <w:r w:rsidRPr="00CF3E3D">
              <w:rPr>
                <w:sz w:val="18"/>
                <w:szCs w:val="18"/>
              </w:rPr>
              <w:t>89.1 (88.0, 90.0)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152D65CD" w14:textId="77777777" w:rsidR="004E45CF" w:rsidRPr="00CF3E3D" w:rsidRDefault="004E45CF" w:rsidP="00CB5298">
            <w:pPr>
              <w:spacing w:before="85" w:line="288" w:lineRule="auto"/>
              <w:jc w:val="center"/>
              <w:rPr>
                <w:sz w:val="18"/>
                <w:szCs w:val="18"/>
              </w:rPr>
            </w:pPr>
            <w:r w:rsidRPr="00CF3E3D">
              <w:rPr>
                <w:sz w:val="18"/>
                <w:szCs w:val="18"/>
              </w:rPr>
              <w:t>90.1 (89.0, 91.0)</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09A727F7" w14:textId="77777777" w:rsidR="004E45CF" w:rsidRPr="00CF3E3D" w:rsidRDefault="004E45CF" w:rsidP="00CB5298">
            <w:pPr>
              <w:spacing w:before="85" w:line="288" w:lineRule="auto"/>
              <w:jc w:val="center"/>
              <w:rPr>
                <w:b/>
                <w:bCs/>
                <w:sz w:val="18"/>
                <w:szCs w:val="18"/>
              </w:rPr>
            </w:pPr>
            <w:r w:rsidRPr="00CF3E3D">
              <w:rPr>
                <w:sz w:val="18"/>
                <w:szCs w:val="18"/>
              </w:rPr>
              <w:t>65,000 (63,500, 66,500)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6CB4F4F0" w14:textId="77777777" w:rsidR="004E45CF" w:rsidRPr="00CF3E3D" w:rsidRDefault="004E45CF" w:rsidP="00CB5298">
            <w:pPr>
              <w:spacing w:before="85" w:line="288" w:lineRule="auto"/>
              <w:jc w:val="center"/>
              <w:rPr>
                <w:sz w:val="18"/>
                <w:szCs w:val="18"/>
              </w:rPr>
            </w:pPr>
            <w:r w:rsidRPr="00CF3E3D">
              <w:rPr>
                <w:sz w:val="18"/>
                <w:szCs w:val="18"/>
              </w:rPr>
              <w:t>65,000 (63,900, 66,100)</w:t>
            </w:r>
          </w:p>
        </w:tc>
      </w:tr>
      <w:tr w:rsidR="004E45CF" w:rsidRPr="00CF3E3D" w14:paraId="5E94808C"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3A29B227" w14:textId="77777777" w:rsidR="004E45CF" w:rsidRPr="001E400B" w:rsidRDefault="004E45CF" w:rsidP="00CB5298">
            <w:pPr>
              <w:spacing w:before="85" w:line="288" w:lineRule="auto"/>
              <w:jc w:val="left"/>
              <w:rPr>
                <w:b/>
                <w:bCs/>
                <w:sz w:val="18"/>
                <w:szCs w:val="18"/>
              </w:rPr>
            </w:pPr>
            <w:r w:rsidRPr="001E400B">
              <w:rPr>
                <w:b/>
                <w:bCs/>
                <w:sz w:val="18"/>
                <w:szCs w:val="18"/>
                <w:lang w:eastAsia="en-AU"/>
              </w:rPr>
              <w:t>The University of Melbourne</w:t>
            </w:r>
          </w:p>
        </w:tc>
        <w:tc>
          <w:tcPr>
            <w:cnfStyle w:val="000001000000" w:firstRow="0" w:lastRow="0" w:firstColumn="0" w:lastColumn="0" w:oddVBand="0" w:evenVBand="1" w:oddHBand="0" w:evenHBand="0" w:firstRowFirstColumn="0" w:firstRowLastColumn="0" w:lastRowFirstColumn="0" w:lastRowLastColumn="0"/>
            <w:tcW w:w="715" w:type="pct"/>
          </w:tcPr>
          <w:p w14:paraId="6CA46166" w14:textId="77777777" w:rsidR="004E45CF" w:rsidRPr="00CF3E3D" w:rsidRDefault="004E45CF" w:rsidP="00CB5298">
            <w:pPr>
              <w:spacing w:before="85" w:line="288" w:lineRule="auto"/>
              <w:jc w:val="center"/>
              <w:rPr>
                <w:b/>
                <w:bCs/>
                <w:sz w:val="18"/>
                <w:szCs w:val="18"/>
              </w:rPr>
            </w:pPr>
            <w:r w:rsidRPr="00CF3E3D">
              <w:rPr>
                <w:sz w:val="18"/>
                <w:szCs w:val="18"/>
              </w:rPr>
              <w:t>85.5 (84.5, 86.4)</w:t>
            </w:r>
          </w:p>
        </w:tc>
        <w:tc>
          <w:tcPr>
            <w:cnfStyle w:val="000010000000" w:firstRow="0" w:lastRow="0" w:firstColumn="0" w:lastColumn="0" w:oddVBand="1" w:evenVBand="0" w:oddHBand="0" w:evenHBand="0" w:firstRowFirstColumn="0" w:firstRowLastColumn="0" w:lastRowFirstColumn="0" w:lastRowLastColumn="0"/>
            <w:tcW w:w="754" w:type="pct"/>
          </w:tcPr>
          <w:p w14:paraId="79398115" w14:textId="77777777" w:rsidR="004E45CF" w:rsidRPr="00CF3E3D" w:rsidRDefault="004E45CF" w:rsidP="00CB5298">
            <w:pPr>
              <w:spacing w:before="85" w:line="288" w:lineRule="auto"/>
              <w:jc w:val="center"/>
              <w:rPr>
                <w:sz w:val="18"/>
                <w:szCs w:val="18"/>
              </w:rPr>
            </w:pPr>
            <w:r w:rsidRPr="00CF3E3D">
              <w:rPr>
                <w:sz w:val="18"/>
                <w:szCs w:val="18"/>
              </w:rPr>
              <w:t>87.6 (86.7, 88.4)</w:t>
            </w:r>
          </w:p>
        </w:tc>
        <w:tc>
          <w:tcPr>
            <w:cnfStyle w:val="000001000000" w:firstRow="0" w:lastRow="0" w:firstColumn="0" w:lastColumn="0" w:oddVBand="0" w:evenVBand="1" w:oddHBand="0" w:evenHBand="0" w:firstRowFirstColumn="0" w:firstRowLastColumn="0" w:lastRowFirstColumn="0" w:lastRowLastColumn="0"/>
            <w:tcW w:w="754" w:type="pct"/>
          </w:tcPr>
          <w:p w14:paraId="2E1A0CB9" w14:textId="77777777" w:rsidR="004E45CF" w:rsidRPr="00CF3E3D" w:rsidRDefault="004E45CF" w:rsidP="00CB5298">
            <w:pPr>
              <w:spacing w:before="85" w:line="288" w:lineRule="auto"/>
              <w:jc w:val="center"/>
              <w:rPr>
                <w:b/>
                <w:bCs/>
                <w:sz w:val="18"/>
                <w:szCs w:val="18"/>
              </w:rPr>
            </w:pPr>
            <w:r w:rsidRPr="00CF3E3D">
              <w:rPr>
                <w:sz w:val="18"/>
                <w:szCs w:val="18"/>
              </w:rPr>
              <w:t>60,000 (59,600, 60,400)</w:t>
            </w:r>
          </w:p>
        </w:tc>
        <w:tc>
          <w:tcPr>
            <w:cnfStyle w:val="000010000000" w:firstRow="0" w:lastRow="0" w:firstColumn="0" w:lastColumn="0" w:oddVBand="1" w:evenVBand="0" w:oddHBand="0" w:evenHBand="0" w:firstRowFirstColumn="0" w:firstRowLastColumn="0" w:lastRowFirstColumn="0" w:lastRowLastColumn="0"/>
            <w:tcW w:w="754" w:type="pct"/>
          </w:tcPr>
          <w:p w14:paraId="3866E60E" w14:textId="77777777" w:rsidR="004E45CF" w:rsidRPr="00CF3E3D" w:rsidRDefault="004E45CF" w:rsidP="00CB5298">
            <w:pPr>
              <w:spacing w:before="85" w:line="288" w:lineRule="auto"/>
              <w:jc w:val="center"/>
              <w:rPr>
                <w:sz w:val="18"/>
                <w:szCs w:val="18"/>
              </w:rPr>
            </w:pPr>
            <w:r w:rsidRPr="00CF3E3D">
              <w:rPr>
                <w:sz w:val="18"/>
                <w:szCs w:val="18"/>
              </w:rPr>
              <w:t>63,900 (62,500, 65,300)</w:t>
            </w:r>
          </w:p>
        </w:tc>
      </w:tr>
      <w:tr w:rsidR="004E45CF" w:rsidRPr="00CF3E3D" w14:paraId="3F3E820E"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0214766C"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The University of Notre Dame Australia</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660FAE80" w14:textId="77777777" w:rsidR="004E45CF" w:rsidRPr="00CF3E3D" w:rsidRDefault="004E45CF" w:rsidP="00CB5298">
            <w:pPr>
              <w:spacing w:before="85" w:line="288" w:lineRule="auto"/>
              <w:jc w:val="center"/>
              <w:rPr>
                <w:b/>
                <w:bCs/>
                <w:sz w:val="18"/>
                <w:szCs w:val="18"/>
              </w:rPr>
            </w:pPr>
            <w:r w:rsidRPr="00CF3E3D">
              <w:rPr>
                <w:sz w:val="18"/>
                <w:szCs w:val="18"/>
              </w:rPr>
              <w:t>95.4 (93.9, 96.4)</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02A65739" w14:textId="77777777" w:rsidR="004E45CF" w:rsidRPr="00CF3E3D" w:rsidRDefault="004E45CF" w:rsidP="00CB5298">
            <w:pPr>
              <w:spacing w:before="85" w:line="288" w:lineRule="auto"/>
              <w:jc w:val="center"/>
              <w:rPr>
                <w:sz w:val="18"/>
                <w:szCs w:val="18"/>
              </w:rPr>
            </w:pPr>
            <w:r w:rsidRPr="00CF3E3D">
              <w:rPr>
                <w:sz w:val="18"/>
                <w:szCs w:val="18"/>
              </w:rPr>
              <w:t>94.0 (92.3, 95.3)</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426CCD58" w14:textId="77777777" w:rsidR="004E45CF" w:rsidRPr="00CF3E3D" w:rsidRDefault="004E45CF" w:rsidP="00CB5298">
            <w:pPr>
              <w:spacing w:before="85" w:line="288" w:lineRule="auto"/>
              <w:jc w:val="center"/>
              <w:rPr>
                <w:b/>
                <w:bCs/>
                <w:sz w:val="18"/>
                <w:szCs w:val="18"/>
              </w:rPr>
            </w:pPr>
            <w:r w:rsidRPr="00CF3E3D">
              <w:rPr>
                <w:sz w:val="18"/>
                <w:szCs w:val="18"/>
              </w:rPr>
              <w:t>67,600 (66,800, 68,400)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630E862E" w14:textId="77777777" w:rsidR="004E45CF" w:rsidRPr="00CF3E3D" w:rsidRDefault="004E45CF" w:rsidP="00CB5298">
            <w:pPr>
              <w:spacing w:before="85" w:line="288" w:lineRule="auto"/>
              <w:jc w:val="center"/>
              <w:rPr>
                <w:sz w:val="18"/>
                <w:szCs w:val="18"/>
              </w:rPr>
            </w:pPr>
            <w:r w:rsidRPr="00CF3E3D">
              <w:rPr>
                <w:sz w:val="18"/>
                <w:szCs w:val="18"/>
              </w:rPr>
              <w:t>68,900 (67,700, 70,100)</w:t>
            </w:r>
          </w:p>
        </w:tc>
      </w:tr>
      <w:tr w:rsidR="004E45CF" w:rsidRPr="00CF3E3D" w14:paraId="3CE9083C"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5C1029C7"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The University of Queensland</w:t>
            </w:r>
          </w:p>
        </w:tc>
        <w:tc>
          <w:tcPr>
            <w:cnfStyle w:val="000001000000" w:firstRow="0" w:lastRow="0" w:firstColumn="0" w:lastColumn="0" w:oddVBand="0" w:evenVBand="1" w:oddHBand="0" w:evenHBand="0" w:firstRowFirstColumn="0" w:firstRowLastColumn="0" w:lastRowFirstColumn="0" w:lastRowLastColumn="0"/>
            <w:tcW w:w="715" w:type="pct"/>
          </w:tcPr>
          <w:p w14:paraId="731F9733" w14:textId="77777777" w:rsidR="004E45CF" w:rsidRPr="00CF3E3D" w:rsidRDefault="004E45CF" w:rsidP="00CB5298">
            <w:pPr>
              <w:spacing w:before="85" w:line="288" w:lineRule="auto"/>
              <w:jc w:val="center"/>
              <w:rPr>
                <w:b/>
                <w:bCs/>
                <w:sz w:val="18"/>
                <w:szCs w:val="18"/>
              </w:rPr>
            </w:pPr>
            <w:r w:rsidRPr="00CF3E3D">
              <w:rPr>
                <w:sz w:val="18"/>
                <w:szCs w:val="18"/>
              </w:rPr>
              <w:t>91.7 (90.8, 92.4)</w:t>
            </w:r>
          </w:p>
        </w:tc>
        <w:tc>
          <w:tcPr>
            <w:cnfStyle w:val="000010000000" w:firstRow="0" w:lastRow="0" w:firstColumn="0" w:lastColumn="0" w:oddVBand="1" w:evenVBand="0" w:oddHBand="0" w:evenHBand="0" w:firstRowFirstColumn="0" w:firstRowLastColumn="0" w:lastRowFirstColumn="0" w:lastRowLastColumn="0"/>
            <w:tcW w:w="754" w:type="pct"/>
          </w:tcPr>
          <w:p w14:paraId="1DF86C8D" w14:textId="77777777" w:rsidR="004E45CF" w:rsidRPr="00CF3E3D" w:rsidRDefault="004E45CF" w:rsidP="00CB5298">
            <w:pPr>
              <w:spacing w:before="85" w:line="288" w:lineRule="auto"/>
              <w:jc w:val="center"/>
              <w:rPr>
                <w:sz w:val="18"/>
                <w:szCs w:val="18"/>
              </w:rPr>
            </w:pPr>
            <w:r w:rsidRPr="00CF3E3D">
              <w:rPr>
                <w:sz w:val="18"/>
                <w:szCs w:val="18"/>
              </w:rPr>
              <w:t>92.6 (91.7, 93.3)</w:t>
            </w:r>
          </w:p>
        </w:tc>
        <w:tc>
          <w:tcPr>
            <w:cnfStyle w:val="000001000000" w:firstRow="0" w:lastRow="0" w:firstColumn="0" w:lastColumn="0" w:oddVBand="0" w:evenVBand="1" w:oddHBand="0" w:evenHBand="0" w:firstRowFirstColumn="0" w:firstRowLastColumn="0" w:lastRowFirstColumn="0" w:lastRowLastColumn="0"/>
            <w:tcW w:w="754" w:type="pct"/>
          </w:tcPr>
          <w:p w14:paraId="5E691BC9" w14:textId="77777777" w:rsidR="004E45CF" w:rsidRPr="00CF3E3D" w:rsidRDefault="004E45CF" w:rsidP="00CB5298">
            <w:pPr>
              <w:spacing w:before="85" w:line="288" w:lineRule="auto"/>
              <w:jc w:val="center"/>
              <w:rPr>
                <w:b/>
                <w:bCs/>
                <w:sz w:val="18"/>
                <w:szCs w:val="18"/>
              </w:rPr>
            </w:pPr>
            <w:r w:rsidRPr="00CF3E3D">
              <w:rPr>
                <w:sz w:val="18"/>
                <w:szCs w:val="18"/>
              </w:rPr>
              <w:t>63,400 (62,500, 64,400)</w:t>
            </w:r>
          </w:p>
        </w:tc>
        <w:tc>
          <w:tcPr>
            <w:cnfStyle w:val="000010000000" w:firstRow="0" w:lastRow="0" w:firstColumn="0" w:lastColumn="0" w:oddVBand="1" w:evenVBand="0" w:oddHBand="0" w:evenHBand="0" w:firstRowFirstColumn="0" w:firstRowLastColumn="0" w:lastRowFirstColumn="0" w:lastRowLastColumn="0"/>
            <w:tcW w:w="754" w:type="pct"/>
          </w:tcPr>
          <w:p w14:paraId="015BE190" w14:textId="77777777" w:rsidR="004E45CF" w:rsidRPr="00CF3E3D" w:rsidRDefault="004E45CF" w:rsidP="00CB5298">
            <w:pPr>
              <w:spacing w:before="85" w:line="288" w:lineRule="auto"/>
              <w:jc w:val="center"/>
              <w:rPr>
                <w:sz w:val="18"/>
                <w:szCs w:val="18"/>
              </w:rPr>
            </w:pPr>
            <w:r w:rsidRPr="00CF3E3D">
              <w:rPr>
                <w:sz w:val="18"/>
                <w:szCs w:val="18"/>
              </w:rPr>
              <w:t>67,000 (65,900, 68,100)</w:t>
            </w:r>
          </w:p>
        </w:tc>
      </w:tr>
      <w:tr w:rsidR="004E45CF" w:rsidRPr="00CF3E3D" w14:paraId="7B45DE88"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52EDC51B"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The University of South Australia</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06AF83EA" w14:textId="77777777" w:rsidR="004E45CF" w:rsidRPr="00CF3E3D" w:rsidRDefault="004E45CF" w:rsidP="00CB5298">
            <w:pPr>
              <w:spacing w:before="85" w:line="288" w:lineRule="auto"/>
              <w:jc w:val="center"/>
              <w:rPr>
                <w:b/>
                <w:bCs/>
                <w:sz w:val="18"/>
                <w:szCs w:val="18"/>
              </w:rPr>
            </w:pPr>
            <w:r w:rsidRPr="00CF3E3D">
              <w:rPr>
                <w:sz w:val="18"/>
                <w:szCs w:val="18"/>
              </w:rPr>
              <w:t>95.1 (94.3, 95.7)</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16645917" w14:textId="77777777" w:rsidR="004E45CF" w:rsidRPr="00CF3E3D" w:rsidRDefault="004E45CF" w:rsidP="00CB5298">
            <w:pPr>
              <w:spacing w:before="85" w:line="288" w:lineRule="auto"/>
              <w:jc w:val="center"/>
              <w:rPr>
                <w:sz w:val="18"/>
                <w:szCs w:val="18"/>
              </w:rPr>
            </w:pPr>
            <w:r w:rsidRPr="00CF3E3D">
              <w:rPr>
                <w:sz w:val="18"/>
                <w:szCs w:val="18"/>
              </w:rPr>
              <w:t>94.3 (93.5, 95.0)</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22BA79DC" w14:textId="77777777" w:rsidR="004E45CF" w:rsidRPr="00CF3E3D" w:rsidRDefault="004E45CF" w:rsidP="00CB5298">
            <w:pPr>
              <w:spacing w:before="85" w:line="288" w:lineRule="auto"/>
              <w:jc w:val="center"/>
              <w:rPr>
                <w:b/>
                <w:bCs/>
                <w:sz w:val="18"/>
                <w:szCs w:val="18"/>
              </w:rPr>
            </w:pPr>
            <w:r w:rsidRPr="00CF3E3D">
              <w:rPr>
                <w:sz w:val="18"/>
                <w:szCs w:val="18"/>
              </w:rPr>
              <w:t>64,700 (63,300, 66,100)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66E1B0BB" w14:textId="77777777" w:rsidR="004E45CF" w:rsidRPr="00CF3E3D" w:rsidRDefault="004E45CF" w:rsidP="00CB5298">
            <w:pPr>
              <w:spacing w:before="85" w:line="288" w:lineRule="auto"/>
              <w:jc w:val="center"/>
              <w:rPr>
                <w:sz w:val="18"/>
                <w:szCs w:val="18"/>
              </w:rPr>
            </w:pPr>
            <w:r w:rsidRPr="00CF3E3D">
              <w:rPr>
                <w:sz w:val="18"/>
                <w:szCs w:val="18"/>
              </w:rPr>
              <w:t>65,500 (64,300, 66,600)</w:t>
            </w:r>
          </w:p>
        </w:tc>
      </w:tr>
      <w:tr w:rsidR="004E45CF" w:rsidRPr="00CF3E3D" w14:paraId="65EBE860"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4276F720"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The University of Sydney</w:t>
            </w:r>
          </w:p>
        </w:tc>
        <w:tc>
          <w:tcPr>
            <w:cnfStyle w:val="000001000000" w:firstRow="0" w:lastRow="0" w:firstColumn="0" w:lastColumn="0" w:oddVBand="0" w:evenVBand="1" w:oddHBand="0" w:evenHBand="0" w:firstRowFirstColumn="0" w:firstRowLastColumn="0" w:lastRowFirstColumn="0" w:lastRowLastColumn="0"/>
            <w:tcW w:w="715" w:type="pct"/>
          </w:tcPr>
          <w:p w14:paraId="68F359DE" w14:textId="77777777" w:rsidR="004E45CF" w:rsidRPr="00CF3E3D" w:rsidRDefault="004E45CF" w:rsidP="00CB5298">
            <w:pPr>
              <w:spacing w:before="85" w:line="288" w:lineRule="auto"/>
              <w:jc w:val="center"/>
              <w:rPr>
                <w:b/>
                <w:bCs/>
                <w:sz w:val="18"/>
                <w:szCs w:val="18"/>
              </w:rPr>
            </w:pPr>
            <w:r w:rsidRPr="00CF3E3D">
              <w:rPr>
                <w:sz w:val="18"/>
                <w:szCs w:val="18"/>
              </w:rPr>
              <w:t>92.4 (91.8, 92.9)</w:t>
            </w:r>
          </w:p>
        </w:tc>
        <w:tc>
          <w:tcPr>
            <w:cnfStyle w:val="000010000000" w:firstRow="0" w:lastRow="0" w:firstColumn="0" w:lastColumn="0" w:oddVBand="1" w:evenVBand="0" w:oddHBand="0" w:evenHBand="0" w:firstRowFirstColumn="0" w:firstRowLastColumn="0" w:lastRowFirstColumn="0" w:lastRowLastColumn="0"/>
            <w:tcW w:w="754" w:type="pct"/>
          </w:tcPr>
          <w:p w14:paraId="5ACB9248" w14:textId="77777777" w:rsidR="004E45CF" w:rsidRPr="00CF3E3D" w:rsidRDefault="004E45CF" w:rsidP="00CB5298">
            <w:pPr>
              <w:spacing w:before="85" w:line="288" w:lineRule="auto"/>
              <w:jc w:val="center"/>
              <w:rPr>
                <w:sz w:val="18"/>
                <w:szCs w:val="18"/>
              </w:rPr>
            </w:pPr>
            <w:r w:rsidRPr="00CF3E3D">
              <w:rPr>
                <w:sz w:val="18"/>
                <w:szCs w:val="18"/>
              </w:rPr>
              <w:t>92.7 (91.8, 93.4)</w:t>
            </w:r>
          </w:p>
        </w:tc>
        <w:tc>
          <w:tcPr>
            <w:cnfStyle w:val="000001000000" w:firstRow="0" w:lastRow="0" w:firstColumn="0" w:lastColumn="0" w:oddVBand="0" w:evenVBand="1" w:oddHBand="0" w:evenHBand="0" w:firstRowFirstColumn="0" w:firstRowLastColumn="0" w:lastRowFirstColumn="0" w:lastRowLastColumn="0"/>
            <w:tcW w:w="754" w:type="pct"/>
          </w:tcPr>
          <w:p w14:paraId="4EB7BEEE" w14:textId="77777777" w:rsidR="004E45CF" w:rsidRPr="00CF3E3D" w:rsidRDefault="004E45CF" w:rsidP="00CB5298">
            <w:pPr>
              <w:spacing w:before="85" w:line="288" w:lineRule="auto"/>
              <w:jc w:val="center"/>
              <w:rPr>
                <w:b/>
                <w:bCs/>
                <w:sz w:val="18"/>
                <w:szCs w:val="18"/>
              </w:rPr>
            </w:pPr>
            <w:r w:rsidRPr="00CF3E3D">
              <w:rPr>
                <w:sz w:val="18"/>
                <w:szCs w:val="18"/>
              </w:rPr>
              <w:t>65,000 (64,500, 65,500)</w:t>
            </w:r>
          </w:p>
        </w:tc>
        <w:tc>
          <w:tcPr>
            <w:cnfStyle w:val="000010000000" w:firstRow="0" w:lastRow="0" w:firstColumn="0" w:lastColumn="0" w:oddVBand="1" w:evenVBand="0" w:oddHBand="0" w:evenHBand="0" w:firstRowFirstColumn="0" w:firstRowLastColumn="0" w:lastRowFirstColumn="0" w:lastRowLastColumn="0"/>
            <w:tcW w:w="754" w:type="pct"/>
          </w:tcPr>
          <w:p w14:paraId="7A248414" w14:textId="77777777" w:rsidR="004E45CF" w:rsidRPr="00CF3E3D" w:rsidRDefault="004E45CF" w:rsidP="00CB5298">
            <w:pPr>
              <w:spacing w:before="85" w:line="288" w:lineRule="auto"/>
              <w:jc w:val="center"/>
              <w:rPr>
                <w:sz w:val="18"/>
                <w:szCs w:val="18"/>
              </w:rPr>
            </w:pPr>
            <w:r w:rsidRPr="00CF3E3D">
              <w:rPr>
                <w:sz w:val="18"/>
                <w:szCs w:val="18"/>
              </w:rPr>
              <w:t>69,100 (68,300, 69,800)</w:t>
            </w:r>
          </w:p>
        </w:tc>
      </w:tr>
      <w:tr w:rsidR="004E45CF" w:rsidRPr="00CF3E3D" w14:paraId="136E7B04"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263EA77C"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The University of Western Australia</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4CABF625" w14:textId="77777777" w:rsidR="004E45CF" w:rsidRPr="00CF3E3D" w:rsidRDefault="004E45CF" w:rsidP="00CB5298">
            <w:pPr>
              <w:spacing w:before="85" w:line="288" w:lineRule="auto"/>
              <w:jc w:val="center"/>
              <w:rPr>
                <w:b/>
                <w:bCs/>
                <w:sz w:val="18"/>
                <w:szCs w:val="18"/>
              </w:rPr>
            </w:pPr>
            <w:r w:rsidRPr="00CF3E3D">
              <w:rPr>
                <w:sz w:val="18"/>
                <w:szCs w:val="18"/>
              </w:rPr>
              <w:t>85.1 (83.5, 86.5)</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7C0EC8D2" w14:textId="77777777" w:rsidR="004E45CF" w:rsidRPr="00CF3E3D" w:rsidRDefault="004E45CF" w:rsidP="00CB5298">
            <w:pPr>
              <w:spacing w:before="85" w:line="288" w:lineRule="auto"/>
              <w:jc w:val="center"/>
              <w:rPr>
                <w:sz w:val="18"/>
                <w:szCs w:val="18"/>
              </w:rPr>
            </w:pPr>
            <w:r w:rsidRPr="00CF3E3D">
              <w:rPr>
                <w:sz w:val="18"/>
                <w:szCs w:val="18"/>
              </w:rPr>
              <w:t>89.3 (87.8, 90.5)</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5E3B2942" w14:textId="77777777" w:rsidR="004E45CF" w:rsidRPr="00CF3E3D" w:rsidRDefault="004E45CF" w:rsidP="00CB5298">
            <w:pPr>
              <w:spacing w:before="85" w:line="288" w:lineRule="auto"/>
              <w:jc w:val="center"/>
              <w:rPr>
                <w:b/>
                <w:bCs/>
                <w:sz w:val="18"/>
                <w:szCs w:val="18"/>
              </w:rPr>
            </w:pPr>
            <w:r w:rsidRPr="00CF3E3D">
              <w:rPr>
                <w:sz w:val="18"/>
                <w:szCs w:val="18"/>
              </w:rPr>
              <w:t>60,000 (58,600, 61,400)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1EAAA451" w14:textId="77777777" w:rsidR="004E45CF" w:rsidRPr="00CF3E3D" w:rsidRDefault="004E45CF" w:rsidP="00CB5298">
            <w:pPr>
              <w:spacing w:before="85" w:line="288" w:lineRule="auto"/>
              <w:jc w:val="center"/>
              <w:rPr>
                <w:sz w:val="18"/>
                <w:szCs w:val="18"/>
              </w:rPr>
            </w:pPr>
            <w:r w:rsidRPr="00CF3E3D">
              <w:rPr>
                <w:sz w:val="18"/>
                <w:szCs w:val="18"/>
              </w:rPr>
              <w:t>62,800 (60,500, 65,100)</w:t>
            </w:r>
          </w:p>
        </w:tc>
      </w:tr>
      <w:tr w:rsidR="004E45CF" w:rsidRPr="00CF3E3D" w14:paraId="332DF40E"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1071F5CA"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lastRenderedPageBreak/>
              <w:t>Torrens University</w:t>
            </w:r>
          </w:p>
        </w:tc>
        <w:tc>
          <w:tcPr>
            <w:cnfStyle w:val="000001000000" w:firstRow="0" w:lastRow="0" w:firstColumn="0" w:lastColumn="0" w:oddVBand="0" w:evenVBand="1" w:oddHBand="0" w:evenHBand="0" w:firstRowFirstColumn="0" w:firstRowLastColumn="0" w:lastRowFirstColumn="0" w:lastRowLastColumn="0"/>
            <w:tcW w:w="715" w:type="pct"/>
          </w:tcPr>
          <w:p w14:paraId="7EEEF5BC" w14:textId="77777777" w:rsidR="004E45CF" w:rsidRPr="00CF3E3D" w:rsidRDefault="004E45CF" w:rsidP="00CB5298">
            <w:pPr>
              <w:spacing w:before="85" w:line="288" w:lineRule="auto"/>
              <w:jc w:val="center"/>
              <w:rPr>
                <w:b/>
                <w:bCs/>
                <w:sz w:val="18"/>
                <w:szCs w:val="18"/>
              </w:rPr>
            </w:pPr>
            <w:r w:rsidRPr="00CF3E3D">
              <w:rPr>
                <w:sz w:val="18"/>
                <w:szCs w:val="18"/>
              </w:rPr>
              <w:t>92.0 (90.6, 93.2)</w:t>
            </w:r>
          </w:p>
        </w:tc>
        <w:tc>
          <w:tcPr>
            <w:cnfStyle w:val="000010000000" w:firstRow="0" w:lastRow="0" w:firstColumn="0" w:lastColumn="0" w:oddVBand="1" w:evenVBand="0" w:oddHBand="0" w:evenHBand="0" w:firstRowFirstColumn="0" w:firstRowLastColumn="0" w:lastRowFirstColumn="0" w:lastRowLastColumn="0"/>
            <w:tcW w:w="754" w:type="pct"/>
          </w:tcPr>
          <w:p w14:paraId="305625B5" w14:textId="77777777" w:rsidR="004E45CF" w:rsidRPr="00CF3E3D" w:rsidRDefault="004E45CF" w:rsidP="00CB5298">
            <w:pPr>
              <w:spacing w:before="85" w:line="288" w:lineRule="auto"/>
              <w:jc w:val="center"/>
              <w:rPr>
                <w:sz w:val="18"/>
                <w:szCs w:val="18"/>
              </w:rPr>
            </w:pPr>
            <w:r w:rsidRPr="00CF3E3D">
              <w:rPr>
                <w:sz w:val="18"/>
                <w:szCs w:val="18"/>
              </w:rPr>
              <w:t>89.3 (87.7, 90.6)</w:t>
            </w:r>
          </w:p>
        </w:tc>
        <w:tc>
          <w:tcPr>
            <w:cnfStyle w:val="000001000000" w:firstRow="0" w:lastRow="0" w:firstColumn="0" w:lastColumn="0" w:oddVBand="0" w:evenVBand="1" w:oddHBand="0" w:evenHBand="0" w:firstRowFirstColumn="0" w:firstRowLastColumn="0" w:lastRowFirstColumn="0" w:lastRowLastColumn="0"/>
            <w:tcW w:w="754" w:type="pct"/>
          </w:tcPr>
          <w:p w14:paraId="73F166B2" w14:textId="77777777" w:rsidR="004E45CF" w:rsidRPr="00CF3E3D" w:rsidRDefault="004E45CF" w:rsidP="00CB5298">
            <w:pPr>
              <w:spacing w:before="85" w:line="288" w:lineRule="auto"/>
              <w:jc w:val="center"/>
              <w:rPr>
                <w:b/>
                <w:bCs/>
                <w:sz w:val="18"/>
                <w:szCs w:val="18"/>
              </w:rPr>
            </w:pPr>
            <w:r w:rsidRPr="00CF3E3D">
              <w:rPr>
                <w:sz w:val="18"/>
                <w:szCs w:val="18"/>
              </w:rPr>
              <w:t>60,000 (58,300, 61,700)</w:t>
            </w:r>
          </w:p>
        </w:tc>
        <w:tc>
          <w:tcPr>
            <w:cnfStyle w:val="000010000000" w:firstRow="0" w:lastRow="0" w:firstColumn="0" w:lastColumn="0" w:oddVBand="1" w:evenVBand="0" w:oddHBand="0" w:evenHBand="0" w:firstRowFirstColumn="0" w:firstRowLastColumn="0" w:lastRowFirstColumn="0" w:lastRowLastColumn="0"/>
            <w:tcW w:w="754" w:type="pct"/>
          </w:tcPr>
          <w:p w14:paraId="0EFDA19E" w14:textId="77777777" w:rsidR="004E45CF" w:rsidRPr="00CF3E3D" w:rsidRDefault="004E45CF" w:rsidP="00CB5298">
            <w:pPr>
              <w:spacing w:before="85" w:line="288" w:lineRule="auto"/>
              <w:jc w:val="center"/>
              <w:rPr>
                <w:sz w:val="18"/>
                <w:szCs w:val="18"/>
              </w:rPr>
            </w:pPr>
            <w:r w:rsidRPr="00CF3E3D">
              <w:rPr>
                <w:sz w:val="18"/>
                <w:szCs w:val="18"/>
              </w:rPr>
              <w:t>58,200 (55,600, 60,800)</w:t>
            </w:r>
          </w:p>
        </w:tc>
      </w:tr>
      <w:tr w:rsidR="004E45CF" w:rsidRPr="00CF3E3D" w14:paraId="04F1E0D8"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04F885C5"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Canberra</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4D309162" w14:textId="77777777" w:rsidR="004E45CF" w:rsidRPr="00CF3E3D" w:rsidRDefault="004E45CF" w:rsidP="00CB5298">
            <w:pPr>
              <w:spacing w:before="85" w:line="288" w:lineRule="auto"/>
              <w:jc w:val="center"/>
              <w:rPr>
                <w:b/>
                <w:bCs/>
                <w:sz w:val="18"/>
                <w:szCs w:val="18"/>
              </w:rPr>
            </w:pPr>
            <w:r w:rsidRPr="00CF3E3D">
              <w:rPr>
                <w:sz w:val="18"/>
                <w:szCs w:val="18"/>
              </w:rPr>
              <w:t>95.3 (94.2, 96.1)</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5B464CFE" w14:textId="77777777" w:rsidR="004E45CF" w:rsidRPr="00CF3E3D" w:rsidRDefault="004E45CF" w:rsidP="00CB5298">
            <w:pPr>
              <w:spacing w:before="85" w:line="288" w:lineRule="auto"/>
              <w:jc w:val="center"/>
              <w:rPr>
                <w:sz w:val="18"/>
                <w:szCs w:val="18"/>
              </w:rPr>
            </w:pPr>
            <w:r w:rsidRPr="00CF3E3D">
              <w:rPr>
                <w:sz w:val="18"/>
                <w:szCs w:val="18"/>
              </w:rPr>
              <w:t>94.0 (92.7, 94.9)</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330497CC" w14:textId="77777777" w:rsidR="004E45CF" w:rsidRPr="00CF3E3D" w:rsidRDefault="004E45CF" w:rsidP="00CB5298">
            <w:pPr>
              <w:spacing w:before="85" w:line="288" w:lineRule="auto"/>
              <w:jc w:val="center"/>
              <w:rPr>
                <w:b/>
                <w:bCs/>
                <w:sz w:val="18"/>
                <w:szCs w:val="18"/>
              </w:rPr>
            </w:pPr>
            <w:r w:rsidRPr="00CF3E3D">
              <w:rPr>
                <w:sz w:val="18"/>
                <w:szCs w:val="18"/>
              </w:rPr>
              <w:t>68,600 (66,500, 70,700)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524039AF" w14:textId="77777777" w:rsidR="004E45CF" w:rsidRPr="00CF3E3D" w:rsidRDefault="004E45CF" w:rsidP="00CB5298">
            <w:pPr>
              <w:spacing w:before="85" w:line="288" w:lineRule="auto"/>
              <w:jc w:val="center"/>
              <w:rPr>
                <w:sz w:val="18"/>
                <w:szCs w:val="18"/>
              </w:rPr>
            </w:pPr>
            <w:r w:rsidRPr="00CF3E3D">
              <w:rPr>
                <w:sz w:val="18"/>
                <w:szCs w:val="18"/>
              </w:rPr>
              <w:t>70,000 (68,600, 71,400)</w:t>
            </w:r>
          </w:p>
        </w:tc>
      </w:tr>
      <w:tr w:rsidR="004E45CF" w:rsidRPr="00CF3E3D" w14:paraId="6DC46CF3"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4E4B7205"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Divinity</w:t>
            </w:r>
          </w:p>
        </w:tc>
        <w:tc>
          <w:tcPr>
            <w:cnfStyle w:val="000001000000" w:firstRow="0" w:lastRow="0" w:firstColumn="0" w:lastColumn="0" w:oddVBand="0" w:evenVBand="1" w:oddHBand="0" w:evenHBand="0" w:firstRowFirstColumn="0" w:firstRowLastColumn="0" w:lastRowFirstColumn="0" w:lastRowLastColumn="0"/>
            <w:tcW w:w="715" w:type="pct"/>
          </w:tcPr>
          <w:p w14:paraId="3F620275" w14:textId="77777777" w:rsidR="004E45CF" w:rsidRPr="00CF3E3D" w:rsidRDefault="004E45CF" w:rsidP="00CB5298">
            <w:pPr>
              <w:spacing w:before="85" w:line="288" w:lineRule="auto"/>
              <w:jc w:val="center"/>
              <w:rPr>
                <w:b/>
                <w:bCs/>
                <w:sz w:val="18"/>
                <w:szCs w:val="18"/>
              </w:rPr>
            </w:pPr>
            <w:r w:rsidRPr="00CF3E3D">
              <w:rPr>
                <w:sz w:val="18"/>
                <w:szCs w:val="18"/>
              </w:rPr>
              <w:t>82.5 (74.7, 87.3)</w:t>
            </w:r>
          </w:p>
        </w:tc>
        <w:tc>
          <w:tcPr>
            <w:cnfStyle w:val="000010000000" w:firstRow="0" w:lastRow="0" w:firstColumn="0" w:lastColumn="0" w:oddVBand="1" w:evenVBand="0" w:oddHBand="0" w:evenHBand="0" w:firstRowFirstColumn="0" w:firstRowLastColumn="0" w:lastRowFirstColumn="0" w:lastRowLastColumn="0"/>
            <w:tcW w:w="754" w:type="pct"/>
          </w:tcPr>
          <w:p w14:paraId="2E0517C6" w14:textId="77777777" w:rsidR="004E45CF" w:rsidRPr="00CF3E3D" w:rsidRDefault="004E45CF" w:rsidP="00CB5298">
            <w:pPr>
              <w:spacing w:before="85" w:line="288" w:lineRule="auto"/>
              <w:jc w:val="center"/>
              <w:rPr>
                <w:sz w:val="18"/>
                <w:szCs w:val="18"/>
              </w:rPr>
            </w:pPr>
            <w:r w:rsidRPr="00CF3E3D">
              <w:rPr>
                <w:sz w:val="18"/>
                <w:szCs w:val="18"/>
              </w:rPr>
              <w:t>77.1 (70.4, 81.9)</w:t>
            </w:r>
          </w:p>
        </w:tc>
        <w:tc>
          <w:tcPr>
            <w:cnfStyle w:val="000001000000" w:firstRow="0" w:lastRow="0" w:firstColumn="0" w:lastColumn="0" w:oddVBand="0" w:evenVBand="1" w:oddHBand="0" w:evenHBand="0" w:firstRowFirstColumn="0" w:firstRowLastColumn="0" w:lastRowFirstColumn="0" w:lastRowLastColumn="0"/>
            <w:tcW w:w="754" w:type="pct"/>
          </w:tcPr>
          <w:p w14:paraId="146DD588" w14:textId="77777777" w:rsidR="004E45CF" w:rsidRPr="00CF3E3D" w:rsidRDefault="004E45CF" w:rsidP="00CB5298">
            <w:pPr>
              <w:spacing w:before="85" w:line="288" w:lineRule="auto"/>
              <w:jc w:val="center"/>
              <w:rPr>
                <w:b/>
                <w:bCs/>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4" w:type="pct"/>
          </w:tcPr>
          <w:p w14:paraId="54A58AA3" w14:textId="77777777" w:rsidR="004E45CF" w:rsidRPr="00CF3E3D" w:rsidRDefault="004E45CF" w:rsidP="00CB5298">
            <w:pPr>
              <w:spacing w:before="85" w:line="288" w:lineRule="auto"/>
              <w:jc w:val="center"/>
              <w:rPr>
                <w:sz w:val="18"/>
                <w:szCs w:val="18"/>
              </w:rPr>
            </w:pPr>
            <w:r w:rsidRPr="00CF3E3D">
              <w:rPr>
                <w:sz w:val="18"/>
                <w:szCs w:val="18"/>
              </w:rPr>
              <w:t>n/a</w:t>
            </w:r>
          </w:p>
        </w:tc>
      </w:tr>
      <w:tr w:rsidR="004E45CF" w:rsidRPr="00CF3E3D" w14:paraId="431B6162"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23948909"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New England</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1459E155" w14:textId="77777777" w:rsidR="004E45CF" w:rsidRPr="00CF3E3D" w:rsidRDefault="004E45CF" w:rsidP="00CB5298">
            <w:pPr>
              <w:spacing w:before="85" w:line="288" w:lineRule="auto"/>
              <w:jc w:val="center"/>
              <w:rPr>
                <w:b/>
                <w:bCs/>
                <w:sz w:val="18"/>
                <w:szCs w:val="18"/>
              </w:rPr>
            </w:pPr>
            <w:r w:rsidRPr="00CF3E3D">
              <w:rPr>
                <w:sz w:val="18"/>
                <w:szCs w:val="18"/>
              </w:rPr>
              <w:t>91.4 (90.2, 92.3)</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57264328" w14:textId="77777777" w:rsidR="004E45CF" w:rsidRPr="00CF3E3D" w:rsidRDefault="004E45CF" w:rsidP="00CB5298">
            <w:pPr>
              <w:spacing w:before="85" w:line="288" w:lineRule="auto"/>
              <w:jc w:val="center"/>
              <w:rPr>
                <w:sz w:val="18"/>
                <w:szCs w:val="18"/>
              </w:rPr>
            </w:pPr>
            <w:r w:rsidRPr="00CF3E3D">
              <w:rPr>
                <w:sz w:val="18"/>
                <w:szCs w:val="18"/>
              </w:rPr>
              <w:t>91.9 (90.9, 92.8)</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71EB4818" w14:textId="77777777" w:rsidR="004E45CF" w:rsidRPr="00CF3E3D" w:rsidRDefault="004E45CF" w:rsidP="00CB5298">
            <w:pPr>
              <w:spacing w:before="85" w:line="288" w:lineRule="auto"/>
              <w:jc w:val="center"/>
              <w:rPr>
                <w:b/>
                <w:bCs/>
                <w:sz w:val="18"/>
                <w:szCs w:val="18"/>
              </w:rPr>
            </w:pPr>
            <w:r w:rsidRPr="00CF3E3D">
              <w:rPr>
                <w:sz w:val="18"/>
                <w:szCs w:val="18"/>
              </w:rPr>
              <w:t>72,000 (70,600, 73,400)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6A39B681" w14:textId="77777777" w:rsidR="004E45CF" w:rsidRPr="00CF3E3D" w:rsidRDefault="004E45CF" w:rsidP="00CB5298">
            <w:pPr>
              <w:spacing w:before="85" w:line="288" w:lineRule="auto"/>
              <w:jc w:val="center"/>
              <w:rPr>
                <w:sz w:val="18"/>
                <w:szCs w:val="18"/>
              </w:rPr>
            </w:pPr>
            <w:r w:rsidRPr="00CF3E3D">
              <w:rPr>
                <w:sz w:val="18"/>
                <w:szCs w:val="18"/>
              </w:rPr>
              <w:t>74,000 (72,700, 75,300)</w:t>
            </w:r>
          </w:p>
        </w:tc>
      </w:tr>
      <w:tr w:rsidR="004E45CF" w:rsidRPr="00CF3E3D" w14:paraId="63B2F074"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0C73C35F"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New South Wales</w:t>
            </w:r>
          </w:p>
        </w:tc>
        <w:tc>
          <w:tcPr>
            <w:cnfStyle w:val="000001000000" w:firstRow="0" w:lastRow="0" w:firstColumn="0" w:lastColumn="0" w:oddVBand="0" w:evenVBand="1" w:oddHBand="0" w:evenHBand="0" w:firstRowFirstColumn="0" w:firstRowLastColumn="0" w:lastRowFirstColumn="0" w:lastRowLastColumn="0"/>
            <w:tcW w:w="715" w:type="pct"/>
          </w:tcPr>
          <w:p w14:paraId="501AD406" w14:textId="77777777" w:rsidR="004E45CF" w:rsidRPr="00CF3E3D" w:rsidRDefault="004E45CF" w:rsidP="00CB5298">
            <w:pPr>
              <w:spacing w:before="85" w:line="288" w:lineRule="auto"/>
              <w:jc w:val="center"/>
              <w:rPr>
                <w:b/>
                <w:bCs/>
                <w:sz w:val="18"/>
                <w:szCs w:val="18"/>
              </w:rPr>
            </w:pPr>
            <w:r w:rsidRPr="00CF3E3D">
              <w:rPr>
                <w:sz w:val="18"/>
                <w:szCs w:val="18"/>
              </w:rPr>
              <w:t>94.2 (93.3, 95.0)</w:t>
            </w:r>
          </w:p>
        </w:tc>
        <w:tc>
          <w:tcPr>
            <w:cnfStyle w:val="000010000000" w:firstRow="0" w:lastRow="0" w:firstColumn="0" w:lastColumn="0" w:oddVBand="1" w:evenVBand="0" w:oddHBand="0" w:evenHBand="0" w:firstRowFirstColumn="0" w:firstRowLastColumn="0" w:lastRowFirstColumn="0" w:lastRowLastColumn="0"/>
            <w:tcW w:w="754" w:type="pct"/>
          </w:tcPr>
          <w:p w14:paraId="3044D315" w14:textId="77777777" w:rsidR="004E45CF" w:rsidRPr="00CF3E3D" w:rsidRDefault="004E45CF" w:rsidP="00CB5298">
            <w:pPr>
              <w:spacing w:before="85" w:line="288" w:lineRule="auto"/>
              <w:jc w:val="center"/>
              <w:rPr>
                <w:sz w:val="18"/>
                <w:szCs w:val="18"/>
              </w:rPr>
            </w:pPr>
            <w:r w:rsidRPr="00CF3E3D">
              <w:rPr>
                <w:sz w:val="18"/>
                <w:szCs w:val="18"/>
              </w:rPr>
              <w:t>94.9 (93.9, 95.6)</w:t>
            </w:r>
          </w:p>
        </w:tc>
        <w:tc>
          <w:tcPr>
            <w:cnfStyle w:val="000001000000" w:firstRow="0" w:lastRow="0" w:firstColumn="0" w:lastColumn="0" w:oddVBand="0" w:evenVBand="1" w:oddHBand="0" w:evenHBand="0" w:firstRowFirstColumn="0" w:firstRowLastColumn="0" w:lastRowFirstColumn="0" w:lastRowLastColumn="0"/>
            <w:tcW w:w="754" w:type="pct"/>
          </w:tcPr>
          <w:p w14:paraId="5B628B7E" w14:textId="77777777" w:rsidR="004E45CF" w:rsidRPr="00CF3E3D" w:rsidRDefault="004E45CF" w:rsidP="00CB5298">
            <w:pPr>
              <w:spacing w:before="85" w:line="288" w:lineRule="auto"/>
              <w:jc w:val="center"/>
              <w:rPr>
                <w:b/>
                <w:bCs/>
                <w:sz w:val="18"/>
                <w:szCs w:val="18"/>
              </w:rPr>
            </w:pPr>
            <w:r w:rsidRPr="00CF3E3D">
              <w:rPr>
                <w:sz w:val="18"/>
                <w:szCs w:val="18"/>
              </w:rPr>
              <w:t>68,000 (66,700, 69,300)</w:t>
            </w:r>
          </w:p>
        </w:tc>
        <w:tc>
          <w:tcPr>
            <w:cnfStyle w:val="000010000000" w:firstRow="0" w:lastRow="0" w:firstColumn="0" w:lastColumn="0" w:oddVBand="1" w:evenVBand="0" w:oddHBand="0" w:evenHBand="0" w:firstRowFirstColumn="0" w:firstRowLastColumn="0" w:lastRowFirstColumn="0" w:lastRowLastColumn="0"/>
            <w:tcW w:w="754" w:type="pct"/>
          </w:tcPr>
          <w:p w14:paraId="6E8E49D2" w14:textId="77777777" w:rsidR="004E45CF" w:rsidRPr="00CF3E3D" w:rsidRDefault="004E45CF" w:rsidP="00CB5298">
            <w:pPr>
              <w:spacing w:before="85" w:line="288" w:lineRule="auto"/>
              <w:jc w:val="center"/>
              <w:rPr>
                <w:sz w:val="18"/>
                <w:szCs w:val="18"/>
              </w:rPr>
            </w:pPr>
            <w:r w:rsidRPr="00CF3E3D">
              <w:rPr>
                <w:sz w:val="18"/>
                <w:szCs w:val="18"/>
              </w:rPr>
              <w:t>70,000 (69,400, 70,600)</w:t>
            </w:r>
          </w:p>
        </w:tc>
      </w:tr>
      <w:tr w:rsidR="004E45CF" w:rsidRPr="00CF3E3D" w14:paraId="1105D196"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62BF7305"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Newcastle</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65AC81B2" w14:textId="77777777" w:rsidR="004E45CF" w:rsidRPr="00CF3E3D" w:rsidRDefault="004E45CF" w:rsidP="00CB5298">
            <w:pPr>
              <w:spacing w:before="85" w:line="288" w:lineRule="auto"/>
              <w:jc w:val="center"/>
              <w:rPr>
                <w:b/>
                <w:bCs/>
                <w:sz w:val="18"/>
                <w:szCs w:val="18"/>
              </w:rPr>
            </w:pPr>
            <w:r w:rsidRPr="00CF3E3D">
              <w:rPr>
                <w:sz w:val="18"/>
                <w:szCs w:val="18"/>
              </w:rPr>
              <w:t>93.5 (92.4, 94.3)</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25F885AC" w14:textId="77777777" w:rsidR="004E45CF" w:rsidRPr="00CF3E3D" w:rsidRDefault="004E45CF" w:rsidP="00CB5298">
            <w:pPr>
              <w:spacing w:before="85" w:line="288" w:lineRule="auto"/>
              <w:jc w:val="center"/>
              <w:rPr>
                <w:sz w:val="18"/>
                <w:szCs w:val="18"/>
              </w:rPr>
            </w:pPr>
            <w:r w:rsidRPr="00CF3E3D">
              <w:rPr>
                <w:sz w:val="18"/>
                <w:szCs w:val="18"/>
              </w:rPr>
              <w:t>93.1 (92.0, 93.9)</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4A2CE290" w14:textId="77777777" w:rsidR="004E45CF" w:rsidRPr="00CF3E3D" w:rsidRDefault="004E45CF" w:rsidP="00CB5298">
            <w:pPr>
              <w:spacing w:before="85" w:line="288" w:lineRule="auto"/>
              <w:jc w:val="center"/>
              <w:rPr>
                <w:b/>
                <w:bCs/>
                <w:sz w:val="18"/>
                <w:szCs w:val="18"/>
              </w:rPr>
            </w:pPr>
            <w:r w:rsidRPr="00CF3E3D">
              <w:rPr>
                <w:sz w:val="18"/>
                <w:szCs w:val="18"/>
              </w:rPr>
              <w:t>65,700 (64,600, 66,900)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36FC884D" w14:textId="77777777" w:rsidR="004E45CF" w:rsidRPr="00CF3E3D" w:rsidRDefault="004E45CF" w:rsidP="00CB5298">
            <w:pPr>
              <w:spacing w:before="85" w:line="288" w:lineRule="auto"/>
              <w:jc w:val="center"/>
              <w:rPr>
                <w:sz w:val="18"/>
                <w:szCs w:val="18"/>
              </w:rPr>
            </w:pPr>
            <w:r w:rsidRPr="00CF3E3D">
              <w:rPr>
                <w:sz w:val="18"/>
                <w:szCs w:val="18"/>
              </w:rPr>
              <w:t>68,900 (68,100, 69,600)</w:t>
            </w:r>
          </w:p>
        </w:tc>
      </w:tr>
      <w:tr w:rsidR="004E45CF" w:rsidRPr="00CF3E3D" w14:paraId="334ABB74"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27461247"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Southern Queensland</w:t>
            </w:r>
          </w:p>
        </w:tc>
        <w:tc>
          <w:tcPr>
            <w:cnfStyle w:val="000001000000" w:firstRow="0" w:lastRow="0" w:firstColumn="0" w:lastColumn="0" w:oddVBand="0" w:evenVBand="1" w:oddHBand="0" w:evenHBand="0" w:firstRowFirstColumn="0" w:firstRowLastColumn="0" w:lastRowFirstColumn="0" w:lastRowLastColumn="0"/>
            <w:tcW w:w="715" w:type="pct"/>
          </w:tcPr>
          <w:p w14:paraId="4637FCC4" w14:textId="77777777" w:rsidR="004E45CF" w:rsidRPr="00CF3E3D" w:rsidRDefault="004E45CF" w:rsidP="00CB5298">
            <w:pPr>
              <w:spacing w:before="85" w:line="288" w:lineRule="auto"/>
              <w:jc w:val="center"/>
              <w:rPr>
                <w:b/>
                <w:bCs/>
                <w:sz w:val="18"/>
                <w:szCs w:val="18"/>
              </w:rPr>
            </w:pPr>
            <w:r w:rsidRPr="00CF3E3D">
              <w:rPr>
                <w:sz w:val="18"/>
                <w:szCs w:val="18"/>
              </w:rPr>
              <w:t>93.9 (92.8, 94.7)</w:t>
            </w:r>
          </w:p>
        </w:tc>
        <w:tc>
          <w:tcPr>
            <w:cnfStyle w:val="000010000000" w:firstRow="0" w:lastRow="0" w:firstColumn="0" w:lastColumn="0" w:oddVBand="1" w:evenVBand="0" w:oddHBand="0" w:evenHBand="0" w:firstRowFirstColumn="0" w:firstRowLastColumn="0" w:lastRowFirstColumn="0" w:lastRowLastColumn="0"/>
            <w:tcW w:w="754" w:type="pct"/>
          </w:tcPr>
          <w:p w14:paraId="6CE8D646" w14:textId="77777777" w:rsidR="004E45CF" w:rsidRPr="00CF3E3D" w:rsidRDefault="004E45CF" w:rsidP="00CB5298">
            <w:pPr>
              <w:spacing w:before="85" w:line="288" w:lineRule="auto"/>
              <w:jc w:val="center"/>
              <w:rPr>
                <w:sz w:val="18"/>
                <w:szCs w:val="18"/>
              </w:rPr>
            </w:pPr>
            <w:r w:rsidRPr="00CF3E3D">
              <w:rPr>
                <w:sz w:val="18"/>
                <w:szCs w:val="18"/>
              </w:rPr>
              <w:t>94.7 (93.8, 95.4)</w:t>
            </w:r>
          </w:p>
        </w:tc>
        <w:tc>
          <w:tcPr>
            <w:cnfStyle w:val="000001000000" w:firstRow="0" w:lastRow="0" w:firstColumn="0" w:lastColumn="0" w:oddVBand="0" w:evenVBand="1" w:oddHBand="0" w:evenHBand="0" w:firstRowFirstColumn="0" w:firstRowLastColumn="0" w:lastRowFirstColumn="0" w:lastRowLastColumn="0"/>
            <w:tcW w:w="754" w:type="pct"/>
          </w:tcPr>
          <w:p w14:paraId="3B712AEC" w14:textId="77777777" w:rsidR="004E45CF" w:rsidRPr="00CF3E3D" w:rsidRDefault="004E45CF" w:rsidP="00CB5298">
            <w:pPr>
              <w:spacing w:before="85" w:line="288" w:lineRule="auto"/>
              <w:jc w:val="center"/>
              <w:rPr>
                <w:b/>
                <w:bCs/>
                <w:sz w:val="18"/>
                <w:szCs w:val="18"/>
              </w:rPr>
            </w:pPr>
            <w:r w:rsidRPr="00CF3E3D">
              <w:rPr>
                <w:sz w:val="18"/>
                <w:szCs w:val="18"/>
              </w:rPr>
              <w:t>72,000 (71,000, 73,000)</w:t>
            </w:r>
          </w:p>
        </w:tc>
        <w:tc>
          <w:tcPr>
            <w:cnfStyle w:val="000010000000" w:firstRow="0" w:lastRow="0" w:firstColumn="0" w:lastColumn="0" w:oddVBand="1" w:evenVBand="0" w:oddHBand="0" w:evenHBand="0" w:firstRowFirstColumn="0" w:firstRowLastColumn="0" w:lastRowFirstColumn="0" w:lastRowLastColumn="0"/>
            <w:tcW w:w="754" w:type="pct"/>
          </w:tcPr>
          <w:p w14:paraId="7F88845C" w14:textId="77777777" w:rsidR="004E45CF" w:rsidRPr="00CF3E3D" w:rsidRDefault="004E45CF" w:rsidP="00CB5298">
            <w:pPr>
              <w:spacing w:before="85" w:line="288" w:lineRule="auto"/>
              <w:jc w:val="center"/>
              <w:rPr>
                <w:sz w:val="18"/>
                <w:szCs w:val="18"/>
              </w:rPr>
            </w:pPr>
            <w:r w:rsidRPr="00CF3E3D">
              <w:rPr>
                <w:sz w:val="18"/>
                <w:szCs w:val="18"/>
              </w:rPr>
              <w:t>75,000 (74,000, 76,000)</w:t>
            </w:r>
          </w:p>
        </w:tc>
      </w:tr>
      <w:tr w:rsidR="004E45CF" w:rsidRPr="00CF3E3D" w14:paraId="0BC46536"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550618B2"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Tasmania</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65EE5069" w14:textId="77777777" w:rsidR="004E45CF" w:rsidRPr="00CF3E3D" w:rsidRDefault="004E45CF" w:rsidP="00CB5298">
            <w:pPr>
              <w:spacing w:before="85" w:line="288" w:lineRule="auto"/>
              <w:jc w:val="center"/>
              <w:rPr>
                <w:b/>
                <w:bCs/>
                <w:sz w:val="18"/>
                <w:szCs w:val="18"/>
              </w:rPr>
            </w:pPr>
            <w:r w:rsidRPr="00CF3E3D">
              <w:rPr>
                <w:sz w:val="18"/>
                <w:szCs w:val="18"/>
              </w:rPr>
              <w:t>84.9 (83.8, 85.9)</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028FADA1" w14:textId="77777777" w:rsidR="004E45CF" w:rsidRPr="00CF3E3D" w:rsidRDefault="004E45CF" w:rsidP="00CB5298">
            <w:pPr>
              <w:spacing w:before="85" w:line="288" w:lineRule="auto"/>
              <w:jc w:val="center"/>
              <w:rPr>
                <w:sz w:val="18"/>
                <w:szCs w:val="18"/>
              </w:rPr>
            </w:pPr>
            <w:r w:rsidRPr="00CF3E3D">
              <w:rPr>
                <w:sz w:val="18"/>
                <w:szCs w:val="18"/>
              </w:rPr>
              <w:t>84.1 (83.2, 85.0)</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5D04B907" w14:textId="77777777" w:rsidR="004E45CF" w:rsidRPr="00CF3E3D" w:rsidRDefault="004E45CF" w:rsidP="00CB5298">
            <w:pPr>
              <w:spacing w:before="85" w:line="288" w:lineRule="auto"/>
              <w:jc w:val="center"/>
              <w:rPr>
                <w:b/>
                <w:bCs/>
                <w:sz w:val="18"/>
                <w:szCs w:val="18"/>
              </w:rPr>
            </w:pPr>
            <w:r w:rsidRPr="00CF3E3D">
              <w:rPr>
                <w:sz w:val="18"/>
                <w:szCs w:val="18"/>
              </w:rPr>
              <w:t>70,000 (68,600, 71,400)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193B1C96" w14:textId="77777777" w:rsidR="004E45CF" w:rsidRPr="00CF3E3D" w:rsidRDefault="004E45CF" w:rsidP="00CB5298">
            <w:pPr>
              <w:spacing w:before="85" w:line="288" w:lineRule="auto"/>
              <w:jc w:val="center"/>
              <w:rPr>
                <w:sz w:val="18"/>
                <w:szCs w:val="18"/>
              </w:rPr>
            </w:pPr>
            <w:r w:rsidRPr="00CF3E3D">
              <w:rPr>
                <w:sz w:val="18"/>
                <w:szCs w:val="18"/>
              </w:rPr>
              <w:t>78,300 (75,500, 81,000)</w:t>
            </w:r>
          </w:p>
        </w:tc>
      </w:tr>
      <w:tr w:rsidR="004E45CF" w:rsidRPr="00CF3E3D" w14:paraId="5719E8A2"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086B7D5F"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Technology Sydney</w:t>
            </w:r>
          </w:p>
        </w:tc>
        <w:tc>
          <w:tcPr>
            <w:cnfStyle w:val="000001000000" w:firstRow="0" w:lastRow="0" w:firstColumn="0" w:lastColumn="0" w:oddVBand="0" w:evenVBand="1" w:oddHBand="0" w:evenHBand="0" w:firstRowFirstColumn="0" w:firstRowLastColumn="0" w:lastRowFirstColumn="0" w:lastRowLastColumn="0"/>
            <w:tcW w:w="715" w:type="pct"/>
          </w:tcPr>
          <w:p w14:paraId="1EB55432" w14:textId="77777777" w:rsidR="004E45CF" w:rsidRPr="00CF3E3D" w:rsidRDefault="004E45CF" w:rsidP="00CB5298">
            <w:pPr>
              <w:spacing w:before="85" w:line="288" w:lineRule="auto"/>
              <w:jc w:val="center"/>
              <w:rPr>
                <w:b/>
                <w:bCs/>
                <w:sz w:val="18"/>
                <w:szCs w:val="18"/>
              </w:rPr>
            </w:pPr>
            <w:r w:rsidRPr="00CF3E3D">
              <w:rPr>
                <w:sz w:val="18"/>
                <w:szCs w:val="18"/>
              </w:rPr>
              <w:t>95.2 (94.5, 95.8)</w:t>
            </w:r>
          </w:p>
        </w:tc>
        <w:tc>
          <w:tcPr>
            <w:cnfStyle w:val="000010000000" w:firstRow="0" w:lastRow="0" w:firstColumn="0" w:lastColumn="0" w:oddVBand="1" w:evenVBand="0" w:oddHBand="0" w:evenHBand="0" w:firstRowFirstColumn="0" w:firstRowLastColumn="0" w:lastRowFirstColumn="0" w:lastRowLastColumn="0"/>
            <w:tcW w:w="754" w:type="pct"/>
          </w:tcPr>
          <w:p w14:paraId="2D6BBBDC" w14:textId="77777777" w:rsidR="004E45CF" w:rsidRPr="00CF3E3D" w:rsidRDefault="004E45CF" w:rsidP="00CB5298">
            <w:pPr>
              <w:spacing w:before="85" w:line="288" w:lineRule="auto"/>
              <w:jc w:val="center"/>
              <w:rPr>
                <w:sz w:val="18"/>
                <w:szCs w:val="18"/>
              </w:rPr>
            </w:pPr>
            <w:r w:rsidRPr="00CF3E3D">
              <w:rPr>
                <w:sz w:val="18"/>
                <w:szCs w:val="18"/>
              </w:rPr>
              <w:t>94.7 (93.9, 95.3)</w:t>
            </w:r>
          </w:p>
        </w:tc>
        <w:tc>
          <w:tcPr>
            <w:cnfStyle w:val="000001000000" w:firstRow="0" w:lastRow="0" w:firstColumn="0" w:lastColumn="0" w:oddVBand="0" w:evenVBand="1" w:oddHBand="0" w:evenHBand="0" w:firstRowFirstColumn="0" w:firstRowLastColumn="0" w:lastRowFirstColumn="0" w:lastRowLastColumn="0"/>
            <w:tcW w:w="754" w:type="pct"/>
          </w:tcPr>
          <w:p w14:paraId="1912BB85" w14:textId="77777777" w:rsidR="004E45CF" w:rsidRPr="00CF3E3D" w:rsidRDefault="004E45CF" w:rsidP="00CB5298">
            <w:pPr>
              <w:spacing w:before="85" w:line="288" w:lineRule="auto"/>
              <w:jc w:val="center"/>
              <w:rPr>
                <w:b/>
                <w:bCs/>
                <w:sz w:val="18"/>
                <w:szCs w:val="18"/>
              </w:rPr>
            </w:pPr>
            <w:r w:rsidRPr="00CF3E3D">
              <w:rPr>
                <w:sz w:val="18"/>
                <w:szCs w:val="18"/>
              </w:rPr>
              <w:t>62,600 (61,800, 63,400)</w:t>
            </w:r>
          </w:p>
        </w:tc>
        <w:tc>
          <w:tcPr>
            <w:cnfStyle w:val="000010000000" w:firstRow="0" w:lastRow="0" w:firstColumn="0" w:lastColumn="0" w:oddVBand="1" w:evenVBand="0" w:oddHBand="0" w:evenHBand="0" w:firstRowFirstColumn="0" w:firstRowLastColumn="0" w:lastRowFirstColumn="0" w:lastRowLastColumn="0"/>
            <w:tcW w:w="754" w:type="pct"/>
          </w:tcPr>
          <w:p w14:paraId="7EB09390" w14:textId="77777777" w:rsidR="004E45CF" w:rsidRPr="00CF3E3D" w:rsidRDefault="004E45CF" w:rsidP="00CB5298">
            <w:pPr>
              <w:spacing w:before="85" w:line="288" w:lineRule="auto"/>
              <w:jc w:val="center"/>
              <w:rPr>
                <w:sz w:val="18"/>
                <w:szCs w:val="18"/>
              </w:rPr>
            </w:pPr>
            <w:r w:rsidRPr="00CF3E3D">
              <w:rPr>
                <w:sz w:val="18"/>
                <w:szCs w:val="18"/>
              </w:rPr>
              <w:t>65,000 (64,800, 65,200)</w:t>
            </w:r>
          </w:p>
        </w:tc>
      </w:tr>
      <w:tr w:rsidR="004E45CF" w:rsidRPr="00CF3E3D" w14:paraId="45450B1F"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17FE694B"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the Sunshine Coast</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161A1EF1" w14:textId="77777777" w:rsidR="004E45CF" w:rsidRPr="00CF3E3D" w:rsidRDefault="004E45CF" w:rsidP="00CB5298">
            <w:pPr>
              <w:spacing w:before="85" w:line="288" w:lineRule="auto"/>
              <w:jc w:val="center"/>
              <w:rPr>
                <w:b/>
                <w:bCs/>
                <w:sz w:val="18"/>
                <w:szCs w:val="18"/>
              </w:rPr>
            </w:pPr>
            <w:r w:rsidRPr="00CF3E3D">
              <w:rPr>
                <w:sz w:val="18"/>
                <w:szCs w:val="18"/>
              </w:rPr>
              <w:t>91.1 (89.7, 92.3)</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0321BBFA" w14:textId="77777777" w:rsidR="004E45CF" w:rsidRPr="00CF3E3D" w:rsidRDefault="004E45CF" w:rsidP="00CB5298">
            <w:pPr>
              <w:spacing w:before="85" w:line="288" w:lineRule="auto"/>
              <w:jc w:val="center"/>
              <w:rPr>
                <w:sz w:val="18"/>
                <w:szCs w:val="18"/>
              </w:rPr>
            </w:pPr>
            <w:r w:rsidRPr="00CF3E3D">
              <w:rPr>
                <w:sz w:val="18"/>
                <w:szCs w:val="18"/>
              </w:rPr>
              <w:t>92.5 (91.3, 93.4)</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403510AE" w14:textId="77777777" w:rsidR="004E45CF" w:rsidRPr="00CF3E3D" w:rsidRDefault="004E45CF" w:rsidP="00CB5298">
            <w:pPr>
              <w:spacing w:before="85" w:line="288" w:lineRule="auto"/>
              <w:jc w:val="center"/>
              <w:rPr>
                <w:b/>
                <w:bCs/>
                <w:sz w:val="18"/>
                <w:szCs w:val="18"/>
              </w:rPr>
            </w:pPr>
            <w:r w:rsidRPr="00CF3E3D">
              <w:rPr>
                <w:sz w:val="18"/>
                <w:szCs w:val="18"/>
              </w:rPr>
              <w:t>61,700 (59,100, 64,300)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4ECDB928" w14:textId="77777777" w:rsidR="004E45CF" w:rsidRPr="00CF3E3D" w:rsidRDefault="004E45CF" w:rsidP="00CB5298">
            <w:pPr>
              <w:spacing w:before="85" w:line="288" w:lineRule="auto"/>
              <w:jc w:val="center"/>
              <w:rPr>
                <w:sz w:val="18"/>
                <w:szCs w:val="18"/>
              </w:rPr>
            </w:pPr>
            <w:r w:rsidRPr="00CF3E3D">
              <w:rPr>
                <w:sz w:val="18"/>
                <w:szCs w:val="18"/>
              </w:rPr>
              <w:t>65,200 (63,500, 67,000)</w:t>
            </w:r>
          </w:p>
        </w:tc>
      </w:tr>
      <w:tr w:rsidR="004E45CF" w:rsidRPr="00CF3E3D" w14:paraId="445B01E4"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04C88B11"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University of Wollongong</w:t>
            </w:r>
          </w:p>
        </w:tc>
        <w:tc>
          <w:tcPr>
            <w:cnfStyle w:val="000001000000" w:firstRow="0" w:lastRow="0" w:firstColumn="0" w:lastColumn="0" w:oddVBand="0" w:evenVBand="1" w:oddHBand="0" w:evenHBand="0" w:firstRowFirstColumn="0" w:firstRowLastColumn="0" w:lastRowFirstColumn="0" w:lastRowLastColumn="0"/>
            <w:tcW w:w="715" w:type="pct"/>
          </w:tcPr>
          <w:p w14:paraId="1C8BC6BF" w14:textId="77777777" w:rsidR="004E45CF" w:rsidRPr="00CF3E3D" w:rsidRDefault="004E45CF" w:rsidP="00CB5298">
            <w:pPr>
              <w:spacing w:before="85" w:line="288" w:lineRule="auto"/>
              <w:jc w:val="center"/>
              <w:rPr>
                <w:b/>
                <w:bCs/>
                <w:sz w:val="18"/>
                <w:szCs w:val="18"/>
              </w:rPr>
            </w:pPr>
            <w:r w:rsidRPr="00CF3E3D">
              <w:rPr>
                <w:sz w:val="18"/>
                <w:szCs w:val="18"/>
              </w:rPr>
              <w:t>93.6 (92.2, 94.6)</w:t>
            </w:r>
          </w:p>
        </w:tc>
        <w:tc>
          <w:tcPr>
            <w:cnfStyle w:val="000010000000" w:firstRow="0" w:lastRow="0" w:firstColumn="0" w:lastColumn="0" w:oddVBand="1" w:evenVBand="0" w:oddHBand="0" w:evenHBand="0" w:firstRowFirstColumn="0" w:firstRowLastColumn="0" w:lastRowFirstColumn="0" w:lastRowLastColumn="0"/>
            <w:tcW w:w="754" w:type="pct"/>
          </w:tcPr>
          <w:p w14:paraId="39545060" w14:textId="77777777" w:rsidR="004E45CF" w:rsidRPr="00CF3E3D" w:rsidRDefault="004E45CF" w:rsidP="00CB5298">
            <w:pPr>
              <w:spacing w:before="85" w:line="288" w:lineRule="auto"/>
              <w:jc w:val="center"/>
              <w:rPr>
                <w:sz w:val="18"/>
                <w:szCs w:val="18"/>
              </w:rPr>
            </w:pPr>
            <w:r w:rsidRPr="00CF3E3D">
              <w:rPr>
                <w:sz w:val="18"/>
                <w:szCs w:val="18"/>
              </w:rPr>
              <w:t>95.0 (93.8, 95.9)</w:t>
            </w:r>
          </w:p>
        </w:tc>
        <w:tc>
          <w:tcPr>
            <w:cnfStyle w:val="000001000000" w:firstRow="0" w:lastRow="0" w:firstColumn="0" w:lastColumn="0" w:oddVBand="0" w:evenVBand="1" w:oddHBand="0" w:evenHBand="0" w:firstRowFirstColumn="0" w:firstRowLastColumn="0" w:lastRowFirstColumn="0" w:lastRowLastColumn="0"/>
            <w:tcW w:w="754" w:type="pct"/>
          </w:tcPr>
          <w:p w14:paraId="729C352F" w14:textId="77777777" w:rsidR="004E45CF" w:rsidRPr="00CF3E3D" w:rsidRDefault="004E45CF" w:rsidP="00CB5298">
            <w:pPr>
              <w:spacing w:before="85" w:line="288" w:lineRule="auto"/>
              <w:jc w:val="center"/>
              <w:rPr>
                <w:b/>
                <w:bCs/>
                <w:sz w:val="18"/>
                <w:szCs w:val="18"/>
              </w:rPr>
            </w:pPr>
            <w:r w:rsidRPr="00CF3E3D">
              <w:rPr>
                <w:sz w:val="18"/>
                <w:szCs w:val="18"/>
              </w:rPr>
              <w:t>63,400 (62,200, 64,700)</w:t>
            </w:r>
          </w:p>
        </w:tc>
        <w:tc>
          <w:tcPr>
            <w:cnfStyle w:val="000010000000" w:firstRow="0" w:lastRow="0" w:firstColumn="0" w:lastColumn="0" w:oddVBand="1" w:evenVBand="0" w:oddHBand="0" w:evenHBand="0" w:firstRowFirstColumn="0" w:firstRowLastColumn="0" w:lastRowFirstColumn="0" w:lastRowLastColumn="0"/>
            <w:tcW w:w="754" w:type="pct"/>
          </w:tcPr>
          <w:p w14:paraId="6DB142C2" w14:textId="77777777" w:rsidR="004E45CF" w:rsidRPr="00CF3E3D" w:rsidRDefault="004E45CF" w:rsidP="00CB5298">
            <w:pPr>
              <w:spacing w:before="85" w:line="288" w:lineRule="auto"/>
              <w:jc w:val="center"/>
              <w:rPr>
                <w:sz w:val="18"/>
                <w:szCs w:val="18"/>
              </w:rPr>
            </w:pPr>
            <w:r w:rsidRPr="00CF3E3D">
              <w:rPr>
                <w:sz w:val="18"/>
                <w:szCs w:val="18"/>
              </w:rPr>
              <w:t>67,800 (66,000, 69,600)</w:t>
            </w:r>
          </w:p>
        </w:tc>
      </w:tr>
      <w:tr w:rsidR="004E45CF" w:rsidRPr="00CF3E3D" w14:paraId="24C3320D"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72645394"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Victoria University</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0DE7471C" w14:textId="77777777" w:rsidR="004E45CF" w:rsidRPr="00CF3E3D" w:rsidRDefault="004E45CF" w:rsidP="00CB5298">
            <w:pPr>
              <w:spacing w:before="85" w:line="288" w:lineRule="auto"/>
              <w:jc w:val="center"/>
              <w:rPr>
                <w:b/>
                <w:bCs/>
                <w:sz w:val="18"/>
                <w:szCs w:val="18"/>
              </w:rPr>
            </w:pPr>
            <w:r w:rsidRPr="00CF3E3D">
              <w:rPr>
                <w:sz w:val="18"/>
                <w:szCs w:val="18"/>
              </w:rPr>
              <w:t>93.3 (92.2, 94.2)</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7C9FB7D6" w14:textId="77777777" w:rsidR="004E45CF" w:rsidRPr="00CF3E3D" w:rsidRDefault="004E45CF" w:rsidP="00CB5298">
            <w:pPr>
              <w:spacing w:before="85" w:line="288" w:lineRule="auto"/>
              <w:jc w:val="center"/>
              <w:rPr>
                <w:sz w:val="18"/>
                <w:szCs w:val="18"/>
              </w:rPr>
            </w:pPr>
            <w:r w:rsidRPr="00CF3E3D">
              <w:rPr>
                <w:sz w:val="18"/>
                <w:szCs w:val="18"/>
              </w:rPr>
              <w:t>91.6 (90.3, 92.7)</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165C9590" w14:textId="77777777" w:rsidR="004E45CF" w:rsidRPr="00CF3E3D" w:rsidRDefault="004E45CF" w:rsidP="00CB5298">
            <w:pPr>
              <w:spacing w:before="85" w:line="288" w:lineRule="auto"/>
              <w:jc w:val="center"/>
              <w:rPr>
                <w:b/>
                <w:bCs/>
                <w:sz w:val="18"/>
                <w:szCs w:val="18"/>
              </w:rPr>
            </w:pPr>
            <w:r w:rsidRPr="00CF3E3D">
              <w:rPr>
                <w:sz w:val="18"/>
                <w:szCs w:val="18"/>
              </w:rPr>
              <w:t>67,400 (65,300, 69,500)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78E282DC" w14:textId="77777777" w:rsidR="004E45CF" w:rsidRPr="00CF3E3D" w:rsidRDefault="004E45CF" w:rsidP="00CB5298">
            <w:pPr>
              <w:spacing w:before="85" w:line="288" w:lineRule="auto"/>
              <w:jc w:val="center"/>
              <w:rPr>
                <w:sz w:val="18"/>
                <w:szCs w:val="18"/>
              </w:rPr>
            </w:pPr>
            <w:r w:rsidRPr="00CF3E3D">
              <w:rPr>
                <w:sz w:val="18"/>
                <w:szCs w:val="18"/>
              </w:rPr>
              <w:t>66,300 (63,600, 68,900)</w:t>
            </w:r>
          </w:p>
        </w:tc>
      </w:tr>
      <w:tr w:rsidR="004E45CF" w:rsidRPr="00CF3E3D" w14:paraId="028D5371"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6F63E793"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Western Sydney University</w:t>
            </w:r>
          </w:p>
        </w:tc>
        <w:tc>
          <w:tcPr>
            <w:cnfStyle w:val="000001000000" w:firstRow="0" w:lastRow="0" w:firstColumn="0" w:lastColumn="0" w:oddVBand="0" w:evenVBand="1" w:oddHBand="0" w:evenHBand="0" w:firstRowFirstColumn="0" w:firstRowLastColumn="0" w:lastRowFirstColumn="0" w:lastRowLastColumn="0"/>
            <w:tcW w:w="715" w:type="pct"/>
          </w:tcPr>
          <w:p w14:paraId="66B7DDD9" w14:textId="77777777" w:rsidR="004E45CF" w:rsidRPr="00CF3E3D" w:rsidRDefault="004E45CF" w:rsidP="00CB5298">
            <w:pPr>
              <w:spacing w:before="85" w:line="288" w:lineRule="auto"/>
              <w:jc w:val="center"/>
              <w:rPr>
                <w:b/>
                <w:bCs/>
                <w:sz w:val="18"/>
                <w:szCs w:val="18"/>
              </w:rPr>
            </w:pPr>
            <w:r w:rsidRPr="00CF3E3D">
              <w:rPr>
                <w:sz w:val="18"/>
                <w:szCs w:val="18"/>
              </w:rPr>
              <w:t>91.6 (91.3, 91.7)</w:t>
            </w:r>
          </w:p>
        </w:tc>
        <w:tc>
          <w:tcPr>
            <w:cnfStyle w:val="000010000000" w:firstRow="0" w:lastRow="0" w:firstColumn="0" w:lastColumn="0" w:oddVBand="1" w:evenVBand="0" w:oddHBand="0" w:evenHBand="0" w:firstRowFirstColumn="0" w:firstRowLastColumn="0" w:lastRowFirstColumn="0" w:lastRowLastColumn="0"/>
            <w:tcW w:w="754" w:type="pct"/>
          </w:tcPr>
          <w:p w14:paraId="36C6B9F4" w14:textId="77777777" w:rsidR="004E45CF" w:rsidRPr="00CF3E3D" w:rsidRDefault="004E45CF" w:rsidP="00CB5298">
            <w:pPr>
              <w:spacing w:before="85" w:line="288" w:lineRule="auto"/>
              <w:jc w:val="center"/>
              <w:rPr>
                <w:sz w:val="18"/>
                <w:szCs w:val="18"/>
              </w:rPr>
            </w:pPr>
            <w:r w:rsidRPr="00CF3E3D">
              <w:rPr>
                <w:sz w:val="18"/>
                <w:szCs w:val="18"/>
              </w:rPr>
              <w:t>93.4 (92.6, 94.1)</w:t>
            </w:r>
          </w:p>
        </w:tc>
        <w:tc>
          <w:tcPr>
            <w:cnfStyle w:val="000001000000" w:firstRow="0" w:lastRow="0" w:firstColumn="0" w:lastColumn="0" w:oddVBand="0" w:evenVBand="1" w:oddHBand="0" w:evenHBand="0" w:firstRowFirstColumn="0" w:firstRowLastColumn="0" w:lastRowFirstColumn="0" w:lastRowLastColumn="0"/>
            <w:tcW w:w="754" w:type="pct"/>
          </w:tcPr>
          <w:p w14:paraId="00D8A39B" w14:textId="77777777" w:rsidR="004E45CF" w:rsidRPr="00CF3E3D" w:rsidRDefault="004E45CF" w:rsidP="00CB5298">
            <w:pPr>
              <w:spacing w:before="85" w:line="288" w:lineRule="auto"/>
              <w:jc w:val="center"/>
              <w:rPr>
                <w:b/>
                <w:bCs/>
                <w:sz w:val="18"/>
                <w:szCs w:val="18"/>
              </w:rPr>
            </w:pPr>
            <w:r w:rsidRPr="00CF3E3D">
              <w:rPr>
                <w:sz w:val="18"/>
                <w:szCs w:val="18"/>
              </w:rPr>
              <w:t>64,700 (63,900, 65,500)</w:t>
            </w:r>
          </w:p>
        </w:tc>
        <w:tc>
          <w:tcPr>
            <w:cnfStyle w:val="000010000000" w:firstRow="0" w:lastRow="0" w:firstColumn="0" w:lastColumn="0" w:oddVBand="1" w:evenVBand="0" w:oddHBand="0" w:evenHBand="0" w:firstRowFirstColumn="0" w:firstRowLastColumn="0" w:lastRowFirstColumn="0" w:lastRowLastColumn="0"/>
            <w:tcW w:w="754" w:type="pct"/>
          </w:tcPr>
          <w:p w14:paraId="12091C3F" w14:textId="77777777" w:rsidR="004E45CF" w:rsidRPr="00CF3E3D" w:rsidRDefault="004E45CF" w:rsidP="00CB5298">
            <w:pPr>
              <w:spacing w:before="85" w:line="288" w:lineRule="auto"/>
              <w:jc w:val="center"/>
              <w:rPr>
                <w:sz w:val="18"/>
                <w:szCs w:val="18"/>
              </w:rPr>
            </w:pPr>
            <w:r w:rsidRPr="00CF3E3D">
              <w:rPr>
                <w:sz w:val="18"/>
                <w:szCs w:val="18"/>
              </w:rPr>
              <w:t>67,000 (65,600, 68,500)</w:t>
            </w:r>
          </w:p>
        </w:tc>
      </w:tr>
      <w:tr w:rsidR="004E45CF" w:rsidRPr="00CF3E3D" w14:paraId="30828B25" w14:textId="77777777" w:rsidTr="00BC676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vAlign w:val="center"/>
          </w:tcPr>
          <w:p w14:paraId="02C6B7A9"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t>All Universities</w:t>
            </w:r>
          </w:p>
        </w:tc>
        <w:tc>
          <w:tcPr>
            <w:cnfStyle w:val="000001000000" w:firstRow="0" w:lastRow="0" w:firstColumn="0" w:lastColumn="0" w:oddVBand="0" w:evenVBand="1" w:oddHBand="0" w:evenHBand="0" w:firstRowFirstColumn="0" w:firstRowLastColumn="0" w:lastRowFirstColumn="0" w:lastRowLastColumn="0"/>
            <w:tcW w:w="715" w:type="pct"/>
            <w:vAlign w:val="center"/>
          </w:tcPr>
          <w:p w14:paraId="1C808090" w14:textId="77777777" w:rsidR="004E45CF" w:rsidRPr="00CF3E3D" w:rsidRDefault="004E45CF" w:rsidP="00CB5298">
            <w:pPr>
              <w:spacing w:before="85" w:line="288" w:lineRule="auto"/>
              <w:jc w:val="center"/>
              <w:rPr>
                <w:b/>
                <w:bCs/>
                <w:sz w:val="18"/>
                <w:szCs w:val="18"/>
              </w:rPr>
            </w:pPr>
            <w:r w:rsidRPr="00CF3E3D">
              <w:rPr>
                <w:b/>
                <w:bCs/>
                <w:sz w:val="18"/>
                <w:szCs w:val="18"/>
              </w:rPr>
              <w:t>92.1 (92.0, 92.3)</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08D0E2F3" w14:textId="77777777" w:rsidR="004E45CF" w:rsidRPr="00CF3E3D" w:rsidRDefault="004E45CF" w:rsidP="00CB5298">
            <w:pPr>
              <w:spacing w:before="85" w:line="288" w:lineRule="auto"/>
              <w:jc w:val="center"/>
              <w:rPr>
                <w:b/>
                <w:bCs/>
                <w:sz w:val="18"/>
                <w:szCs w:val="18"/>
              </w:rPr>
            </w:pPr>
            <w:r w:rsidRPr="00CF3E3D">
              <w:rPr>
                <w:b/>
                <w:bCs/>
                <w:sz w:val="18"/>
                <w:szCs w:val="18"/>
              </w:rPr>
              <w:t>92.5 (92.4, 92.7)</w:t>
            </w:r>
          </w:p>
        </w:tc>
        <w:tc>
          <w:tcPr>
            <w:cnfStyle w:val="000001000000" w:firstRow="0" w:lastRow="0" w:firstColumn="0" w:lastColumn="0" w:oddVBand="0" w:evenVBand="1" w:oddHBand="0" w:evenHBand="0" w:firstRowFirstColumn="0" w:firstRowLastColumn="0" w:lastRowFirstColumn="0" w:lastRowLastColumn="0"/>
            <w:tcW w:w="754" w:type="pct"/>
            <w:vAlign w:val="center"/>
          </w:tcPr>
          <w:p w14:paraId="509F352B" w14:textId="77777777" w:rsidR="004E45CF" w:rsidRPr="00CF3E3D" w:rsidRDefault="004E45CF" w:rsidP="00CB5298">
            <w:pPr>
              <w:spacing w:before="85" w:line="288" w:lineRule="auto"/>
              <w:jc w:val="center"/>
              <w:rPr>
                <w:b/>
                <w:bCs/>
                <w:sz w:val="18"/>
                <w:szCs w:val="18"/>
              </w:rPr>
            </w:pPr>
            <w:r w:rsidRPr="00CF3E3D">
              <w:rPr>
                <w:b/>
                <w:bCs/>
                <w:sz w:val="18"/>
                <w:szCs w:val="18"/>
              </w:rPr>
              <w:t>65,000 (64,900, 65,100)</w:t>
            </w:r>
          </w:p>
        </w:tc>
        <w:tc>
          <w:tcPr>
            <w:cnfStyle w:val="000010000000" w:firstRow="0" w:lastRow="0" w:firstColumn="0" w:lastColumn="0" w:oddVBand="1" w:evenVBand="0" w:oddHBand="0" w:evenHBand="0" w:firstRowFirstColumn="0" w:firstRowLastColumn="0" w:lastRowFirstColumn="0" w:lastRowLastColumn="0"/>
            <w:tcW w:w="754" w:type="pct"/>
            <w:vAlign w:val="center"/>
          </w:tcPr>
          <w:p w14:paraId="06C78D40" w14:textId="77777777" w:rsidR="004E45CF" w:rsidRPr="00CF3E3D" w:rsidRDefault="004E45CF" w:rsidP="00CB5298">
            <w:pPr>
              <w:spacing w:before="85" w:line="288" w:lineRule="auto"/>
              <w:jc w:val="center"/>
              <w:rPr>
                <w:b/>
                <w:bCs/>
                <w:sz w:val="18"/>
                <w:szCs w:val="18"/>
              </w:rPr>
            </w:pPr>
            <w:r w:rsidRPr="00CF3E3D">
              <w:rPr>
                <w:b/>
                <w:bCs/>
                <w:sz w:val="18"/>
                <w:szCs w:val="18"/>
              </w:rPr>
              <w:t>68,000 (67,900, 68,100)</w:t>
            </w:r>
          </w:p>
        </w:tc>
      </w:tr>
      <w:tr w:rsidR="004E45CF" w:rsidRPr="00CF3E3D" w14:paraId="344154B4" w14:textId="77777777" w:rsidTr="00BC676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3" w:type="pct"/>
          </w:tcPr>
          <w:p w14:paraId="1B20DB71" w14:textId="77777777" w:rsidR="004E45CF" w:rsidRPr="001E400B" w:rsidRDefault="004E45CF" w:rsidP="00CB5298">
            <w:pPr>
              <w:spacing w:before="85" w:line="288" w:lineRule="auto"/>
              <w:jc w:val="left"/>
              <w:rPr>
                <w:b/>
                <w:bCs/>
                <w:sz w:val="18"/>
                <w:szCs w:val="18"/>
                <w:lang w:eastAsia="en-AU"/>
              </w:rPr>
            </w:pPr>
            <w:r w:rsidRPr="001E400B">
              <w:rPr>
                <w:b/>
                <w:bCs/>
                <w:sz w:val="18"/>
                <w:szCs w:val="18"/>
                <w:lang w:eastAsia="en-AU"/>
              </w:rPr>
              <w:lastRenderedPageBreak/>
              <w:t>Standard deviation</w:t>
            </w:r>
          </w:p>
        </w:tc>
        <w:tc>
          <w:tcPr>
            <w:cnfStyle w:val="000001000000" w:firstRow="0" w:lastRow="0" w:firstColumn="0" w:lastColumn="0" w:oddVBand="0" w:evenVBand="1" w:oddHBand="0" w:evenHBand="0" w:firstRowFirstColumn="0" w:firstRowLastColumn="0" w:lastRowFirstColumn="0" w:lastRowLastColumn="0"/>
            <w:tcW w:w="715" w:type="pct"/>
          </w:tcPr>
          <w:p w14:paraId="568F3F16" w14:textId="77777777" w:rsidR="004E45CF" w:rsidRPr="00CF3E3D" w:rsidRDefault="004E45CF" w:rsidP="00CB5298">
            <w:pPr>
              <w:spacing w:before="85" w:line="288" w:lineRule="auto"/>
              <w:jc w:val="center"/>
              <w:rPr>
                <w:sz w:val="18"/>
                <w:szCs w:val="18"/>
                <w:lang w:eastAsia="en-AU"/>
              </w:rPr>
            </w:pPr>
            <w:r w:rsidRPr="00CF3E3D">
              <w:rPr>
                <w:sz w:val="18"/>
                <w:szCs w:val="18"/>
              </w:rPr>
              <w:t>3.1</w:t>
            </w:r>
          </w:p>
        </w:tc>
        <w:tc>
          <w:tcPr>
            <w:cnfStyle w:val="000010000000" w:firstRow="0" w:lastRow="0" w:firstColumn="0" w:lastColumn="0" w:oddVBand="1" w:evenVBand="0" w:oddHBand="0" w:evenHBand="0" w:firstRowFirstColumn="0" w:firstRowLastColumn="0" w:lastRowFirstColumn="0" w:lastRowLastColumn="0"/>
            <w:tcW w:w="754" w:type="pct"/>
          </w:tcPr>
          <w:p w14:paraId="5074224E" w14:textId="77777777" w:rsidR="004E45CF" w:rsidRPr="00CF3E3D" w:rsidRDefault="004E45CF" w:rsidP="00CB5298">
            <w:pPr>
              <w:spacing w:before="85" w:line="288" w:lineRule="auto"/>
              <w:jc w:val="center"/>
              <w:rPr>
                <w:sz w:val="18"/>
                <w:szCs w:val="18"/>
              </w:rPr>
            </w:pPr>
            <w:r w:rsidRPr="00CF3E3D">
              <w:rPr>
                <w:sz w:val="18"/>
                <w:szCs w:val="18"/>
              </w:rPr>
              <w:t>3.3</w:t>
            </w:r>
          </w:p>
        </w:tc>
        <w:tc>
          <w:tcPr>
            <w:cnfStyle w:val="000001000000" w:firstRow="0" w:lastRow="0" w:firstColumn="0" w:lastColumn="0" w:oddVBand="0" w:evenVBand="1" w:oddHBand="0" w:evenHBand="0" w:firstRowFirstColumn="0" w:firstRowLastColumn="0" w:lastRowFirstColumn="0" w:lastRowLastColumn="0"/>
            <w:tcW w:w="754" w:type="pct"/>
          </w:tcPr>
          <w:p w14:paraId="1254F915" w14:textId="77777777" w:rsidR="004E45CF" w:rsidRPr="00CF3E3D" w:rsidRDefault="004E45CF" w:rsidP="00CB5298">
            <w:pPr>
              <w:spacing w:before="85" w:line="288" w:lineRule="auto"/>
              <w:jc w:val="center"/>
              <w:rPr>
                <w:sz w:val="18"/>
                <w:szCs w:val="18"/>
                <w:lang w:eastAsia="en-AU"/>
              </w:rPr>
            </w:pPr>
            <w:r w:rsidRPr="00CF3E3D">
              <w:rPr>
                <w:sz w:val="18"/>
                <w:szCs w:val="18"/>
              </w:rPr>
              <w:t>3,500</w:t>
            </w:r>
          </w:p>
        </w:tc>
        <w:tc>
          <w:tcPr>
            <w:cnfStyle w:val="000010000000" w:firstRow="0" w:lastRow="0" w:firstColumn="0" w:lastColumn="0" w:oddVBand="1" w:evenVBand="0" w:oddHBand="0" w:evenHBand="0" w:firstRowFirstColumn="0" w:firstRowLastColumn="0" w:lastRowFirstColumn="0" w:lastRowLastColumn="0"/>
            <w:tcW w:w="754" w:type="pct"/>
          </w:tcPr>
          <w:p w14:paraId="60E45FF0" w14:textId="77777777" w:rsidR="004E45CF" w:rsidRPr="00CF3E3D" w:rsidRDefault="004E45CF" w:rsidP="00CB5298">
            <w:pPr>
              <w:spacing w:before="85" w:line="288" w:lineRule="auto"/>
              <w:jc w:val="center"/>
              <w:rPr>
                <w:sz w:val="18"/>
                <w:szCs w:val="18"/>
              </w:rPr>
            </w:pPr>
            <w:r w:rsidRPr="00CF3E3D">
              <w:rPr>
                <w:sz w:val="18"/>
                <w:szCs w:val="18"/>
              </w:rPr>
              <w:t>3,700</w:t>
            </w:r>
          </w:p>
        </w:tc>
      </w:tr>
    </w:tbl>
    <w:p w14:paraId="495B410D" w14:textId="77777777" w:rsidR="004E45CF" w:rsidRDefault="004E45CF" w:rsidP="004E45CF">
      <w:pPr>
        <w:pStyle w:val="Note"/>
        <w:spacing w:before="0"/>
        <w:rPr>
          <w:szCs w:val="16"/>
        </w:rPr>
      </w:pPr>
      <w:bookmarkStart w:id="91" w:name="_Toc22810095"/>
      <w:r w:rsidRPr="00CF3E3D">
        <w:rPr>
          <w:szCs w:val="16"/>
        </w:rPr>
        <w:t>Note: A n/a indicates a suppressed value (n&lt;25).</w:t>
      </w:r>
    </w:p>
    <w:p w14:paraId="4CDB6A63" w14:textId="77777777" w:rsidR="004E45CF" w:rsidRPr="00CF3E3D" w:rsidRDefault="004E45CF" w:rsidP="004E45CF">
      <w:pPr>
        <w:pStyle w:val="Note"/>
        <w:spacing w:before="0"/>
        <w:rPr>
          <w:szCs w:val="16"/>
        </w:rPr>
      </w:pPr>
      <w:r>
        <w:rPr>
          <w:szCs w:val="16"/>
        </w:rPr>
        <w:t>*</w:t>
      </w:r>
      <w:r w:rsidRPr="00CF3E3D">
        <w:rPr>
          <w:szCs w:val="16"/>
        </w:rPr>
        <w:t>In GOS reports prior to 2022, Avondale University was reported as a NUHEI.</w:t>
      </w:r>
    </w:p>
    <w:p w14:paraId="188D2991" w14:textId="77777777" w:rsidR="004E45CF" w:rsidRPr="00CF3E3D" w:rsidRDefault="004E45CF" w:rsidP="004E45CF">
      <w:pPr>
        <w:pStyle w:val="Heading31"/>
      </w:pPr>
      <w:bookmarkStart w:id="92" w:name="_Toc116035546"/>
      <w:bookmarkStart w:id="93" w:name="_Toc116039901"/>
      <w:r w:rsidRPr="00CF3E3D">
        <w:t>2.7.2 NUHEIs</w:t>
      </w:r>
      <w:bookmarkEnd w:id="91"/>
      <w:bookmarkEnd w:id="92"/>
      <w:bookmarkEnd w:id="93"/>
    </w:p>
    <w:p w14:paraId="7A804BBB" w14:textId="77777777" w:rsidR="004E45CF" w:rsidRPr="00CF3E3D" w:rsidRDefault="004E45CF" w:rsidP="004E45CF">
      <w:pPr>
        <w:pStyle w:val="Body"/>
        <w:rPr>
          <w:highlight w:val="yellow"/>
        </w:rPr>
      </w:pPr>
      <w:bookmarkStart w:id="94" w:name="_Toc22200708"/>
      <w:r w:rsidRPr="00CF3E3D">
        <w:t xml:space="preserve">Since the number of students enrolled in individual NUHEIs tends to be much smaller than at university level, data for individual NUHEIs have been pooled across the 2020, 2021 and 2022 surveys to improve the robustness and validity of data, as occurs on the ComparED website. As the data is aggregated, increases in undergraduate labour force indicators seen in 2022 are muted. Using this three-year aggregation, some NUHEIs have full-time undergraduate employment rates over 80 per cent, including Marcus Oldham College, 97.2 per cent, Moore Theological College, 92.3 per cent, and TAFE Queensland, 87.2 per cent. The same caveats about labour market outcomes at institution level apply even more so among NUHEIs which exhibit greater variation in course offerings by level of education and study area than among universities. </w:t>
      </w:r>
    </w:p>
    <w:p w14:paraId="26E63DA5" w14:textId="77777777" w:rsidR="004E45CF" w:rsidRPr="00CF3E3D" w:rsidRDefault="004E45CF" w:rsidP="004E45CF">
      <w:pPr>
        <w:pStyle w:val="Body"/>
      </w:pPr>
      <w:r w:rsidRPr="00CF3E3D">
        <w:fldChar w:fldCharType="begin"/>
      </w:r>
      <w:r w:rsidRPr="00CF3E3D">
        <w:instrText xml:space="preserve"> REF _Ref77867342 \h  \* MERGEFORMAT </w:instrText>
      </w:r>
      <w:r w:rsidRPr="00CF3E3D">
        <w:fldChar w:fldCharType="separate"/>
      </w:r>
      <w:r w:rsidRPr="00CF3E3D">
        <w:t xml:space="preserve">Table </w:t>
      </w:r>
      <w:r>
        <w:rPr>
          <w:noProof/>
        </w:rPr>
        <w:t>13</w:t>
      </w:r>
      <w:r w:rsidRPr="00CF3E3D">
        <w:fldChar w:fldCharType="end"/>
      </w:r>
      <w:r w:rsidRPr="00CF3E3D">
        <w:t xml:space="preserve"> shows undergraduate median full-time salaries for NUHEIs. NUHEIs with the highest reported median full-time undergraduate salaries include Box Hill Institute, $73,900, Melbourne Institute of Technology, $73,600, Tabor College of Higher Education, $71,700, and TAFE NSW, $70,000. </w:t>
      </w:r>
    </w:p>
    <w:p w14:paraId="69D7AE64" w14:textId="43E3B69C" w:rsidR="004E45CF" w:rsidRPr="007B0FBA" w:rsidRDefault="004E45CF" w:rsidP="004E45CF">
      <w:pPr>
        <w:pStyle w:val="Caption"/>
        <w:rPr>
          <w:noProof/>
          <w:color w:val="000000" w:themeColor="text1"/>
        </w:rPr>
      </w:pPr>
      <w:bookmarkStart w:id="95" w:name="_Ref77867342"/>
      <w:bookmarkStart w:id="96" w:name="_Toc116035807"/>
      <w:bookmarkStart w:id="97" w:name="_Toc116040362"/>
      <w:r w:rsidRPr="007B0FBA">
        <w:rPr>
          <w:color w:val="000000" w:themeColor="text1"/>
        </w:rPr>
        <w:t xml:space="preserve">Table </w:t>
      </w:r>
      <w:r w:rsidRPr="007B0FBA">
        <w:rPr>
          <w:color w:val="000000" w:themeColor="text1"/>
        </w:rPr>
        <w:fldChar w:fldCharType="begin"/>
      </w:r>
      <w:r w:rsidRPr="007B0FBA">
        <w:rPr>
          <w:color w:val="000000" w:themeColor="text1"/>
        </w:rPr>
        <w:instrText xml:space="preserve"> SEQ Table \* ARABIC </w:instrText>
      </w:r>
      <w:r w:rsidRPr="007B0FBA">
        <w:rPr>
          <w:color w:val="000000" w:themeColor="text1"/>
        </w:rPr>
        <w:fldChar w:fldCharType="separate"/>
      </w:r>
      <w:r w:rsidR="00AD4941">
        <w:rPr>
          <w:noProof/>
          <w:color w:val="000000" w:themeColor="text1"/>
        </w:rPr>
        <w:t>13</w:t>
      </w:r>
      <w:r w:rsidRPr="007B0FBA">
        <w:rPr>
          <w:color w:val="000000" w:themeColor="text1"/>
        </w:rPr>
        <w:fldChar w:fldCharType="end"/>
      </w:r>
      <w:bookmarkEnd w:id="95"/>
      <w:r w:rsidRPr="007B0FBA">
        <w:rPr>
          <w:color w:val="000000" w:themeColor="text1"/>
        </w:rPr>
        <w:t xml:space="preserve"> </w:t>
      </w:r>
      <w:r w:rsidRPr="007B0FBA">
        <w:rPr>
          <w:noProof/>
          <w:color w:val="000000" w:themeColor="text1"/>
        </w:rPr>
        <w:t>Undergraduate labour force indicators by NUHEI, pooled 2020-202</w:t>
      </w:r>
      <w:bookmarkEnd w:id="94"/>
      <w:r w:rsidRPr="007B0FBA">
        <w:rPr>
          <w:noProof/>
          <w:color w:val="000000" w:themeColor="text1"/>
        </w:rPr>
        <w:t>2</w:t>
      </w:r>
      <w:bookmarkEnd w:id="96"/>
      <w:bookmarkEnd w:id="97"/>
    </w:p>
    <w:tbl>
      <w:tblPr>
        <w:tblStyle w:val="SRC1"/>
        <w:tblW w:w="5000" w:type="pct"/>
        <w:tblLook w:val="0020" w:firstRow="1" w:lastRow="0" w:firstColumn="0" w:lastColumn="0" w:noHBand="0" w:noVBand="0"/>
        <w:tblCaption w:val="Table 5  Short- (2014) and medium-term (2017) outcomes for undergraduates by study area "/>
      </w:tblPr>
      <w:tblGrid>
        <w:gridCol w:w="3591"/>
        <w:gridCol w:w="1390"/>
        <w:gridCol w:w="1390"/>
        <w:gridCol w:w="1410"/>
        <w:gridCol w:w="1289"/>
      </w:tblGrid>
      <w:tr w:rsidR="004E45CF" w:rsidRPr="00CF3E3D" w14:paraId="6FA1B9FD"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2025" w:type="pct"/>
          </w:tcPr>
          <w:p w14:paraId="124A2F29" w14:textId="77777777" w:rsidR="004E45CF" w:rsidRPr="007B0FBA" w:rsidRDefault="004E45CF" w:rsidP="007B0FBA">
            <w:pPr>
              <w:rPr>
                <w:color w:val="FFFFFF" w:themeColor="background1"/>
                <w:sz w:val="18"/>
                <w:szCs w:val="18"/>
              </w:rPr>
            </w:pPr>
            <w:bookmarkStart w:id="98" w:name="Title13"/>
            <w:bookmarkEnd w:id="98"/>
            <w:r w:rsidRPr="007B0FBA">
              <w:rPr>
                <w:color w:val="FFFFFF" w:themeColor="background1"/>
                <w:sz w:val="18"/>
                <w:szCs w:val="18"/>
              </w:rPr>
              <w:t>NUHEI</w:t>
            </w:r>
          </w:p>
        </w:tc>
        <w:tc>
          <w:tcPr>
            <w:cnfStyle w:val="000001000000" w:firstRow="0" w:lastRow="0" w:firstColumn="0" w:lastColumn="0" w:oddVBand="0" w:evenVBand="1" w:oddHBand="0" w:evenHBand="0" w:firstRowFirstColumn="0" w:firstRowLastColumn="0" w:lastRowFirstColumn="0" w:lastRowLastColumn="0"/>
            <w:tcW w:w="709" w:type="pct"/>
          </w:tcPr>
          <w:p w14:paraId="430002E6" w14:textId="77777777" w:rsidR="004E45CF" w:rsidRPr="007B0FBA" w:rsidRDefault="004E45CF" w:rsidP="007007AC">
            <w:pPr>
              <w:pStyle w:val="TablecolumnheadCENTRETABLES"/>
              <w:jc w:val="center"/>
              <w:rPr>
                <w:rFonts w:ascii="Arial" w:hAnsi="Arial" w:cs="Arial"/>
                <w:b/>
                <w:bCs w:val="0"/>
                <w:color w:val="FFFFFF" w:themeColor="background1"/>
                <w:sz w:val="18"/>
                <w:szCs w:val="18"/>
              </w:rPr>
            </w:pPr>
            <w:r w:rsidRPr="007B0FBA">
              <w:rPr>
                <w:rFonts w:ascii="Arial" w:hAnsi="Arial" w:cs="Arial"/>
                <w:b/>
                <w:bCs w:val="0"/>
                <w:caps w:val="0"/>
                <w:color w:val="FFFFFF" w:themeColor="background1"/>
                <w:sz w:val="18"/>
                <w:szCs w:val="18"/>
                <w:lang w:eastAsia="en-AU"/>
              </w:rPr>
              <w:t>Full-time employment (%)</w:t>
            </w:r>
          </w:p>
        </w:tc>
        <w:tc>
          <w:tcPr>
            <w:cnfStyle w:val="000010000000" w:firstRow="0" w:lastRow="0" w:firstColumn="0" w:lastColumn="0" w:oddVBand="1" w:evenVBand="0" w:oddHBand="0" w:evenHBand="0" w:firstRowFirstColumn="0" w:firstRowLastColumn="0" w:lastRowFirstColumn="0" w:lastRowLastColumn="0"/>
            <w:tcW w:w="755" w:type="pct"/>
          </w:tcPr>
          <w:p w14:paraId="727C0493" w14:textId="77777777" w:rsidR="004E45CF" w:rsidRPr="007B0FBA" w:rsidRDefault="004E45CF" w:rsidP="007007AC">
            <w:pPr>
              <w:pStyle w:val="TablecolumnheadCENTRETABLES"/>
              <w:jc w:val="center"/>
              <w:rPr>
                <w:rFonts w:ascii="Arial" w:hAnsi="Arial" w:cs="Arial"/>
                <w:b/>
                <w:bCs w:val="0"/>
                <w:color w:val="FFFFFF" w:themeColor="background1"/>
                <w:sz w:val="18"/>
                <w:szCs w:val="18"/>
              </w:rPr>
            </w:pPr>
            <w:r w:rsidRPr="007B0FBA">
              <w:rPr>
                <w:rFonts w:ascii="Arial" w:hAnsi="Arial" w:cs="Arial"/>
                <w:b/>
                <w:bCs w:val="0"/>
                <w:caps w:val="0"/>
                <w:color w:val="FFFFFF" w:themeColor="background1"/>
                <w:sz w:val="18"/>
                <w:szCs w:val="18"/>
                <w:lang w:eastAsia="en-AU"/>
              </w:rPr>
              <w:t>Overall employment (%)</w:t>
            </w:r>
          </w:p>
        </w:tc>
        <w:tc>
          <w:tcPr>
            <w:cnfStyle w:val="000001000000" w:firstRow="0" w:lastRow="0" w:firstColumn="0" w:lastColumn="0" w:oddVBand="0" w:evenVBand="1" w:oddHBand="0" w:evenHBand="0" w:firstRowFirstColumn="0" w:firstRowLastColumn="0" w:lastRowFirstColumn="0" w:lastRowLastColumn="0"/>
            <w:tcW w:w="755" w:type="pct"/>
          </w:tcPr>
          <w:p w14:paraId="1AC85F22" w14:textId="77777777" w:rsidR="004E45CF" w:rsidRPr="007B0FBA" w:rsidRDefault="004E45CF" w:rsidP="007007AC">
            <w:pPr>
              <w:pStyle w:val="TablecolumnheadCENTRETABLES"/>
              <w:jc w:val="center"/>
              <w:rPr>
                <w:rFonts w:ascii="Arial" w:hAnsi="Arial" w:cs="Arial"/>
                <w:b/>
                <w:bCs w:val="0"/>
                <w:color w:val="FFFFFF" w:themeColor="background1"/>
                <w:sz w:val="18"/>
                <w:szCs w:val="18"/>
              </w:rPr>
            </w:pPr>
            <w:r w:rsidRPr="007B0FBA">
              <w:rPr>
                <w:rFonts w:ascii="Arial" w:hAnsi="Arial" w:cs="Arial"/>
                <w:b/>
                <w:bCs w:val="0"/>
                <w:caps w:val="0"/>
                <w:color w:val="FFFFFF" w:themeColor="background1"/>
                <w:sz w:val="18"/>
                <w:szCs w:val="18"/>
                <w:lang w:eastAsia="en-AU"/>
              </w:rPr>
              <w:t>Labour force participation rate (%)</w:t>
            </w:r>
          </w:p>
        </w:tc>
        <w:tc>
          <w:tcPr>
            <w:cnfStyle w:val="000010000000" w:firstRow="0" w:lastRow="0" w:firstColumn="0" w:lastColumn="0" w:oddVBand="1" w:evenVBand="0" w:oddHBand="0" w:evenHBand="0" w:firstRowFirstColumn="0" w:firstRowLastColumn="0" w:lastRowFirstColumn="0" w:lastRowLastColumn="0"/>
            <w:tcW w:w="755" w:type="pct"/>
          </w:tcPr>
          <w:p w14:paraId="13F66C34" w14:textId="77777777" w:rsidR="004E45CF" w:rsidRPr="007B0FBA" w:rsidRDefault="004E45CF" w:rsidP="007007AC">
            <w:pPr>
              <w:pStyle w:val="TablecolumnheadCENTRETABLES"/>
              <w:jc w:val="center"/>
              <w:rPr>
                <w:rFonts w:ascii="Arial" w:hAnsi="Arial" w:cs="Arial"/>
                <w:b/>
                <w:bCs w:val="0"/>
                <w:color w:val="FFFFFF" w:themeColor="background1"/>
                <w:sz w:val="18"/>
                <w:szCs w:val="18"/>
              </w:rPr>
            </w:pPr>
            <w:r w:rsidRPr="007B0FBA">
              <w:rPr>
                <w:rFonts w:ascii="Arial" w:hAnsi="Arial" w:cs="Arial"/>
                <w:b/>
                <w:bCs w:val="0"/>
                <w:caps w:val="0"/>
                <w:color w:val="FFFFFF" w:themeColor="background1"/>
                <w:sz w:val="18"/>
                <w:szCs w:val="18"/>
                <w:lang w:eastAsia="en-AU"/>
              </w:rPr>
              <w:t>Median full-time salary ($)</w:t>
            </w:r>
          </w:p>
        </w:tc>
      </w:tr>
      <w:tr w:rsidR="004E45CF" w:rsidRPr="00CF3E3D" w14:paraId="5419B22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A691A78"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Academy of Information Technology</w:t>
            </w:r>
          </w:p>
        </w:tc>
        <w:tc>
          <w:tcPr>
            <w:cnfStyle w:val="000001000000" w:firstRow="0" w:lastRow="0" w:firstColumn="0" w:lastColumn="0" w:oddVBand="0" w:evenVBand="1" w:oddHBand="0" w:evenHBand="0" w:firstRowFirstColumn="0" w:firstRowLastColumn="0" w:lastRowFirstColumn="0" w:lastRowLastColumn="0"/>
            <w:tcW w:w="709" w:type="pct"/>
          </w:tcPr>
          <w:p w14:paraId="1D29354D" w14:textId="77777777" w:rsidR="004E45CF" w:rsidRPr="00CF3E3D" w:rsidRDefault="004E45CF" w:rsidP="007B0FBA">
            <w:pPr>
              <w:spacing w:before="85" w:line="288" w:lineRule="auto"/>
              <w:jc w:val="center"/>
              <w:rPr>
                <w:sz w:val="18"/>
                <w:szCs w:val="18"/>
              </w:rPr>
            </w:pPr>
            <w:r w:rsidRPr="00CF3E3D">
              <w:rPr>
                <w:sz w:val="18"/>
                <w:szCs w:val="18"/>
              </w:rPr>
              <w:t>60.0 (55.1, 64.6)</w:t>
            </w:r>
          </w:p>
        </w:tc>
        <w:tc>
          <w:tcPr>
            <w:cnfStyle w:val="000010000000" w:firstRow="0" w:lastRow="0" w:firstColumn="0" w:lastColumn="0" w:oddVBand="1" w:evenVBand="0" w:oddHBand="0" w:evenHBand="0" w:firstRowFirstColumn="0" w:firstRowLastColumn="0" w:lastRowFirstColumn="0" w:lastRowLastColumn="0"/>
            <w:tcW w:w="755" w:type="pct"/>
          </w:tcPr>
          <w:p w14:paraId="50EE9E4B" w14:textId="77777777" w:rsidR="004E45CF" w:rsidRPr="00CF3E3D" w:rsidRDefault="004E45CF" w:rsidP="007B0FBA">
            <w:pPr>
              <w:spacing w:before="85" w:line="288" w:lineRule="auto"/>
              <w:jc w:val="center"/>
              <w:rPr>
                <w:sz w:val="18"/>
                <w:szCs w:val="18"/>
              </w:rPr>
            </w:pPr>
            <w:r w:rsidRPr="00CF3E3D">
              <w:rPr>
                <w:sz w:val="18"/>
                <w:szCs w:val="18"/>
              </w:rPr>
              <w:t>70.6 (66.3, 74.5)</w:t>
            </w:r>
          </w:p>
        </w:tc>
        <w:tc>
          <w:tcPr>
            <w:cnfStyle w:val="000001000000" w:firstRow="0" w:lastRow="0" w:firstColumn="0" w:lastColumn="0" w:oddVBand="0" w:evenVBand="1" w:oddHBand="0" w:evenHBand="0" w:firstRowFirstColumn="0" w:firstRowLastColumn="0" w:lastRowFirstColumn="0" w:lastRowLastColumn="0"/>
            <w:tcW w:w="755" w:type="pct"/>
          </w:tcPr>
          <w:p w14:paraId="6D3B7C7C" w14:textId="77777777" w:rsidR="004E45CF" w:rsidRPr="00CF3E3D" w:rsidRDefault="004E45CF" w:rsidP="007B0FBA">
            <w:pPr>
              <w:spacing w:before="85" w:line="288" w:lineRule="auto"/>
              <w:jc w:val="center"/>
              <w:rPr>
                <w:sz w:val="18"/>
                <w:szCs w:val="18"/>
              </w:rPr>
            </w:pPr>
            <w:r w:rsidRPr="00CF3E3D">
              <w:rPr>
                <w:sz w:val="18"/>
                <w:szCs w:val="18"/>
              </w:rPr>
              <w:t>93.4 (90.8, 95.2)</w:t>
            </w:r>
          </w:p>
        </w:tc>
        <w:tc>
          <w:tcPr>
            <w:cnfStyle w:val="000010000000" w:firstRow="0" w:lastRow="0" w:firstColumn="0" w:lastColumn="0" w:oddVBand="1" w:evenVBand="0" w:oddHBand="0" w:evenHBand="0" w:firstRowFirstColumn="0" w:firstRowLastColumn="0" w:lastRowFirstColumn="0" w:lastRowLastColumn="0"/>
            <w:tcW w:w="755" w:type="pct"/>
          </w:tcPr>
          <w:p w14:paraId="1E2387B3" w14:textId="77777777" w:rsidR="004E45CF" w:rsidRPr="00CF3E3D" w:rsidRDefault="004E45CF" w:rsidP="007B0FBA">
            <w:pPr>
              <w:spacing w:before="85" w:line="288" w:lineRule="auto"/>
              <w:jc w:val="center"/>
              <w:rPr>
                <w:sz w:val="18"/>
                <w:szCs w:val="18"/>
              </w:rPr>
            </w:pPr>
            <w:r w:rsidRPr="00CF3E3D">
              <w:rPr>
                <w:sz w:val="18"/>
                <w:szCs w:val="18"/>
              </w:rPr>
              <w:t>60,000 (57,300, 62,700)</w:t>
            </w:r>
          </w:p>
        </w:tc>
      </w:tr>
      <w:tr w:rsidR="004E45CF" w:rsidRPr="00CF3E3D" w14:paraId="2F33A16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8D51B25"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Adelaide Central School of Art</w:t>
            </w:r>
          </w:p>
        </w:tc>
        <w:tc>
          <w:tcPr>
            <w:cnfStyle w:val="000001000000" w:firstRow="0" w:lastRow="0" w:firstColumn="0" w:lastColumn="0" w:oddVBand="0" w:evenVBand="1" w:oddHBand="0" w:evenHBand="0" w:firstRowFirstColumn="0" w:firstRowLastColumn="0" w:lastRowFirstColumn="0" w:lastRowLastColumn="0"/>
            <w:tcW w:w="709" w:type="pct"/>
          </w:tcPr>
          <w:p w14:paraId="227F607E"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0BA5739B" w14:textId="77777777" w:rsidR="004E45CF" w:rsidRPr="00CF3E3D" w:rsidRDefault="004E45CF" w:rsidP="007B0FBA">
            <w:pPr>
              <w:spacing w:before="85" w:line="288" w:lineRule="auto"/>
              <w:jc w:val="center"/>
              <w:rPr>
                <w:sz w:val="18"/>
                <w:szCs w:val="18"/>
              </w:rPr>
            </w:pPr>
            <w:r w:rsidRPr="00CF3E3D">
              <w:rPr>
                <w:sz w:val="18"/>
                <w:szCs w:val="18"/>
              </w:rPr>
              <w:t>79.4 (68.9, 85.6)</w:t>
            </w:r>
          </w:p>
        </w:tc>
        <w:tc>
          <w:tcPr>
            <w:cnfStyle w:val="000001000000" w:firstRow="0" w:lastRow="0" w:firstColumn="0" w:lastColumn="0" w:oddVBand="0" w:evenVBand="1" w:oddHBand="0" w:evenHBand="0" w:firstRowFirstColumn="0" w:firstRowLastColumn="0" w:lastRowFirstColumn="0" w:lastRowLastColumn="0"/>
            <w:tcW w:w="755" w:type="pct"/>
          </w:tcPr>
          <w:p w14:paraId="6550ACC4" w14:textId="77777777" w:rsidR="004E45CF" w:rsidRPr="00CF3E3D" w:rsidRDefault="004E45CF" w:rsidP="007B0FBA">
            <w:pPr>
              <w:spacing w:before="85" w:line="288" w:lineRule="auto"/>
              <w:jc w:val="center"/>
              <w:rPr>
                <w:sz w:val="18"/>
                <w:szCs w:val="18"/>
              </w:rPr>
            </w:pPr>
            <w:r w:rsidRPr="00CF3E3D">
              <w:rPr>
                <w:sz w:val="18"/>
                <w:szCs w:val="18"/>
              </w:rPr>
              <w:t>75.6 (67.6, 80.6)</w:t>
            </w:r>
          </w:p>
        </w:tc>
        <w:tc>
          <w:tcPr>
            <w:cnfStyle w:val="000010000000" w:firstRow="0" w:lastRow="0" w:firstColumn="0" w:lastColumn="0" w:oddVBand="1" w:evenVBand="0" w:oddHBand="0" w:evenHBand="0" w:firstRowFirstColumn="0" w:firstRowLastColumn="0" w:lastRowFirstColumn="0" w:lastRowLastColumn="0"/>
            <w:tcW w:w="755" w:type="pct"/>
          </w:tcPr>
          <w:p w14:paraId="6300C287"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4063027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AC345D4"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Adelaide College of Divinity</w:t>
            </w:r>
          </w:p>
        </w:tc>
        <w:tc>
          <w:tcPr>
            <w:cnfStyle w:val="000001000000" w:firstRow="0" w:lastRow="0" w:firstColumn="0" w:lastColumn="0" w:oddVBand="0" w:evenVBand="1" w:oddHBand="0" w:evenHBand="0" w:firstRowFirstColumn="0" w:firstRowLastColumn="0" w:lastRowFirstColumn="0" w:lastRowLastColumn="0"/>
            <w:tcW w:w="709" w:type="pct"/>
          </w:tcPr>
          <w:p w14:paraId="605AC150"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14B6F81A" w14:textId="77777777" w:rsidR="004E45CF" w:rsidRPr="00CF3E3D" w:rsidRDefault="004E45CF" w:rsidP="007B0FBA">
            <w:pPr>
              <w:spacing w:before="85" w:line="288" w:lineRule="auto"/>
              <w:jc w:val="center"/>
              <w:rPr>
                <w:sz w:val="18"/>
                <w:szCs w:val="18"/>
              </w:rPr>
            </w:pPr>
            <w:r w:rsidRPr="00CF3E3D">
              <w:rPr>
                <w:sz w:val="18"/>
                <w:szCs w:val="18"/>
              </w:rPr>
              <w:t>82.8 (71.9, 88.0)</w:t>
            </w:r>
          </w:p>
        </w:tc>
        <w:tc>
          <w:tcPr>
            <w:cnfStyle w:val="000001000000" w:firstRow="0" w:lastRow="0" w:firstColumn="0" w:lastColumn="0" w:oddVBand="0" w:evenVBand="1" w:oddHBand="0" w:evenHBand="0" w:firstRowFirstColumn="0" w:firstRowLastColumn="0" w:lastRowFirstColumn="0" w:lastRowLastColumn="0"/>
            <w:tcW w:w="755" w:type="pct"/>
          </w:tcPr>
          <w:p w14:paraId="4A58AF59" w14:textId="77777777" w:rsidR="004E45CF" w:rsidRPr="00CF3E3D" w:rsidRDefault="004E45CF" w:rsidP="007B0FBA">
            <w:pPr>
              <w:spacing w:before="85" w:line="288" w:lineRule="auto"/>
              <w:jc w:val="center"/>
              <w:rPr>
                <w:sz w:val="18"/>
                <w:szCs w:val="18"/>
              </w:rPr>
            </w:pPr>
            <w:r w:rsidRPr="00CF3E3D">
              <w:rPr>
                <w:sz w:val="18"/>
                <w:szCs w:val="18"/>
              </w:rPr>
              <w:t>87.9 (78.8, 91.2)</w:t>
            </w:r>
          </w:p>
        </w:tc>
        <w:tc>
          <w:tcPr>
            <w:cnfStyle w:val="000010000000" w:firstRow="0" w:lastRow="0" w:firstColumn="0" w:lastColumn="0" w:oddVBand="1" w:evenVBand="0" w:oddHBand="0" w:evenHBand="0" w:firstRowFirstColumn="0" w:firstRowLastColumn="0" w:lastRowFirstColumn="0" w:lastRowLastColumn="0"/>
            <w:tcW w:w="755" w:type="pct"/>
          </w:tcPr>
          <w:p w14:paraId="474BC21F"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1B864F1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1627BF4"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Alphacrucis College</w:t>
            </w:r>
          </w:p>
        </w:tc>
        <w:tc>
          <w:tcPr>
            <w:cnfStyle w:val="000001000000" w:firstRow="0" w:lastRow="0" w:firstColumn="0" w:lastColumn="0" w:oddVBand="0" w:evenVBand="1" w:oddHBand="0" w:evenHBand="0" w:firstRowFirstColumn="0" w:firstRowLastColumn="0" w:lastRowFirstColumn="0" w:lastRowLastColumn="0"/>
            <w:tcW w:w="709" w:type="pct"/>
          </w:tcPr>
          <w:p w14:paraId="2A3A089F" w14:textId="77777777" w:rsidR="004E45CF" w:rsidRPr="00CF3E3D" w:rsidRDefault="004E45CF" w:rsidP="007B0FBA">
            <w:pPr>
              <w:spacing w:before="85" w:line="288" w:lineRule="auto"/>
              <w:jc w:val="center"/>
              <w:rPr>
                <w:sz w:val="18"/>
                <w:szCs w:val="18"/>
              </w:rPr>
            </w:pPr>
            <w:r w:rsidRPr="00CF3E3D">
              <w:rPr>
                <w:sz w:val="18"/>
                <w:szCs w:val="18"/>
              </w:rPr>
              <w:t>69.4 (63.6, 74.5)</w:t>
            </w:r>
          </w:p>
        </w:tc>
        <w:tc>
          <w:tcPr>
            <w:cnfStyle w:val="000010000000" w:firstRow="0" w:lastRow="0" w:firstColumn="0" w:lastColumn="0" w:oddVBand="1" w:evenVBand="0" w:oddHBand="0" w:evenHBand="0" w:firstRowFirstColumn="0" w:firstRowLastColumn="0" w:lastRowFirstColumn="0" w:lastRowLastColumn="0"/>
            <w:tcW w:w="755" w:type="pct"/>
          </w:tcPr>
          <w:p w14:paraId="0F699275" w14:textId="77777777" w:rsidR="004E45CF" w:rsidRPr="00CF3E3D" w:rsidRDefault="004E45CF" w:rsidP="007B0FBA">
            <w:pPr>
              <w:spacing w:before="85" w:line="288" w:lineRule="auto"/>
              <w:jc w:val="center"/>
              <w:rPr>
                <w:sz w:val="18"/>
                <w:szCs w:val="18"/>
              </w:rPr>
            </w:pPr>
            <w:r w:rsidRPr="00CF3E3D">
              <w:rPr>
                <w:sz w:val="18"/>
                <w:szCs w:val="18"/>
              </w:rPr>
              <w:t>82.8 (79.5, 85.5)</w:t>
            </w:r>
          </w:p>
        </w:tc>
        <w:tc>
          <w:tcPr>
            <w:cnfStyle w:val="000001000000" w:firstRow="0" w:lastRow="0" w:firstColumn="0" w:lastColumn="0" w:oddVBand="0" w:evenVBand="1" w:oddHBand="0" w:evenHBand="0" w:firstRowFirstColumn="0" w:firstRowLastColumn="0" w:lastRowFirstColumn="0" w:lastRowLastColumn="0"/>
            <w:tcW w:w="755" w:type="pct"/>
          </w:tcPr>
          <w:p w14:paraId="60244C0C" w14:textId="77777777" w:rsidR="004E45CF" w:rsidRPr="00CF3E3D" w:rsidRDefault="004E45CF" w:rsidP="007B0FBA">
            <w:pPr>
              <w:spacing w:before="85" w:line="288" w:lineRule="auto"/>
              <w:jc w:val="center"/>
              <w:rPr>
                <w:sz w:val="18"/>
                <w:szCs w:val="18"/>
              </w:rPr>
            </w:pPr>
            <w:r w:rsidRPr="00CF3E3D">
              <w:rPr>
                <w:sz w:val="18"/>
                <w:szCs w:val="18"/>
              </w:rPr>
              <w:t>84.1 (81.3, 86.4)</w:t>
            </w:r>
          </w:p>
        </w:tc>
        <w:tc>
          <w:tcPr>
            <w:cnfStyle w:val="000010000000" w:firstRow="0" w:lastRow="0" w:firstColumn="0" w:lastColumn="0" w:oddVBand="1" w:evenVBand="0" w:oddHBand="0" w:evenHBand="0" w:firstRowFirstColumn="0" w:firstRowLastColumn="0" w:lastRowFirstColumn="0" w:lastRowLastColumn="0"/>
            <w:tcW w:w="755" w:type="pct"/>
          </w:tcPr>
          <w:p w14:paraId="6B865561" w14:textId="77777777" w:rsidR="004E45CF" w:rsidRPr="00CF3E3D" w:rsidRDefault="004E45CF" w:rsidP="007B0FBA">
            <w:pPr>
              <w:spacing w:before="85" w:line="288" w:lineRule="auto"/>
              <w:jc w:val="center"/>
              <w:rPr>
                <w:sz w:val="18"/>
                <w:szCs w:val="18"/>
              </w:rPr>
            </w:pPr>
            <w:r w:rsidRPr="00CF3E3D">
              <w:rPr>
                <w:sz w:val="18"/>
                <w:szCs w:val="18"/>
              </w:rPr>
              <w:t>57,400 (53,400, 61,400)</w:t>
            </w:r>
          </w:p>
        </w:tc>
      </w:tr>
      <w:tr w:rsidR="004E45CF" w:rsidRPr="00CF3E3D" w14:paraId="7F5ACAB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A951214"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Australasian College of Health and Wellness</w:t>
            </w:r>
          </w:p>
        </w:tc>
        <w:tc>
          <w:tcPr>
            <w:cnfStyle w:val="000001000000" w:firstRow="0" w:lastRow="0" w:firstColumn="0" w:lastColumn="0" w:oddVBand="0" w:evenVBand="1" w:oddHBand="0" w:evenHBand="0" w:firstRowFirstColumn="0" w:firstRowLastColumn="0" w:lastRowFirstColumn="0" w:lastRowLastColumn="0"/>
            <w:tcW w:w="709" w:type="pct"/>
          </w:tcPr>
          <w:p w14:paraId="13E35240"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12D71195" w14:textId="77777777" w:rsidR="004E45CF" w:rsidRPr="00CF3E3D" w:rsidRDefault="004E45CF" w:rsidP="007B0FBA">
            <w:pPr>
              <w:spacing w:before="85" w:line="288" w:lineRule="auto"/>
              <w:jc w:val="center"/>
              <w:rPr>
                <w:sz w:val="18"/>
                <w:szCs w:val="18"/>
              </w:rPr>
            </w:pPr>
            <w:r w:rsidRPr="00CF3E3D">
              <w:rPr>
                <w:sz w:val="18"/>
                <w:szCs w:val="18"/>
              </w:rPr>
              <w:t>96.7 (86.5, 99.1)</w:t>
            </w:r>
          </w:p>
        </w:tc>
        <w:tc>
          <w:tcPr>
            <w:cnfStyle w:val="000001000000" w:firstRow="0" w:lastRow="0" w:firstColumn="0" w:lastColumn="0" w:oddVBand="0" w:evenVBand="1" w:oddHBand="0" w:evenHBand="0" w:firstRowFirstColumn="0" w:firstRowLastColumn="0" w:lastRowFirstColumn="0" w:lastRowLastColumn="0"/>
            <w:tcW w:w="755" w:type="pct"/>
          </w:tcPr>
          <w:p w14:paraId="5FCA3AAC" w14:textId="77777777" w:rsidR="004E45CF" w:rsidRPr="00CF3E3D" w:rsidRDefault="004E45CF" w:rsidP="007B0FBA">
            <w:pPr>
              <w:spacing w:before="85" w:line="288" w:lineRule="auto"/>
              <w:jc w:val="center"/>
              <w:rPr>
                <w:sz w:val="18"/>
                <w:szCs w:val="18"/>
              </w:rPr>
            </w:pPr>
            <w:r w:rsidRPr="00CF3E3D">
              <w:rPr>
                <w:sz w:val="18"/>
                <w:szCs w:val="18"/>
              </w:rPr>
              <w:t>93.8 (83.4, 97.3)</w:t>
            </w:r>
          </w:p>
        </w:tc>
        <w:tc>
          <w:tcPr>
            <w:cnfStyle w:val="000010000000" w:firstRow="0" w:lastRow="0" w:firstColumn="0" w:lastColumn="0" w:oddVBand="1" w:evenVBand="0" w:oddHBand="0" w:evenHBand="0" w:firstRowFirstColumn="0" w:firstRowLastColumn="0" w:lastRowFirstColumn="0" w:lastRowLastColumn="0"/>
            <w:tcW w:w="755" w:type="pct"/>
          </w:tcPr>
          <w:p w14:paraId="6C39C581"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2450949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91FBB33"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Australian Academy of Music and Performing Arts</w:t>
            </w:r>
          </w:p>
        </w:tc>
        <w:tc>
          <w:tcPr>
            <w:cnfStyle w:val="000001000000" w:firstRow="0" w:lastRow="0" w:firstColumn="0" w:lastColumn="0" w:oddVBand="0" w:evenVBand="1" w:oddHBand="0" w:evenHBand="0" w:firstRowFirstColumn="0" w:firstRowLastColumn="0" w:lastRowFirstColumn="0" w:lastRowLastColumn="0"/>
            <w:tcW w:w="709" w:type="pct"/>
          </w:tcPr>
          <w:p w14:paraId="315D82F2"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6B755B92" w14:textId="77777777" w:rsidR="004E45CF" w:rsidRPr="00CF3E3D" w:rsidRDefault="004E45CF" w:rsidP="007B0FBA">
            <w:pPr>
              <w:spacing w:before="85" w:line="288" w:lineRule="auto"/>
              <w:jc w:val="center"/>
              <w:rPr>
                <w:sz w:val="18"/>
                <w:szCs w:val="18"/>
              </w:rPr>
            </w:pPr>
            <w:r w:rsidRPr="00CF3E3D">
              <w:rPr>
                <w:sz w:val="18"/>
                <w:szCs w:val="18"/>
              </w:rPr>
              <w:t>77.8 (65.1, 85.4)</w:t>
            </w:r>
          </w:p>
        </w:tc>
        <w:tc>
          <w:tcPr>
            <w:cnfStyle w:val="000001000000" w:firstRow="0" w:lastRow="0" w:firstColumn="0" w:lastColumn="0" w:oddVBand="0" w:evenVBand="1" w:oddHBand="0" w:evenHBand="0" w:firstRowFirstColumn="0" w:firstRowLastColumn="0" w:lastRowFirstColumn="0" w:lastRowLastColumn="0"/>
            <w:tcW w:w="755" w:type="pct"/>
          </w:tcPr>
          <w:p w14:paraId="1046F231" w14:textId="77777777" w:rsidR="004E45CF" w:rsidRPr="00CF3E3D" w:rsidRDefault="004E45CF" w:rsidP="007B0FBA">
            <w:pPr>
              <w:spacing w:before="85" w:line="288" w:lineRule="auto"/>
              <w:jc w:val="center"/>
              <w:rPr>
                <w:sz w:val="18"/>
                <w:szCs w:val="18"/>
              </w:rPr>
            </w:pPr>
            <w:r w:rsidRPr="00CF3E3D">
              <w:rPr>
                <w:sz w:val="18"/>
                <w:szCs w:val="18"/>
              </w:rPr>
              <w:t>96.4 (86.3, 98.4)</w:t>
            </w:r>
          </w:p>
        </w:tc>
        <w:tc>
          <w:tcPr>
            <w:cnfStyle w:val="000010000000" w:firstRow="0" w:lastRow="0" w:firstColumn="0" w:lastColumn="0" w:oddVBand="1" w:evenVBand="0" w:oddHBand="0" w:evenHBand="0" w:firstRowFirstColumn="0" w:firstRowLastColumn="0" w:lastRowFirstColumn="0" w:lastRowLastColumn="0"/>
            <w:tcW w:w="755" w:type="pct"/>
          </w:tcPr>
          <w:p w14:paraId="0CC608E9"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51692F1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260EBF9"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lastRenderedPageBreak/>
              <w:t>Australian College of Applied Professions</w:t>
            </w:r>
          </w:p>
        </w:tc>
        <w:tc>
          <w:tcPr>
            <w:cnfStyle w:val="000001000000" w:firstRow="0" w:lastRow="0" w:firstColumn="0" w:lastColumn="0" w:oddVBand="0" w:evenVBand="1" w:oddHBand="0" w:evenHBand="0" w:firstRowFirstColumn="0" w:firstRowLastColumn="0" w:lastRowFirstColumn="0" w:lastRowLastColumn="0"/>
            <w:tcW w:w="709" w:type="pct"/>
          </w:tcPr>
          <w:p w14:paraId="1B49931D" w14:textId="77777777" w:rsidR="004E45CF" w:rsidRPr="00CF3E3D" w:rsidRDefault="004E45CF" w:rsidP="007B0FBA">
            <w:pPr>
              <w:spacing w:before="85" w:line="288" w:lineRule="auto"/>
              <w:jc w:val="center"/>
              <w:rPr>
                <w:sz w:val="18"/>
                <w:szCs w:val="18"/>
              </w:rPr>
            </w:pPr>
            <w:r w:rsidRPr="00CF3E3D">
              <w:rPr>
                <w:sz w:val="18"/>
                <w:szCs w:val="18"/>
              </w:rPr>
              <w:t>61.8 (57.6, 65.7)</w:t>
            </w:r>
          </w:p>
        </w:tc>
        <w:tc>
          <w:tcPr>
            <w:cnfStyle w:val="000010000000" w:firstRow="0" w:lastRow="0" w:firstColumn="0" w:lastColumn="0" w:oddVBand="1" w:evenVBand="0" w:oddHBand="0" w:evenHBand="0" w:firstRowFirstColumn="0" w:firstRowLastColumn="0" w:lastRowFirstColumn="0" w:lastRowLastColumn="0"/>
            <w:tcW w:w="755" w:type="pct"/>
          </w:tcPr>
          <w:p w14:paraId="709D8956" w14:textId="77777777" w:rsidR="004E45CF" w:rsidRPr="00CF3E3D" w:rsidRDefault="004E45CF" w:rsidP="007B0FBA">
            <w:pPr>
              <w:spacing w:before="85" w:line="288" w:lineRule="auto"/>
              <w:jc w:val="center"/>
              <w:rPr>
                <w:sz w:val="18"/>
                <w:szCs w:val="18"/>
              </w:rPr>
            </w:pPr>
            <w:r w:rsidRPr="00CF3E3D">
              <w:rPr>
                <w:sz w:val="18"/>
                <w:szCs w:val="18"/>
              </w:rPr>
              <w:t>80.1 (77.5, 82.3)</w:t>
            </w:r>
          </w:p>
        </w:tc>
        <w:tc>
          <w:tcPr>
            <w:cnfStyle w:val="000001000000" w:firstRow="0" w:lastRow="0" w:firstColumn="0" w:lastColumn="0" w:oddVBand="0" w:evenVBand="1" w:oddHBand="0" w:evenHBand="0" w:firstRowFirstColumn="0" w:firstRowLastColumn="0" w:lastRowFirstColumn="0" w:lastRowLastColumn="0"/>
            <w:tcW w:w="755" w:type="pct"/>
          </w:tcPr>
          <w:p w14:paraId="66AAA538" w14:textId="77777777" w:rsidR="004E45CF" w:rsidRPr="00CF3E3D" w:rsidRDefault="004E45CF" w:rsidP="007B0FBA">
            <w:pPr>
              <w:spacing w:before="85" w:line="288" w:lineRule="auto"/>
              <w:jc w:val="center"/>
              <w:rPr>
                <w:sz w:val="18"/>
                <w:szCs w:val="18"/>
              </w:rPr>
            </w:pPr>
            <w:r w:rsidRPr="00CF3E3D">
              <w:rPr>
                <w:sz w:val="18"/>
                <w:szCs w:val="18"/>
              </w:rPr>
              <w:t>90.6 (88.8, 92.0)</w:t>
            </w:r>
          </w:p>
        </w:tc>
        <w:tc>
          <w:tcPr>
            <w:cnfStyle w:val="000010000000" w:firstRow="0" w:lastRow="0" w:firstColumn="0" w:lastColumn="0" w:oddVBand="1" w:evenVBand="0" w:oddHBand="0" w:evenHBand="0" w:firstRowFirstColumn="0" w:firstRowLastColumn="0" w:lastRowFirstColumn="0" w:lastRowLastColumn="0"/>
            <w:tcW w:w="755" w:type="pct"/>
          </w:tcPr>
          <w:p w14:paraId="3B9154A6" w14:textId="77777777" w:rsidR="004E45CF" w:rsidRPr="00CF3E3D" w:rsidRDefault="004E45CF" w:rsidP="007B0FBA">
            <w:pPr>
              <w:spacing w:before="85" w:line="288" w:lineRule="auto"/>
              <w:jc w:val="center"/>
              <w:rPr>
                <w:sz w:val="18"/>
                <w:szCs w:val="18"/>
              </w:rPr>
            </w:pPr>
            <w:r w:rsidRPr="00CF3E3D">
              <w:rPr>
                <w:sz w:val="18"/>
                <w:szCs w:val="18"/>
              </w:rPr>
              <w:t>66,000 (60,600, 71,400)</w:t>
            </w:r>
          </w:p>
        </w:tc>
      </w:tr>
      <w:tr w:rsidR="004E45CF" w:rsidRPr="00CF3E3D" w14:paraId="31CCB4B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B401D1B"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Australian College of Christian Studies</w:t>
            </w:r>
          </w:p>
        </w:tc>
        <w:tc>
          <w:tcPr>
            <w:cnfStyle w:val="000001000000" w:firstRow="0" w:lastRow="0" w:firstColumn="0" w:lastColumn="0" w:oddVBand="0" w:evenVBand="1" w:oddHBand="0" w:evenHBand="0" w:firstRowFirstColumn="0" w:firstRowLastColumn="0" w:lastRowFirstColumn="0" w:lastRowLastColumn="0"/>
            <w:tcW w:w="709" w:type="pct"/>
          </w:tcPr>
          <w:p w14:paraId="75A984E6"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035C6192"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0A17D4D1" w14:textId="77777777" w:rsidR="004E45CF" w:rsidRPr="00CF3E3D" w:rsidRDefault="004E45CF" w:rsidP="007B0FBA">
            <w:pPr>
              <w:spacing w:before="85" w:line="288" w:lineRule="auto"/>
              <w:jc w:val="center"/>
              <w:rPr>
                <w:sz w:val="18"/>
                <w:szCs w:val="18"/>
              </w:rPr>
            </w:pPr>
            <w:r w:rsidRPr="00CF3E3D">
              <w:rPr>
                <w:sz w:val="18"/>
                <w:szCs w:val="18"/>
              </w:rPr>
              <w:t>81.5 (69.8, 87.4)</w:t>
            </w:r>
          </w:p>
        </w:tc>
        <w:tc>
          <w:tcPr>
            <w:cnfStyle w:val="000010000000" w:firstRow="0" w:lastRow="0" w:firstColumn="0" w:lastColumn="0" w:oddVBand="1" w:evenVBand="0" w:oddHBand="0" w:evenHBand="0" w:firstRowFirstColumn="0" w:firstRowLastColumn="0" w:lastRowFirstColumn="0" w:lastRowLastColumn="0"/>
            <w:tcW w:w="755" w:type="pct"/>
          </w:tcPr>
          <w:p w14:paraId="4F4C00EF"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62A8678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53D3C1A"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Australian College of Theology Limited</w:t>
            </w:r>
          </w:p>
        </w:tc>
        <w:tc>
          <w:tcPr>
            <w:cnfStyle w:val="000001000000" w:firstRow="0" w:lastRow="0" w:firstColumn="0" w:lastColumn="0" w:oddVBand="0" w:evenVBand="1" w:oddHBand="0" w:evenHBand="0" w:firstRowFirstColumn="0" w:firstRowLastColumn="0" w:lastRowFirstColumn="0" w:lastRowLastColumn="0"/>
            <w:tcW w:w="709" w:type="pct"/>
          </w:tcPr>
          <w:p w14:paraId="69377BB2" w14:textId="77777777" w:rsidR="004E45CF" w:rsidRPr="00CF3E3D" w:rsidRDefault="004E45CF" w:rsidP="007B0FBA">
            <w:pPr>
              <w:spacing w:before="85" w:line="288" w:lineRule="auto"/>
              <w:jc w:val="center"/>
              <w:rPr>
                <w:sz w:val="18"/>
                <w:szCs w:val="18"/>
              </w:rPr>
            </w:pPr>
            <w:r w:rsidRPr="00CF3E3D">
              <w:rPr>
                <w:sz w:val="18"/>
                <w:szCs w:val="18"/>
              </w:rPr>
              <w:t>79.1 (74.2, 83.2)</w:t>
            </w:r>
          </w:p>
        </w:tc>
        <w:tc>
          <w:tcPr>
            <w:cnfStyle w:val="000010000000" w:firstRow="0" w:lastRow="0" w:firstColumn="0" w:lastColumn="0" w:oddVBand="1" w:evenVBand="0" w:oddHBand="0" w:evenHBand="0" w:firstRowFirstColumn="0" w:firstRowLastColumn="0" w:lastRowFirstColumn="0" w:lastRowLastColumn="0"/>
            <w:tcW w:w="755" w:type="pct"/>
          </w:tcPr>
          <w:p w14:paraId="10915C18" w14:textId="77777777" w:rsidR="004E45CF" w:rsidRPr="00CF3E3D" w:rsidRDefault="004E45CF" w:rsidP="007B0FBA">
            <w:pPr>
              <w:spacing w:before="85" w:line="288" w:lineRule="auto"/>
              <w:jc w:val="center"/>
              <w:rPr>
                <w:sz w:val="18"/>
                <w:szCs w:val="18"/>
              </w:rPr>
            </w:pPr>
            <w:r w:rsidRPr="00CF3E3D">
              <w:rPr>
                <w:sz w:val="18"/>
                <w:szCs w:val="18"/>
              </w:rPr>
              <w:t>88.8 (86.3, 90.7)</w:t>
            </w:r>
          </w:p>
        </w:tc>
        <w:tc>
          <w:tcPr>
            <w:cnfStyle w:val="000001000000" w:firstRow="0" w:lastRow="0" w:firstColumn="0" w:lastColumn="0" w:oddVBand="0" w:evenVBand="1" w:oddHBand="0" w:evenHBand="0" w:firstRowFirstColumn="0" w:firstRowLastColumn="0" w:lastRowFirstColumn="0" w:lastRowLastColumn="0"/>
            <w:tcW w:w="755" w:type="pct"/>
          </w:tcPr>
          <w:p w14:paraId="3386C4EF" w14:textId="77777777" w:rsidR="004E45CF" w:rsidRPr="00CF3E3D" w:rsidRDefault="004E45CF" w:rsidP="007B0FBA">
            <w:pPr>
              <w:spacing w:before="85" w:line="288" w:lineRule="auto"/>
              <w:jc w:val="center"/>
              <w:rPr>
                <w:sz w:val="18"/>
                <w:szCs w:val="18"/>
              </w:rPr>
            </w:pPr>
            <w:r w:rsidRPr="00CF3E3D">
              <w:rPr>
                <w:sz w:val="18"/>
                <w:szCs w:val="18"/>
              </w:rPr>
              <w:t>80.2 (77.7, 82.3)</w:t>
            </w:r>
          </w:p>
        </w:tc>
        <w:tc>
          <w:tcPr>
            <w:cnfStyle w:val="000010000000" w:firstRow="0" w:lastRow="0" w:firstColumn="0" w:lastColumn="0" w:oddVBand="1" w:evenVBand="0" w:oddHBand="0" w:evenHBand="0" w:firstRowFirstColumn="0" w:firstRowLastColumn="0" w:lastRowFirstColumn="0" w:lastRowLastColumn="0"/>
            <w:tcW w:w="755" w:type="pct"/>
          </w:tcPr>
          <w:p w14:paraId="543DD1D9" w14:textId="77777777" w:rsidR="004E45CF" w:rsidRPr="00CF3E3D" w:rsidRDefault="004E45CF" w:rsidP="007B0FBA">
            <w:pPr>
              <w:spacing w:before="85" w:line="288" w:lineRule="auto"/>
              <w:jc w:val="center"/>
              <w:rPr>
                <w:sz w:val="18"/>
                <w:szCs w:val="18"/>
              </w:rPr>
            </w:pPr>
            <w:r w:rsidRPr="00CF3E3D">
              <w:rPr>
                <w:sz w:val="18"/>
                <w:szCs w:val="18"/>
              </w:rPr>
              <w:t>60,000 (56,200, 63,800)</w:t>
            </w:r>
          </w:p>
        </w:tc>
      </w:tr>
      <w:tr w:rsidR="004E45CF" w:rsidRPr="00CF3E3D" w14:paraId="498DB5C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199270B"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Australian Institute of Professional Counsellors</w:t>
            </w:r>
          </w:p>
        </w:tc>
        <w:tc>
          <w:tcPr>
            <w:cnfStyle w:val="000001000000" w:firstRow="0" w:lastRow="0" w:firstColumn="0" w:lastColumn="0" w:oddVBand="0" w:evenVBand="1" w:oddHBand="0" w:evenHBand="0" w:firstRowFirstColumn="0" w:firstRowLastColumn="0" w:lastRowFirstColumn="0" w:lastRowLastColumn="0"/>
            <w:tcW w:w="709" w:type="pct"/>
          </w:tcPr>
          <w:p w14:paraId="1B7BD240"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783DA176"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6F681F41"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0883F654"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1906EC7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C837526"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Box Hill Institute</w:t>
            </w:r>
          </w:p>
        </w:tc>
        <w:tc>
          <w:tcPr>
            <w:cnfStyle w:val="000001000000" w:firstRow="0" w:lastRow="0" w:firstColumn="0" w:lastColumn="0" w:oddVBand="0" w:evenVBand="1" w:oddHBand="0" w:evenHBand="0" w:firstRowFirstColumn="0" w:firstRowLastColumn="0" w:lastRowFirstColumn="0" w:lastRowLastColumn="0"/>
            <w:tcW w:w="709" w:type="pct"/>
          </w:tcPr>
          <w:p w14:paraId="3A321530" w14:textId="77777777" w:rsidR="004E45CF" w:rsidRPr="00CF3E3D" w:rsidRDefault="004E45CF" w:rsidP="007B0FBA">
            <w:pPr>
              <w:spacing w:before="85" w:line="288" w:lineRule="auto"/>
              <w:jc w:val="center"/>
              <w:rPr>
                <w:sz w:val="18"/>
                <w:szCs w:val="18"/>
              </w:rPr>
            </w:pPr>
            <w:r w:rsidRPr="00CF3E3D">
              <w:rPr>
                <w:sz w:val="18"/>
                <w:szCs w:val="18"/>
              </w:rPr>
              <w:t>60.8 (52.5, 68.3)</w:t>
            </w:r>
          </w:p>
        </w:tc>
        <w:tc>
          <w:tcPr>
            <w:cnfStyle w:val="000010000000" w:firstRow="0" w:lastRow="0" w:firstColumn="0" w:lastColumn="0" w:oddVBand="1" w:evenVBand="0" w:oddHBand="0" w:evenHBand="0" w:firstRowFirstColumn="0" w:firstRowLastColumn="0" w:lastRowFirstColumn="0" w:lastRowLastColumn="0"/>
            <w:tcW w:w="755" w:type="pct"/>
          </w:tcPr>
          <w:p w14:paraId="2E6398DF" w14:textId="77777777" w:rsidR="004E45CF" w:rsidRPr="00CF3E3D" w:rsidRDefault="004E45CF" w:rsidP="007B0FBA">
            <w:pPr>
              <w:spacing w:before="85" w:line="288" w:lineRule="auto"/>
              <w:jc w:val="center"/>
              <w:rPr>
                <w:sz w:val="18"/>
                <w:szCs w:val="18"/>
              </w:rPr>
            </w:pPr>
            <w:r w:rsidRPr="00CF3E3D">
              <w:rPr>
                <w:sz w:val="18"/>
                <w:szCs w:val="18"/>
              </w:rPr>
              <w:t>75.8 (69.4, 80.8)</w:t>
            </w:r>
          </w:p>
        </w:tc>
        <w:tc>
          <w:tcPr>
            <w:cnfStyle w:val="000001000000" w:firstRow="0" w:lastRow="0" w:firstColumn="0" w:lastColumn="0" w:oddVBand="0" w:evenVBand="1" w:oddHBand="0" w:evenHBand="0" w:firstRowFirstColumn="0" w:firstRowLastColumn="0" w:lastRowFirstColumn="0" w:lastRowLastColumn="0"/>
            <w:tcW w:w="755" w:type="pct"/>
          </w:tcPr>
          <w:p w14:paraId="3DEC72F6" w14:textId="77777777" w:rsidR="004E45CF" w:rsidRPr="00CF3E3D" w:rsidRDefault="004E45CF" w:rsidP="007B0FBA">
            <w:pPr>
              <w:spacing w:before="85" w:line="288" w:lineRule="auto"/>
              <w:jc w:val="center"/>
              <w:rPr>
                <w:sz w:val="18"/>
                <w:szCs w:val="18"/>
              </w:rPr>
            </w:pPr>
            <w:r w:rsidRPr="00CF3E3D">
              <w:rPr>
                <w:sz w:val="18"/>
                <w:szCs w:val="18"/>
              </w:rPr>
              <w:t>89.2 (84.4, 92.1)</w:t>
            </w:r>
          </w:p>
        </w:tc>
        <w:tc>
          <w:tcPr>
            <w:cnfStyle w:val="000010000000" w:firstRow="0" w:lastRow="0" w:firstColumn="0" w:lastColumn="0" w:oddVBand="1" w:evenVBand="0" w:oddHBand="0" w:evenHBand="0" w:firstRowFirstColumn="0" w:firstRowLastColumn="0" w:lastRowFirstColumn="0" w:lastRowLastColumn="0"/>
            <w:tcW w:w="755" w:type="pct"/>
          </w:tcPr>
          <w:p w14:paraId="330319F0" w14:textId="77777777" w:rsidR="004E45CF" w:rsidRPr="00CF3E3D" w:rsidRDefault="004E45CF" w:rsidP="007B0FBA">
            <w:pPr>
              <w:spacing w:before="85" w:line="288" w:lineRule="auto"/>
              <w:jc w:val="center"/>
              <w:rPr>
                <w:sz w:val="18"/>
                <w:szCs w:val="18"/>
              </w:rPr>
            </w:pPr>
            <w:r w:rsidRPr="00CF3E3D">
              <w:rPr>
                <w:sz w:val="18"/>
                <w:szCs w:val="18"/>
              </w:rPr>
              <w:t>73,900 (63,000, 84,900)</w:t>
            </w:r>
          </w:p>
        </w:tc>
      </w:tr>
      <w:tr w:rsidR="004E45CF" w:rsidRPr="00CF3E3D" w14:paraId="2700BC3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9AAA118"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Campion College Australia</w:t>
            </w:r>
          </w:p>
        </w:tc>
        <w:tc>
          <w:tcPr>
            <w:cnfStyle w:val="000001000000" w:firstRow="0" w:lastRow="0" w:firstColumn="0" w:lastColumn="0" w:oddVBand="0" w:evenVBand="1" w:oddHBand="0" w:evenHBand="0" w:firstRowFirstColumn="0" w:firstRowLastColumn="0" w:lastRowFirstColumn="0" w:lastRowLastColumn="0"/>
            <w:tcW w:w="709" w:type="pct"/>
          </w:tcPr>
          <w:p w14:paraId="61F2E5F7"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3E6D232D" w14:textId="77777777" w:rsidR="004E45CF" w:rsidRPr="00CF3E3D" w:rsidRDefault="004E45CF" w:rsidP="007B0FBA">
            <w:pPr>
              <w:spacing w:before="85" w:line="288" w:lineRule="auto"/>
              <w:jc w:val="center"/>
              <w:rPr>
                <w:sz w:val="18"/>
                <w:szCs w:val="18"/>
              </w:rPr>
            </w:pPr>
            <w:r w:rsidRPr="00CF3E3D">
              <w:rPr>
                <w:sz w:val="18"/>
                <w:szCs w:val="18"/>
              </w:rPr>
              <w:t>78.9 (68.7, 85.4)</w:t>
            </w:r>
          </w:p>
        </w:tc>
        <w:tc>
          <w:tcPr>
            <w:cnfStyle w:val="000001000000" w:firstRow="0" w:lastRow="0" w:firstColumn="0" w:lastColumn="0" w:oddVBand="0" w:evenVBand="1" w:oddHBand="0" w:evenHBand="0" w:firstRowFirstColumn="0" w:firstRowLastColumn="0" w:lastRowFirstColumn="0" w:lastRowLastColumn="0"/>
            <w:tcW w:w="755" w:type="pct"/>
          </w:tcPr>
          <w:p w14:paraId="7BEB4525" w14:textId="77777777" w:rsidR="004E45CF" w:rsidRPr="00CF3E3D" w:rsidRDefault="004E45CF" w:rsidP="007B0FBA">
            <w:pPr>
              <w:spacing w:before="85" w:line="288" w:lineRule="auto"/>
              <w:jc w:val="center"/>
              <w:rPr>
                <w:sz w:val="18"/>
                <w:szCs w:val="18"/>
              </w:rPr>
            </w:pPr>
            <w:r w:rsidRPr="00CF3E3D">
              <w:rPr>
                <w:sz w:val="18"/>
                <w:szCs w:val="18"/>
              </w:rPr>
              <w:t>90.5 (82.1, 93.9)</w:t>
            </w:r>
          </w:p>
        </w:tc>
        <w:tc>
          <w:tcPr>
            <w:cnfStyle w:val="000010000000" w:firstRow="0" w:lastRow="0" w:firstColumn="0" w:lastColumn="0" w:oddVBand="1" w:evenVBand="0" w:oddHBand="0" w:evenHBand="0" w:firstRowFirstColumn="0" w:firstRowLastColumn="0" w:lastRowFirstColumn="0" w:lastRowLastColumn="0"/>
            <w:tcW w:w="755" w:type="pct"/>
          </w:tcPr>
          <w:p w14:paraId="0BC88771"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7EE7D43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2414C5D"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Canberra Institute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7E1B8970"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01747EFC" w14:textId="77777777" w:rsidR="004E45CF" w:rsidRPr="00CF3E3D" w:rsidRDefault="004E45CF" w:rsidP="007B0FBA">
            <w:pPr>
              <w:spacing w:before="85" w:line="288" w:lineRule="auto"/>
              <w:jc w:val="center"/>
              <w:rPr>
                <w:sz w:val="18"/>
                <w:szCs w:val="18"/>
              </w:rPr>
            </w:pPr>
            <w:r w:rsidRPr="00CF3E3D">
              <w:rPr>
                <w:sz w:val="18"/>
                <w:szCs w:val="18"/>
              </w:rPr>
              <w:t>88.0 (75.5, 93.1)</w:t>
            </w:r>
          </w:p>
        </w:tc>
        <w:tc>
          <w:tcPr>
            <w:cnfStyle w:val="000001000000" w:firstRow="0" w:lastRow="0" w:firstColumn="0" w:lastColumn="0" w:oddVBand="0" w:evenVBand="1" w:oddHBand="0" w:evenHBand="0" w:firstRowFirstColumn="0" w:firstRowLastColumn="0" w:lastRowFirstColumn="0" w:lastRowLastColumn="0"/>
            <w:tcW w:w="755" w:type="pct"/>
          </w:tcPr>
          <w:p w14:paraId="6D382F3C" w14:textId="77777777" w:rsidR="004E45CF" w:rsidRPr="00CF3E3D" w:rsidRDefault="004E45CF" w:rsidP="007B0FBA">
            <w:pPr>
              <w:spacing w:before="85" w:line="288" w:lineRule="auto"/>
              <w:jc w:val="center"/>
              <w:rPr>
                <w:sz w:val="18"/>
                <w:szCs w:val="18"/>
              </w:rPr>
            </w:pPr>
            <w:r w:rsidRPr="00CF3E3D">
              <w:rPr>
                <w:sz w:val="18"/>
                <w:szCs w:val="18"/>
              </w:rPr>
              <w:t>96.2 (85.4, 98.2)</w:t>
            </w:r>
          </w:p>
        </w:tc>
        <w:tc>
          <w:tcPr>
            <w:cnfStyle w:val="000010000000" w:firstRow="0" w:lastRow="0" w:firstColumn="0" w:lastColumn="0" w:oddVBand="1" w:evenVBand="0" w:oddHBand="0" w:evenHBand="0" w:firstRowFirstColumn="0" w:firstRowLastColumn="0" w:lastRowFirstColumn="0" w:lastRowLastColumn="0"/>
            <w:tcW w:w="755" w:type="pct"/>
          </w:tcPr>
          <w:p w14:paraId="1F78F8A7"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17F450E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EC6237F"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Chisholm Institute</w:t>
            </w:r>
          </w:p>
        </w:tc>
        <w:tc>
          <w:tcPr>
            <w:cnfStyle w:val="000001000000" w:firstRow="0" w:lastRow="0" w:firstColumn="0" w:lastColumn="0" w:oddVBand="0" w:evenVBand="1" w:oddHBand="0" w:evenHBand="0" w:firstRowFirstColumn="0" w:firstRowLastColumn="0" w:lastRowFirstColumn="0" w:lastRowLastColumn="0"/>
            <w:tcW w:w="709" w:type="pct"/>
          </w:tcPr>
          <w:p w14:paraId="324C7204"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39BEC3BE"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66682404"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443A9F0B"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1F1FC85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2D1451B"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Christian Heritage College</w:t>
            </w:r>
          </w:p>
        </w:tc>
        <w:tc>
          <w:tcPr>
            <w:cnfStyle w:val="000001000000" w:firstRow="0" w:lastRow="0" w:firstColumn="0" w:lastColumn="0" w:oddVBand="0" w:evenVBand="1" w:oddHBand="0" w:evenHBand="0" w:firstRowFirstColumn="0" w:firstRowLastColumn="0" w:lastRowFirstColumn="0" w:lastRowLastColumn="0"/>
            <w:tcW w:w="709" w:type="pct"/>
          </w:tcPr>
          <w:p w14:paraId="0154C859" w14:textId="77777777" w:rsidR="004E45CF" w:rsidRPr="00CF3E3D" w:rsidRDefault="004E45CF" w:rsidP="007B0FBA">
            <w:pPr>
              <w:spacing w:before="85" w:line="288" w:lineRule="auto"/>
              <w:jc w:val="center"/>
              <w:rPr>
                <w:sz w:val="18"/>
                <w:szCs w:val="18"/>
              </w:rPr>
            </w:pPr>
            <w:r w:rsidRPr="00CF3E3D">
              <w:rPr>
                <w:sz w:val="18"/>
                <w:szCs w:val="18"/>
              </w:rPr>
              <w:t>77.8 (69.1, 84.2)</w:t>
            </w:r>
          </w:p>
        </w:tc>
        <w:tc>
          <w:tcPr>
            <w:cnfStyle w:val="000010000000" w:firstRow="0" w:lastRow="0" w:firstColumn="0" w:lastColumn="0" w:oddVBand="1" w:evenVBand="0" w:oddHBand="0" w:evenHBand="0" w:firstRowFirstColumn="0" w:firstRowLastColumn="0" w:lastRowFirstColumn="0" w:lastRowLastColumn="0"/>
            <w:tcW w:w="755" w:type="pct"/>
          </w:tcPr>
          <w:p w14:paraId="2C969FE7" w14:textId="77777777" w:rsidR="004E45CF" w:rsidRPr="00CF3E3D" w:rsidRDefault="004E45CF" w:rsidP="007B0FBA">
            <w:pPr>
              <w:spacing w:before="85" w:line="288" w:lineRule="auto"/>
              <w:jc w:val="center"/>
              <w:rPr>
                <w:sz w:val="18"/>
                <w:szCs w:val="18"/>
              </w:rPr>
            </w:pPr>
            <w:r w:rsidRPr="00CF3E3D">
              <w:rPr>
                <w:sz w:val="18"/>
                <w:szCs w:val="18"/>
              </w:rPr>
              <w:t>89.3 (84.3, 92.4)</w:t>
            </w:r>
          </w:p>
        </w:tc>
        <w:tc>
          <w:tcPr>
            <w:cnfStyle w:val="000001000000" w:firstRow="0" w:lastRow="0" w:firstColumn="0" w:lastColumn="0" w:oddVBand="0" w:evenVBand="1" w:oddHBand="0" w:evenHBand="0" w:firstRowFirstColumn="0" w:firstRowLastColumn="0" w:lastRowFirstColumn="0" w:lastRowLastColumn="0"/>
            <w:tcW w:w="755" w:type="pct"/>
          </w:tcPr>
          <w:p w14:paraId="298122C8" w14:textId="77777777" w:rsidR="004E45CF" w:rsidRPr="00CF3E3D" w:rsidRDefault="004E45CF" w:rsidP="007B0FBA">
            <w:pPr>
              <w:spacing w:before="85" w:line="288" w:lineRule="auto"/>
              <w:jc w:val="center"/>
              <w:rPr>
                <w:sz w:val="18"/>
                <w:szCs w:val="18"/>
              </w:rPr>
            </w:pPr>
            <w:r w:rsidRPr="00CF3E3D">
              <w:rPr>
                <w:sz w:val="18"/>
                <w:szCs w:val="18"/>
              </w:rPr>
              <w:t>87.3 (82.6, 90.3)</w:t>
            </w:r>
          </w:p>
        </w:tc>
        <w:tc>
          <w:tcPr>
            <w:cnfStyle w:val="000010000000" w:firstRow="0" w:lastRow="0" w:firstColumn="0" w:lastColumn="0" w:oddVBand="1" w:evenVBand="0" w:oddHBand="0" w:evenHBand="0" w:firstRowFirstColumn="0" w:firstRowLastColumn="0" w:lastRowFirstColumn="0" w:lastRowLastColumn="0"/>
            <w:tcW w:w="755" w:type="pct"/>
          </w:tcPr>
          <w:p w14:paraId="5A202B08" w14:textId="77777777" w:rsidR="004E45CF" w:rsidRPr="00CF3E3D" w:rsidRDefault="004E45CF" w:rsidP="007B0FBA">
            <w:pPr>
              <w:spacing w:before="85" w:line="288" w:lineRule="auto"/>
              <w:jc w:val="center"/>
              <w:rPr>
                <w:sz w:val="18"/>
                <w:szCs w:val="18"/>
              </w:rPr>
            </w:pPr>
            <w:r w:rsidRPr="00CF3E3D">
              <w:rPr>
                <w:sz w:val="18"/>
                <w:szCs w:val="18"/>
              </w:rPr>
              <w:t>61,400 (50,900, 71,900)</w:t>
            </w:r>
          </w:p>
        </w:tc>
      </w:tr>
      <w:tr w:rsidR="004E45CF" w:rsidRPr="00CF3E3D" w14:paraId="6F507A46"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1552EC3" w14:textId="77777777" w:rsidR="004E45CF" w:rsidRPr="00585C58" w:rsidRDefault="004E45CF" w:rsidP="007B0FBA">
            <w:pPr>
              <w:spacing w:before="85" w:line="288" w:lineRule="auto"/>
              <w:rPr>
                <w:b/>
                <w:bCs/>
                <w:sz w:val="18"/>
                <w:szCs w:val="18"/>
                <w:lang w:eastAsia="en-AU"/>
              </w:rPr>
            </w:pPr>
            <w:proofErr w:type="spellStart"/>
            <w:r w:rsidRPr="00585C58">
              <w:rPr>
                <w:b/>
                <w:bCs/>
                <w:sz w:val="18"/>
                <w:szCs w:val="18"/>
                <w:lang w:eastAsia="en-AU"/>
              </w:rPr>
              <w:t>Collarts</w:t>
            </w:r>
            <w:proofErr w:type="spellEnd"/>
            <w:r w:rsidRPr="00585C58">
              <w:rPr>
                <w:b/>
                <w:bCs/>
                <w:sz w:val="18"/>
                <w:szCs w:val="18"/>
                <w:lang w:eastAsia="en-AU"/>
              </w:rPr>
              <w:t xml:space="preserve"> (Australian College of the Arts)</w:t>
            </w:r>
          </w:p>
        </w:tc>
        <w:tc>
          <w:tcPr>
            <w:cnfStyle w:val="000001000000" w:firstRow="0" w:lastRow="0" w:firstColumn="0" w:lastColumn="0" w:oddVBand="0" w:evenVBand="1" w:oddHBand="0" w:evenHBand="0" w:firstRowFirstColumn="0" w:firstRowLastColumn="0" w:lastRowFirstColumn="0" w:lastRowLastColumn="0"/>
            <w:tcW w:w="709" w:type="pct"/>
          </w:tcPr>
          <w:p w14:paraId="5BEFA610" w14:textId="77777777" w:rsidR="004E45CF" w:rsidRPr="00CF3E3D" w:rsidRDefault="004E45CF" w:rsidP="007B0FBA">
            <w:pPr>
              <w:spacing w:before="85" w:line="288" w:lineRule="auto"/>
              <w:jc w:val="center"/>
              <w:rPr>
                <w:sz w:val="18"/>
                <w:szCs w:val="18"/>
              </w:rPr>
            </w:pPr>
            <w:r w:rsidRPr="00CF3E3D">
              <w:rPr>
                <w:sz w:val="18"/>
                <w:szCs w:val="18"/>
              </w:rPr>
              <w:t>50.7 (44.6, 56.7)</w:t>
            </w:r>
          </w:p>
        </w:tc>
        <w:tc>
          <w:tcPr>
            <w:cnfStyle w:val="000010000000" w:firstRow="0" w:lastRow="0" w:firstColumn="0" w:lastColumn="0" w:oddVBand="1" w:evenVBand="0" w:oddHBand="0" w:evenHBand="0" w:firstRowFirstColumn="0" w:firstRowLastColumn="0" w:lastRowFirstColumn="0" w:lastRowLastColumn="0"/>
            <w:tcW w:w="755" w:type="pct"/>
          </w:tcPr>
          <w:p w14:paraId="13C288A2" w14:textId="77777777" w:rsidR="004E45CF" w:rsidRPr="00CF3E3D" w:rsidRDefault="004E45CF" w:rsidP="007B0FBA">
            <w:pPr>
              <w:spacing w:before="85" w:line="288" w:lineRule="auto"/>
              <w:jc w:val="center"/>
              <w:rPr>
                <w:sz w:val="18"/>
                <w:szCs w:val="18"/>
              </w:rPr>
            </w:pPr>
            <w:r w:rsidRPr="00CF3E3D">
              <w:rPr>
                <w:sz w:val="18"/>
                <w:szCs w:val="18"/>
              </w:rPr>
              <w:t>80.1 (76.2, 83.3)</w:t>
            </w:r>
          </w:p>
        </w:tc>
        <w:tc>
          <w:tcPr>
            <w:cnfStyle w:val="000001000000" w:firstRow="0" w:lastRow="0" w:firstColumn="0" w:lastColumn="0" w:oddVBand="0" w:evenVBand="1" w:oddHBand="0" w:evenHBand="0" w:firstRowFirstColumn="0" w:firstRowLastColumn="0" w:lastRowFirstColumn="0" w:lastRowLastColumn="0"/>
            <w:tcW w:w="755" w:type="pct"/>
          </w:tcPr>
          <w:p w14:paraId="29007A02" w14:textId="77777777" w:rsidR="004E45CF" w:rsidRPr="00CF3E3D" w:rsidRDefault="004E45CF" w:rsidP="007B0FBA">
            <w:pPr>
              <w:spacing w:before="85" w:line="288" w:lineRule="auto"/>
              <w:jc w:val="center"/>
              <w:rPr>
                <w:sz w:val="18"/>
                <w:szCs w:val="18"/>
              </w:rPr>
            </w:pPr>
            <w:r w:rsidRPr="00CF3E3D">
              <w:rPr>
                <w:sz w:val="18"/>
                <w:szCs w:val="18"/>
              </w:rPr>
              <w:t>92.0 (89.3, 93.9)</w:t>
            </w:r>
          </w:p>
        </w:tc>
        <w:tc>
          <w:tcPr>
            <w:cnfStyle w:val="000010000000" w:firstRow="0" w:lastRow="0" w:firstColumn="0" w:lastColumn="0" w:oddVBand="1" w:evenVBand="0" w:oddHBand="0" w:evenHBand="0" w:firstRowFirstColumn="0" w:firstRowLastColumn="0" w:lastRowFirstColumn="0" w:lastRowLastColumn="0"/>
            <w:tcW w:w="755" w:type="pct"/>
          </w:tcPr>
          <w:p w14:paraId="12555953" w14:textId="77777777" w:rsidR="004E45CF" w:rsidRPr="00CF3E3D" w:rsidRDefault="004E45CF" w:rsidP="007B0FBA">
            <w:pPr>
              <w:spacing w:before="85" w:line="288" w:lineRule="auto"/>
              <w:jc w:val="center"/>
              <w:rPr>
                <w:sz w:val="18"/>
                <w:szCs w:val="18"/>
              </w:rPr>
            </w:pPr>
            <w:r w:rsidRPr="00CF3E3D">
              <w:rPr>
                <w:sz w:val="18"/>
                <w:szCs w:val="18"/>
              </w:rPr>
              <w:t>53,500 (49,300, 57,700)</w:t>
            </w:r>
          </w:p>
        </w:tc>
      </w:tr>
      <w:tr w:rsidR="004E45CF" w:rsidRPr="00CF3E3D" w14:paraId="7B6B73A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D6FC750"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Eastern College Australia</w:t>
            </w:r>
          </w:p>
        </w:tc>
        <w:tc>
          <w:tcPr>
            <w:cnfStyle w:val="000001000000" w:firstRow="0" w:lastRow="0" w:firstColumn="0" w:lastColumn="0" w:oddVBand="0" w:evenVBand="1" w:oddHBand="0" w:evenHBand="0" w:firstRowFirstColumn="0" w:firstRowLastColumn="0" w:lastRowFirstColumn="0" w:lastRowLastColumn="0"/>
            <w:tcW w:w="709" w:type="pct"/>
          </w:tcPr>
          <w:p w14:paraId="443E39E1"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223F4348" w14:textId="77777777" w:rsidR="004E45CF" w:rsidRPr="00CF3E3D" w:rsidRDefault="004E45CF" w:rsidP="007B0FBA">
            <w:pPr>
              <w:spacing w:before="85" w:line="288" w:lineRule="auto"/>
              <w:jc w:val="center"/>
              <w:rPr>
                <w:sz w:val="18"/>
                <w:szCs w:val="18"/>
              </w:rPr>
            </w:pPr>
            <w:r w:rsidRPr="00CF3E3D">
              <w:rPr>
                <w:sz w:val="18"/>
                <w:szCs w:val="18"/>
              </w:rPr>
              <w:t>84.4 (73.3, 90.1)</w:t>
            </w:r>
          </w:p>
        </w:tc>
        <w:tc>
          <w:tcPr>
            <w:cnfStyle w:val="000001000000" w:firstRow="0" w:lastRow="0" w:firstColumn="0" w:lastColumn="0" w:oddVBand="0" w:evenVBand="1" w:oddHBand="0" w:evenHBand="0" w:firstRowFirstColumn="0" w:firstRowLastColumn="0" w:lastRowFirstColumn="0" w:lastRowLastColumn="0"/>
            <w:tcW w:w="755" w:type="pct"/>
          </w:tcPr>
          <w:p w14:paraId="7004F320" w14:textId="77777777" w:rsidR="004E45CF" w:rsidRPr="00CF3E3D" w:rsidRDefault="004E45CF" w:rsidP="007B0FBA">
            <w:pPr>
              <w:spacing w:before="85" w:line="288" w:lineRule="auto"/>
              <w:jc w:val="center"/>
              <w:rPr>
                <w:sz w:val="18"/>
                <w:szCs w:val="18"/>
              </w:rPr>
            </w:pPr>
            <w:r w:rsidRPr="00CF3E3D">
              <w:rPr>
                <w:sz w:val="18"/>
                <w:szCs w:val="18"/>
              </w:rPr>
              <w:t>84.2 (74.7, 89.2)</w:t>
            </w:r>
          </w:p>
        </w:tc>
        <w:tc>
          <w:tcPr>
            <w:cnfStyle w:val="000010000000" w:firstRow="0" w:lastRow="0" w:firstColumn="0" w:lastColumn="0" w:oddVBand="1" w:evenVBand="0" w:oddHBand="0" w:evenHBand="0" w:firstRowFirstColumn="0" w:firstRowLastColumn="0" w:lastRowFirstColumn="0" w:lastRowLastColumn="0"/>
            <w:tcW w:w="755" w:type="pct"/>
          </w:tcPr>
          <w:p w14:paraId="08F007E4"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3595462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4405529"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Endeavour College of Natural Health</w:t>
            </w:r>
          </w:p>
        </w:tc>
        <w:tc>
          <w:tcPr>
            <w:cnfStyle w:val="000001000000" w:firstRow="0" w:lastRow="0" w:firstColumn="0" w:lastColumn="0" w:oddVBand="0" w:evenVBand="1" w:oddHBand="0" w:evenHBand="0" w:firstRowFirstColumn="0" w:firstRowLastColumn="0" w:lastRowFirstColumn="0" w:lastRowLastColumn="0"/>
            <w:tcW w:w="709" w:type="pct"/>
          </w:tcPr>
          <w:p w14:paraId="130FE608" w14:textId="77777777" w:rsidR="004E45CF" w:rsidRPr="00CF3E3D" w:rsidRDefault="004E45CF" w:rsidP="007B0FBA">
            <w:pPr>
              <w:spacing w:before="85" w:line="288" w:lineRule="auto"/>
              <w:jc w:val="center"/>
              <w:rPr>
                <w:sz w:val="18"/>
                <w:szCs w:val="18"/>
              </w:rPr>
            </w:pPr>
            <w:r w:rsidRPr="00CF3E3D">
              <w:rPr>
                <w:sz w:val="18"/>
                <w:szCs w:val="18"/>
              </w:rPr>
              <w:t>69.7 (65.5, 73.5)</w:t>
            </w:r>
          </w:p>
        </w:tc>
        <w:tc>
          <w:tcPr>
            <w:cnfStyle w:val="000010000000" w:firstRow="0" w:lastRow="0" w:firstColumn="0" w:lastColumn="0" w:oddVBand="1" w:evenVBand="0" w:oddHBand="0" w:evenHBand="0" w:firstRowFirstColumn="0" w:firstRowLastColumn="0" w:lastRowFirstColumn="0" w:lastRowLastColumn="0"/>
            <w:tcW w:w="755" w:type="pct"/>
          </w:tcPr>
          <w:p w14:paraId="63F8761A" w14:textId="77777777" w:rsidR="004E45CF" w:rsidRPr="00CF3E3D" w:rsidRDefault="004E45CF" w:rsidP="007B0FBA">
            <w:pPr>
              <w:spacing w:before="85" w:line="288" w:lineRule="auto"/>
              <w:jc w:val="center"/>
              <w:rPr>
                <w:sz w:val="18"/>
                <w:szCs w:val="18"/>
              </w:rPr>
            </w:pPr>
            <w:r w:rsidRPr="00CF3E3D">
              <w:rPr>
                <w:sz w:val="18"/>
                <w:szCs w:val="18"/>
              </w:rPr>
              <w:t>87.6 (85.6, 89.3)</w:t>
            </w:r>
          </w:p>
        </w:tc>
        <w:tc>
          <w:tcPr>
            <w:cnfStyle w:val="000001000000" w:firstRow="0" w:lastRow="0" w:firstColumn="0" w:lastColumn="0" w:oddVBand="0" w:evenVBand="1" w:oddHBand="0" w:evenHBand="0" w:firstRowFirstColumn="0" w:firstRowLastColumn="0" w:lastRowFirstColumn="0" w:lastRowLastColumn="0"/>
            <w:tcW w:w="755" w:type="pct"/>
          </w:tcPr>
          <w:p w14:paraId="4DD7C24C" w14:textId="77777777" w:rsidR="004E45CF" w:rsidRPr="00CF3E3D" w:rsidRDefault="004E45CF" w:rsidP="007B0FBA">
            <w:pPr>
              <w:spacing w:before="85" w:line="288" w:lineRule="auto"/>
              <w:jc w:val="center"/>
              <w:rPr>
                <w:sz w:val="18"/>
                <w:szCs w:val="18"/>
              </w:rPr>
            </w:pPr>
            <w:r w:rsidRPr="00CF3E3D">
              <w:rPr>
                <w:sz w:val="18"/>
                <w:szCs w:val="18"/>
              </w:rPr>
              <w:t>91.4 (89.8, 92.7)</w:t>
            </w:r>
          </w:p>
        </w:tc>
        <w:tc>
          <w:tcPr>
            <w:cnfStyle w:val="000010000000" w:firstRow="0" w:lastRow="0" w:firstColumn="0" w:lastColumn="0" w:oddVBand="1" w:evenVBand="0" w:oddHBand="0" w:evenHBand="0" w:firstRowFirstColumn="0" w:firstRowLastColumn="0" w:lastRowFirstColumn="0" w:lastRowLastColumn="0"/>
            <w:tcW w:w="755" w:type="pct"/>
          </w:tcPr>
          <w:p w14:paraId="6945CB4D" w14:textId="77777777" w:rsidR="004E45CF" w:rsidRPr="00CF3E3D" w:rsidRDefault="004E45CF" w:rsidP="007B0FBA">
            <w:pPr>
              <w:spacing w:before="85" w:line="288" w:lineRule="auto"/>
              <w:jc w:val="center"/>
              <w:rPr>
                <w:sz w:val="18"/>
                <w:szCs w:val="18"/>
              </w:rPr>
            </w:pPr>
            <w:r w:rsidRPr="00CF3E3D">
              <w:rPr>
                <w:sz w:val="18"/>
                <w:szCs w:val="18"/>
              </w:rPr>
              <w:t>60,000 (56,000, 64,000)</w:t>
            </w:r>
          </w:p>
        </w:tc>
      </w:tr>
      <w:tr w:rsidR="004E45CF" w:rsidRPr="00CF3E3D" w14:paraId="5801975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AB21A31"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Engineering Institute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5DA3AE94"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6B6D495E"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5AA480AD"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73E94B7B"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359B0AB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0177637" w14:textId="77777777" w:rsidR="004E45CF" w:rsidRPr="00585C58" w:rsidRDefault="004E45CF" w:rsidP="007B0FBA">
            <w:pPr>
              <w:spacing w:before="85" w:line="288" w:lineRule="auto"/>
              <w:rPr>
                <w:b/>
                <w:bCs/>
                <w:sz w:val="18"/>
                <w:szCs w:val="18"/>
                <w:lang w:eastAsia="en-AU"/>
              </w:rPr>
            </w:pPr>
            <w:proofErr w:type="spellStart"/>
            <w:r w:rsidRPr="00585C58">
              <w:rPr>
                <w:b/>
                <w:bCs/>
                <w:sz w:val="18"/>
                <w:szCs w:val="18"/>
                <w:lang w:eastAsia="en-AU"/>
              </w:rPr>
              <w:t>Excelsia</w:t>
            </w:r>
            <w:proofErr w:type="spellEnd"/>
            <w:r w:rsidRPr="00585C58">
              <w:rPr>
                <w:b/>
                <w:bCs/>
                <w:sz w:val="18"/>
                <w:szCs w:val="18"/>
                <w:lang w:eastAsia="en-AU"/>
              </w:rPr>
              <w:t xml:space="preserve"> College</w:t>
            </w:r>
          </w:p>
        </w:tc>
        <w:tc>
          <w:tcPr>
            <w:cnfStyle w:val="000001000000" w:firstRow="0" w:lastRow="0" w:firstColumn="0" w:lastColumn="0" w:oddVBand="0" w:evenVBand="1" w:oddHBand="0" w:evenHBand="0" w:firstRowFirstColumn="0" w:firstRowLastColumn="0" w:lastRowFirstColumn="0" w:lastRowLastColumn="0"/>
            <w:tcW w:w="709" w:type="pct"/>
          </w:tcPr>
          <w:p w14:paraId="2F1EE9C2"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4FFA7FC8"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5805005C"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52EBA80E"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7F1179F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7F7AC7C"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Holmes Institute</w:t>
            </w:r>
          </w:p>
        </w:tc>
        <w:tc>
          <w:tcPr>
            <w:cnfStyle w:val="000001000000" w:firstRow="0" w:lastRow="0" w:firstColumn="0" w:lastColumn="0" w:oddVBand="0" w:evenVBand="1" w:oddHBand="0" w:evenHBand="0" w:firstRowFirstColumn="0" w:firstRowLastColumn="0" w:lastRowFirstColumn="0" w:lastRowLastColumn="0"/>
            <w:tcW w:w="709" w:type="pct"/>
          </w:tcPr>
          <w:p w14:paraId="13A0D0E4"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1B7A6504"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4182080B"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347B73AD"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24F520F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C816C9F"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Holmesglen Institute</w:t>
            </w:r>
          </w:p>
        </w:tc>
        <w:tc>
          <w:tcPr>
            <w:cnfStyle w:val="000001000000" w:firstRow="0" w:lastRow="0" w:firstColumn="0" w:lastColumn="0" w:oddVBand="0" w:evenVBand="1" w:oddHBand="0" w:evenHBand="0" w:firstRowFirstColumn="0" w:firstRowLastColumn="0" w:lastRowFirstColumn="0" w:lastRowLastColumn="0"/>
            <w:tcW w:w="709" w:type="pct"/>
          </w:tcPr>
          <w:p w14:paraId="6C30F2E4" w14:textId="77777777" w:rsidR="004E45CF" w:rsidRPr="00CF3E3D" w:rsidRDefault="004E45CF" w:rsidP="007B0FBA">
            <w:pPr>
              <w:spacing w:before="85" w:line="288" w:lineRule="auto"/>
              <w:jc w:val="center"/>
              <w:rPr>
                <w:sz w:val="18"/>
                <w:szCs w:val="18"/>
              </w:rPr>
            </w:pPr>
            <w:r w:rsidRPr="00CF3E3D">
              <w:rPr>
                <w:sz w:val="18"/>
                <w:szCs w:val="18"/>
              </w:rPr>
              <w:t>68.4 (58.8, 76.4)</w:t>
            </w:r>
          </w:p>
        </w:tc>
        <w:tc>
          <w:tcPr>
            <w:cnfStyle w:val="000010000000" w:firstRow="0" w:lastRow="0" w:firstColumn="0" w:lastColumn="0" w:oddVBand="1" w:evenVBand="0" w:oddHBand="0" w:evenHBand="0" w:firstRowFirstColumn="0" w:firstRowLastColumn="0" w:lastRowFirstColumn="0" w:lastRowLastColumn="0"/>
            <w:tcW w:w="755" w:type="pct"/>
          </w:tcPr>
          <w:p w14:paraId="2CE2FA95" w14:textId="77777777" w:rsidR="004E45CF" w:rsidRPr="00CF3E3D" w:rsidRDefault="004E45CF" w:rsidP="007B0FBA">
            <w:pPr>
              <w:spacing w:before="85" w:line="288" w:lineRule="auto"/>
              <w:jc w:val="center"/>
              <w:rPr>
                <w:sz w:val="18"/>
                <w:szCs w:val="18"/>
              </w:rPr>
            </w:pPr>
            <w:r w:rsidRPr="00CF3E3D">
              <w:rPr>
                <w:sz w:val="18"/>
                <w:szCs w:val="18"/>
              </w:rPr>
              <w:t>87.1 (80.9, 91.0)</w:t>
            </w:r>
          </w:p>
        </w:tc>
        <w:tc>
          <w:tcPr>
            <w:cnfStyle w:val="000001000000" w:firstRow="0" w:lastRow="0" w:firstColumn="0" w:lastColumn="0" w:oddVBand="0" w:evenVBand="1" w:oddHBand="0" w:evenHBand="0" w:firstRowFirstColumn="0" w:firstRowLastColumn="0" w:lastRowFirstColumn="0" w:lastRowLastColumn="0"/>
            <w:tcW w:w="755" w:type="pct"/>
          </w:tcPr>
          <w:p w14:paraId="1AB3F362" w14:textId="77777777" w:rsidR="004E45CF" w:rsidRPr="00CF3E3D" w:rsidRDefault="004E45CF" w:rsidP="007B0FBA">
            <w:pPr>
              <w:spacing w:before="85" w:line="288" w:lineRule="auto"/>
              <w:jc w:val="center"/>
              <w:rPr>
                <w:sz w:val="18"/>
                <w:szCs w:val="18"/>
              </w:rPr>
            </w:pPr>
            <w:r w:rsidRPr="00CF3E3D">
              <w:rPr>
                <w:sz w:val="18"/>
                <w:szCs w:val="18"/>
              </w:rPr>
              <w:t>95.5 (90.9, 97.4)</w:t>
            </w:r>
          </w:p>
        </w:tc>
        <w:tc>
          <w:tcPr>
            <w:cnfStyle w:val="000010000000" w:firstRow="0" w:lastRow="0" w:firstColumn="0" w:lastColumn="0" w:oddVBand="1" w:evenVBand="0" w:oddHBand="0" w:evenHBand="0" w:firstRowFirstColumn="0" w:firstRowLastColumn="0" w:lastRowFirstColumn="0" w:lastRowLastColumn="0"/>
            <w:tcW w:w="755" w:type="pct"/>
          </w:tcPr>
          <w:p w14:paraId="048CB47F"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24C5819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AFE5960"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ICHM</w:t>
            </w:r>
          </w:p>
        </w:tc>
        <w:tc>
          <w:tcPr>
            <w:cnfStyle w:val="000001000000" w:firstRow="0" w:lastRow="0" w:firstColumn="0" w:lastColumn="0" w:oddVBand="0" w:evenVBand="1" w:oddHBand="0" w:evenHBand="0" w:firstRowFirstColumn="0" w:firstRowLastColumn="0" w:lastRowFirstColumn="0" w:lastRowLastColumn="0"/>
            <w:tcW w:w="709" w:type="pct"/>
          </w:tcPr>
          <w:p w14:paraId="3AB7BA2D"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356E2564"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5D9D4D62"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76AEA38E"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4958B99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8083845"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Ikon Institute of Australia</w:t>
            </w:r>
          </w:p>
        </w:tc>
        <w:tc>
          <w:tcPr>
            <w:cnfStyle w:val="000001000000" w:firstRow="0" w:lastRow="0" w:firstColumn="0" w:lastColumn="0" w:oddVBand="0" w:evenVBand="1" w:oddHBand="0" w:evenHBand="0" w:firstRowFirstColumn="0" w:firstRowLastColumn="0" w:lastRowFirstColumn="0" w:lastRowLastColumn="0"/>
            <w:tcW w:w="709" w:type="pct"/>
          </w:tcPr>
          <w:p w14:paraId="7E63896D" w14:textId="77777777" w:rsidR="004E45CF" w:rsidRPr="00CF3E3D" w:rsidRDefault="004E45CF" w:rsidP="007B0FBA">
            <w:pPr>
              <w:spacing w:before="85" w:line="288" w:lineRule="auto"/>
              <w:jc w:val="center"/>
              <w:rPr>
                <w:sz w:val="18"/>
                <w:szCs w:val="18"/>
              </w:rPr>
            </w:pPr>
            <w:r w:rsidRPr="00CF3E3D">
              <w:rPr>
                <w:sz w:val="18"/>
                <w:szCs w:val="18"/>
              </w:rPr>
              <w:t>37.8 (27.2, 50.2)</w:t>
            </w:r>
          </w:p>
        </w:tc>
        <w:tc>
          <w:tcPr>
            <w:cnfStyle w:val="000010000000" w:firstRow="0" w:lastRow="0" w:firstColumn="0" w:lastColumn="0" w:oddVBand="1" w:evenVBand="0" w:oddHBand="0" w:evenHBand="0" w:firstRowFirstColumn="0" w:firstRowLastColumn="0" w:lastRowFirstColumn="0" w:lastRowLastColumn="0"/>
            <w:tcW w:w="755" w:type="pct"/>
          </w:tcPr>
          <w:p w14:paraId="4B9C1D0C" w14:textId="77777777" w:rsidR="004E45CF" w:rsidRPr="00CF3E3D" w:rsidRDefault="004E45CF" w:rsidP="007B0FBA">
            <w:pPr>
              <w:spacing w:before="85" w:line="288" w:lineRule="auto"/>
              <w:jc w:val="center"/>
              <w:rPr>
                <w:sz w:val="18"/>
                <w:szCs w:val="18"/>
              </w:rPr>
            </w:pPr>
            <w:r w:rsidRPr="00CF3E3D">
              <w:rPr>
                <w:sz w:val="18"/>
                <w:szCs w:val="18"/>
              </w:rPr>
              <w:t>80.3 (72.9, 85.5)</w:t>
            </w:r>
          </w:p>
        </w:tc>
        <w:tc>
          <w:tcPr>
            <w:cnfStyle w:val="000001000000" w:firstRow="0" w:lastRow="0" w:firstColumn="0" w:lastColumn="0" w:oddVBand="0" w:evenVBand="1" w:oddHBand="0" w:evenHBand="0" w:firstRowFirstColumn="0" w:firstRowLastColumn="0" w:lastRowFirstColumn="0" w:lastRowLastColumn="0"/>
            <w:tcW w:w="755" w:type="pct"/>
          </w:tcPr>
          <w:p w14:paraId="3F133857" w14:textId="77777777" w:rsidR="004E45CF" w:rsidRPr="00CF3E3D" w:rsidRDefault="004E45CF" w:rsidP="007B0FBA">
            <w:pPr>
              <w:spacing w:before="85" w:line="288" w:lineRule="auto"/>
              <w:jc w:val="center"/>
              <w:rPr>
                <w:sz w:val="18"/>
                <w:szCs w:val="18"/>
              </w:rPr>
            </w:pPr>
            <w:r w:rsidRPr="00CF3E3D">
              <w:rPr>
                <w:sz w:val="18"/>
                <w:szCs w:val="18"/>
              </w:rPr>
              <w:t>82.6 (76.4, 86.7)</w:t>
            </w:r>
          </w:p>
        </w:tc>
        <w:tc>
          <w:tcPr>
            <w:cnfStyle w:val="000010000000" w:firstRow="0" w:lastRow="0" w:firstColumn="0" w:lastColumn="0" w:oddVBand="1" w:evenVBand="0" w:oddHBand="0" w:evenHBand="0" w:firstRowFirstColumn="0" w:firstRowLastColumn="0" w:lastRowFirstColumn="0" w:lastRowLastColumn="0"/>
            <w:tcW w:w="755" w:type="pct"/>
          </w:tcPr>
          <w:p w14:paraId="5F65396B"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7E3B4F0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BD43855"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lastRenderedPageBreak/>
              <w:t>International College of Management, Sydney</w:t>
            </w:r>
          </w:p>
        </w:tc>
        <w:tc>
          <w:tcPr>
            <w:cnfStyle w:val="000001000000" w:firstRow="0" w:lastRow="0" w:firstColumn="0" w:lastColumn="0" w:oddVBand="0" w:evenVBand="1" w:oddHBand="0" w:evenHBand="0" w:firstRowFirstColumn="0" w:firstRowLastColumn="0" w:lastRowFirstColumn="0" w:lastRowLastColumn="0"/>
            <w:tcW w:w="709" w:type="pct"/>
          </w:tcPr>
          <w:p w14:paraId="4781FF5A" w14:textId="77777777" w:rsidR="004E45CF" w:rsidRPr="00CF3E3D" w:rsidRDefault="004E45CF" w:rsidP="007B0FBA">
            <w:pPr>
              <w:spacing w:before="85" w:line="288" w:lineRule="auto"/>
              <w:jc w:val="center"/>
              <w:rPr>
                <w:sz w:val="18"/>
                <w:szCs w:val="18"/>
              </w:rPr>
            </w:pPr>
            <w:r w:rsidRPr="00CF3E3D">
              <w:rPr>
                <w:sz w:val="18"/>
                <w:szCs w:val="18"/>
              </w:rPr>
              <w:t>71.0 (64.1, 76.9)</w:t>
            </w:r>
          </w:p>
        </w:tc>
        <w:tc>
          <w:tcPr>
            <w:cnfStyle w:val="000010000000" w:firstRow="0" w:lastRow="0" w:firstColumn="0" w:lastColumn="0" w:oddVBand="1" w:evenVBand="0" w:oddHBand="0" w:evenHBand="0" w:firstRowFirstColumn="0" w:firstRowLastColumn="0" w:lastRowFirstColumn="0" w:lastRowLastColumn="0"/>
            <w:tcW w:w="755" w:type="pct"/>
          </w:tcPr>
          <w:p w14:paraId="612DFDE1" w14:textId="77777777" w:rsidR="004E45CF" w:rsidRPr="00CF3E3D" w:rsidRDefault="004E45CF" w:rsidP="007B0FBA">
            <w:pPr>
              <w:spacing w:before="85" w:line="288" w:lineRule="auto"/>
              <w:jc w:val="center"/>
              <w:rPr>
                <w:sz w:val="18"/>
                <w:szCs w:val="18"/>
              </w:rPr>
            </w:pPr>
            <w:r w:rsidRPr="00CF3E3D">
              <w:rPr>
                <w:sz w:val="18"/>
                <w:szCs w:val="18"/>
              </w:rPr>
              <w:t>87.2 (82.0, 90.8)</w:t>
            </w:r>
          </w:p>
        </w:tc>
        <w:tc>
          <w:tcPr>
            <w:cnfStyle w:val="000001000000" w:firstRow="0" w:lastRow="0" w:firstColumn="0" w:lastColumn="0" w:oddVBand="0" w:evenVBand="1" w:oddHBand="0" w:evenHBand="0" w:firstRowFirstColumn="0" w:firstRowLastColumn="0" w:lastRowFirstColumn="0" w:lastRowLastColumn="0"/>
            <w:tcW w:w="755" w:type="pct"/>
          </w:tcPr>
          <w:p w14:paraId="3C7186F1" w14:textId="77777777" w:rsidR="004E45CF" w:rsidRPr="00CF3E3D" w:rsidRDefault="004E45CF" w:rsidP="007B0FBA">
            <w:pPr>
              <w:spacing w:before="85" w:line="288" w:lineRule="auto"/>
              <w:jc w:val="center"/>
              <w:rPr>
                <w:sz w:val="18"/>
                <w:szCs w:val="18"/>
              </w:rPr>
            </w:pPr>
            <w:r w:rsidRPr="00CF3E3D">
              <w:rPr>
                <w:sz w:val="18"/>
                <w:szCs w:val="18"/>
              </w:rPr>
              <w:t>96.2 (92.5, 97.9)</w:t>
            </w:r>
          </w:p>
        </w:tc>
        <w:tc>
          <w:tcPr>
            <w:cnfStyle w:val="000010000000" w:firstRow="0" w:lastRow="0" w:firstColumn="0" w:lastColumn="0" w:oddVBand="1" w:evenVBand="0" w:oddHBand="0" w:evenHBand="0" w:firstRowFirstColumn="0" w:firstRowLastColumn="0" w:lastRowFirstColumn="0" w:lastRowLastColumn="0"/>
            <w:tcW w:w="755" w:type="pct"/>
          </w:tcPr>
          <w:p w14:paraId="6A529C19" w14:textId="77777777" w:rsidR="004E45CF" w:rsidRPr="00CF3E3D" w:rsidRDefault="004E45CF" w:rsidP="007B0FBA">
            <w:pPr>
              <w:spacing w:before="85" w:line="288" w:lineRule="auto"/>
              <w:jc w:val="center"/>
              <w:rPr>
                <w:sz w:val="18"/>
                <w:szCs w:val="18"/>
              </w:rPr>
            </w:pPr>
            <w:r w:rsidRPr="00CF3E3D">
              <w:rPr>
                <w:sz w:val="18"/>
                <w:szCs w:val="18"/>
              </w:rPr>
              <w:t>55,300 (52,300, 58,200)</w:t>
            </w:r>
          </w:p>
        </w:tc>
      </w:tr>
      <w:tr w:rsidR="004E45CF" w:rsidRPr="00CF3E3D" w14:paraId="74CAAF8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453F1F3"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ISN Psychology Pty Ltd</w:t>
            </w:r>
          </w:p>
        </w:tc>
        <w:tc>
          <w:tcPr>
            <w:cnfStyle w:val="000001000000" w:firstRow="0" w:lastRow="0" w:firstColumn="0" w:lastColumn="0" w:oddVBand="0" w:evenVBand="1" w:oddHBand="0" w:evenHBand="0" w:firstRowFirstColumn="0" w:firstRowLastColumn="0" w:lastRowFirstColumn="0" w:lastRowLastColumn="0"/>
            <w:tcW w:w="709" w:type="pct"/>
          </w:tcPr>
          <w:p w14:paraId="6375BD7C"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36F31F74" w14:textId="77777777" w:rsidR="004E45CF" w:rsidRPr="00CF3E3D" w:rsidRDefault="004E45CF" w:rsidP="007B0FBA">
            <w:pPr>
              <w:spacing w:before="85" w:line="288" w:lineRule="auto"/>
              <w:jc w:val="center"/>
              <w:rPr>
                <w:sz w:val="18"/>
                <w:szCs w:val="18"/>
              </w:rPr>
            </w:pPr>
            <w:r w:rsidRPr="00CF3E3D">
              <w:rPr>
                <w:sz w:val="18"/>
                <w:szCs w:val="18"/>
              </w:rPr>
              <w:t>76.8 (68.0, 83.1)</w:t>
            </w:r>
          </w:p>
        </w:tc>
        <w:tc>
          <w:tcPr>
            <w:cnfStyle w:val="000001000000" w:firstRow="0" w:lastRow="0" w:firstColumn="0" w:lastColumn="0" w:oddVBand="0" w:evenVBand="1" w:oddHBand="0" w:evenHBand="0" w:firstRowFirstColumn="0" w:firstRowLastColumn="0" w:lastRowFirstColumn="0" w:lastRowLastColumn="0"/>
            <w:tcW w:w="755" w:type="pct"/>
          </w:tcPr>
          <w:p w14:paraId="280A8414" w14:textId="77777777" w:rsidR="004E45CF" w:rsidRPr="00CF3E3D" w:rsidRDefault="004E45CF" w:rsidP="007B0FBA">
            <w:pPr>
              <w:spacing w:before="85" w:line="288" w:lineRule="auto"/>
              <w:jc w:val="center"/>
              <w:rPr>
                <w:sz w:val="18"/>
                <w:szCs w:val="18"/>
              </w:rPr>
            </w:pPr>
            <w:r w:rsidRPr="00CF3E3D">
              <w:rPr>
                <w:sz w:val="18"/>
                <w:szCs w:val="18"/>
              </w:rPr>
              <w:t>81.2 (74.0, 86.0)</w:t>
            </w:r>
          </w:p>
        </w:tc>
        <w:tc>
          <w:tcPr>
            <w:cnfStyle w:val="000010000000" w:firstRow="0" w:lastRow="0" w:firstColumn="0" w:lastColumn="0" w:oddVBand="1" w:evenVBand="0" w:oddHBand="0" w:evenHBand="0" w:firstRowFirstColumn="0" w:firstRowLastColumn="0" w:lastRowFirstColumn="0" w:lastRowLastColumn="0"/>
            <w:tcW w:w="755" w:type="pct"/>
          </w:tcPr>
          <w:p w14:paraId="3679AC10"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7AB8728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EBC1C4B"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Jazz Music Institute</w:t>
            </w:r>
          </w:p>
        </w:tc>
        <w:tc>
          <w:tcPr>
            <w:cnfStyle w:val="000001000000" w:firstRow="0" w:lastRow="0" w:firstColumn="0" w:lastColumn="0" w:oddVBand="0" w:evenVBand="1" w:oddHBand="0" w:evenHBand="0" w:firstRowFirstColumn="0" w:firstRowLastColumn="0" w:lastRowFirstColumn="0" w:lastRowLastColumn="0"/>
            <w:tcW w:w="709" w:type="pct"/>
          </w:tcPr>
          <w:p w14:paraId="31962BB5"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69179D03"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49EF6943"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00A5FBC5"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76BC998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10EAD91"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Kaplan Business School</w:t>
            </w:r>
          </w:p>
        </w:tc>
        <w:tc>
          <w:tcPr>
            <w:cnfStyle w:val="000001000000" w:firstRow="0" w:lastRow="0" w:firstColumn="0" w:lastColumn="0" w:oddVBand="0" w:evenVBand="1" w:oddHBand="0" w:evenHBand="0" w:firstRowFirstColumn="0" w:firstRowLastColumn="0" w:lastRowFirstColumn="0" w:lastRowLastColumn="0"/>
            <w:tcW w:w="709" w:type="pct"/>
          </w:tcPr>
          <w:p w14:paraId="7B2550BD"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61976449"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07EF27A7"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7CD0F10E"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7B0CE57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C5B8C9E"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Kaplan Higher Education Pty Ltd</w:t>
            </w:r>
          </w:p>
        </w:tc>
        <w:tc>
          <w:tcPr>
            <w:cnfStyle w:val="000001000000" w:firstRow="0" w:lastRow="0" w:firstColumn="0" w:lastColumn="0" w:oddVBand="0" w:evenVBand="1" w:oddHBand="0" w:evenHBand="0" w:firstRowFirstColumn="0" w:firstRowLastColumn="0" w:lastRowFirstColumn="0" w:lastRowLastColumn="0"/>
            <w:tcW w:w="709" w:type="pct"/>
          </w:tcPr>
          <w:p w14:paraId="1F2E4D83" w14:textId="77777777" w:rsidR="004E45CF" w:rsidRPr="00CF3E3D" w:rsidRDefault="004E45CF" w:rsidP="007B0FBA">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4E605256"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60438C79"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1A70F8FE" w14:textId="77777777" w:rsidR="004E45CF" w:rsidRPr="00CF3E3D" w:rsidRDefault="004E45CF" w:rsidP="007B0FBA">
            <w:pPr>
              <w:spacing w:before="85" w:line="288" w:lineRule="auto"/>
              <w:jc w:val="center"/>
              <w:rPr>
                <w:sz w:val="18"/>
                <w:szCs w:val="18"/>
              </w:rPr>
            </w:pPr>
            <w:r>
              <w:rPr>
                <w:sz w:val="18"/>
                <w:szCs w:val="18"/>
              </w:rPr>
              <w:t>-</w:t>
            </w:r>
          </w:p>
        </w:tc>
      </w:tr>
      <w:tr w:rsidR="004E45CF" w:rsidRPr="00CF3E3D" w14:paraId="4DEA121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8CCD59C"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LCI Melbourne</w:t>
            </w:r>
          </w:p>
        </w:tc>
        <w:tc>
          <w:tcPr>
            <w:cnfStyle w:val="000001000000" w:firstRow="0" w:lastRow="0" w:firstColumn="0" w:lastColumn="0" w:oddVBand="0" w:evenVBand="1" w:oddHBand="0" w:evenHBand="0" w:firstRowFirstColumn="0" w:firstRowLastColumn="0" w:lastRowFirstColumn="0" w:lastRowLastColumn="0"/>
            <w:tcW w:w="709" w:type="pct"/>
          </w:tcPr>
          <w:p w14:paraId="252B9C69" w14:textId="77777777" w:rsidR="004E45CF" w:rsidRPr="00CF3E3D" w:rsidRDefault="004E45CF" w:rsidP="007B0FBA">
            <w:pPr>
              <w:spacing w:before="85" w:line="288" w:lineRule="auto"/>
              <w:jc w:val="center"/>
              <w:rPr>
                <w:sz w:val="18"/>
                <w:szCs w:val="18"/>
              </w:rPr>
            </w:pPr>
            <w:r w:rsidRPr="00CF3E3D">
              <w:rPr>
                <w:sz w:val="18"/>
                <w:szCs w:val="18"/>
              </w:rPr>
              <w:t>47.2 (36.4, 58.4)</w:t>
            </w:r>
          </w:p>
        </w:tc>
        <w:tc>
          <w:tcPr>
            <w:cnfStyle w:val="000010000000" w:firstRow="0" w:lastRow="0" w:firstColumn="0" w:lastColumn="0" w:oddVBand="1" w:evenVBand="0" w:oddHBand="0" w:evenHBand="0" w:firstRowFirstColumn="0" w:firstRowLastColumn="0" w:lastRowFirstColumn="0" w:lastRowLastColumn="0"/>
            <w:tcW w:w="755" w:type="pct"/>
          </w:tcPr>
          <w:p w14:paraId="151C40B6" w14:textId="77777777" w:rsidR="004E45CF" w:rsidRPr="00CF3E3D" w:rsidRDefault="004E45CF" w:rsidP="007B0FBA">
            <w:pPr>
              <w:spacing w:before="85" w:line="288" w:lineRule="auto"/>
              <w:jc w:val="center"/>
              <w:rPr>
                <w:sz w:val="18"/>
                <w:szCs w:val="18"/>
              </w:rPr>
            </w:pPr>
            <w:r w:rsidRPr="00CF3E3D">
              <w:rPr>
                <w:sz w:val="18"/>
                <w:szCs w:val="18"/>
              </w:rPr>
              <w:t>68.5 (60.1, 75.2)</w:t>
            </w:r>
          </w:p>
        </w:tc>
        <w:tc>
          <w:tcPr>
            <w:cnfStyle w:val="000001000000" w:firstRow="0" w:lastRow="0" w:firstColumn="0" w:lastColumn="0" w:oddVBand="0" w:evenVBand="1" w:oddHBand="0" w:evenHBand="0" w:firstRowFirstColumn="0" w:firstRowLastColumn="0" w:lastRowFirstColumn="0" w:lastRowLastColumn="0"/>
            <w:tcW w:w="755" w:type="pct"/>
          </w:tcPr>
          <w:p w14:paraId="77EB546A" w14:textId="77777777" w:rsidR="004E45CF" w:rsidRPr="00CF3E3D" w:rsidRDefault="004E45CF" w:rsidP="007B0FBA">
            <w:pPr>
              <w:spacing w:before="85" w:line="288" w:lineRule="auto"/>
              <w:jc w:val="center"/>
              <w:rPr>
                <w:sz w:val="18"/>
                <w:szCs w:val="18"/>
              </w:rPr>
            </w:pPr>
            <w:r w:rsidRPr="00CF3E3D">
              <w:rPr>
                <w:sz w:val="18"/>
                <w:szCs w:val="18"/>
              </w:rPr>
              <w:t>85.7 (79.2, 89.3)</w:t>
            </w:r>
          </w:p>
        </w:tc>
        <w:tc>
          <w:tcPr>
            <w:cnfStyle w:val="000010000000" w:firstRow="0" w:lastRow="0" w:firstColumn="0" w:lastColumn="0" w:oddVBand="1" w:evenVBand="0" w:oddHBand="0" w:evenHBand="0" w:firstRowFirstColumn="0" w:firstRowLastColumn="0" w:lastRowFirstColumn="0" w:lastRowLastColumn="0"/>
            <w:tcW w:w="755" w:type="pct"/>
          </w:tcPr>
          <w:p w14:paraId="1A125F98"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515398A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7C44429"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Le Cordon Bleu Australia</w:t>
            </w:r>
          </w:p>
        </w:tc>
        <w:tc>
          <w:tcPr>
            <w:cnfStyle w:val="000001000000" w:firstRow="0" w:lastRow="0" w:firstColumn="0" w:lastColumn="0" w:oddVBand="0" w:evenVBand="1" w:oddHBand="0" w:evenHBand="0" w:firstRowFirstColumn="0" w:firstRowLastColumn="0" w:lastRowFirstColumn="0" w:lastRowLastColumn="0"/>
            <w:tcW w:w="709" w:type="pct"/>
          </w:tcPr>
          <w:p w14:paraId="2F77A9E5"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1CBD773B"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2B93DF63"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62EDA158"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41E5DB2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F13A618"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Macleay College</w:t>
            </w:r>
          </w:p>
        </w:tc>
        <w:tc>
          <w:tcPr>
            <w:cnfStyle w:val="000001000000" w:firstRow="0" w:lastRow="0" w:firstColumn="0" w:lastColumn="0" w:oddVBand="0" w:evenVBand="1" w:oddHBand="0" w:evenHBand="0" w:firstRowFirstColumn="0" w:firstRowLastColumn="0" w:lastRowFirstColumn="0" w:lastRowLastColumn="0"/>
            <w:tcW w:w="709" w:type="pct"/>
          </w:tcPr>
          <w:p w14:paraId="7FD7AA60" w14:textId="77777777" w:rsidR="004E45CF" w:rsidRPr="00CF3E3D" w:rsidRDefault="004E45CF" w:rsidP="007B0FBA">
            <w:pPr>
              <w:spacing w:before="85" w:line="288" w:lineRule="auto"/>
              <w:jc w:val="center"/>
              <w:rPr>
                <w:sz w:val="18"/>
                <w:szCs w:val="18"/>
              </w:rPr>
            </w:pPr>
            <w:r w:rsidRPr="00CF3E3D">
              <w:rPr>
                <w:sz w:val="18"/>
                <w:szCs w:val="18"/>
              </w:rPr>
              <w:t>54.5 (41.8, 66.6)</w:t>
            </w:r>
          </w:p>
        </w:tc>
        <w:tc>
          <w:tcPr>
            <w:cnfStyle w:val="000010000000" w:firstRow="0" w:lastRow="0" w:firstColumn="0" w:lastColumn="0" w:oddVBand="1" w:evenVBand="0" w:oddHBand="0" w:evenHBand="0" w:firstRowFirstColumn="0" w:firstRowLastColumn="0" w:lastRowFirstColumn="0" w:lastRowLastColumn="0"/>
            <w:tcW w:w="755" w:type="pct"/>
          </w:tcPr>
          <w:p w14:paraId="0FB025E8" w14:textId="77777777" w:rsidR="004E45CF" w:rsidRPr="00CF3E3D" w:rsidRDefault="004E45CF" w:rsidP="007B0FBA">
            <w:pPr>
              <w:spacing w:before="85" w:line="288" w:lineRule="auto"/>
              <w:jc w:val="center"/>
              <w:rPr>
                <w:sz w:val="18"/>
                <w:szCs w:val="18"/>
              </w:rPr>
            </w:pPr>
            <w:r w:rsidRPr="00CF3E3D">
              <w:rPr>
                <w:sz w:val="18"/>
                <w:szCs w:val="18"/>
              </w:rPr>
              <w:t>67.4 (56.3, 76.5)</w:t>
            </w:r>
          </w:p>
        </w:tc>
        <w:tc>
          <w:tcPr>
            <w:cnfStyle w:val="000001000000" w:firstRow="0" w:lastRow="0" w:firstColumn="0" w:lastColumn="0" w:oddVBand="0" w:evenVBand="1" w:oddHBand="0" w:evenHBand="0" w:firstRowFirstColumn="0" w:firstRowLastColumn="0" w:lastRowFirstColumn="0" w:lastRowLastColumn="0"/>
            <w:tcW w:w="755" w:type="pct"/>
          </w:tcPr>
          <w:p w14:paraId="73AAE0A9" w14:textId="77777777" w:rsidR="004E45CF" w:rsidRPr="00CF3E3D" w:rsidRDefault="004E45CF" w:rsidP="007B0FBA">
            <w:pPr>
              <w:spacing w:before="85" w:line="288" w:lineRule="auto"/>
              <w:jc w:val="center"/>
              <w:rPr>
                <w:sz w:val="18"/>
                <w:szCs w:val="18"/>
              </w:rPr>
            </w:pPr>
            <w:r w:rsidRPr="00CF3E3D">
              <w:rPr>
                <w:sz w:val="18"/>
                <w:szCs w:val="18"/>
              </w:rPr>
              <w:t>89.6 (80.9, 94.1)</w:t>
            </w:r>
          </w:p>
        </w:tc>
        <w:tc>
          <w:tcPr>
            <w:cnfStyle w:val="000010000000" w:firstRow="0" w:lastRow="0" w:firstColumn="0" w:lastColumn="0" w:oddVBand="1" w:evenVBand="0" w:oddHBand="0" w:evenHBand="0" w:firstRowFirstColumn="0" w:firstRowLastColumn="0" w:lastRowFirstColumn="0" w:lastRowLastColumn="0"/>
            <w:tcW w:w="755" w:type="pct"/>
          </w:tcPr>
          <w:p w14:paraId="7D79BA1D"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41BBA78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A15414F"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Marcus Oldham College</w:t>
            </w:r>
          </w:p>
        </w:tc>
        <w:tc>
          <w:tcPr>
            <w:cnfStyle w:val="000001000000" w:firstRow="0" w:lastRow="0" w:firstColumn="0" w:lastColumn="0" w:oddVBand="0" w:evenVBand="1" w:oddHBand="0" w:evenHBand="0" w:firstRowFirstColumn="0" w:firstRowLastColumn="0" w:lastRowFirstColumn="0" w:lastRowLastColumn="0"/>
            <w:tcW w:w="709" w:type="pct"/>
          </w:tcPr>
          <w:p w14:paraId="0C773AE2" w14:textId="77777777" w:rsidR="004E45CF" w:rsidRPr="00CF3E3D" w:rsidRDefault="004E45CF" w:rsidP="007B0FBA">
            <w:pPr>
              <w:spacing w:before="85" w:line="288" w:lineRule="auto"/>
              <w:jc w:val="center"/>
              <w:rPr>
                <w:sz w:val="18"/>
                <w:szCs w:val="18"/>
              </w:rPr>
            </w:pPr>
            <w:r w:rsidRPr="00CF3E3D">
              <w:rPr>
                <w:sz w:val="18"/>
                <w:szCs w:val="18"/>
              </w:rPr>
              <w:t>97.2 (93.5, 98.6)</w:t>
            </w:r>
          </w:p>
        </w:tc>
        <w:tc>
          <w:tcPr>
            <w:cnfStyle w:val="000010000000" w:firstRow="0" w:lastRow="0" w:firstColumn="0" w:lastColumn="0" w:oddVBand="1" w:evenVBand="0" w:oddHBand="0" w:evenHBand="0" w:firstRowFirstColumn="0" w:firstRowLastColumn="0" w:lastRowFirstColumn="0" w:lastRowLastColumn="0"/>
            <w:tcW w:w="755" w:type="pct"/>
          </w:tcPr>
          <w:p w14:paraId="551AB901" w14:textId="77777777" w:rsidR="004E45CF" w:rsidRPr="00CF3E3D" w:rsidRDefault="004E45CF" w:rsidP="007B0FBA">
            <w:pPr>
              <w:spacing w:before="85" w:line="288" w:lineRule="auto"/>
              <w:jc w:val="center"/>
              <w:rPr>
                <w:sz w:val="18"/>
                <w:szCs w:val="18"/>
              </w:rPr>
            </w:pPr>
            <w:r w:rsidRPr="00CF3E3D">
              <w:rPr>
                <w:sz w:val="18"/>
                <w:szCs w:val="18"/>
              </w:rPr>
              <w:t>97.4 (93.9, 98.7)</w:t>
            </w:r>
          </w:p>
        </w:tc>
        <w:tc>
          <w:tcPr>
            <w:cnfStyle w:val="000001000000" w:firstRow="0" w:lastRow="0" w:firstColumn="0" w:lastColumn="0" w:oddVBand="0" w:evenVBand="1" w:oddHBand="0" w:evenHBand="0" w:firstRowFirstColumn="0" w:firstRowLastColumn="0" w:lastRowFirstColumn="0" w:lastRowLastColumn="0"/>
            <w:tcW w:w="755" w:type="pct"/>
          </w:tcPr>
          <w:p w14:paraId="7D385172" w14:textId="77777777" w:rsidR="004E45CF" w:rsidRPr="00CF3E3D" w:rsidRDefault="004E45CF" w:rsidP="007B0FBA">
            <w:pPr>
              <w:spacing w:before="85" w:line="288" w:lineRule="auto"/>
              <w:jc w:val="center"/>
              <w:rPr>
                <w:sz w:val="18"/>
                <w:szCs w:val="18"/>
              </w:rPr>
            </w:pPr>
            <w:r w:rsidRPr="00CF3E3D">
              <w:rPr>
                <w:sz w:val="18"/>
                <w:szCs w:val="18"/>
              </w:rPr>
              <w:t>100.0 (97.5, 100.0)</w:t>
            </w:r>
          </w:p>
        </w:tc>
        <w:tc>
          <w:tcPr>
            <w:cnfStyle w:val="000010000000" w:firstRow="0" w:lastRow="0" w:firstColumn="0" w:lastColumn="0" w:oddVBand="1" w:evenVBand="0" w:oddHBand="0" w:evenHBand="0" w:firstRowFirstColumn="0" w:firstRowLastColumn="0" w:lastRowFirstColumn="0" w:lastRowLastColumn="0"/>
            <w:tcW w:w="755" w:type="pct"/>
          </w:tcPr>
          <w:p w14:paraId="74998CCE" w14:textId="77777777" w:rsidR="004E45CF" w:rsidRPr="00CF3E3D" w:rsidRDefault="004E45CF" w:rsidP="007B0FBA">
            <w:pPr>
              <w:spacing w:before="85" w:line="288" w:lineRule="auto"/>
              <w:jc w:val="center"/>
              <w:rPr>
                <w:sz w:val="18"/>
                <w:szCs w:val="18"/>
              </w:rPr>
            </w:pPr>
            <w:r w:rsidRPr="00CF3E3D">
              <w:rPr>
                <w:sz w:val="18"/>
                <w:szCs w:val="18"/>
              </w:rPr>
              <w:t>65,000 (57,900, 72,100)</w:t>
            </w:r>
          </w:p>
        </w:tc>
      </w:tr>
      <w:tr w:rsidR="004E45CF" w:rsidRPr="00CF3E3D" w14:paraId="0AA5870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717E201"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Melbourne Institute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4A461E06" w14:textId="77777777" w:rsidR="004E45CF" w:rsidRPr="00CF3E3D" w:rsidRDefault="004E45CF" w:rsidP="007B0FBA">
            <w:pPr>
              <w:spacing w:before="85" w:line="288" w:lineRule="auto"/>
              <w:jc w:val="center"/>
              <w:rPr>
                <w:sz w:val="18"/>
                <w:szCs w:val="18"/>
              </w:rPr>
            </w:pPr>
            <w:r w:rsidRPr="00CF3E3D">
              <w:rPr>
                <w:sz w:val="18"/>
                <w:szCs w:val="18"/>
              </w:rPr>
              <w:t>75.4 (66.5, 82.0)</w:t>
            </w:r>
          </w:p>
        </w:tc>
        <w:tc>
          <w:tcPr>
            <w:cnfStyle w:val="000010000000" w:firstRow="0" w:lastRow="0" w:firstColumn="0" w:lastColumn="0" w:oddVBand="1" w:evenVBand="0" w:oddHBand="0" w:evenHBand="0" w:firstRowFirstColumn="0" w:firstRowLastColumn="0" w:lastRowFirstColumn="0" w:lastRowLastColumn="0"/>
            <w:tcW w:w="755" w:type="pct"/>
          </w:tcPr>
          <w:p w14:paraId="7EFAA7F7" w14:textId="77777777" w:rsidR="004E45CF" w:rsidRPr="00CF3E3D" w:rsidRDefault="004E45CF" w:rsidP="007B0FBA">
            <w:pPr>
              <w:spacing w:before="85" w:line="288" w:lineRule="auto"/>
              <w:jc w:val="center"/>
              <w:rPr>
                <w:sz w:val="18"/>
                <w:szCs w:val="18"/>
              </w:rPr>
            </w:pPr>
            <w:r w:rsidRPr="00CF3E3D">
              <w:rPr>
                <w:sz w:val="18"/>
                <w:szCs w:val="18"/>
              </w:rPr>
              <w:t>83.6 (75.7, 88.6)</w:t>
            </w:r>
          </w:p>
        </w:tc>
        <w:tc>
          <w:tcPr>
            <w:cnfStyle w:val="000001000000" w:firstRow="0" w:lastRow="0" w:firstColumn="0" w:lastColumn="0" w:oddVBand="0" w:evenVBand="1" w:oddHBand="0" w:evenHBand="0" w:firstRowFirstColumn="0" w:firstRowLastColumn="0" w:lastRowFirstColumn="0" w:lastRowLastColumn="0"/>
            <w:tcW w:w="755" w:type="pct"/>
          </w:tcPr>
          <w:p w14:paraId="710A9C20" w14:textId="77777777" w:rsidR="004E45CF" w:rsidRPr="00CF3E3D" w:rsidRDefault="004E45CF" w:rsidP="007B0FBA">
            <w:pPr>
              <w:spacing w:before="85" w:line="288" w:lineRule="auto"/>
              <w:jc w:val="center"/>
              <w:rPr>
                <w:sz w:val="18"/>
                <w:szCs w:val="18"/>
              </w:rPr>
            </w:pPr>
            <w:r w:rsidRPr="00CF3E3D">
              <w:rPr>
                <w:sz w:val="18"/>
                <w:szCs w:val="18"/>
              </w:rPr>
              <w:t>91.0 (84.6, 94.3)</w:t>
            </w:r>
          </w:p>
        </w:tc>
        <w:tc>
          <w:tcPr>
            <w:cnfStyle w:val="000010000000" w:firstRow="0" w:lastRow="0" w:firstColumn="0" w:lastColumn="0" w:oddVBand="1" w:evenVBand="0" w:oddHBand="0" w:evenHBand="0" w:firstRowFirstColumn="0" w:firstRowLastColumn="0" w:lastRowFirstColumn="0" w:lastRowLastColumn="0"/>
            <w:tcW w:w="755" w:type="pct"/>
          </w:tcPr>
          <w:p w14:paraId="3F1458F5" w14:textId="77777777" w:rsidR="004E45CF" w:rsidRPr="00CF3E3D" w:rsidRDefault="004E45CF" w:rsidP="007B0FBA">
            <w:pPr>
              <w:spacing w:before="85" w:line="288" w:lineRule="auto"/>
              <w:jc w:val="center"/>
              <w:rPr>
                <w:sz w:val="18"/>
                <w:szCs w:val="18"/>
              </w:rPr>
            </w:pPr>
            <w:r w:rsidRPr="00CF3E3D">
              <w:rPr>
                <w:sz w:val="18"/>
                <w:szCs w:val="18"/>
              </w:rPr>
              <w:t>73,600 (46,400, 100,900)</w:t>
            </w:r>
          </w:p>
        </w:tc>
      </w:tr>
      <w:tr w:rsidR="004E45CF" w:rsidRPr="00CF3E3D" w14:paraId="6375C18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B3A9B3F"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Melbourne Polytechnic</w:t>
            </w:r>
          </w:p>
        </w:tc>
        <w:tc>
          <w:tcPr>
            <w:cnfStyle w:val="000001000000" w:firstRow="0" w:lastRow="0" w:firstColumn="0" w:lastColumn="0" w:oddVBand="0" w:evenVBand="1" w:oddHBand="0" w:evenHBand="0" w:firstRowFirstColumn="0" w:firstRowLastColumn="0" w:lastRowFirstColumn="0" w:lastRowLastColumn="0"/>
            <w:tcW w:w="709" w:type="pct"/>
          </w:tcPr>
          <w:p w14:paraId="62628917" w14:textId="77777777" w:rsidR="004E45CF" w:rsidRPr="00CF3E3D" w:rsidRDefault="004E45CF" w:rsidP="007B0FBA">
            <w:pPr>
              <w:spacing w:before="85" w:line="288" w:lineRule="auto"/>
              <w:jc w:val="center"/>
              <w:rPr>
                <w:sz w:val="18"/>
                <w:szCs w:val="18"/>
              </w:rPr>
            </w:pPr>
            <w:r w:rsidRPr="00CF3E3D">
              <w:rPr>
                <w:sz w:val="18"/>
                <w:szCs w:val="18"/>
              </w:rPr>
              <w:t>45.2 (34.6, 56.5)</w:t>
            </w:r>
          </w:p>
        </w:tc>
        <w:tc>
          <w:tcPr>
            <w:cnfStyle w:val="000010000000" w:firstRow="0" w:lastRow="0" w:firstColumn="0" w:lastColumn="0" w:oddVBand="1" w:evenVBand="0" w:oddHBand="0" w:evenHBand="0" w:firstRowFirstColumn="0" w:firstRowLastColumn="0" w:lastRowFirstColumn="0" w:lastRowLastColumn="0"/>
            <w:tcW w:w="755" w:type="pct"/>
          </w:tcPr>
          <w:p w14:paraId="793222F3" w14:textId="77777777" w:rsidR="004E45CF" w:rsidRPr="00CF3E3D" w:rsidRDefault="004E45CF" w:rsidP="007B0FBA">
            <w:pPr>
              <w:spacing w:before="85" w:line="288" w:lineRule="auto"/>
              <w:jc w:val="center"/>
              <w:rPr>
                <w:sz w:val="18"/>
                <w:szCs w:val="18"/>
              </w:rPr>
            </w:pPr>
            <w:r w:rsidRPr="00CF3E3D">
              <w:rPr>
                <w:sz w:val="18"/>
                <w:szCs w:val="18"/>
              </w:rPr>
              <w:t>78.8 (70.8, 84.5)</w:t>
            </w:r>
          </w:p>
        </w:tc>
        <w:tc>
          <w:tcPr>
            <w:cnfStyle w:val="000001000000" w:firstRow="0" w:lastRow="0" w:firstColumn="0" w:lastColumn="0" w:oddVBand="0" w:evenVBand="1" w:oddHBand="0" w:evenHBand="0" w:firstRowFirstColumn="0" w:firstRowLastColumn="0" w:lastRowFirstColumn="0" w:lastRowLastColumn="0"/>
            <w:tcW w:w="755" w:type="pct"/>
          </w:tcPr>
          <w:p w14:paraId="1373BE30" w14:textId="77777777" w:rsidR="004E45CF" w:rsidRPr="00CF3E3D" w:rsidRDefault="004E45CF" w:rsidP="007B0FBA">
            <w:pPr>
              <w:spacing w:before="85" w:line="288" w:lineRule="auto"/>
              <w:jc w:val="center"/>
              <w:rPr>
                <w:sz w:val="18"/>
                <w:szCs w:val="18"/>
              </w:rPr>
            </w:pPr>
            <w:r w:rsidRPr="00CF3E3D">
              <w:rPr>
                <w:sz w:val="18"/>
                <w:szCs w:val="18"/>
              </w:rPr>
              <w:t>85.7 (79.2, 89.8)</w:t>
            </w:r>
          </w:p>
        </w:tc>
        <w:tc>
          <w:tcPr>
            <w:cnfStyle w:val="000010000000" w:firstRow="0" w:lastRow="0" w:firstColumn="0" w:lastColumn="0" w:oddVBand="1" w:evenVBand="0" w:oddHBand="0" w:evenHBand="0" w:firstRowFirstColumn="0" w:firstRowLastColumn="0" w:lastRowFirstColumn="0" w:lastRowLastColumn="0"/>
            <w:tcW w:w="755" w:type="pct"/>
          </w:tcPr>
          <w:p w14:paraId="5A53FF4B"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57FE236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78D42DD"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Montessori World Educational Institute (Australia)</w:t>
            </w:r>
          </w:p>
        </w:tc>
        <w:tc>
          <w:tcPr>
            <w:cnfStyle w:val="000001000000" w:firstRow="0" w:lastRow="0" w:firstColumn="0" w:lastColumn="0" w:oddVBand="0" w:evenVBand="1" w:oddHBand="0" w:evenHBand="0" w:firstRowFirstColumn="0" w:firstRowLastColumn="0" w:lastRowFirstColumn="0" w:lastRowLastColumn="0"/>
            <w:tcW w:w="709" w:type="pct"/>
          </w:tcPr>
          <w:p w14:paraId="414AD953"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6F80121A"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1F435E31"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76814342"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62BCC49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BA1EE87"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Moore Theological College</w:t>
            </w:r>
          </w:p>
        </w:tc>
        <w:tc>
          <w:tcPr>
            <w:cnfStyle w:val="000001000000" w:firstRow="0" w:lastRow="0" w:firstColumn="0" w:lastColumn="0" w:oddVBand="0" w:evenVBand="1" w:oddHBand="0" w:evenHBand="0" w:firstRowFirstColumn="0" w:firstRowLastColumn="0" w:lastRowFirstColumn="0" w:lastRowLastColumn="0"/>
            <w:tcW w:w="709" w:type="pct"/>
          </w:tcPr>
          <w:p w14:paraId="1E489A65" w14:textId="77777777" w:rsidR="004E45CF" w:rsidRPr="00CF3E3D" w:rsidRDefault="004E45CF" w:rsidP="007B0FBA">
            <w:pPr>
              <w:spacing w:before="85" w:line="288" w:lineRule="auto"/>
              <w:jc w:val="center"/>
              <w:rPr>
                <w:sz w:val="18"/>
                <w:szCs w:val="18"/>
              </w:rPr>
            </w:pPr>
            <w:r w:rsidRPr="00CF3E3D">
              <w:rPr>
                <w:sz w:val="18"/>
                <w:szCs w:val="18"/>
              </w:rPr>
              <w:t>92.3 (86.6, 95.2)</w:t>
            </w:r>
          </w:p>
        </w:tc>
        <w:tc>
          <w:tcPr>
            <w:cnfStyle w:val="000010000000" w:firstRow="0" w:lastRow="0" w:firstColumn="0" w:lastColumn="0" w:oddVBand="1" w:evenVBand="0" w:oddHBand="0" w:evenHBand="0" w:firstRowFirstColumn="0" w:firstRowLastColumn="0" w:lastRowFirstColumn="0" w:lastRowLastColumn="0"/>
            <w:tcW w:w="755" w:type="pct"/>
          </w:tcPr>
          <w:p w14:paraId="6257D700" w14:textId="77777777" w:rsidR="004E45CF" w:rsidRPr="00CF3E3D" w:rsidRDefault="004E45CF" w:rsidP="007B0FBA">
            <w:pPr>
              <w:spacing w:before="85" w:line="288" w:lineRule="auto"/>
              <w:jc w:val="center"/>
              <w:rPr>
                <w:sz w:val="18"/>
                <w:szCs w:val="18"/>
              </w:rPr>
            </w:pPr>
            <w:r w:rsidRPr="00CF3E3D">
              <w:rPr>
                <w:sz w:val="18"/>
                <w:szCs w:val="18"/>
              </w:rPr>
              <w:t>92.9 (88.4, 95.2)</w:t>
            </w:r>
          </w:p>
        </w:tc>
        <w:tc>
          <w:tcPr>
            <w:cnfStyle w:val="000001000000" w:firstRow="0" w:lastRow="0" w:firstColumn="0" w:lastColumn="0" w:oddVBand="0" w:evenVBand="1" w:oddHBand="0" w:evenHBand="0" w:firstRowFirstColumn="0" w:firstRowLastColumn="0" w:lastRowFirstColumn="0" w:lastRowLastColumn="0"/>
            <w:tcW w:w="755" w:type="pct"/>
          </w:tcPr>
          <w:p w14:paraId="5EE011AF" w14:textId="77777777" w:rsidR="004E45CF" w:rsidRPr="00CF3E3D" w:rsidRDefault="004E45CF" w:rsidP="007B0FBA">
            <w:pPr>
              <w:spacing w:before="85" w:line="288" w:lineRule="auto"/>
              <w:jc w:val="center"/>
              <w:rPr>
                <w:sz w:val="18"/>
                <w:szCs w:val="18"/>
              </w:rPr>
            </w:pPr>
            <w:r w:rsidRPr="00CF3E3D">
              <w:rPr>
                <w:sz w:val="18"/>
                <w:szCs w:val="18"/>
              </w:rPr>
              <w:t>82.5 (77.8, 85.8)</w:t>
            </w:r>
          </w:p>
        </w:tc>
        <w:tc>
          <w:tcPr>
            <w:cnfStyle w:val="000010000000" w:firstRow="0" w:lastRow="0" w:firstColumn="0" w:lastColumn="0" w:oddVBand="1" w:evenVBand="0" w:oddHBand="0" w:evenHBand="0" w:firstRowFirstColumn="0" w:firstRowLastColumn="0" w:lastRowFirstColumn="0" w:lastRowLastColumn="0"/>
            <w:tcW w:w="755" w:type="pct"/>
          </w:tcPr>
          <w:p w14:paraId="55135BFC" w14:textId="77777777" w:rsidR="004E45CF" w:rsidRPr="00CF3E3D" w:rsidRDefault="004E45CF" w:rsidP="007B0FBA">
            <w:pPr>
              <w:spacing w:before="85" w:line="288" w:lineRule="auto"/>
              <w:jc w:val="center"/>
              <w:rPr>
                <w:sz w:val="18"/>
                <w:szCs w:val="18"/>
              </w:rPr>
            </w:pPr>
            <w:r w:rsidRPr="00CF3E3D">
              <w:rPr>
                <w:sz w:val="18"/>
                <w:szCs w:val="18"/>
              </w:rPr>
              <w:t>66,200 (59,500, 72,900)</w:t>
            </w:r>
          </w:p>
        </w:tc>
      </w:tr>
      <w:tr w:rsidR="004E45CF" w:rsidRPr="00CF3E3D" w14:paraId="5AEDBFC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ECE99DC"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National Art School</w:t>
            </w:r>
          </w:p>
        </w:tc>
        <w:tc>
          <w:tcPr>
            <w:cnfStyle w:val="000001000000" w:firstRow="0" w:lastRow="0" w:firstColumn="0" w:lastColumn="0" w:oddVBand="0" w:evenVBand="1" w:oddHBand="0" w:evenHBand="0" w:firstRowFirstColumn="0" w:firstRowLastColumn="0" w:lastRowFirstColumn="0" w:lastRowLastColumn="0"/>
            <w:tcW w:w="709" w:type="pct"/>
          </w:tcPr>
          <w:p w14:paraId="56F1984A" w14:textId="77777777" w:rsidR="004E45CF" w:rsidRPr="00CF3E3D" w:rsidRDefault="004E45CF" w:rsidP="007B0FBA">
            <w:pPr>
              <w:spacing w:before="85" w:line="288" w:lineRule="auto"/>
              <w:jc w:val="center"/>
              <w:rPr>
                <w:sz w:val="18"/>
                <w:szCs w:val="18"/>
              </w:rPr>
            </w:pPr>
            <w:r w:rsidRPr="00CF3E3D">
              <w:rPr>
                <w:sz w:val="18"/>
                <w:szCs w:val="18"/>
              </w:rPr>
              <w:t>38.0 (28.5, 48.8)</w:t>
            </w:r>
          </w:p>
        </w:tc>
        <w:tc>
          <w:tcPr>
            <w:cnfStyle w:val="000010000000" w:firstRow="0" w:lastRow="0" w:firstColumn="0" w:lastColumn="0" w:oddVBand="1" w:evenVBand="0" w:oddHBand="0" w:evenHBand="0" w:firstRowFirstColumn="0" w:firstRowLastColumn="0" w:lastRowFirstColumn="0" w:lastRowLastColumn="0"/>
            <w:tcW w:w="755" w:type="pct"/>
          </w:tcPr>
          <w:p w14:paraId="0D6C2308" w14:textId="77777777" w:rsidR="004E45CF" w:rsidRPr="00CF3E3D" w:rsidRDefault="004E45CF" w:rsidP="007B0FBA">
            <w:pPr>
              <w:spacing w:before="85" w:line="288" w:lineRule="auto"/>
              <w:jc w:val="center"/>
              <w:rPr>
                <w:sz w:val="18"/>
                <w:szCs w:val="18"/>
              </w:rPr>
            </w:pPr>
            <w:r w:rsidRPr="00CF3E3D">
              <w:rPr>
                <w:sz w:val="18"/>
                <w:szCs w:val="18"/>
              </w:rPr>
              <w:t>75.7 (69.8, 80.3)</w:t>
            </w:r>
          </w:p>
        </w:tc>
        <w:tc>
          <w:tcPr>
            <w:cnfStyle w:val="000001000000" w:firstRow="0" w:lastRow="0" w:firstColumn="0" w:lastColumn="0" w:oddVBand="0" w:evenVBand="1" w:oddHBand="0" w:evenHBand="0" w:firstRowFirstColumn="0" w:firstRowLastColumn="0" w:lastRowFirstColumn="0" w:lastRowLastColumn="0"/>
            <w:tcW w:w="755" w:type="pct"/>
          </w:tcPr>
          <w:p w14:paraId="08889CB6" w14:textId="77777777" w:rsidR="004E45CF" w:rsidRPr="00CF3E3D" w:rsidRDefault="004E45CF" w:rsidP="007B0FBA">
            <w:pPr>
              <w:spacing w:before="85" w:line="288" w:lineRule="auto"/>
              <w:jc w:val="center"/>
              <w:rPr>
                <w:sz w:val="18"/>
                <w:szCs w:val="18"/>
              </w:rPr>
            </w:pPr>
            <w:r w:rsidRPr="00CF3E3D">
              <w:rPr>
                <w:sz w:val="18"/>
                <w:szCs w:val="18"/>
              </w:rPr>
              <w:t>75.7 (71.0, 79.4)</w:t>
            </w:r>
          </w:p>
        </w:tc>
        <w:tc>
          <w:tcPr>
            <w:cnfStyle w:val="000010000000" w:firstRow="0" w:lastRow="0" w:firstColumn="0" w:lastColumn="0" w:oddVBand="1" w:evenVBand="0" w:oddHBand="0" w:evenHBand="0" w:firstRowFirstColumn="0" w:firstRowLastColumn="0" w:lastRowFirstColumn="0" w:lastRowLastColumn="0"/>
            <w:tcW w:w="755" w:type="pct"/>
          </w:tcPr>
          <w:p w14:paraId="7BF0AB6F"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5126FB4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DE40CB0"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Perth Bible College</w:t>
            </w:r>
          </w:p>
        </w:tc>
        <w:tc>
          <w:tcPr>
            <w:cnfStyle w:val="000001000000" w:firstRow="0" w:lastRow="0" w:firstColumn="0" w:lastColumn="0" w:oddVBand="0" w:evenVBand="1" w:oddHBand="0" w:evenHBand="0" w:firstRowFirstColumn="0" w:firstRowLastColumn="0" w:lastRowFirstColumn="0" w:lastRowLastColumn="0"/>
            <w:tcW w:w="709" w:type="pct"/>
          </w:tcPr>
          <w:p w14:paraId="60C7A762"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666D46B9"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093F052C"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51B613EB"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74ADF75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F82DBFC"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Photography Studies College (Melbourne)</w:t>
            </w:r>
          </w:p>
        </w:tc>
        <w:tc>
          <w:tcPr>
            <w:cnfStyle w:val="000001000000" w:firstRow="0" w:lastRow="0" w:firstColumn="0" w:lastColumn="0" w:oddVBand="0" w:evenVBand="1" w:oddHBand="0" w:evenHBand="0" w:firstRowFirstColumn="0" w:firstRowLastColumn="0" w:lastRowFirstColumn="0" w:lastRowLastColumn="0"/>
            <w:tcW w:w="709" w:type="pct"/>
          </w:tcPr>
          <w:p w14:paraId="3A3E42CA"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01951CF9" w14:textId="77777777" w:rsidR="004E45CF" w:rsidRPr="00CF3E3D" w:rsidRDefault="004E45CF" w:rsidP="007B0FBA">
            <w:pPr>
              <w:spacing w:before="85" w:line="288" w:lineRule="auto"/>
              <w:jc w:val="center"/>
              <w:rPr>
                <w:sz w:val="18"/>
                <w:szCs w:val="18"/>
              </w:rPr>
            </w:pPr>
            <w:r w:rsidRPr="00CF3E3D">
              <w:rPr>
                <w:sz w:val="18"/>
                <w:szCs w:val="18"/>
              </w:rPr>
              <w:t>78.8 (67.4, 85.8)</w:t>
            </w:r>
          </w:p>
        </w:tc>
        <w:tc>
          <w:tcPr>
            <w:cnfStyle w:val="000001000000" w:firstRow="0" w:lastRow="0" w:firstColumn="0" w:lastColumn="0" w:oddVBand="0" w:evenVBand="1" w:oddHBand="0" w:evenHBand="0" w:firstRowFirstColumn="0" w:firstRowLastColumn="0" w:lastRowFirstColumn="0" w:lastRowLastColumn="0"/>
            <w:tcW w:w="755" w:type="pct"/>
          </w:tcPr>
          <w:p w14:paraId="50852AE9" w14:textId="77777777" w:rsidR="004E45CF" w:rsidRPr="00CF3E3D" w:rsidRDefault="004E45CF" w:rsidP="007B0FBA">
            <w:pPr>
              <w:spacing w:before="85" w:line="288" w:lineRule="auto"/>
              <w:jc w:val="center"/>
              <w:rPr>
                <w:sz w:val="18"/>
                <w:szCs w:val="18"/>
              </w:rPr>
            </w:pPr>
            <w:r w:rsidRPr="00CF3E3D">
              <w:rPr>
                <w:sz w:val="18"/>
                <w:szCs w:val="18"/>
              </w:rPr>
              <w:t>89.2 (79.7, 93.3)</w:t>
            </w:r>
          </w:p>
        </w:tc>
        <w:tc>
          <w:tcPr>
            <w:cnfStyle w:val="000010000000" w:firstRow="0" w:lastRow="0" w:firstColumn="0" w:lastColumn="0" w:oddVBand="1" w:evenVBand="0" w:oddHBand="0" w:evenHBand="0" w:firstRowFirstColumn="0" w:firstRowLastColumn="0" w:lastRowFirstColumn="0" w:lastRowLastColumn="0"/>
            <w:tcW w:w="755" w:type="pct"/>
          </w:tcPr>
          <w:p w14:paraId="1FCC1E2A"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263BD2E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50F5B1E5"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SAE Institute</w:t>
            </w:r>
          </w:p>
        </w:tc>
        <w:tc>
          <w:tcPr>
            <w:cnfStyle w:val="000001000000" w:firstRow="0" w:lastRow="0" w:firstColumn="0" w:lastColumn="0" w:oddVBand="0" w:evenVBand="1" w:oddHBand="0" w:evenHBand="0" w:firstRowFirstColumn="0" w:firstRowLastColumn="0" w:lastRowFirstColumn="0" w:lastRowLastColumn="0"/>
            <w:tcW w:w="709" w:type="pct"/>
          </w:tcPr>
          <w:p w14:paraId="7CB68584" w14:textId="77777777" w:rsidR="004E45CF" w:rsidRPr="00CF3E3D" w:rsidRDefault="004E45CF" w:rsidP="007B0FBA">
            <w:pPr>
              <w:spacing w:before="85" w:line="288" w:lineRule="auto"/>
              <w:jc w:val="center"/>
              <w:rPr>
                <w:sz w:val="18"/>
                <w:szCs w:val="18"/>
              </w:rPr>
            </w:pPr>
            <w:r w:rsidRPr="00CF3E3D">
              <w:rPr>
                <w:sz w:val="18"/>
                <w:szCs w:val="18"/>
              </w:rPr>
              <w:t>39.2 (36.4, 42.1)</w:t>
            </w:r>
          </w:p>
        </w:tc>
        <w:tc>
          <w:tcPr>
            <w:cnfStyle w:val="000010000000" w:firstRow="0" w:lastRow="0" w:firstColumn="0" w:lastColumn="0" w:oddVBand="1" w:evenVBand="0" w:oddHBand="0" w:evenHBand="0" w:firstRowFirstColumn="0" w:firstRowLastColumn="0" w:lastRowFirstColumn="0" w:lastRowLastColumn="0"/>
            <w:tcW w:w="755" w:type="pct"/>
          </w:tcPr>
          <w:p w14:paraId="012D054E" w14:textId="77777777" w:rsidR="004E45CF" w:rsidRPr="00CF3E3D" w:rsidRDefault="004E45CF" w:rsidP="007B0FBA">
            <w:pPr>
              <w:spacing w:before="85" w:line="288" w:lineRule="auto"/>
              <w:jc w:val="center"/>
              <w:rPr>
                <w:sz w:val="18"/>
                <w:szCs w:val="18"/>
              </w:rPr>
            </w:pPr>
            <w:r w:rsidRPr="00CF3E3D">
              <w:rPr>
                <w:sz w:val="18"/>
                <w:szCs w:val="18"/>
              </w:rPr>
              <w:t>68.3 (66.2, 70.4)</w:t>
            </w:r>
          </w:p>
        </w:tc>
        <w:tc>
          <w:tcPr>
            <w:cnfStyle w:val="000001000000" w:firstRow="0" w:lastRow="0" w:firstColumn="0" w:lastColumn="0" w:oddVBand="0" w:evenVBand="1" w:oddHBand="0" w:evenHBand="0" w:firstRowFirstColumn="0" w:firstRowLastColumn="0" w:lastRowFirstColumn="0" w:lastRowLastColumn="0"/>
            <w:tcW w:w="755" w:type="pct"/>
          </w:tcPr>
          <w:p w14:paraId="373127A0" w14:textId="77777777" w:rsidR="004E45CF" w:rsidRPr="00CF3E3D" w:rsidRDefault="004E45CF" w:rsidP="007B0FBA">
            <w:pPr>
              <w:spacing w:before="85" w:line="288" w:lineRule="auto"/>
              <w:jc w:val="center"/>
              <w:rPr>
                <w:sz w:val="18"/>
                <w:szCs w:val="18"/>
              </w:rPr>
            </w:pPr>
            <w:r w:rsidRPr="00CF3E3D">
              <w:rPr>
                <w:sz w:val="18"/>
                <w:szCs w:val="18"/>
              </w:rPr>
              <w:t>89.0 (87.6, 90.2)</w:t>
            </w:r>
          </w:p>
        </w:tc>
        <w:tc>
          <w:tcPr>
            <w:cnfStyle w:val="000010000000" w:firstRow="0" w:lastRow="0" w:firstColumn="0" w:lastColumn="0" w:oddVBand="1" w:evenVBand="0" w:oddHBand="0" w:evenHBand="0" w:firstRowFirstColumn="0" w:firstRowLastColumn="0" w:lastRowFirstColumn="0" w:lastRowLastColumn="0"/>
            <w:tcW w:w="755" w:type="pct"/>
          </w:tcPr>
          <w:p w14:paraId="73C9F7FE" w14:textId="77777777" w:rsidR="004E45CF" w:rsidRPr="00CF3E3D" w:rsidRDefault="004E45CF" w:rsidP="007B0FBA">
            <w:pPr>
              <w:spacing w:before="85" w:line="288" w:lineRule="auto"/>
              <w:jc w:val="center"/>
              <w:rPr>
                <w:sz w:val="18"/>
                <w:szCs w:val="18"/>
              </w:rPr>
            </w:pPr>
            <w:r w:rsidRPr="00CF3E3D">
              <w:rPr>
                <w:sz w:val="18"/>
                <w:szCs w:val="18"/>
              </w:rPr>
              <w:t>53,500 (51,100, 56,000)</w:t>
            </w:r>
          </w:p>
        </w:tc>
      </w:tr>
      <w:tr w:rsidR="004E45CF" w:rsidRPr="00CF3E3D" w14:paraId="1531DC4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60166C56"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Sheridan College Inc.</w:t>
            </w:r>
          </w:p>
        </w:tc>
        <w:tc>
          <w:tcPr>
            <w:cnfStyle w:val="000001000000" w:firstRow="0" w:lastRow="0" w:firstColumn="0" w:lastColumn="0" w:oddVBand="0" w:evenVBand="1" w:oddHBand="0" w:evenHBand="0" w:firstRowFirstColumn="0" w:firstRowLastColumn="0" w:lastRowFirstColumn="0" w:lastRowLastColumn="0"/>
            <w:tcW w:w="709" w:type="pct"/>
          </w:tcPr>
          <w:p w14:paraId="57471494" w14:textId="77777777" w:rsidR="004E45CF" w:rsidRPr="00CF3E3D" w:rsidRDefault="004E45CF" w:rsidP="007B0FBA">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5CED5CD6"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190F6D3D"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7FDE7B6C" w14:textId="77777777" w:rsidR="004E45CF" w:rsidRPr="00CF3E3D" w:rsidRDefault="004E45CF" w:rsidP="007B0FBA">
            <w:pPr>
              <w:spacing w:before="85" w:line="288" w:lineRule="auto"/>
              <w:jc w:val="center"/>
              <w:rPr>
                <w:sz w:val="18"/>
                <w:szCs w:val="18"/>
              </w:rPr>
            </w:pPr>
            <w:r>
              <w:rPr>
                <w:sz w:val="18"/>
                <w:szCs w:val="18"/>
              </w:rPr>
              <w:t>-</w:t>
            </w:r>
          </w:p>
        </w:tc>
      </w:tr>
      <w:tr w:rsidR="004E45CF" w:rsidRPr="00CF3E3D" w14:paraId="2055EC6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34DBE443"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Stott's College</w:t>
            </w:r>
          </w:p>
        </w:tc>
        <w:tc>
          <w:tcPr>
            <w:cnfStyle w:val="000001000000" w:firstRow="0" w:lastRow="0" w:firstColumn="0" w:lastColumn="0" w:oddVBand="0" w:evenVBand="1" w:oddHBand="0" w:evenHBand="0" w:firstRowFirstColumn="0" w:firstRowLastColumn="0" w:lastRowFirstColumn="0" w:lastRowLastColumn="0"/>
            <w:tcW w:w="709" w:type="pct"/>
          </w:tcPr>
          <w:p w14:paraId="72D0A3B8"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4925D1B0"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4AEA32EA"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15B01D04" w14:textId="77777777" w:rsidR="004E45CF" w:rsidRPr="00CF3E3D" w:rsidRDefault="004E45CF" w:rsidP="007B0FBA">
            <w:pPr>
              <w:spacing w:before="85" w:line="288" w:lineRule="auto"/>
              <w:jc w:val="center"/>
              <w:rPr>
                <w:sz w:val="18"/>
                <w:szCs w:val="18"/>
              </w:rPr>
            </w:pPr>
            <w:r>
              <w:rPr>
                <w:sz w:val="18"/>
                <w:szCs w:val="18"/>
              </w:rPr>
              <w:t>-</w:t>
            </w:r>
          </w:p>
        </w:tc>
      </w:tr>
      <w:tr w:rsidR="004E45CF" w:rsidRPr="00CF3E3D" w14:paraId="1AFD7AD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B5B3656"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lastRenderedPageBreak/>
              <w:t>Sydney College of Divinity</w:t>
            </w:r>
          </w:p>
        </w:tc>
        <w:tc>
          <w:tcPr>
            <w:cnfStyle w:val="000001000000" w:firstRow="0" w:lastRow="0" w:firstColumn="0" w:lastColumn="0" w:oddVBand="0" w:evenVBand="1" w:oddHBand="0" w:evenHBand="0" w:firstRowFirstColumn="0" w:firstRowLastColumn="0" w:lastRowFirstColumn="0" w:lastRowLastColumn="0"/>
            <w:tcW w:w="709" w:type="pct"/>
          </w:tcPr>
          <w:p w14:paraId="154051F1" w14:textId="77777777" w:rsidR="004E45CF" w:rsidRPr="00CF3E3D" w:rsidRDefault="004E45CF" w:rsidP="007B0FBA">
            <w:pPr>
              <w:spacing w:before="85" w:line="288" w:lineRule="auto"/>
              <w:jc w:val="center"/>
              <w:rPr>
                <w:sz w:val="18"/>
                <w:szCs w:val="18"/>
              </w:rPr>
            </w:pPr>
            <w:r w:rsidRPr="00CF3E3D">
              <w:rPr>
                <w:sz w:val="18"/>
                <w:szCs w:val="18"/>
              </w:rPr>
              <w:t>71.1 (58.9, 80.4)</w:t>
            </w:r>
          </w:p>
        </w:tc>
        <w:tc>
          <w:tcPr>
            <w:cnfStyle w:val="000010000000" w:firstRow="0" w:lastRow="0" w:firstColumn="0" w:lastColumn="0" w:oddVBand="1" w:evenVBand="0" w:oddHBand="0" w:evenHBand="0" w:firstRowFirstColumn="0" w:firstRowLastColumn="0" w:lastRowFirstColumn="0" w:lastRowLastColumn="0"/>
            <w:tcW w:w="755" w:type="pct"/>
          </w:tcPr>
          <w:p w14:paraId="5F945614" w14:textId="77777777" w:rsidR="004E45CF" w:rsidRPr="00CF3E3D" w:rsidRDefault="004E45CF" w:rsidP="007B0FBA">
            <w:pPr>
              <w:spacing w:before="85" w:line="288" w:lineRule="auto"/>
              <w:jc w:val="center"/>
              <w:rPr>
                <w:sz w:val="18"/>
                <w:szCs w:val="18"/>
              </w:rPr>
            </w:pPr>
            <w:r w:rsidRPr="00CF3E3D">
              <w:rPr>
                <w:sz w:val="18"/>
                <w:szCs w:val="18"/>
              </w:rPr>
              <w:t>84.0 (77.2, 88.5)</w:t>
            </w:r>
          </w:p>
        </w:tc>
        <w:tc>
          <w:tcPr>
            <w:cnfStyle w:val="000001000000" w:firstRow="0" w:lastRow="0" w:firstColumn="0" w:lastColumn="0" w:oddVBand="0" w:evenVBand="1" w:oddHBand="0" w:evenHBand="0" w:firstRowFirstColumn="0" w:firstRowLastColumn="0" w:lastRowFirstColumn="0" w:lastRowLastColumn="0"/>
            <w:tcW w:w="755" w:type="pct"/>
          </w:tcPr>
          <w:p w14:paraId="58B71AB3" w14:textId="77777777" w:rsidR="004E45CF" w:rsidRPr="00CF3E3D" w:rsidRDefault="004E45CF" w:rsidP="007B0FBA">
            <w:pPr>
              <w:spacing w:before="85" w:line="288" w:lineRule="auto"/>
              <w:jc w:val="center"/>
              <w:rPr>
                <w:sz w:val="18"/>
                <w:szCs w:val="18"/>
              </w:rPr>
            </w:pPr>
            <w:r w:rsidRPr="00CF3E3D">
              <w:rPr>
                <w:sz w:val="18"/>
                <w:szCs w:val="18"/>
              </w:rPr>
              <w:t>86.2 (80.4, 89.8)</w:t>
            </w:r>
          </w:p>
        </w:tc>
        <w:tc>
          <w:tcPr>
            <w:cnfStyle w:val="000010000000" w:firstRow="0" w:lastRow="0" w:firstColumn="0" w:lastColumn="0" w:oddVBand="1" w:evenVBand="0" w:oddHBand="0" w:evenHBand="0" w:firstRowFirstColumn="0" w:firstRowLastColumn="0" w:lastRowFirstColumn="0" w:lastRowLastColumn="0"/>
            <w:tcW w:w="755" w:type="pct"/>
          </w:tcPr>
          <w:p w14:paraId="03883247"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7009FE7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95DD0DD"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Tabor College of Higher Education</w:t>
            </w:r>
          </w:p>
        </w:tc>
        <w:tc>
          <w:tcPr>
            <w:cnfStyle w:val="000001000000" w:firstRow="0" w:lastRow="0" w:firstColumn="0" w:lastColumn="0" w:oddVBand="0" w:evenVBand="1" w:oddHBand="0" w:evenHBand="0" w:firstRowFirstColumn="0" w:firstRowLastColumn="0" w:lastRowFirstColumn="0" w:lastRowLastColumn="0"/>
            <w:tcW w:w="709" w:type="pct"/>
          </w:tcPr>
          <w:p w14:paraId="6F226A73" w14:textId="77777777" w:rsidR="004E45CF" w:rsidRPr="00CF3E3D" w:rsidRDefault="004E45CF" w:rsidP="007B0FBA">
            <w:pPr>
              <w:spacing w:before="85" w:line="288" w:lineRule="auto"/>
              <w:jc w:val="center"/>
              <w:rPr>
                <w:sz w:val="18"/>
                <w:szCs w:val="18"/>
              </w:rPr>
            </w:pPr>
            <w:r w:rsidRPr="00CF3E3D">
              <w:rPr>
                <w:sz w:val="18"/>
                <w:szCs w:val="18"/>
              </w:rPr>
              <w:t>67.2 (57.9, 75.0)</w:t>
            </w:r>
          </w:p>
        </w:tc>
        <w:tc>
          <w:tcPr>
            <w:cnfStyle w:val="000010000000" w:firstRow="0" w:lastRow="0" w:firstColumn="0" w:lastColumn="0" w:oddVBand="1" w:evenVBand="0" w:oddHBand="0" w:evenHBand="0" w:firstRowFirstColumn="0" w:firstRowLastColumn="0" w:lastRowFirstColumn="0" w:lastRowLastColumn="0"/>
            <w:tcW w:w="755" w:type="pct"/>
          </w:tcPr>
          <w:p w14:paraId="165AB883" w14:textId="77777777" w:rsidR="004E45CF" w:rsidRPr="00CF3E3D" w:rsidRDefault="004E45CF" w:rsidP="007B0FBA">
            <w:pPr>
              <w:spacing w:before="85" w:line="288" w:lineRule="auto"/>
              <w:jc w:val="center"/>
              <w:rPr>
                <w:sz w:val="18"/>
                <w:szCs w:val="18"/>
              </w:rPr>
            </w:pPr>
            <w:r w:rsidRPr="00CF3E3D">
              <w:rPr>
                <w:sz w:val="18"/>
                <w:szCs w:val="18"/>
              </w:rPr>
              <w:t>80.5 (74.1, 85.0)</w:t>
            </w:r>
          </w:p>
        </w:tc>
        <w:tc>
          <w:tcPr>
            <w:cnfStyle w:val="000001000000" w:firstRow="0" w:lastRow="0" w:firstColumn="0" w:lastColumn="0" w:oddVBand="0" w:evenVBand="1" w:oddHBand="0" w:evenHBand="0" w:firstRowFirstColumn="0" w:firstRowLastColumn="0" w:lastRowFirstColumn="0" w:lastRowLastColumn="0"/>
            <w:tcW w:w="755" w:type="pct"/>
          </w:tcPr>
          <w:p w14:paraId="31654173" w14:textId="77777777" w:rsidR="004E45CF" w:rsidRPr="00CF3E3D" w:rsidRDefault="004E45CF" w:rsidP="007B0FBA">
            <w:pPr>
              <w:spacing w:before="85" w:line="288" w:lineRule="auto"/>
              <w:jc w:val="center"/>
              <w:rPr>
                <w:sz w:val="18"/>
                <w:szCs w:val="18"/>
              </w:rPr>
            </w:pPr>
            <w:r w:rsidRPr="00CF3E3D">
              <w:rPr>
                <w:sz w:val="18"/>
                <w:szCs w:val="18"/>
              </w:rPr>
              <w:t>88.8 (83.7, 91.7)</w:t>
            </w:r>
          </w:p>
        </w:tc>
        <w:tc>
          <w:tcPr>
            <w:cnfStyle w:val="000010000000" w:firstRow="0" w:lastRow="0" w:firstColumn="0" w:lastColumn="0" w:oddVBand="1" w:evenVBand="0" w:oddHBand="0" w:evenHBand="0" w:firstRowFirstColumn="0" w:firstRowLastColumn="0" w:lastRowFirstColumn="0" w:lastRowLastColumn="0"/>
            <w:tcW w:w="755" w:type="pct"/>
          </w:tcPr>
          <w:p w14:paraId="148C93AD" w14:textId="77777777" w:rsidR="004E45CF" w:rsidRPr="00CF3E3D" w:rsidRDefault="004E45CF" w:rsidP="007B0FBA">
            <w:pPr>
              <w:spacing w:before="85" w:line="288" w:lineRule="auto"/>
              <w:jc w:val="center"/>
              <w:rPr>
                <w:sz w:val="18"/>
                <w:szCs w:val="18"/>
              </w:rPr>
            </w:pPr>
            <w:r w:rsidRPr="00CF3E3D">
              <w:rPr>
                <w:sz w:val="18"/>
                <w:szCs w:val="18"/>
              </w:rPr>
              <w:t>71,700 (66,400, 77,100)</w:t>
            </w:r>
          </w:p>
        </w:tc>
      </w:tr>
      <w:tr w:rsidR="004E45CF" w:rsidRPr="00CF3E3D" w14:paraId="55DC710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A749C16"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TAFE NSW</w:t>
            </w:r>
          </w:p>
        </w:tc>
        <w:tc>
          <w:tcPr>
            <w:cnfStyle w:val="000001000000" w:firstRow="0" w:lastRow="0" w:firstColumn="0" w:lastColumn="0" w:oddVBand="0" w:evenVBand="1" w:oddHBand="0" w:evenHBand="0" w:firstRowFirstColumn="0" w:firstRowLastColumn="0" w:lastRowFirstColumn="0" w:lastRowLastColumn="0"/>
            <w:tcW w:w="709" w:type="pct"/>
          </w:tcPr>
          <w:p w14:paraId="7694C4F1" w14:textId="77777777" w:rsidR="004E45CF" w:rsidRPr="00CF3E3D" w:rsidRDefault="004E45CF" w:rsidP="007B0FBA">
            <w:pPr>
              <w:spacing w:before="85" w:line="288" w:lineRule="auto"/>
              <w:jc w:val="center"/>
              <w:rPr>
                <w:sz w:val="18"/>
                <w:szCs w:val="18"/>
              </w:rPr>
            </w:pPr>
            <w:r w:rsidRPr="00CF3E3D">
              <w:rPr>
                <w:sz w:val="18"/>
                <w:szCs w:val="18"/>
              </w:rPr>
              <w:t>62.0 (57.2, 66.5)</w:t>
            </w:r>
          </w:p>
        </w:tc>
        <w:tc>
          <w:tcPr>
            <w:cnfStyle w:val="000010000000" w:firstRow="0" w:lastRow="0" w:firstColumn="0" w:lastColumn="0" w:oddVBand="1" w:evenVBand="0" w:oddHBand="0" w:evenHBand="0" w:firstRowFirstColumn="0" w:firstRowLastColumn="0" w:lastRowFirstColumn="0" w:lastRowLastColumn="0"/>
            <w:tcW w:w="755" w:type="pct"/>
          </w:tcPr>
          <w:p w14:paraId="4454404B" w14:textId="77777777" w:rsidR="004E45CF" w:rsidRPr="00CF3E3D" w:rsidRDefault="004E45CF" w:rsidP="007B0FBA">
            <w:pPr>
              <w:spacing w:before="85" w:line="288" w:lineRule="auto"/>
              <w:jc w:val="center"/>
              <w:rPr>
                <w:sz w:val="18"/>
                <w:szCs w:val="18"/>
              </w:rPr>
            </w:pPr>
            <w:r w:rsidRPr="00CF3E3D">
              <w:rPr>
                <w:sz w:val="18"/>
                <w:szCs w:val="18"/>
              </w:rPr>
              <w:t>78.3 (74.7, 81.4)</w:t>
            </w:r>
          </w:p>
        </w:tc>
        <w:tc>
          <w:tcPr>
            <w:cnfStyle w:val="000001000000" w:firstRow="0" w:lastRow="0" w:firstColumn="0" w:lastColumn="0" w:oddVBand="0" w:evenVBand="1" w:oddHBand="0" w:evenHBand="0" w:firstRowFirstColumn="0" w:firstRowLastColumn="0" w:lastRowFirstColumn="0" w:lastRowLastColumn="0"/>
            <w:tcW w:w="755" w:type="pct"/>
          </w:tcPr>
          <w:p w14:paraId="6F336911" w14:textId="77777777" w:rsidR="004E45CF" w:rsidRPr="00CF3E3D" w:rsidRDefault="004E45CF" w:rsidP="007B0FBA">
            <w:pPr>
              <w:spacing w:before="85" w:line="288" w:lineRule="auto"/>
              <w:jc w:val="center"/>
              <w:rPr>
                <w:sz w:val="18"/>
                <w:szCs w:val="18"/>
              </w:rPr>
            </w:pPr>
            <w:r w:rsidRPr="00CF3E3D">
              <w:rPr>
                <w:sz w:val="18"/>
                <w:szCs w:val="18"/>
              </w:rPr>
              <w:t>94.4 (92.2, 95.8)</w:t>
            </w:r>
          </w:p>
        </w:tc>
        <w:tc>
          <w:tcPr>
            <w:cnfStyle w:val="000010000000" w:firstRow="0" w:lastRow="0" w:firstColumn="0" w:lastColumn="0" w:oddVBand="1" w:evenVBand="0" w:oddHBand="0" w:evenHBand="0" w:firstRowFirstColumn="0" w:firstRowLastColumn="0" w:lastRowFirstColumn="0" w:lastRowLastColumn="0"/>
            <w:tcW w:w="755" w:type="pct"/>
          </w:tcPr>
          <w:p w14:paraId="225299A1" w14:textId="77777777" w:rsidR="004E45CF" w:rsidRPr="00CF3E3D" w:rsidRDefault="004E45CF" w:rsidP="007B0FBA">
            <w:pPr>
              <w:spacing w:before="85" w:line="288" w:lineRule="auto"/>
              <w:jc w:val="center"/>
              <w:rPr>
                <w:sz w:val="18"/>
                <w:szCs w:val="18"/>
              </w:rPr>
            </w:pPr>
            <w:r w:rsidRPr="00CF3E3D">
              <w:rPr>
                <w:sz w:val="18"/>
                <w:szCs w:val="18"/>
              </w:rPr>
              <w:t>70,000 (63,800, 76,200)</w:t>
            </w:r>
          </w:p>
        </w:tc>
      </w:tr>
      <w:tr w:rsidR="004E45CF" w:rsidRPr="00CF3E3D" w14:paraId="6CB6093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4EA0F70"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TAFE Queensland</w:t>
            </w:r>
          </w:p>
        </w:tc>
        <w:tc>
          <w:tcPr>
            <w:cnfStyle w:val="000001000000" w:firstRow="0" w:lastRow="0" w:firstColumn="0" w:lastColumn="0" w:oddVBand="0" w:evenVBand="1" w:oddHBand="0" w:evenHBand="0" w:firstRowFirstColumn="0" w:firstRowLastColumn="0" w:lastRowFirstColumn="0" w:lastRowLastColumn="0"/>
            <w:tcW w:w="709" w:type="pct"/>
          </w:tcPr>
          <w:p w14:paraId="225EFE00" w14:textId="77777777" w:rsidR="004E45CF" w:rsidRPr="00CF3E3D" w:rsidRDefault="004E45CF" w:rsidP="007B0FBA">
            <w:pPr>
              <w:spacing w:before="85" w:line="288" w:lineRule="auto"/>
              <w:jc w:val="center"/>
              <w:rPr>
                <w:sz w:val="18"/>
                <w:szCs w:val="18"/>
              </w:rPr>
            </w:pPr>
            <w:r w:rsidRPr="00CF3E3D">
              <w:rPr>
                <w:sz w:val="18"/>
                <w:szCs w:val="18"/>
              </w:rPr>
              <w:t>87.2 (78.3, 92.1)</w:t>
            </w:r>
          </w:p>
        </w:tc>
        <w:tc>
          <w:tcPr>
            <w:cnfStyle w:val="000010000000" w:firstRow="0" w:lastRow="0" w:firstColumn="0" w:lastColumn="0" w:oddVBand="1" w:evenVBand="0" w:oddHBand="0" w:evenHBand="0" w:firstRowFirstColumn="0" w:firstRowLastColumn="0" w:lastRowFirstColumn="0" w:lastRowLastColumn="0"/>
            <w:tcW w:w="755" w:type="pct"/>
          </w:tcPr>
          <w:p w14:paraId="31431653" w14:textId="77777777" w:rsidR="004E45CF" w:rsidRPr="00CF3E3D" w:rsidRDefault="004E45CF" w:rsidP="007B0FBA">
            <w:pPr>
              <w:spacing w:before="85" w:line="288" w:lineRule="auto"/>
              <w:jc w:val="center"/>
              <w:rPr>
                <w:sz w:val="18"/>
                <w:szCs w:val="18"/>
              </w:rPr>
            </w:pPr>
            <w:r w:rsidRPr="00CF3E3D">
              <w:rPr>
                <w:sz w:val="18"/>
                <w:szCs w:val="18"/>
              </w:rPr>
              <w:t>89.7 (82.4, 93.3)</w:t>
            </w:r>
          </w:p>
        </w:tc>
        <w:tc>
          <w:tcPr>
            <w:cnfStyle w:val="000001000000" w:firstRow="0" w:lastRow="0" w:firstColumn="0" w:lastColumn="0" w:oddVBand="0" w:evenVBand="1" w:oddHBand="0" w:evenHBand="0" w:firstRowFirstColumn="0" w:firstRowLastColumn="0" w:lastRowFirstColumn="0" w:lastRowLastColumn="0"/>
            <w:tcW w:w="755" w:type="pct"/>
          </w:tcPr>
          <w:p w14:paraId="75BC3D33" w14:textId="77777777" w:rsidR="004E45CF" w:rsidRPr="00CF3E3D" w:rsidRDefault="004E45CF" w:rsidP="007B0FBA">
            <w:pPr>
              <w:spacing w:before="85" w:line="288" w:lineRule="auto"/>
              <w:jc w:val="center"/>
              <w:rPr>
                <w:sz w:val="18"/>
                <w:szCs w:val="18"/>
              </w:rPr>
            </w:pPr>
            <w:r w:rsidRPr="00CF3E3D">
              <w:rPr>
                <w:sz w:val="18"/>
                <w:szCs w:val="18"/>
              </w:rPr>
              <w:t>98.3 (93.0, 99.3)</w:t>
            </w:r>
          </w:p>
        </w:tc>
        <w:tc>
          <w:tcPr>
            <w:cnfStyle w:val="000010000000" w:firstRow="0" w:lastRow="0" w:firstColumn="0" w:lastColumn="0" w:oddVBand="1" w:evenVBand="0" w:oddHBand="0" w:evenHBand="0" w:firstRowFirstColumn="0" w:firstRowLastColumn="0" w:lastRowFirstColumn="0" w:lastRowLastColumn="0"/>
            <w:tcW w:w="755" w:type="pct"/>
          </w:tcPr>
          <w:p w14:paraId="5184BF91" w14:textId="77777777" w:rsidR="004E45CF" w:rsidRPr="00CF3E3D" w:rsidRDefault="004E45CF" w:rsidP="007B0FBA">
            <w:pPr>
              <w:spacing w:before="85" w:line="288" w:lineRule="auto"/>
              <w:jc w:val="center"/>
              <w:rPr>
                <w:sz w:val="18"/>
                <w:szCs w:val="18"/>
              </w:rPr>
            </w:pPr>
            <w:r w:rsidRPr="00CF3E3D">
              <w:rPr>
                <w:sz w:val="18"/>
                <w:szCs w:val="18"/>
              </w:rPr>
              <w:t>59,500 (54,500, 64,400)</w:t>
            </w:r>
          </w:p>
        </w:tc>
      </w:tr>
      <w:tr w:rsidR="004E45CF" w:rsidRPr="00CF3E3D" w14:paraId="4B371B1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E8BB61B"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TAFE South Australia</w:t>
            </w:r>
          </w:p>
        </w:tc>
        <w:tc>
          <w:tcPr>
            <w:cnfStyle w:val="000001000000" w:firstRow="0" w:lastRow="0" w:firstColumn="0" w:lastColumn="0" w:oddVBand="0" w:evenVBand="1" w:oddHBand="0" w:evenHBand="0" w:firstRowFirstColumn="0" w:firstRowLastColumn="0" w:lastRowFirstColumn="0" w:lastRowLastColumn="0"/>
            <w:tcW w:w="709" w:type="pct"/>
          </w:tcPr>
          <w:p w14:paraId="70D5F5DC"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5B45E0C5"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01000000" w:firstRow="0" w:lastRow="0" w:firstColumn="0" w:lastColumn="0" w:oddVBand="0" w:evenVBand="1" w:oddHBand="0" w:evenHBand="0" w:firstRowFirstColumn="0" w:firstRowLastColumn="0" w:lastRowFirstColumn="0" w:lastRowLastColumn="0"/>
            <w:tcW w:w="755" w:type="pct"/>
          </w:tcPr>
          <w:p w14:paraId="22CCDC7B"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28331847"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22432E6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C17C74F"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The Australian College of Physical Education</w:t>
            </w:r>
          </w:p>
        </w:tc>
        <w:tc>
          <w:tcPr>
            <w:cnfStyle w:val="000001000000" w:firstRow="0" w:lastRow="0" w:firstColumn="0" w:lastColumn="0" w:oddVBand="0" w:evenVBand="1" w:oddHBand="0" w:evenHBand="0" w:firstRowFirstColumn="0" w:firstRowLastColumn="0" w:lastRowFirstColumn="0" w:lastRowLastColumn="0"/>
            <w:tcW w:w="709" w:type="pct"/>
          </w:tcPr>
          <w:p w14:paraId="5745D5C6" w14:textId="77777777" w:rsidR="004E45CF" w:rsidRPr="00CF3E3D" w:rsidRDefault="004E45CF" w:rsidP="007B0FBA">
            <w:pPr>
              <w:spacing w:before="85" w:line="288" w:lineRule="auto"/>
              <w:jc w:val="center"/>
              <w:rPr>
                <w:sz w:val="18"/>
                <w:szCs w:val="18"/>
              </w:rPr>
            </w:pPr>
            <w:r w:rsidRPr="00CF3E3D">
              <w:rPr>
                <w:sz w:val="18"/>
                <w:szCs w:val="18"/>
              </w:rPr>
              <w:t>70.2 (60.7, 77.8)</w:t>
            </w:r>
          </w:p>
        </w:tc>
        <w:tc>
          <w:tcPr>
            <w:cnfStyle w:val="000010000000" w:firstRow="0" w:lastRow="0" w:firstColumn="0" w:lastColumn="0" w:oddVBand="1" w:evenVBand="0" w:oddHBand="0" w:evenHBand="0" w:firstRowFirstColumn="0" w:firstRowLastColumn="0" w:lastRowFirstColumn="0" w:lastRowLastColumn="0"/>
            <w:tcW w:w="755" w:type="pct"/>
          </w:tcPr>
          <w:p w14:paraId="2D26EFFD" w14:textId="77777777" w:rsidR="004E45CF" w:rsidRPr="00CF3E3D" w:rsidRDefault="004E45CF" w:rsidP="007B0FBA">
            <w:pPr>
              <w:spacing w:before="85" w:line="288" w:lineRule="auto"/>
              <w:jc w:val="center"/>
              <w:rPr>
                <w:sz w:val="18"/>
                <w:szCs w:val="18"/>
              </w:rPr>
            </w:pPr>
            <w:r w:rsidRPr="00CF3E3D">
              <w:rPr>
                <w:sz w:val="18"/>
                <w:szCs w:val="18"/>
              </w:rPr>
              <w:t>89.6 (83.4, 93.2)</w:t>
            </w:r>
          </w:p>
        </w:tc>
        <w:tc>
          <w:tcPr>
            <w:cnfStyle w:val="000001000000" w:firstRow="0" w:lastRow="0" w:firstColumn="0" w:lastColumn="0" w:oddVBand="0" w:evenVBand="1" w:oddHBand="0" w:evenHBand="0" w:firstRowFirstColumn="0" w:firstRowLastColumn="0" w:lastRowFirstColumn="0" w:lastRowLastColumn="0"/>
            <w:tcW w:w="755" w:type="pct"/>
          </w:tcPr>
          <w:p w14:paraId="49D17555" w14:textId="77777777" w:rsidR="004E45CF" w:rsidRPr="00CF3E3D" w:rsidRDefault="004E45CF" w:rsidP="007B0FBA">
            <w:pPr>
              <w:spacing w:before="85" w:line="288" w:lineRule="auto"/>
              <w:jc w:val="center"/>
              <w:rPr>
                <w:sz w:val="18"/>
                <w:szCs w:val="18"/>
              </w:rPr>
            </w:pPr>
            <w:r w:rsidRPr="00CF3E3D">
              <w:rPr>
                <w:sz w:val="18"/>
                <w:szCs w:val="18"/>
              </w:rPr>
              <w:t>93.9 (88.7, 96.3)</w:t>
            </w:r>
          </w:p>
        </w:tc>
        <w:tc>
          <w:tcPr>
            <w:cnfStyle w:val="000010000000" w:firstRow="0" w:lastRow="0" w:firstColumn="0" w:lastColumn="0" w:oddVBand="1" w:evenVBand="0" w:oddHBand="0" w:evenHBand="0" w:firstRowFirstColumn="0" w:firstRowLastColumn="0" w:lastRowFirstColumn="0" w:lastRowLastColumn="0"/>
            <w:tcW w:w="755" w:type="pct"/>
          </w:tcPr>
          <w:p w14:paraId="038F0F1B" w14:textId="77777777" w:rsidR="004E45CF" w:rsidRPr="00CF3E3D" w:rsidRDefault="004E45CF" w:rsidP="007B0FBA">
            <w:pPr>
              <w:spacing w:before="85" w:line="288" w:lineRule="auto"/>
              <w:jc w:val="center"/>
              <w:rPr>
                <w:sz w:val="18"/>
                <w:szCs w:val="18"/>
              </w:rPr>
            </w:pPr>
            <w:r w:rsidRPr="00CF3E3D">
              <w:rPr>
                <w:sz w:val="18"/>
                <w:szCs w:val="18"/>
              </w:rPr>
              <w:t>65,200 (56,900, 73,500)</w:t>
            </w:r>
          </w:p>
        </w:tc>
      </w:tr>
      <w:tr w:rsidR="004E45CF" w:rsidRPr="00CF3E3D" w14:paraId="68F4395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065772EC"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The Australian Institute of Music</w:t>
            </w:r>
          </w:p>
        </w:tc>
        <w:tc>
          <w:tcPr>
            <w:cnfStyle w:val="000001000000" w:firstRow="0" w:lastRow="0" w:firstColumn="0" w:lastColumn="0" w:oddVBand="0" w:evenVBand="1" w:oddHBand="0" w:evenHBand="0" w:firstRowFirstColumn="0" w:firstRowLastColumn="0" w:lastRowFirstColumn="0" w:lastRowLastColumn="0"/>
            <w:tcW w:w="709" w:type="pct"/>
          </w:tcPr>
          <w:p w14:paraId="63E06AE0" w14:textId="77777777" w:rsidR="004E45CF" w:rsidRPr="00CF3E3D" w:rsidRDefault="004E45CF" w:rsidP="007B0FBA">
            <w:pPr>
              <w:spacing w:before="85" w:line="288" w:lineRule="auto"/>
              <w:jc w:val="center"/>
              <w:rPr>
                <w:sz w:val="18"/>
                <w:szCs w:val="18"/>
              </w:rPr>
            </w:pPr>
            <w:r w:rsidRPr="00CF3E3D">
              <w:rPr>
                <w:sz w:val="18"/>
                <w:szCs w:val="18"/>
              </w:rPr>
              <w:t>46.2 (39.4, 53.2)</w:t>
            </w:r>
          </w:p>
        </w:tc>
        <w:tc>
          <w:tcPr>
            <w:cnfStyle w:val="000010000000" w:firstRow="0" w:lastRow="0" w:firstColumn="0" w:lastColumn="0" w:oddVBand="1" w:evenVBand="0" w:oddHBand="0" w:evenHBand="0" w:firstRowFirstColumn="0" w:firstRowLastColumn="0" w:lastRowFirstColumn="0" w:lastRowLastColumn="0"/>
            <w:tcW w:w="755" w:type="pct"/>
          </w:tcPr>
          <w:p w14:paraId="3370F47C" w14:textId="77777777" w:rsidR="004E45CF" w:rsidRPr="00CF3E3D" w:rsidRDefault="004E45CF" w:rsidP="007B0FBA">
            <w:pPr>
              <w:spacing w:before="85" w:line="288" w:lineRule="auto"/>
              <w:jc w:val="center"/>
              <w:rPr>
                <w:sz w:val="18"/>
                <w:szCs w:val="18"/>
              </w:rPr>
            </w:pPr>
            <w:r w:rsidRPr="00CF3E3D">
              <w:rPr>
                <w:sz w:val="18"/>
                <w:szCs w:val="18"/>
              </w:rPr>
              <w:t>73.7 (68.6, 78.0)</w:t>
            </w:r>
          </w:p>
        </w:tc>
        <w:tc>
          <w:tcPr>
            <w:cnfStyle w:val="000001000000" w:firstRow="0" w:lastRow="0" w:firstColumn="0" w:lastColumn="0" w:oddVBand="0" w:evenVBand="1" w:oddHBand="0" w:evenHBand="0" w:firstRowFirstColumn="0" w:firstRowLastColumn="0" w:lastRowFirstColumn="0" w:lastRowLastColumn="0"/>
            <w:tcW w:w="755" w:type="pct"/>
          </w:tcPr>
          <w:p w14:paraId="0F5FFC1C" w14:textId="77777777" w:rsidR="004E45CF" w:rsidRPr="00CF3E3D" w:rsidRDefault="004E45CF" w:rsidP="007B0FBA">
            <w:pPr>
              <w:spacing w:before="85" w:line="288" w:lineRule="auto"/>
              <w:jc w:val="center"/>
              <w:rPr>
                <w:sz w:val="18"/>
                <w:szCs w:val="18"/>
              </w:rPr>
            </w:pPr>
            <w:r w:rsidRPr="00CF3E3D">
              <w:rPr>
                <w:sz w:val="18"/>
                <w:szCs w:val="18"/>
              </w:rPr>
              <w:t>97.5 (94.8, 98.6)</w:t>
            </w:r>
          </w:p>
        </w:tc>
        <w:tc>
          <w:tcPr>
            <w:cnfStyle w:val="000010000000" w:firstRow="0" w:lastRow="0" w:firstColumn="0" w:lastColumn="0" w:oddVBand="1" w:evenVBand="0" w:oddHBand="0" w:evenHBand="0" w:firstRowFirstColumn="0" w:firstRowLastColumn="0" w:lastRowFirstColumn="0" w:lastRowLastColumn="0"/>
            <w:tcW w:w="755" w:type="pct"/>
          </w:tcPr>
          <w:p w14:paraId="70578773" w14:textId="77777777" w:rsidR="004E45CF" w:rsidRPr="00CF3E3D" w:rsidRDefault="004E45CF" w:rsidP="007B0FBA">
            <w:pPr>
              <w:spacing w:before="85" w:line="288" w:lineRule="auto"/>
              <w:jc w:val="center"/>
              <w:rPr>
                <w:sz w:val="18"/>
                <w:szCs w:val="18"/>
              </w:rPr>
            </w:pPr>
            <w:r w:rsidRPr="00CF3E3D">
              <w:rPr>
                <w:sz w:val="18"/>
                <w:szCs w:val="18"/>
              </w:rPr>
              <w:t>47,200 (39,600, 54,800)</w:t>
            </w:r>
          </w:p>
        </w:tc>
      </w:tr>
      <w:tr w:rsidR="004E45CF" w:rsidRPr="00CF3E3D" w14:paraId="11668D8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C48B477"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Think Education</w:t>
            </w:r>
          </w:p>
        </w:tc>
        <w:tc>
          <w:tcPr>
            <w:cnfStyle w:val="000001000000" w:firstRow="0" w:lastRow="0" w:firstColumn="0" w:lastColumn="0" w:oddVBand="0" w:evenVBand="1" w:oddHBand="0" w:evenHBand="0" w:firstRowFirstColumn="0" w:firstRowLastColumn="0" w:lastRowFirstColumn="0" w:lastRowLastColumn="0"/>
            <w:tcW w:w="709" w:type="pct"/>
          </w:tcPr>
          <w:p w14:paraId="0C402EB9" w14:textId="77777777" w:rsidR="004E45CF" w:rsidRPr="00CF3E3D" w:rsidRDefault="004E45CF" w:rsidP="007B0FBA">
            <w:pPr>
              <w:spacing w:before="85" w:line="288" w:lineRule="auto"/>
              <w:jc w:val="center"/>
              <w:rPr>
                <w:sz w:val="18"/>
                <w:szCs w:val="18"/>
              </w:rPr>
            </w:pPr>
            <w:r w:rsidRPr="00CF3E3D">
              <w:rPr>
                <w:sz w:val="18"/>
                <w:szCs w:val="18"/>
              </w:rPr>
              <w:t>62.0 (56.7, 66.9)</w:t>
            </w:r>
          </w:p>
        </w:tc>
        <w:tc>
          <w:tcPr>
            <w:cnfStyle w:val="000010000000" w:firstRow="0" w:lastRow="0" w:firstColumn="0" w:lastColumn="0" w:oddVBand="1" w:evenVBand="0" w:oddHBand="0" w:evenHBand="0" w:firstRowFirstColumn="0" w:firstRowLastColumn="0" w:lastRowFirstColumn="0" w:lastRowLastColumn="0"/>
            <w:tcW w:w="755" w:type="pct"/>
          </w:tcPr>
          <w:p w14:paraId="154D1B7E" w14:textId="77777777" w:rsidR="004E45CF" w:rsidRPr="00CF3E3D" w:rsidRDefault="004E45CF" w:rsidP="007B0FBA">
            <w:pPr>
              <w:spacing w:before="85" w:line="288" w:lineRule="auto"/>
              <w:jc w:val="center"/>
              <w:rPr>
                <w:sz w:val="18"/>
                <w:szCs w:val="18"/>
              </w:rPr>
            </w:pPr>
            <w:r w:rsidRPr="00CF3E3D">
              <w:rPr>
                <w:sz w:val="18"/>
                <w:szCs w:val="18"/>
              </w:rPr>
              <w:t>82.4 (79.5, 84.8)</w:t>
            </w:r>
          </w:p>
        </w:tc>
        <w:tc>
          <w:tcPr>
            <w:cnfStyle w:val="000001000000" w:firstRow="0" w:lastRow="0" w:firstColumn="0" w:lastColumn="0" w:oddVBand="0" w:evenVBand="1" w:oddHBand="0" w:evenHBand="0" w:firstRowFirstColumn="0" w:firstRowLastColumn="0" w:lastRowFirstColumn="0" w:lastRowLastColumn="0"/>
            <w:tcW w:w="755" w:type="pct"/>
          </w:tcPr>
          <w:p w14:paraId="4A2471A9" w14:textId="77777777" w:rsidR="004E45CF" w:rsidRPr="00CF3E3D" w:rsidRDefault="004E45CF" w:rsidP="007B0FBA">
            <w:pPr>
              <w:spacing w:before="85" w:line="288" w:lineRule="auto"/>
              <w:jc w:val="center"/>
              <w:rPr>
                <w:sz w:val="18"/>
                <w:szCs w:val="18"/>
              </w:rPr>
            </w:pPr>
            <w:r w:rsidRPr="00CF3E3D">
              <w:rPr>
                <w:sz w:val="18"/>
                <w:szCs w:val="18"/>
              </w:rPr>
              <w:t>90.0 (87.8, 91.6)</w:t>
            </w:r>
          </w:p>
        </w:tc>
        <w:tc>
          <w:tcPr>
            <w:cnfStyle w:val="000010000000" w:firstRow="0" w:lastRow="0" w:firstColumn="0" w:lastColumn="0" w:oddVBand="1" w:evenVBand="0" w:oddHBand="0" w:evenHBand="0" w:firstRowFirstColumn="0" w:firstRowLastColumn="0" w:lastRowFirstColumn="0" w:lastRowLastColumn="0"/>
            <w:tcW w:w="755" w:type="pct"/>
          </w:tcPr>
          <w:p w14:paraId="732945C5" w14:textId="77777777" w:rsidR="004E45CF" w:rsidRPr="00CF3E3D" w:rsidRDefault="004E45CF" w:rsidP="007B0FBA">
            <w:pPr>
              <w:spacing w:before="85" w:line="288" w:lineRule="auto"/>
              <w:jc w:val="center"/>
              <w:rPr>
                <w:sz w:val="18"/>
                <w:szCs w:val="18"/>
              </w:rPr>
            </w:pPr>
            <w:r w:rsidRPr="00CF3E3D">
              <w:rPr>
                <w:sz w:val="18"/>
                <w:szCs w:val="18"/>
              </w:rPr>
              <w:t>65,300 (59,100, 71,600)</w:t>
            </w:r>
          </w:p>
        </w:tc>
      </w:tr>
      <w:tr w:rsidR="004E45CF" w:rsidRPr="00CF3E3D" w14:paraId="66B87E7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6514526"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UOW College</w:t>
            </w:r>
          </w:p>
        </w:tc>
        <w:tc>
          <w:tcPr>
            <w:cnfStyle w:val="000001000000" w:firstRow="0" w:lastRow="0" w:firstColumn="0" w:lastColumn="0" w:oddVBand="0" w:evenVBand="1" w:oddHBand="0" w:evenHBand="0" w:firstRowFirstColumn="0" w:firstRowLastColumn="0" w:lastRowFirstColumn="0" w:lastRowLastColumn="0"/>
            <w:tcW w:w="709" w:type="pct"/>
          </w:tcPr>
          <w:p w14:paraId="16D67E00" w14:textId="77777777" w:rsidR="004E45CF" w:rsidRPr="00CF3E3D" w:rsidRDefault="004E45CF" w:rsidP="007B0FBA">
            <w:pPr>
              <w:spacing w:before="85" w:line="288" w:lineRule="auto"/>
              <w:jc w:val="center"/>
              <w:rPr>
                <w:sz w:val="18"/>
                <w:szCs w:val="18"/>
              </w:rPr>
            </w:pPr>
            <w:r w:rsidRPr="00CF3E3D">
              <w:rPr>
                <w:sz w:val="18"/>
                <w:szCs w:val="18"/>
              </w:rPr>
              <w:t>n/a</w:t>
            </w:r>
          </w:p>
        </w:tc>
        <w:tc>
          <w:tcPr>
            <w:cnfStyle w:val="000010000000" w:firstRow="0" w:lastRow="0" w:firstColumn="0" w:lastColumn="0" w:oddVBand="1" w:evenVBand="0" w:oddHBand="0" w:evenHBand="0" w:firstRowFirstColumn="0" w:firstRowLastColumn="0" w:lastRowFirstColumn="0" w:lastRowLastColumn="0"/>
            <w:tcW w:w="755" w:type="pct"/>
          </w:tcPr>
          <w:p w14:paraId="3DAC8C82" w14:textId="77777777" w:rsidR="004E45CF" w:rsidRPr="00CF3E3D" w:rsidRDefault="004E45CF" w:rsidP="007B0FBA">
            <w:pPr>
              <w:spacing w:before="85" w:line="288" w:lineRule="auto"/>
              <w:jc w:val="center"/>
              <w:rPr>
                <w:sz w:val="18"/>
                <w:szCs w:val="18"/>
              </w:rPr>
            </w:pPr>
            <w:r w:rsidRPr="00CF3E3D">
              <w:rPr>
                <w:sz w:val="18"/>
                <w:szCs w:val="18"/>
              </w:rPr>
              <w:t>51.7 (38.5, 64.7)</w:t>
            </w:r>
          </w:p>
        </w:tc>
        <w:tc>
          <w:tcPr>
            <w:cnfStyle w:val="000001000000" w:firstRow="0" w:lastRow="0" w:firstColumn="0" w:lastColumn="0" w:oddVBand="0" w:evenVBand="1" w:oddHBand="0" w:evenHBand="0" w:firstRowFirstColumn="0" w:firstRowLastColumn="0" w:lastRowFirstColumn="0" w:lastRowLastColumn="0"/>
            <w:tcW w:w="755" w:type="pct"/>
          </w:tcPr>
          <w:p w14:paraId="1F972E25" w14:textId="77777777" w:rsidR="004E45CF" w:rsidRPr="00CF3E3D" w:rsidRDefault="004E45CF" w:rsidP="007B0FBA">
            <w:pPr>
              <w:spacing w:before="85" w:line="288" w:lineRule="auto"/>
              <w:jc w:val="center"/>
              <w:rPr>
                <w:sz w:val="18"/>
                <w:szCs w:val="18"/>
              </w:rPr>
            </w:pPr>
            <w:r w:rsidRPr="00CF3E3D">
              <w:rPr>
                <w:sz w:val="18"/>
                <w:szCs w:val="18"/>
              </w:rPr>
              <w:t>74.4 (63.0, 82.5)</w:t>
            </w:r>
          </w:p>
        </w:tc>
        <w:tc>
          <w:tcPr>
            <w:cnfStyle w:val="000010000000" w:firstRow="0" w:lastRow="0" w:firstColumn="0" w:lastColumn="0" w:oddVBand="1" w:evenVBand="0" w:oddHBand="0" w:evenHBand="0" w:firstRowFirstColumn="0" w:firstRowLastColumn="0" w:lastRowFirstColumn="0" w:lastRowLastColumn="0"/>
            <w:tcW w:w="755" w:type="pct"/>
          </w:tcPr>
          <w:p w14:paraId="05D20FE5"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338F5FE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4ED94106"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UTS College</w:t>
            </w:r>
          </w:p>
        </w:tc>
        <w:tc>
          <w:tcPr>
            <w:cnfStyle w:val="000001000000" w:firstRow="0" w:lastRow="0" w:firstColumn="0" w:lastColumn="0" w:oddVBand="0" w:evenVBand="1" w:oddHBand="0" w:evenHBand="0" w:firstRowFirstColumn="0" w:firstRowLastColumn="0" w:lastRowFirstColumn="0" w:lastRowLastColumn="0"/>
            <w:tcW w:w="709" w:type="pct"/>
          </w:tcPr>
          <w:p w14:paraId="7FA0652F" w14:textId="77777777" w:rsidR="004E45CF" w:rsidRPr="00CF3E3D" w:rsidRDefault="004E45CF" w:rsidP="007B0FBA">
            <w:pPr>
              <w:spacing w:before="85" w:line="288" w:lineRule="auto"/>
              <w:jc w:val="center"/>
              <w:rPr>
                <w:sz w:val="18"/>
                <w:szCs w:val="18"/>
              </w:rPr>
            </w:pPr>
            <w:r w:rsidRPr="00CF3E3D">
              <w:rPr>
                <w:sz w:val="18"/>
                <w:szCs w:val="18"/>
              </w:rPr>
              <w:t>38.1 (30.2, 46.7)</w:t>
            </w:r>
          </w:p>
        </w:tc>
        <w:tc>
          <w:tcPr>
            <w:cnfStyle w:val="000010000000" w:firstRow="0" w:lastRow="0" w:firstColumn="0" w:lastColumn="0" w:oddVBand="1" w:evenVBand="0" w:oddHBand="0" w:evenHBand="0" w:firstRowFirstColumn="0" w:firstRowLastColumn="0" w:lastRowFirstColumn="0" w:lastRowLastColumn="0"/>
            <w:tcW w:w="755" w:type="pct"/>
          </w:tcPr>
          <w:p w14:paraId="4756AC64" w14:textId="77777777" w:rsidR="004E45CF" w:rsidRPr="00CF3E3D" w:rsidRDefault="004E45CF" w:rsidP="007B0FBA">
            <w:pPr>
              <w:spacing w:before="85" w:line="288" w:lineRule="auto"/>
              <w:jc w:val="center"/>
              <w:rPr>
                <w:sz w:val="18"/>
                <w:szCs w:val="18"/>
              </w:rPr>
            </w:pPr>
            <w:r w:rsidRPr="00CF3E3D">
              <w:rPr>
                <w:sz w:val="18"/>
                <w:szCs w:val="18"/>
              </w:rPr>
              <w:t>64.2 (60.1, 68.0)</w:t>
            </w:r>
          </w:p>
        </w:tc>
        <w:tc>
          <w:tcPr>
            <w:cnfStyle w:val="000001000000" w:firstRow="0" w:lastRow="0" w:firstColumn="0" w:lastColumn="0" w:oddVBand="0" w:evenVBand="1" w:oddHBand="0" w:evenHBand="0" w:firstRowFirstColumn="0" w:firstRowLastColumn="0" w:lastRowFirstColumn="0" w:lastRowLastColumn="0"/>
            <w:tcW w:w="755" w:type="pct"/>
          </w:tcPr>
          <w:p w14:paraId="63205CF4" w14:textId="77777777" w:rsidR="004E45CF" w:rsidRPr="00CF3E3D" w:rsidRDefault="004E45CF" w:rsidP="007B0FBA">
            <w:pPr>
              <w:spacing w:before="85" w:line="288" w:lineRule="auto"/>
              <w:jc w:val="center"/>
              <w:rPr>
                <w:sz w:val="18"/>
                <w:szCs w:val="18"/>
              </w:rPr>
            </w:pPr>
            <w:r w:rsidRPr="00CF3E3D">
              <w:rPr>
                <w:sz w:val="18"/>
                <w:szCs w:val="18"/>
              </w:rPr>
              <w:t>76.2 (73.1, 78.9)</w:t>
            </w:r>
          </w:p>
        </w:tc>
        <w:tc>
          <w:tcPr>
            <w:cnfStyle w:val="000010000000" w:firstRow="0" w:lastRow="0" w:firstColumn="0" w:lastColumn="0" w:oddVBand="1" w:evenVBand="0" w:oddHBand="0" w:evenHBand="0" w:firstRowFirstColumn="0" w:firstRowLastColumn="0" w:lastRowFirstColumn="0" w:lastRowLastColumn="0"/>
            <w:tcW w:w="755" w:type="pct"/>
          </w:tcPr>
          <w:p w14:paraId="6B9AFAAB"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4D4D3F4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E5E8BB7"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Whitehouse Institute of Design, Australia</w:t>
            </w:r>
          </w:p>
        </w:tc>
        <w:tc>
          <w:tcPr>
            <w:cnfStyle w:val="000001000000" w:firstRow="0" w:lastRow="0" w:firstColumn="0" w:lastColumn="0" w:oddVBand="0" w:evenVBand="1" w:oddHBand="0" w:evenHBand="0" w:firstRowFirstColumn="0" w:firstRowLastColumn="0" w:lastRowFirstColumn="0" w:lastRowLastColumn="0"/>
            <w:tcW w:w="709" w:type="pct"/>
          </w:tcPr>
          <w:p w14:paraId="2C22B5D0" w14:textId="77777777" w:rsidR="004E45CF" w:rsidRPr="00CF3E3D" w:rsidRDefault="004E45CF" w:rsidP="007B0FBA">
            <w:pPr>
              <w:spacing w:before="85" w:line="288" w:lineRule="auto"/>
              <w:jc w:val="center"/>
              <w:rPr>
                <w:sz w:val="18"/>
                <w:szCs w:val="18"/>
              </w:rPr>
            </w:pPr>
            <w:r w:rsidRPr="00CF3E3D">
              <w:rPr>
                <w:sz w:val="18"/>
                <w:szCs w:val="18"/>
              </w:rPr>
              <w:t>46.8 (36.5, 57.4)</w:t>
            </w:r>
          </w:p>
        </w:tc>
        <w:tc>
          <w:tcPr>
            <w:cnfStyle w:val="000010000000" w:firstRow="0" w:lastRow="0" w:firstColumn="0" w:lastColumn="0" w:oddVBand="1" w:evenVBand="0" w:oddHBand="0" w:evenHBand="0" w:firstRowFirstColumn="0" w:firstRowLastColumn="0" w:lastRowFirstColumn="0" w:lastRowLastColumn="0"/>
            <w:tcW w:w="755" w:type="pct"/>
          </w:tcPr>
          <w:p w14:paraId="4AA5A73B" w14:textId="77777777" w:rsidR="004E45CF" w:rsidRPr="00CF3E3D" w:rsidRDefault="004E45CF" w:rsidP="007B0FBA">
            <w:pPr>
              <w:spacing w:before="85" w:line="288" w:lineRule="auto"/>
              <w:jc w:val="center"/>
              <w:rPr>
                <w:sz w:val="18"/>
                <w:szCs w:val="18"/>
              </w:rPr>
            </w:pPr>
            <w:r w:rsidRPr="00CF3E3D">
              <w:rPr>
                <w:sz w:val="18"/>
                <w:szCs w:val="18"/>
              </w:rPr>
              <w:t>60.7 (51.5, 68.9)</w:t>
            </w:r>
          </w:p>
        </w:tc>
        <w:tc>
          <w:tcPr>
            <w:cnfStyle w:val="000001000000" w:firstRow="0" w:lastRow="0" w:firstColumn="0" w:lastColumn="0" w:oddVBand="0" w:evenVBand="1" w:oddHBand="0" w:evenHBand="0" w:firstRowFirstColumn="0" w:firstRowLastColumn="0" w:lastRowFirstColumn="0" w:lastRowLastColumn="0"/>
            <w:tcW w:w="755" w:type="pct"/>
          </w:tcPr>
          <w:p w14:paraId="500D64E4" w14:textId="77777777" w:rsidR="004E45CF" w:rsidRPr="00CF3E3D" w:rsidRDefault="004E45CF" w:rsidP="007B0FBA">
            <w:pPr>
              <w:spacing w:before="85" w:line="288" w:lineRule="auto"/>
              <w:jc w:val="center"/>
              <w:rPr>
                <w:sz w:val="18"/>
                <w:szCs w:val="18"/>
              </w:rPr>
            </w:pPr>
            <w:r w:rsidRPr="00CF3E3D">
              <w:rPr>
                <w:sz w:val="18"/>
                <w:szCs w:val="18"/>
              </w:rPr>
              <w:t>92.4 (85.8, 95.7)</w:t>
            </w:r>
          </w:p>
        </w:tc>
        <w:tc>
          <w:tcPr>
            <w:cnfStyle w:val="000010000000" w:firstRow="0" w:lastRow="0" w:firstColumn="0" w:lastColumn="0" w:oddVBand="1" w:evenVBand="0" w:oddHBand="0" w:evenHBand="0" w:firstRowFirstColumn="0" w:firstRowLastColumn="0" w:lastRowFirstColumn="0" w:lastRowLastColumn="0"/>
            <w:tcW w:w="755" w:type="pct"/>
          </w:tcPr>
          <w:p w14:paraId="2CE44C3B"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0C5E173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2780C04A"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William Angliss Institute</w:t>
            </w:r>
          </w:p>
        </w:tc>
        <w:tc>
          <w:tcPr>
            <w:cnfStyle w:val="000001000000" w:firstRow="0" w:lastRow="0" w:firstColumn="0" w:lastColumn="0" w:oddVBand="0" w:evenVBand="1" w:oddHBand="0" w:evenHBand="0" w:firstRowFirstColumn="0" w:firstRowLastColumn="0" w:lastRowFirstColumn="0" w:lastRowLastColumn="0"/>
            <w:tcW w:w="709" w:type="pct"/>
          </w:tcPr>
          <w:p w14:paraId="115D8D49" w14:textId="77777777" w:rsidR="004E45CF" w:rsidRPr="00CF3E3D" w:rsidRDefault="004E45CF" w:rsidP="007B0FBA">
            <w:pPr>
              <w:spacing w:before="85" w:line="288" w:lineRule="auto"/>
              <w:jc w:val="center"/>
              <w:rPr>
                <w:sz w:val="18"/>
                <w:szCs w:val="18"/>
              </w:rPr>
            </w:pPr>
            <w:r w:rsidRPr="00CF3E3D">
              <w:rPr>
                <w:sz w:val="18"/>
                <w:szCs w:val="18"/>
              </w:rPr>
              <w:t>77.8 (63.6, 86.9)</w:t>
            </w:r>
          </w:p>
        </w:tc>
        <w:tc>
          <w:tcPr>
            <w:cnfStyle w:val="000010000000" w:firstRow="0" w:lastRow="0" w:firstColumn="0" w:lastColumn="0" w:oddVBand="1" w:evenVBand="0" w:oddHBand="0" w:evenHBand="0" w:firstRowFirstColumn="0" w:firstRowLastColumn="0" w:lastRowFirstColumn="0" w:lastRowLastColumn="0"/>
            <w:tcW w:w="755" w:type="pct"/>
          </w:tcPr>
          <w:p w14:paraId="4D01D80D" w14:textId="77777777" w:rsidR="004E45CF" w:rsidRPr="00CF3E3D" w:rsidRDefault="004E45CF" w:rsidP="007B0FBA">
            <w:pPr>
              <w:spacing w:before="85" w:line="288" w:lineRule="auto"/>
              <w:jc w:val="center"/>
              <w:rPr>
                <w:sz w:val="18"/>
                <w:szCs w:val="18"/>
              </w:rPr>
            </w:pPr>
            <w:r w:rsidRPr="00CF3E3D">
              <w:rPr>
                <w:sz w:val="18"/>
                <w:szCs w:val="18"/>
              </w:rPr>
              <w:t>83.8 (72.9, 90.1)</w:t>
            </w:r>
          </w:p>
        </w:tc>
        <w:tc>
          <w:tcPr>
            <w:cnfStyle w:val="000001000000" w:firstRow="0" w:lastRow="0" w:firstColumn="0" w:lastColumn="0" w:oddVBand="0" w:evenVBand="1" w:oddHBand="0" w:evenHBand="0" w:firstRowFirstColumn="0" w:firstRowLastColumn="0" w:lastRowFirstColumn="0" w:lastRowLastColumn="0"/>
            <w:tcW w:w="755" w:type="pct"/>
          </w:tcPr>
          <w:p w14:paraId="5ACA3CD8" w14:textId="77777777" w:rsidR="004E45CF" w:rsidRPr="00CF3E3D" w:rsidRDefault="004E45CF" w:rsidP="007B0FBA">
            <w:pPr>
              <w:spacing w:before="85" w:line="288" w:lineRule="auto"/>
              <w:jc w:val="center"/>
              <w:rPr>
                <w:sz w:val="18"/>
                <w:szCs w:val="18"/>
              </w:rPr>
            </w:pPr>
            <w:r w:rsidRPr="00CF3E3D">
              <w:rPr>
                <w:sz w:val="18"/>
                <w:szCs w:val="18"/>
              </w:rPr>
              <w:t>92.5 (83.4, 96.2)</w:t>
            </w:r>
          </w:p>
        </w:tc>
        <w:tc>
          <w:tcPr>
            <w:cnfStyle w:val="000010000000" w:firstRow="0" w:lastRow="0" w:firstColumn="0" w:lastColumn="0" w:oddVBand="1" w:evenVBand="0" w:oddHBand="0" w:evenHBand="0" w:firstRowFirstColumn="0" w:firstRowLastColumn="0" w:lastRowFirstColumn="0" w:lastRowLastColumn="0"/>
            <w:tcW w:w="755" w:type="pct"/>
          </w:tcPr>
          <w:p w14:paraId="1B8D074F" w14:textId="77777777" w:rsidR="004E45CF" w:rsidRPr="00CF3E3D" w:rsidRDefault="004E45CF" w:rsidP="007B0FBA">
            <w:pPr>
              <w:spacing w:before="85" w:line="288" w:lineRule="auto"/>
              <w:jc w:val="center"/>
              <w:rPr>
                <w:sz w:val="18"/>
                <w:szCs w:val="18"/>
              </w:rPr>
            </w:pPr>
            <w:r w:rsidRPr="00CF3E3D">
              <w:rPr>
                <w:sz w:val="18"/>
                <w:szCs w:val="18"/>
              </w:rPr>
              <w:t>n/a</w:t>
            </w:r>
          </w:p>
        </w:tc>
      </w:tr>
      <w:tr w:rsidR="004E45CF" w:rsidRPr="00CF3E3D" w14:paraId="29CEAD8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10ACCD88"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All NUHEIs</w:t>
            </w:r>
          </w:p>
        </w:tc>
        <w:tc>
          <w:tcPr>
            <w:cnfStyle w:val="000001000000" w:firstRow="0" w:lastRow="0" w:firstColumn="0" w:lastColumn="0" w:oddVBand="0" w:evenVBand="1" w:oddHBand="0" w:evenHBand="0" w:firstRowFirstColumn="0" w:firstRowLastColumn="0" w:lastRowFirstColumn="0" w:lastRowLastColumn="0"/>
            <w:tcW w:w="709" w:type="pct"/>
          </w:tcPr>
          <w:p w14:paraId="50559141" w14:textId="77777777" w:rsidR="004E45CF" w:rsidRPr="00CF3E3D" w:rsidRDefault="004E45CF" w:rsidP="007B0FBA">
            <w:pPr>
              <w:spacing w:before="85" w:line="288" w:lineRule="auto"/>
              <w:jc w:val="center"/>
              <w:rPr>
                <w:b/>
                <w:bCs/>
                <w:sz w:val="18"/>
                <w:szCs w:val="18"/>
              </w:rPr>
            </w:pPr>
            <w:r w:rsidRPr="00CF3E3D">
              <w:rPr>
                <w:b/>
                <w:bCs/>
                <w:sz w:val="18"/>
                <w:szCs w:val="18"/>
              </w:rPr>
              <w:t>61.7 (60.6, 62.8)</w:t>
            </w:r>
          </w:p>
        </w:tc>
        <w:tc>
          <w:tcPr>
            <w:cnfStyle w:val="000010000000" w:firstRow="0" w:lastRow="0" w:firstColumn="0" w:lastColumn="0" w:oddVBand="1" w:evenVBand="0" w:oddHBand="0" w:evenHBand="0" w:firstRowFirstColumn="0" w:firstRowLastColumn="0" w:lastRowFirstColumn="0" w:lastRowLastColumn="0"/>
            <w:tcW w:w="755" w:type="pct"/>
          </w:tcPr>
          <w:p w14:paraId="7DB242F3" w14:textId="77777777" w:rsidR="004E45CF" w:rsidRPr="00CF3E3D" w:rsidRDefault="004E45CF" w:rsidP="007B0FBA">
            <w:pPr>
              <w:spacing w:before="85" w:line="288" w:lineRule="auto"/>
              <w:jc w:val="center"/>
              <w:rPr>
                <w:b/>
                <w:bCs/>
                <w:sz w:val="18"/>
                <w:szCs w:val="18"/>
              </w:rPr>
            </w:pPr>
            <w:r w:rsidRPr="00CF3E3D">
              <w:rPr>
                <w:b/>
                <w:bCs/>
                <w:sz w:val="18"/>
                <w:szCs w:val="18"/>
              </w:rPr>
              <w:t>79.5 (78.8, 80.2)</w:t>
            </w:r>
          </w:p>
        </w:tc>
        <w:tc>
          <w:tcPr>
            <w:cnfStyle w:val="000001000000" w:firstRow="0" w:lastRow="0" w:firstColumn="0" w:lastColumn="0" w:oddVBand="0" w:evenVBand="1" w:oddHBand="0" w:evenHBand="0" w:firstRowFirstColumn="0" w:firstRowLastColumn="0" w:lastRowFirstColumn="0" w:lastRowLastColumn="0"/>
            <w:tcW w:w="755" w:type="pct"/>
          </w:tcPr>
          <w:p w14:paraId="3ABF6A66" w14:textId="77777777" w:rsidR="004E45CF" w:rsidRPr="00CF3E3D" w:rsidRDefault="004E45CF" w:rsidP="007B0FBA">
            <w:pPr>
              <w:spacing w:before="85" w:line="288" w:lineRule="auto"/>
              <w:jc w:val="center"/>
              <w:rPr>
                <w:b/>
                <w:bCs/>
                <w:sz w:val="18"/>
                <w:szCs w:val="18"/>
              </w:rPr>
            </w:pPr>
            <w:r w:rsidRPr="00CF3E3D">
              <w:rPr>
                <w:b/>
                <w:bCs/>
                <w:sz w:val="18"/>
                <w:szCs w:val="18"/>
              </w:rPr>
              <w:t>88.5 (88.0, 89.0)</w:t>
            </w:r>
          </w:p>
        </w:tc>
        <w:tc>
          <w:tcPr>
            <w:cnfStyle w:val="000010000000" w:firstRow="0" w:lastRow="0" w:firstColumn="0" w:lastColumn="0" w:oddVBand="1" w:evenVBand="0" w:oddHBand="0" w:evenHBand="0" w:firstRowFirstColumn="0" w:firstRowLastColumn="0" w:lastRowFirstColumn="0" w:lastRowLastColumn="0"/>
            <w:tcW w:w="755" w:type="pct"/>
          </w:tcPr>
          <w:p w14:paraId="5C61AA4A" w14:textId="77777777" w:rsidR="004E45CF" w:rsidRPr="00CF3E3D" w:rsidRDefault="004E45CF" w:rsidP="007B0FBA">
            <w:pPr>
              <w:spacing w:before="85" w:line="288" w:lineRule="auto"/>
              <w:jc w:val="center"/>
              <w:rPr>
                <w:b/>
                <w:bCs/>
                <w:sz w:val="18"/>
                <w:szCs w:val="18"/>
              </w:rPr>
            </w:pPr>
            <w:r w:rsidRPr="00CF3E3D">
              <w:rPr>
                <w:b/>
                <w:bCs/>
                <w:sz w:val="18"/>
                <w:szCs w:val="18"/>
              </w:rPr>
              <w:t>60,000 (59,000, 61,000)</w:t>
            </w:r>
          </w:p>
        </w:tc>
      </w:tr>
      <w:tr w:rsidR="004E45CF" w:rsidRPr="00CF3E3D" w14:paraId="3A046B8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5" w:type="pct"/>
          </w:tcPr>
          <w:p w14:paraId="78E4DDCD" w14:textId="77777777" w:rsidR="004E45CF" w:rsidRPr="00585C58" w:rsidRDefault="004E45CF" w:rsidP="007B0FBA">
            <w:pPr>
              <w:spacing w:before="85" w:line="288" w:lineRule="auto"/>
              <w:rPr>
                <w:b/>
                <w:bCs/>
                <w:sz w:val="18"/>
                <w:szCs w:val="18"/>
                <w:lang w:eastAsia="en-AU"/>
              </w:rPr>
            </w:pPr>
            <w:r w:rsidRPr="00585C58">
              <w:rPr>
                <w:b/>
                <w:bCs/>
                <w:sz w:val="18"/>
                <w:szCs w:val="18"/>
                <w:lang w:eastAsia="en-AU"/>
              </w:rPr>
              <w:t>Standard deviation</w:t>
            </w:r>
          </w:p>
        </w:tc>
        <w:tc>
          <w:tcPr>
            <w:cnfStyle w:val="000001000000" w:firstRow="0" w:lastRow="0" w:firstColumn="0" w:lastColumn="0" w:oddVBand="0" w:evenVBand="1" w:oddHBand="0" w:evenHBand="0" w:firstRowFirstColumn="0" w:firstRowLastColumn="0" w:lastRowFirstColumn="0" w:lastRowLastColumn="0"/>
            <w:tcW w:w="709" w:type="pct"/>
          </w:tcPr>
          <w:p w14:paraId="7F1DEAAB" w14:textId="77777777" w:rsidR="004E45CF" w:rsidRPr="00CF3E3D" w:rsidRDefault="004E45CF" w:rsidP="007B0FBA">
            <w:pPr>
              <w:spacing w:before="85" w:line="288" w:lineRule="auto"/>
              <w:jc w:val="center"/>
              <w:rPr>
                <w:sz w:val="18"/>
                <w:szCs w:val="18"/>
              </w:rPr>
            </w:pPr>
            <w:r w:rsidRPr="00CF3E3D">
              <w:rPr>
                <w:sz w:val="18"/>
                <w:szCs w:val="18"/>
              </w:rPr>
              <w:t>19.0</w:t>
            </w:r>
          </w:p>
        </w:tc>
        <w:tc>
          <w:tcPr>
            <w:cnfStyle w:val="000010000000" w:firstRow="0" w:lastRow="0" w:firstColumn="0" w:lastColumn="0" w:oddVBand="1" w:evenVBand="0" w:oddHBand="0" w:evenHBand="0" w:firstRowFirstColumn="0" w:firstRowLastColumn="0" w:lastRowFirstColumn="0" w:lastRowLastColumn="0"/>
            <w:tcW w:w="755" w:type="pct"/>
          </w:tcPr>
          <w:p w14:paraId="39C0A339" w14:textId="77777777" w:rsidR="004E45CF" w:rsidRPr="00CF3E3D" w:rsidRDefault="004E45CF" w:rsidP="007B0FBA">
            <w:pPr>
              <w:spacing w:before="85" w:line="288" w:lineRule="auto"/>
              <w:jc w:val="center"/>
              <w:rPr>
                <w:sz w:val="18"/>
                <w:szCs w:val="18"/>
              </w:rPr>
            </w:pPr>
            <w:r w:rsidRPr="00CF3E3D">
              <w:rPr>
                <w:sz w:val="18"/>
                <w:szCs w:val="18"/>
              </w:rPr>
              <w:t>10.5</w:t>
            </w:r>
          </w:p>
        </w:tc>
        <w:tc>
          <w:tcPr>
            <w:cnfStyle w:val="000001000000" w:firstRow="0" w:lastRow="0" w:firstColumn="0" w:lastColumn="0" w:oddVBand="0" w:evenVBand="1" w:oddHBand="0" w:evenHBand="0" w:firstRowFirstColumn="0" w:firstRowLastColumn="0" w:lastRowFirstColumn="0" w:lastRowLastColumn="0"/>
            <w:tcW w:w="755" w:type="pct"/>
          </w:tcPr>
          <w:p w14:paraId="2E429A59" w14:textId="77777777" w:rsidR="004E45CF" w:rsidRPr="00CF3E3D" w:rsidRDefault="004E45CF" w:rsidP="007B0FBA">
            <w:pPr>
              <w:spacing w:before="85" w:line="288" w:lineRule="auto"/>
              <w:jc w:val="center"/>
              <w:rPr>
                <w:sz w:val="18"/>
                <w:szCs w:val="18"/>
              </w:rPr>
            </w:pPr>
            <w:r w:rsidRPr="00CF3E3D">
              <w:rPr>
                <w:sz w:val="18"/>
                <w:szCs w:val="18"/>
              </w:rPr>
              <w:t>8.9</w:t>
            </w:r>
          </w:p>
        </w:tc>
        <w:tc>
          <w:tcPr>
            <w:cnfStyle w:val="000010000000" w:firstRow="0" w:lastRow="0" w:firstColumn="0" w:lastColumn="0" w:oddVBand="1" w:evenVBand="0" w:oddHBand="0" w:evenHBand="0" w:firstRowFirstColumn="0" w:firstRowLastColumn="0" w:lastRowFirstColumn="0" w:lastRowLastColumn="0"/>
            <w:tcW w:w="755" w:type="pct"/>
          </w:tcPr>
          <w:p w14:paraId="4C281D9A" w14:textId="77777777" w:rsidR="004E45CF" w:rsidRPr="00CF3E3D" w:rsidRDefault="004E45CF" w:rsidP="007B0FBA">
            <w:pPr>
              <w:spacing w:before="85" w:line="288" w:lineRule="auto"/>
              <w:jc w:val="center"/>
              <w:rPr>
                <w:sz w:val="18"/>
                <w:szCs w:val="18"/>
              </w:rPr>
            </w:pPr>
            <w:r w:rsidRPr="00CF3E3D">
              <w:rPr>
                <w:sz w:val="18"/>
                <w:szCs w:val="18"/>
              </w:rPr>
              <w:t>11,300</w:t>
            </w:r>
          </w:p>
        </w:tc>
      </w:tr>
    </w:tbl>
    <w:p w14:paraId="289918C8" w14:textId="798E1719" w:rsidR="004312CB" w:rsidRDefault="004E45CF" w:rsidP="00A0582A">
      <w:pPr>
        <w:pStyle w:val="Note"/>
        <w:spacing w:before="0"/>
        <w:rPr>
          <w:rFonts w:eastAsia="Times New Roman"/>
          <w:szCs w:val="20"/>
        </w:rPr>
      </w:pPr>
      <w:r w:rsidRPr="00CF3E3D">
        <w:t xml:space="preserve">Note: A </w:t>
      </w:r>
      <w:r>
        <w:t xml:space="preserve">‘-‘ </w:t>
      </w:r>
      <w:r w:rsidRPr="00CF3E3D">
        <w:t>indicates there is no data for that cell and n/a indicates a suppressed value (n&lt;25).</w:t>
      </w:r>
      <w:r w:rsidR="004312CB">
        <w:br w:type="page"/>
      </w:r>
    </w:p>
    <w:p w14:paraId="69295E0E" w14:textId="15B74ED2" w:rsidR="007B0FBA" w:rsidRPr="009B7058" w:rsidRDefault="007B0FBA" w:rsidP="007B0FBA">
      <w:pPr>
        <w:pStyle w:val="Heading2"/>
        <w:numPr>
          <w:ilvl w:val="0"/>
          <w:numId w:val="0"/>
        </w:numPr>
        <w:ind w:left="851" w:hanging="851"/>
        <w:rPr>
          <w:color w:val="000000" w:themeColor="text1"/>
        </w:rPr>
      </w:pPr>
      <w:bookmarkStart w:id="99" w:name="_Toc116039902"/>
      <w:r w:rsidRPr="009B7058">
        <w:rPr>
          <w:color w:val="000000" w:themeColor="text1"/>
        </w:rPr>
        <w:lastRenderedPageBreak/>
        <w:t>3.Skills utilisation</w:t>
      </w:r>
      <w:bookmarkEnd w:id="99"/>
    </w:p>
    <w:p w14:paraId="730A2FC6" w14:textId="77777777" w:rsidR="007B0FBA" w:rsidRPr="00CF3E3D" w:rsidRDefault="007B0FBA" w:rsidP="007B0FBA">
      <w:pPr>
        <w:pStyle w:val="Body"/>
      </w:pPr>
      <w:bookmarkStart w:id="100" w:name="_Toc22200709"/>
      <w:r w:rsidRPr="00CF3E3D">
        <w:t>The GOS includes a rich array of information about the nature of graduate employment. This section focuses on some commonly used measures of skills utilisation or the quality of graduate jobs; the proportion of graduates employed in managerial and professional occupations, how well their qualification has prepared them for their current job and the proportion of graduates stating they believed their current job does not allow them to fully utilise their skills or education. These provide benchmarks of the underutilisation of skills, and as such, it is important to monitor changes in these measures over time.</w:t>
      </w:r>
    </w:p>
    <w:p w14:paraId="68D7C653" w14:textId="38562964" w:rsidR="007B0FBA" w:rsidRPr="00CF3E3D" w:rsidRDefault="007B0FBA" w:rsidP="007B0FBA">
      <w:pPr>
        <w:pStyle w:val="Body"/>
        <w:rPr>
          <w:rStyle w:val="Hyperlink"/>
        </w:rPr>
      </w:pPr>
      <w:bookmarkStart w:id="101" w:name="_Toc22200710"/>
      <w:bookmarkEnd w:id="100"/>
      <w:r w:rsidRPr="00CF3E3D">
        <w:t xml:space="preserve">The proportion of undergraduates working in managerial and professional occupations is one measure of skills utilisation. These occupations are defined by the ABS as being commensurate with requiring bachelor level or higher qualifications. As seen in </w:t>
      </w:r>
      <w:r w:rsidRPr="00CF3E3D">
        <w:fldChar w:fldCharType="begin"/>
      </w:r>
      <w:r w:rsidRPr="00CF3E3D">
        <w:instrText xml:space="preserve"> REF _Ref109738266 \h  \* MERGEFORMAT </w:instrText>
      </w:r>
      <w:r w:rsidRPr="00CF3E3D">
        <w:fldChar w:fldCharType="separate"/>
      </w:r>
      <w:r w:rsidRPr="00CF3E3D">
        <w:t xml:space="preserve">Table </w:t>
      </w:r>
      <w:r>
        <w:t>14</w:t>
      </w:r>
      <w:r w:rsidRPr="00CF3E3D">
        <w:fldChar w:fldCharType="end"/>
      </w:r>
      <w:r w:rsidRPr="00CF3E3D">
        <w:t xml:space="preserve">, </w:t>
      </w:r>
      <w:bookmarkStart w:id="102" w:name="_Hlk123824946"/>
      <w:r w:rsidR="005F634C" w:rsidRPr="00042EDF">
        <w:t>69.</w:t>
      </w:r>
      <w:r w:rsidR="005F634C">
        <w:t>4</w:t>
      </w:r>
      <w:r w:rsidR="005F634C" w:rsidRPr="00042EDF">
        <w:t xml:space="preserve"> per cent of </w:t>
      </w:r>
      <w:bookmarkStart w:id="103" w:name="_Hlk78545402"/>
      <w:r w:rsidR="005F634C" w:rsidRPr="00042EDF">
        <w:t xml:space="preserve">undergraduates employed full-time were working in managerial or professional occupations </w:t>
      </w:r>
      <w:bookmarkEnd w:id="103"/>
      <w:r w:rsidR="005F634C" w:rsidRPr="00042EDF">
        <w:t xml:space="preserve">which was higher than the 67.8 reported in 2021. The proportion of postgraduate coursework graduates working in managerial and professional occupations </w:t>
      </w:r>
      <w:r w:rsidR="005F634C">
        <w:t>increased by 1.7 percentage points in 2022. A smaller increase of 1.1</w:t>
      </w:r>
      <w:r w:rsidR="005F634C" w:rsidRPr="00042EDF">
        <w:t xml:space="preserve"> percentage points</w:t>
      </w:r>
      <w:r w:rsidR="005F634C">
        <w:t xml:space="preserve"> was also seen</w:t>
      </w:r>
      <w:r w:rsidR="005F634C" w:rsidRPr="00042EDF">
        <w:t xml:space="preserve"> among postgraduate research graduates.</w:t>
      </w:r>
      <w:r w:rsidR="005F634C">
        <w:t xml:space="preserve"> </w:t>
      </w:r>
      <w:bookmarkEnd w:id="102"/>
    </w:p>
    <w:p w14:paraId="38E040AF" w14:textId="56409ACA" w:rsidR="007B0FBA" w:rsidRPr="005606F7" w:rsidRDefault="007B0FBA" w:rsidP="005606F7">
      <w:pPr>
        <w:pStyle w:val="Caption"/>
        <w:ind w:left="851" w:hanging="851"/>
        <w:rPr>
          <w:color w:val="000000" w:themeColor="text1"/>
        </w:rPr>
      </w:pPr>
      <w:bookmarkStart w:id="104" w:name="_Ref109738266"/>
      <w:bookmarkStart w:id="105" w:name="_Toc116035808"/>
      <w:bookmarkStart w:id="106" w:name="_Toc116040363"/>
      <w:r w:rsidRPr="005606F7">
        <w:rPr>
          <w:color w:val="000000" w:themeColor="text1"/>
        </w:rPr>
        <w:t xml:space="preserve">Table </w:t>
      </w:r>
      <w:r w:rsidRPr="005606F7">
        <w:rPr>
          <w:color w:val="000000" w:themeColor="text1"/>
        </w:rPr>
        <w:fldChar w:fldCharType="begin"/>
      </w:r>
      <w:r w:rsidRPr="005606F7">
        <w:rPr>
          <w:color w:val="000000" w:themeColor="text1"/>
        </w:rPr>
        <w:instrText xml:space="preserve"> SEQ Table \* ARABIC </w:instrText>
      </w:r>
      <w:r w:rsidRPr="005606F7">
        <w:rPr>
          <w:color w:val="000000" w:themeColor="text1"/>
        </w:rPr>
        <w:fldChar w:fldCharType="separate"/>
      </w:r>
      <w:r w:rsidRPr="005606F7">
        <w:rPr>
          <w:noProof/>
          <w:color w:val="000000" w:themeColor="text1"/>
        </w:rPr>
        <w:t>14</w:t>
      </w:r>
      <w:r w:rsidRPr="005606F7">
        <w:rPr>
          <w:color w:val="000000" w:themeColor="text1"/>
        </w:rPr>
        <w:fldChar w:fldCharType="end"/>
      </w:r>
      <w:bookmarkEnd w:id="104"/>
      <w:r w:rsidRPr="005606F7">
        <w:rPr>
          <w:color w:val="000000" w:themeColor="text1"/>
        </w:rPr>
        <w:t xml:space="preserve"> Graduates employed in managerial and professional occupations by employment type and study level, international and domestic graduates, 2021-2022 (% of those employed)</w:t>
      </w:r>
      <w:bookmarkEnd w:id="105"/>
      <w:bookmarkEnd w:id="106"/>
    </w:p>
    <w:tbl>
      <w:tblPr>
        <w:tblStyle w:val="SRC1"/>
        <w:tblW w:w="4835" w:type="pct"/>
        <w:tblLayout w:type="fixed"/>
        <w:tblLook w:val="0020" w:firstRow="1" w:lastRow="0" w:firstColumn="0" w:lastColumn="0" w:noHBand="0" w:noVBand="0"/>
      </w:tblPr>
      <w:tblGrid>
        <w:gridCol w:w="2197"/>
        <w:gridCol w:w="1097"/>
        <w:gridCol w:w="1098"/>
        <w:gridCol w:w="1096"/>
        <w:gridCol w:w="1096"/>
        <w:gridCol w:w="1096"/>
        <w:gridCol w:w="1091"/>
      </w:tblGrid>
      <w:tr w:rsidR="007B0FBA" w:rsidRPr="00CF3E3D" w14:paraId="25B26BB7" w14:textId="77777777" w:rsidTr="005F634C">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252" w:type="pct"/>
          </w:tcPr>
          <w:p w14:paraId="0E1E4DF2" w14:textId="7299BAC0" w:rsidR="007B0FBA" w:rsidRPr="00CF3E3D" w:rsidRDefault="009B7058" w:rsidP="007007AC">
            <w:pPr>
              <w:pStyle w:val="TablecolumnheadTABLES"/>
              <w:rPr>
                <w:rFonts w:ascii="Arial" w:hAnsi="Arial" w:cs="Arial"/>
                <w:b w:val="0"/>
                <w:bCs w:val="0"/>
                <w:color w:val="auto"/>
                <w:sz w:val="18"/>
                <w:szCs w:val="18"/>
              </w:rPr>
            </w:pPr>
            <w:bookmarkStart w:id="107" w:name="Title14"/>
            <w:bookmarkEnd w:id="107"/>
            <w:r w:rsidRPr="0021639B">
              <w:rPr>
                <w:rStyle w:val="TabletextBOLD"/>
                <w:b/>
                <w:bCs/>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625" w:type="pct"/>
          </w:tcPr>
          <w:p w14:paraId="3BA1049F" w14:textId="77777777" w:rsidR="007B0FBA" w:rsidRPr="005606F7" w:rsidRDefault="007B0FBA" w:rsidP="007007AC">
            <w:pPr>
              <w:pStyle w:val="TablecolumnheadTABLES"/>
              <w:jc w:val="center"/>
              <w:rPr>
                <w:rFonts w:ascii="Arial" w:hAnsi="Arial" w:cs="Arial"/>
                <w:color w:val="FFFFFF" w:themeColor="background1"/>
                <w:sz w:val="18"/>
                <w:szCs w:val="18"/>
              </w:rPr>
            </w:pPr>
            <w:r w:rsidRPr="005606F7">
              <w:rPr>
                <w:rFonts w:ascii="Arial" w:hAnsi="Arial" w:cs="Arial"/>
                <w:color w:val="FFFFFF" w:themeColor="background1"/>
                <w:sz w:val="18"/>
                <w:szCs w:val="18"/>
              </w:rPr>
              <w:t>Undergraduate 2021</w:t>
            </w:r>
          </w:p>
        </w:tc>
        <w:tc>
          <w:tcPr>
            <w:cnfStyle w:val="000010000000" w:firstRow="0" w:lastRow="0" w:firstColumn="0" w:lastColumn="0" w:oddVBand="1" w:evenVBand="0" w:oddHBand="0" w:evenHBand="0" w:firstRowFirstColumn="0" w:firstRowLastColumn="0" w:lastRowFirstColumn="0" w:lastRowLastColumn="0"/>
            <w:tcW w:w="626" w:type="pct"/>
          </w:tcPr>
          <w:p w14:paraId="2B3B1B15" w14:textId="77777777" w:rsidR="007B0FBA" w:rsidRPr="005606F7" w:rsidRDefault="007B0FBA" w:rsidP="007007AC">
            <w:pPr>
              <w:pStyle w:val="TablecolumnheadTABLES"/>
              <w:jc w:val="center"/>
              <w:rPr>
                <w:rFonts w:ascii="Arial" w:hAnsi="Arial" w:cs="Arial"/>
                <w:color w:val="FFFFFF" w:themeColor="background1"/>
                <w:sz w:val="18"/>
                <w:szCs w:val="18"/>
              </w:rPr>
            </w:pPr>
            <w:r w:rsidRPr="005606F7">
              <w:rPr>
                <w:rFonts w:ascii="Arial" w:hAnsi="Arial" w:cs="Arial"/>
                <w:color w:val="FFFFFF" w:themeColor="background1"/>
                <w:sz w:val="18"/>
                <w:szCs w:val="18"/>
              </w:rPr>
              <w:t>Undergraduate 2022</w:t>
            </w:r>
          </w:p>
        </w:tc>
        <w:tc>
          <w:tcPr>
            <w:cnfStyle w:val="000001000000" w:firstRow="0" w:lastRow="0" w:firstColumn="0" w:lastColumn="0" w:oddVBand="0" w:evenVBand="1" w:oddHBand="0" w:evenHBand="0" w:firstRowFirstColumn="0" w:firstRowLastColumn="0" w:lastRowFirstColumn="0" w:lastRowLastColumn="0"/>
            <w:tcW w:w="625" w:type="pct"/>
          </w:tcPr>
          <w:p w14:paraId="158ACDDF" w14:textId="77777777" w:rsidR="007B0FBA" w:rsidRPr="005606F7" w:rsidRDefault="007B0FBA" w:rsidP="007007AC">
            <w:pPr>
              <w:pStyle w:val="TablecolumnheadTABLES"/>
              <w:jc w:val="center"/>
              <w:rPr>
                <w:rFonts w:ascii="Arial" w:hAnsi="Arial" w:cs="Arial"/>
                <w:color w:val="FFFFFF" w:themeColor="background1"/>
                <w:sz w:val="18"/>
                <w:szCs w:val="18"/>
              </w:rPr>
            </w:pPr>
            <w:r w:rsidRPr="005606F7">
              <w:rPr>
                <w:rFonts w:ascii="Arial" w:hAnsi="Arial" w:cs="Arial"/>
                <w:color w:val="FFFFFF" w:themeColor="background1"/>
                <w:sz w:val="18"/>
                <w:szCs w:val="18"/>
              </w:rPr>
              <w:t>Postgraduate coursework 2021</w:t>
            </w:r>
          </w:p>
        </w:tc>
        <w:tc>
          <w:tcPr>
            <w:cnfStyle w:val="000010000000" w:firstRow="0" w:lastRow="0" w:firstColumn="0" w:lastColumn="0" w:oddVBand="1" w:evenVBand="0" w:oddHBand="0" w:evenHBand="0" w:firstRowFirstColumn="0" w:firstRowLastColumn="0" w:lastRowFirstColumn="0" w:lastRowLastColumn="0"/>
            <w:tcW w:w="625" w:type="pct"/>
          </w:tcPr>
          <w:p w14:paraId="0908A44E" w14:textId="77777777" w:rsidR="007B0FBA" w:rsidRPr="005606F7" w:rsidRDefault="007B0FBA" w:rsidP="007007AC">
            <w:pPr>
              <w:pStyle w:val="TablecolumnheadTABLES"/>
              <w:jc w:val="center"/>
              <w:rPr>
                <w:rFonts w:ascii="Arial" w:hAnsi="Arial" w:cs="Arial"/>
                <w:color w:val="FFFFFF" w:themeColor="background1"/>
                <w:sz w:val="18"/>
                <w:szCs w:val="18"/>
              </w:rPr>
            </w:pPr>
            <w:r w:rsidRPr="005606F7">
              <w:rPr>
                <w:rFonts w:ascii="Arial" w:hAnsi="Arial" w:cs="Arial"/>
                <w:color w:val="FFFFFF" w:themeColor="background1"/>
                <w:sz w:val="18"/>
                <w:szCs w:val="18"/>
              </w:rPr>
              <w:t>Postgraduate coursework 2022</w:t>
            </w:r>
          </w:p>
        </w:tc>
        <w:tc>
          <w:tcPr>
            <w:cnfStyle w:val="000001000000" w:firstRow="0" w:lastRow="0" w:firstColumn="0" w:lastColumn="0" w:oddVBand="0" w:evenVBand="1" w:oddHBand="0" w:evenHBand="0" w:firstRowFirstColumn="0" w:firstRowLastColumn="0" w:lastRowFirstColumn="0" w:lastRowLastColumn="0"/>
            <w:tcW w:w="625" w:type="pct"/>
          </w:tcPr>
          <w:p w14:paraId="2B93F1F8" w14:textId="77777777" w:rsidR="007B0FBA" w:rsidRPr="005606F7" w:rsidRDefault="007B0FBA" w:rsidP="007007AC">
            <w:pPr>
              <w:pStyle w:val="TablecolumnheadTABLES"/>
              <w:jc w:val="center"/>
              <w:rPr>
                <w:rFonts w:ascii="Arial" w:hAnsi="Arial" w:cs="Arial"/>
                <w:color w:val="FFFFFF" w:themeColor="background1"/>
                <w:sz w:val="18"/>
                <w:szCs w:val="18"/>
              </w:rPr>
            </w:pPr>
            <w:r w:rsidRPr="005606F7">
              <w:rPr>
                <w:rFonts w:ascii="Arial" w:hAnsi="Arial" w:cs="Arial"/>
                <w:color w:val="FFFFFF" w:themeColor="background1"/>
                <w:sz w:val="18"/>
                <w:szCs w:val="18"/>
              </w:rPr>
              <w:t>Postgraduate research 2021</w:t>
            </w:r>
          </w:p>
        </w:tc>
        <w:tc>
          <w:tcPr>
            <w:cnfStyle w:val="000010000000" w:firstRow="0" w:lastRow="0" w:firstColumn="0" w:lastColumn="0" w:oddVBand="1" w:evenVBand="0" w:oddHBand="0" w:evenHBand="0" w:firstRowFirstColumn="0" w:firstRowLastColumn="0" w:lastRowFirstColumn="0" w:lastRowLastColumn="0"/>
            <w:tcW w:w="623" w:type="pct"/>
          </w:tcPr>
          <w:p w14:paraId="65B68252" w14:textId="77777777" w:rsidR="007B0FBA" w:rsidRPr="005606F7" w:rsidRDefault="007B0FBA" w:rsidP="007007AC">
            <w:pPr>
              <w:pStyle w:val="TablecolumnheadTABLES"/>
              <w:jc w:val="center"/>
              <w:rPr>
                <w:rFonts w:ascii="Arial" w:hAnsi="Arial" w:cs="Arial"/>
                <w:color w:val="FFFFFF" w:themeColor="background1"/>
                <w:sz w:val="18"/>
                <w:szCs w:val="18"/>
              </w:rPr>
            </w:pPr>
            <w:r w:rsidRPr="005606F7">
              <w:rPr>
                <w:rFonts w:ascii="Arial" w:hAnsi="Arial" w:cs="Arial"/>
                <w:color w:val="FFFFFF" w:themeColor="background1"/>
                <w:sz w:val="18"/>
                <w:szCs w:val="18"/>
              </w:rPr>
              <w:t>Postgraduate research 2022</w:t>
            </w:r>
          </w:p>
        </w:tc>
      </w:tr>
      <w:tr w:rsidR="005F634C" w:rsidRPr="00CF3E3D" w14:paraId="126C208B" w14:textId="77777777" w:rsidTr="005F634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52" w:type="pct"/>
          </w:tcPr>
          <w:p w14:paraId="48DB22D9" w14:textId="77777777" w:rsidR="005F634C" w:rsidRPr="00CF3E3D" w:rsidRDefault="005F634C" w:rsidP="005F634C">
            <w:pPr>
              <w:pStyle w:val="TablecolumnheadTABLES"/>
              <w:rPr>
                <w:rFonts w:ascii="Arial" w:hAnsi="Arial" w:cs="Arial"/>
                <w:b/>
                <w:bCs w:val="0"/>
                <w:color w:val="auto"/>
                <w:sz w:val="18"/>
                <w:szCs w:val="18"/>
              </w:rPr>
            </w:pPr>
            <w:bookmarkStart w:id="108" w:name="_Hlk109652119"/>
            <w:r w:rsidRPr="00CF3E3D">
              <w:rPr>
                <w:rFonts w:ascii="Arial" w:hAnsi="Arial" w:cs="Arial"/>
                <w:b/>
                <w:bCs w:val="0"/>
                <w:color w:val="auto"/>
                <w:sz w:val="18"/>
                <w:szCs w:val="18"/>
              </w:rPr>
              <w:t>Full-time employed</w:t>
            </w:r>
          </w:p>
        </w:tc>
        <w:tc>
          <w:tcPr>
            <w:cnfStyle w:val="000001000000" w:firstRow="0" w:lastRow="0" w:firstColumn="0" w:lastColumn="0" w:oddVBand="0" w:evenVBand="1" w:oddHBand="0" w:evenHBand="0" w:firstRowFirstColumn="0" w:firstRowLastColumn="0" w:lastRowFirstColumn="0" w:lastRowLastColumn="0"/>
            <w:tcW w:w="625" w:type="pct"/>
          </w:tcPr>
          <w:p w14:paraId="19D4B0BB" w14:textId="4DA4B853" w:rsidR="005F634C" w:rsidRPr="00CF3E3D" w:rsidRDefault="005F634C" w:rsidP="005F634C">
            <w:pPr>
              <w:pStyle w:val="TablecolumnheadTABLES"/>
              <w:jc w:val="center"/>
              <w:rPr>
                <w:rFonts w:ascii="Arial" w:hAnsi="Arial" w:cs="Arial"/>
                <w:color w:val="auto"/>
                <w:sz w:val="18"/>
                <w:szCs w:val="18"/>
              </w:rPr>
            </w:pPr>
            <w:r>
              <w:rPr>
                <w:rFonts w:ascii="Arial" w:hAnsi="Arial" w:cs="Arial"/>
                <w:color w:val="auto"/>
                <w:sz w:val="18"/>
                <w:szCs w:val="18"/>
              </w:rPr>
              <w:t>67.8</w:t>
            </w:r>
          </w:p>
        </w:tc>
        <w:tc>
          <w:tcPr>
            <w:cnfStyle w:val="000010000000" w:firstRow="0" w:lastRow="0" w:firstColumn="0" w:lastColumn="0" w:oddVBand="1" w:evenVBand="0" w:oddHBand="0" w:evenHBand="0" w:firstRowFirstColumn="0" w:firstRowLastColumn="0" w:lastRowFirstColumn="0" w:lastRowLastColumn="0"/>
            <w:tcW w:w="626" w:type="pct"/>
          </w:tcPr>
          <w:p w14:paraId="0F8CBDDE" w14:textId="0DCF65AC" w:rsidR="005F634C" w:rsidRPr="00CF3E3D" w:rsidRDefault="005F634C" w:rsidP="005F634C">
            <w:pPr>
              <w:pStyle w:val="TablecolumnheadTABLES"/>
              <w:jc w:val="center"/>
              <w:rPr>
                <w:rFonts w:ascii="Arial" w:hAnsi="Arial" w:cs="Arial"/>
                <w:color w:val="auto"/>
                <w:sz w:val="18"/>
                <w:szCs w:val="18"/>
              </w:rPr>
            </w:pPr>
            <w:r w:rsidRPr="00A41685">
              <w:rPr>
                <w:rFonts w:ascii="Arial" w:hAnsi="Arial" w:cs="Arial"/>
                <w:sz w:val="18"/>
                <w:szCs w:val="18"/>
              </w:rPr>
              <w:t>69.</w:t>
            </w:r>
            <w:r>
              <w:rPr>
                <w:rFonts w:ascii="Arial" w:hAnsi="Arial" w:cs="Arial"/>
                <w:sz w:val="18"/>
                <w:szCs w:val="18"/>
              </w:rPr>
              <w:t>4</w:t>
            </w:r>
          </w:p>
        </w:tc>
        <w:tc>
          <w:tcPr>
            <w:cnfStyle w:val="000001000000" w:firstRow="0" w:lastRow="0" w:firstColumn="0" w:lastColumn="0" w:oddVBand="0" w:evenVBand="1" w:oddHBand="0" w:evenHBand="0" w:firstRowFirstColumn="0" w:firstRowLastColumn="0" w:lastRowFirstColumn="0" w:lastRowLastColumn="0"/>
            <w:tcW w:w="625" w:type="pct"/>
          </w:tcPr>
          <w:p w14:paraId="255CAF83" w14:textId="01D60B05" w:rsidR="005F634C" w:rsidRPr="00CF3E3D" w:rsidRDefault="005F634C" w:rsidP="005F634C">
            <w:pPr>
              <w:pStyle w:val="TablecolumnheadTABLES"/>
              <w:jc w:val="center"/>
              <w:rPr>
                <w:rFonts w:ascii="Arial" w:hAnsi="Arial" w:cs="Arial"/>
                <w:color w:val="auto"/>
                <w:sz w:val="18"/>
                <w:szCs w:val="18"/>
              </w:rPr>
            </w:pPr>
            <w:r>
              <w:rPr>
                <w:rFonts w:ascii="Arial" w:hAnsi="Arial" w:cs="Arial"/>
                <w:sz w:val="18"/>
                <w:szCs w:val="18"/>
              </w:rPr>
              <w:t>84.3</w:t>
            </w:r>
          </w:p>
        </w:tc>
        <w:tc>
          <w:tcPr>
            <w:cnfStyle w:val="000010000000" w:firstRow="0" w:lastRow="0" w:firstColumn="0" w:lastColumn="0" w:oddVBand="1" w:evenVBand="0" w:oddHBand="0" w:evenHBand="0" w:firstRowFirstColumn="0" w:firstRowLastColumn="0" w:lastRowFirstColumn="0" w:lastRowLastColumn="0"/>
            <w:tcW w:w="625" w:type="pct"/>
          </w:tcPr>
          <w:p w14:paraId="6FC60177" w14:textId="1C905E06" w:rsidR="005F634C" w:rsidRPr="00CF3E3D" w:rsidRDefault="005F634C" w:rsidP="005F634C">
            <w:pPr>
              <w:pStyle w:val="TablecolumnheadTABLES"/>
              <w:jc w:val="center"/>
              <w:rPr>
                <w:rFonts w:ascii="Arial" w:hAnsi="Arial" w:cs="Arial"/>
                <w:color w:val="auto"/>
                <w:sz w:val="18"/>
                <w:szCs w:val="18"/>
              </w:rPr>
            </w:pPr>
            <w:r w:rsidRPr="00A41685">
              <w:rPr>
                <w:rFonts w:ascii="Arial" w:hAnsi="Arial" w:cs="Arial"/>
                <w:color w:val="auto"/>
                <w:sz w:val="18"/>
                <w:szCs w:val="18"/>
              </w:rPr>
              <w:t>8</w:t>
            </w:r>
            <w:r>
              <w:rPr>
                <w:rFonts w:ascii="Arial" w:hAnsi="Arial" w:cs="Arial"/>
                <w:color w:val="auto"/>
                <w:sz w:val="18"/>
                <w:szCs w:val="18"/>
              </w:rPr>
              <w:t>6.0</w:t>
            </w:r>
          </w:p>
        </w:tc>
        <w:tc>
          <w:tcPr>
            <w:cnfStyle w:val="000001000000" w:firstRow="0" w:lastRow="0" w:firstColumn="0" w:lastColumn="0" w:oddVBand="0" w:evenVBand="1" w:oddHBand="0" w:evenHBand="0" w:firstRowFirstColumn="0" w:firstRowLastColumn="0" w:lastRowFirstColumn="0" w:lastRowLastColumn="0"/>
            <w:tcW w:w="625" w:type="pct"/>
          </w:tcPr>
          <w:p w14:paraId="1A331A02" w14:textId="19F35591" w:rsidR="005F634C" w:rsidRPr="00CF3E3D" w:rsidRDefault="005F634C" w:rsidP="005F634C">
            <w:pPr>
              <w:pStyle w:val="TablecolumnheadTABLES"/>
              <w:jc w:val="center"/>
              <w:rPr>
                <w:rFonts w:ascii="Arial" w:hAnsi="Arial" w:cs="Arial"/>
                <w:color w:val="auto"/>
                <w:sz w:val="18"/>
                <w:szCs w:val="18"/>
              </w:rPr>
            </w:pPr>
            <w:r>
              <w:rPr>
                <w:rFonts w:ascii="Arial" w:hAnsi="Arial" w:cs="Arial"/>
                <w:color w:val="auto"/>
                <w:sz w:val="18"/>
                <w:szCs w:val="18"/>
              </w:rPr>
              <w:t>91.8</w:t>
            </w:r>
          </w:p>
        </w:tc>
        <w:tc>
          <w:tcPr>
            <w:cnfStyle w:val="000010000000" w:firstRow="0" w:lastRow="0" w:firstColumn="0" w:lastColumn="0" w:oddVBand="1" w:evenVBand="0" w:oddHBand="0" w:evenHBand="0" w:firstRowFirstColumn="0" w:firstRowLastColumn="0" w:lastRowFirstColumn="0" w:lastRowLastColumn="0"/>
            <w:tcW w:w="623" w:type="pct"/>
          </w:tcPr>
          <w:p w14:paraId="3579883B" w14:textId="04443682" w:rsidR="005F634C" w:rsidRPr="00CF3E3D" w:rsidRDefault="005F634C" w:rsidP="005F634C">
            <w:pPr>
              <w:pStyle w:val="TablecolumnheadTABLES"/>
              <w:jc w:val="center"/>
              <w:rPr>
                <w:rFonts w:ascii="Arial" w:hAnsi="Arial" w:cs="Arial"/>
                <w:color w:val="auto"/>
                <w:sz w:val="18"/>
                <w:szCs w:val="18"/>
              </w:rPr>
            </w:pPr>
            <w:r w:rsidRPr="00A41685">
              <w:rPr>
                <w:rFonts w:ascii="Arial" w:hAnsi="Arial" w:cs="Arial"/>
                <w:color w:val="auto"/>
                <w:sz w:val="18"/>
                <w:szCs w:val="18"/>
              </w:rPr>
              <w:t>92.</w:t>
            </w:r>
            <w:r>
              <w:rPr>
                <w:rFonts w:ascii="Arial" w:hAnsi="Arial" w:cs="Arial"/>
                <w:color w:val="auto"/>
                <w:sz w:val="18"/>
                <w:szCs w:val="18"/>
              </w:rPr>
              <w:t>9</w:t>
            </w:r>
          </w:p>
        </w:tc>
      </w:tr>
      <w:tr w:rsidR="005F634C" w:rsidRPr="00CF3E3D" w14:paraId="688B570E" w14:textId="77777777" w:rsidTr="005F634C">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52" w:type="pct"/>
          </w:tcPr>
          <w:p w14:paraId="5929378E" w14:textId="77777777" w:rsidR="005F634C" w:rsidRPr="00CF3E3D" w:rsidRDefault="005F634C" w:rsidP="005F634C">
            <w:pPr>
              <w:pStyle w:val="TablecolumnheadTABLES"/>
              <w:rPr>
                <w:rFonts w:ascii="Arial" w:hAnsi="Arial" w:cs="Arial"/>
                <w:b/>
                <w:bCs w:val="0"/>
                <w:color w:val="auto"/>
                <w:sz w:val="18"/>
                <w:szCs w:val="18"/>
              </w:rPr>
            </w:pPr>
            <w:r w:rsidRPr="00CF3E3D">
              <w:rPr>
                <w:rFonts w:ascii="Arial" w:hAnsi="Arial" w:cs="Arial"/>
                <w:b/>
                <w:bCs w:val="0"/>
                <w:color w:val="auto"/>
                <w:sz w:val="18"/>
                <w:szCs w:val="18"/>
              </w:rPr>
              <w:t>Overall employed</w:t>
            </w:r>
          </w:p>
        </w:tc>
        <w:tc>
          <w:tcPr>
            <w:cnfStyle w:val="000001000000" w:firstRow="0" w:lastRow="0" w:firstColumn="0" w:lastColumn="0" w:oddVBand="0" w:evenVBand="1" w:oddHBand="0" w:evenHBand="0" w:firstRowFirstColumn="0" w:firstRowLastColumn="0" w:lastRowFirstColumn="0" w:lastRowLastColumn="0"/>
            <w:tcW w:w="625" w:type="pct"/>
          </w:tcPr>
          <w:p w14:paraId="1D45323B" w14:textId="3A83994C" w:rsidR="005F634C" w:rsidRPr="00CF3E3D" w:rsidRDefault="005F634C" w:rsidP="005F634C">
            <w:pPr>
              <w:pStyle w:val="TablecolumnheadTABLES"/>
              <w:jc w:val="center"/>
              <w:rPr>
                <w:rFonts w:ascii="Arial" w:hAnsi="Arial" w:cs="Arial"/>
                <w:color w:val="auto"/>
                <w:sz w:val="18"/>
                <w:szCs w:val="18"/>
              </w:rPr>
            </w:pPr>
            <w:r>
              <w:rPr>
                <w:rFonts w:ascii="Arial" w:hAnsi="Arial" w:cs="Arial"/>
                <w:color w:val="auto"/>
                <w:sz w:val="18"/>
                <w:szCs w:val="18"/>
              </w:rPr>
              <w:t>55.1</w:t>
            </w:r>
          </w:p>
        </w:tc>
        <w:tc>
          <w:tcPr>
            <w:cnfStyle w:val="000010000000" w:firstRow="0" w:lastRow="0" w:firstColumn="0" w:lastColumn="0" w:oddVBand="1" w:evenVBand="0" w:oddHBand="0" w:evenHBand="0" w:firstRowFirstColumn="0" w:firstRowLastColumn="0" w:lastRowFirstColumn="0" w:lastRowLastColumn="0"/>
            <w:tcW w:w="626" w:type="pct"/>
          </w:tcPr>
          <w:p w14:paraId="02A4CDA4" w14:textId="4D08AE86" w:rsidR="005F634C" w:rsidRPr="00CF3E3D" w:rsidRDefault="005F634C" w:rsidP="005F634C">
            <w:pPr>
              <w:pStyle w:val="TablecolumnheadTABLES"/>
              <w:jc w:val="center"/>
              <w:rPr>
                <w:rFonts w:ascii="Arial" w:hAnsi="Arial" w:cs="Arial"/>
                <w:color w:val="auto"/>
                <w:sz w:val="18"/>
                <w:szCs w:val="18"/>
              </w:rPr>
            </w:pPr>
            <w:r w:rsidRPr="00A41685">
              <w:rPr>
                <w:rFonts w:ascii="Arial" w:hAnsi="Arial" w:cs="Arial"/>
                <w:sz w:val="18"/>
                <w:szCs w:val="18"/>
              </w:rPr>
              <w:t>58.</w:t>
            </w:r>
            <w:r>
              <w:rPr>
                <w:rFonts w:ascii="Arial" w:hAnsi="Arial" w:cs="Arial"/>
                <w:sz w:val="18"/>
                <w:szCs w:val="18"/>
              </w:rPr>
              <w:t>8</w:t>
            </w:r>
          </w:p>
        </w:tc>
        <w:tc>
          <w:tcPr>
            <w:cnfStyle w:val="000001000000" w:firstRow="0" w:lastRow="0" w:firstColumn="0" w:lastColumn="0" w:oddVBand="0" w:evenVBand="1" w:oddHBand="0" w:evenHBand="0" w:firstRowFirstColumn="0" w:firstRowLastColumn="0" w:lastRowFirstColumn="0" w:lastRowLastColumn="0"/>
            <w:tcW w:w="625" w:type="pct"/>
          </w:tcPr>
          <w:p w14:paraId="0771B5A5" w14:textId="1301CDD7" w:rsidR="005F634C" w:rsidRPr="00CF3E3D" w:rsidRDefault="005F634C" w:rsidP="005F634C">
            <w:pPr>
              <w:pStyle w:val="TablecolumnheadTABLES"/>
              <w:jc w:val="center"/>
              <w:rPr>
                <w:rFonts w:ascii="Arial" w:hAnsi="Arial" w:cs="Arial"/>
                <w:color w:val="auto"/>
                <w:sz w:val="18"/>
                <w:szCs w:val="18"/>
              </w:rPr>
            </w:pPr>
            <w:r>
              <w:rPr>
                <w:rFonts w:ascii="Arial" w:hAnsi="Arial" w:cs="Arial"/>
                <w:sz w:val="18"/>
                <w:szCs w:val="18"/>
              </w:rPr>
              <w:t>81.8</w:t>
            </w:r>
          </w:p>
        </w:tc>
        <w:tc>
          <w:tcPr>
            <w:cnfStyle w:val="000010000000" w:firstRow="0" w:lastRow="0" w:firstColumn="0" w:lastColumn="0" w:oddVBand="1" w:evenVBand="0" w:oddHBand="0" w:evenHBand="0" w:firstRowFirstColumn="0" w:firstRowLastColumn="0" w:lastRowFirstColumn="0" w:lastRowLastColumn="0"/>
            <w:tcW w:w="625" w:type="pct"/>
          </w:tcPr>
          <w:p w14:paraId="30521CBD" w14:textId="5AD14603" w:rsidR="005F634C" w:rsidRPr="00CF3E3D" w:rsidRDefault="005F634C" w:rsidP="005F634C">
            <w:pPr>
              <w:pStyle w:val="TablecolumnheadTABLES"/>
              <w:jc w:val="center"/>
              <w:rPr>
                <w:rFonts w:ascii="Arial" w:hAnsi="Arial" w:cs="Arial"/>
                <w:color w:val="auto"/>
                <w:sz w:val="18"/>
                <w:szCs w:val="18"/>
              </w:rPr>
            </w:pPr>
            <w:r w:rsidRPr="00A41685">
              <w:rPr>
                <w:rFonts w:ascii="Arial" w:hAnsi="Arial" w:cs="Arial"/>
                <w:color w:val="auto"/>
                <w:sz w:val="18"/>
                <w:szCs w:val="18"/>
              </w:rPr>
              <w:t>82.7</w:t>
            </w:r>
          </w:p>
        </w:tc>
        <w:tc>
          <w:tcPr>
            <w:cnfStyle w:val="000001000000" w:firstRow="0" w:lastRow="0" w:firstColumn="0" w:lastColumn="0" w:oddVBand="0" w:evenVBand="1" w:oddHBand="0" w:evenHBand="0" w:firstRowFirstColumn="0" w:firstRowLastColumn="0" w:lastRowFirstColumn="0" w:lastRowLastColumn="0"/>
            <w:tcW w:w="625" w:type="pct"/>
          </w:tcPr>
          <w:p w14:paraId="5925460E" w14:textId="74788988" w:rsidR="005F634C" w:rsidRPr="00CF3E3D" w:rsidRDefault="005F634C" w:rsidP="005F634C">
            <w:pPr>
              <w:pStyle w:val="TablecolumnheadTABLES"/>
              <w:jc w:val="center"/>
              <w:rPr>
                <w:rFonts w:ascii="Arial" w:hAnsi="Arial" w:cs="Arial"/>
                <w:color w:val="auto"/>
                <w:sz w:val="18"/>
                <w:szCs w:val="18"/>
              </w:rPr>
            </w:pPr>
            <w:r>
              <w:rPr>
                <w:rFonts w:ascii="Arial" w:hAnsi="Arial" w:cs="Arial"/>
                <w:color w:val="auto"/>
                <w:sz w:val="18"/>
                <w:szCs w:val="18"/>
              </w:rPr>
              <w:t>90.5</w:t>
            </w:r>
          </w:p>
        </w:tc>
        <w:tc>
          <w:tcPr>
            <w:cnfStyle w:val="000010000000" w:firstRow="0" w:lastRow="0" w:firstColumn="0" w:lastColumn="0" w:oddVBand="1" w:evenVBand="0" w:oddHBand="0" w:evenHBand="0" w:firstRowFirstColumn="0" w:firstRowLastColumn="0" w:lastRowFirstColumn="0" w:lastRowLastColumn="0"/>
            <w:tcW w:w="623" w:type="pct"/>
          </w:tcPr>
          <w:p w14:paraId="05FD7C04" w14:textId="0F147BA3" w:rsidR="005F634C" w:rsidRPr="00CF3E3D" w:rsidRDefault="005F634C" w:rsidP="005F634C">
            <w:pPr>
              <w:pStyle w:val="TablecolumnheadTABLES"/>
              <w:jc w:val="center"/>
              <w:rPr>
                <w:rFonts w:ascii="Arial" w:hAnsi="Arial" w:cs="Arial"/>
                <w:color w:val="auto"/>
                <w:sz w:val="18"/>
                <w:szCs w:val="18"/>
              </w:rPr>
            </w:pPr>
            <w:r w:rsidRPr="00A41685">
              <w:rPr>
                <w:rFonts w:ascii="Arial" w:hAnsi="Arial" w:cs="Arial"/>
                <w:color w:val="auto"/>
                <w:sz w:val="18"/>
                <w:szCs w:val="18"/>
              </w:rPr>
              <w:t>91.</w:t>
            </w:r>
            <w:r>
              <w:rPr>
                <w:rFonts w:ascii="Arial" w:hAnsi="Arial" w:cs="Arial"/>
                <w:color w:val="auto"/>
                <w:sz w:val="18"/>
                <w:szCs w:val="18"/>
              </w:rPr>
              <w:t>3</w:t>
            </w:r>
          </w:p>
        </w:tc>
      </w:tr>
    </w:tbl>
    <w:bookmarkEnd w:id="108"/>
    <w:p w14:paraId="4497975E" w14:textId="77777777" w:rsidR="007B0FBA" w:rsidRPr="007B0FBA" w:rsidRDefault="007B0FBA" w:rsidP="007B0FBA">
      <w:pPr>
        <w:pStyle w:val="Body"/>
        <w:rPr>
          <w:rStyle w:val="Hyperlink"/>
          <w:u w:val="none"/>
        </w:rPr>
      </w:pPr>
      <w:r w:rsidRPr="007B0FBA">
        <w:t xml:space="preserve">Another measure of skills utilisation is how well the qualification prepared graduates for their current job. </w:t>
      </w:r>
      <w:r w:rsidRPr="007B0FBA">
        <w:rPr>
          <w:rStyle w:val="Hyperlink"/>
          <w:u w:val="none"/>
        </w:rPr>
        <w:t xml:space="preserve">The proportion of </w:t>
      </w:r>
      <w:bookmarkStart w:id="109" w:name="_Hlk78545423"/>
      <w:r w:rsidRPr="007B0FBA">
        <w:rPr>
          <w:rStyle w:val="Hyperlink"/>
          <w:u w:val="none"/>
        </w:rPr>
        <w:t>undergraduates in full-time employment who reported that their course had prepared them well or very well for their current job</w:t>
      </w:r>
      <w:bookmarkEnd w:id="109"/>
      <w:r w:rsidRPr="007B0FBA">
        <w:rPr>
          <w:rStyle w:val="Hyperlink"/>
          <w:u w:val="none"/>
        </w:rPr>
        <w:t xml:space="preserve"> was higher in 2022 at 74.8 per cent compared to 74.5 per cent in 2021, but lower than 78.5 per cent in 2020 (see </w:t>
      </w:r>
      <w:r w:rsidRPr="007B0FBA">
        <w:rPr>
          <w:rStyle w:val="Hyperlink"/>
          <w:u w:val="none"/>
        </w:rPr>
        <w:fldChar w:fldCharType="begin"/>
      </w:r>
      <w:r w:rsidRPr="007B0FBA">
        <w:rPr>
          <w:rStyle w:val="Hyperlink"/>
          <w:u w:val="none"/>
        </w:rPr>
        <w:instrText xml:space="preserve"> REF _Ref110254367 \h  \* MERGEFORMAT </w:instrText>
      </w:r>
      <w:r w:rsidRPr="007B0FBA">
        <w:rPr>
          <w:rStyle w:val="Hyperlink"/>
          <w:u w:val="none"/>
        </w:rPr>
      </w:r>
      <w:r w:rsidRPr="007B0FBA">
        <w:rPr>
          <w:rStyle w:val="Hyperlink"/>
          <w:u w:val="none"/>
        </w:rPr>
        <w:fldChar w:fldCharType="separate"/>
      </w:r>
      <w:r w:rsidRPr="007B0FBA">
        <w:t>Table 15</w:t>
      </w:r>
      <w:r w:rsidRPr="007B0FBA">
        <w:rPr>
          <w:rStyle w:val="Hyperlink"/>
          <w:u w:val="none"/>
        </w:rPr>
        <w:fldChar w:fldCharType="end"/>
      </w:r>
      <w:r w:rsidRPr="007B0FBA">
        <w:rPr>
          <w:rStyle w:val="Hyperlink"/>
          <w:u w:val="none"/>
        </w:rPr>
        <w:t>). The proportion for employed graduates showed a similar trend with 67.3 per cent in 2022, which is higher than the 65.0 per cent in 2021 and lower than 69.2 per cent in 2020.</w:t>
      </w:r>
    </w:p>
    <w:p w14:paraId="0696BE7A" w14:textId="1F448875" w:rsidR="007B0FBA" w:rsidRPr="00610920" w:rsidRDefault="007B0FBA" w:rsidP="00610920">
      <w:pPr>
        <w:pStyle w:val="Caption"/>
        <w:ind w:left="851" w:hanging="851"/>
        <w:rPr>
          <w:color w:val="000000" w:themeColor="text1"/>
        </w:rPr>
      </w:pPr>
      <w:bookmarkStart w:id="110" w:name="_Ref110254367"/>
      <w:bookmarkStart w:id="111" w:name="_Toc116035809"/>
      <w:bookmarkStart w:id="112" w:name="_Toc116040364"/>
      <w:r w:rsidRPr="00610920">
        <w:rPr>
          <w:color w:val="000000" w:themeColor="text1"/>
        </w:rPr>
        <w:t xml:space="preserve">Table </w:t>
      </w:r>
      <w:r w:rsidRPr="00610920">
        <w:rPr>
          <w:color w:val="000000" w:themeColor="text1"/>
        </w:rPr>
        <w:fldChar w:fldCharType="begin"/>
      </w:r>
      <w:r w:rsidRPr="00610920">
        <w:rPr>
          <w:color w:val="000000" w:themeColor="text1"/>
        </w:rPr>
        <w:instrText xml:space="preserve"> SEQ Table \* ARABIC </w:instrText>
      </w:r>
      <w:r w:rsidRPr="00610920">
        <w:rPr>
          <w:color w:val="000000" w:themeColor="text1"/>
        </w:rPr>
        <w:fldChar w:fldCharType="separate"/>
      </w:r>
      <w:r w:rsidR="005606F7" w:rsidRPr="00610920">
        <w:rPr>
          <w:noProof/>
          <w:color w:val="000000" w:themeColor="text1"/>
        </w:rPr>
        <w:t>15</w:t>
      </w:r>
      <w:r w:rsidRPr="00610920">
        <w:rPr>
          <w:color w:val="000000" w:themeColor="text1"/>
        </w:rPr>
        <w:fldChar w:fldCharType="end"/>
      </w:r>
      <w:bookmarkEnd w:id="110"/>
      <w:r w:rsidRPr="00610920">
        <w:rPr>
          <w:color w:val="000000" w:themeColor="text1"/>
        </w:rPr>
        <w:t xml:space="preserve"> Qualification prepared graduate well or very well for current job, by employment type and study level, 2021-2022 (% of those employed)</w:t>
      </w:r>
      <w:bookmarkEnd w:id="111"/>
      <w:bookmarkEnd w:id="112"/>
    </w:p>
    <w:tbl>
      <w:tblPr>
        <w:tblStyle w:val="SRC1"/>
        <w:tblW w:w="4835" w:type="pct"/>
        <w:tblLayout w:type="fixed"/>
        <w:tblLook w:val="0020" w:firstRow="1" w:lastRow="0" w:firstColumn="0" w:lastColumn="0" w:noHBand="0" w:noVBand="0"/>
      </w:tblPr>
      <w:tblGrid>
        <w:gridCol w:w="2196"/>
        <w:gridCol w:w="1096"/>
        <w:gridCol w:w="1098"/>
        <w:gridCol w:w="1096"/>
        <w:gridCol w:w="1096"/>
        <w:gridCol w:w="1096"/>
        <w:gridCol w:w="1093"/>
      </w:tblGrid>
      <w:tr w:rsidR="007B0FBA" w:rsidRPr="00CF3E3D" w14:paraId="0CC76732"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251" w:type="pct"/>
          </w:tcPr>
          <w:p w14:paraId="6016132E" w14:textId="0E9E45E6" w:rsidR="007B0FBA" w:rsidRPr="00CF3E3D" w:rsidRDefault="009B7058" w:rsidP="007007AC">
            <w:pPr>
              <w:pStyle w:val="TablecolumnheadTABLES"/>
              <w:rPr>
                <w:rFonts w:ascii="Arial" w:hAnsi="Arial" w:cs="Arial"/>
                <w:b w:val="0"/>
                <w:bCs w:val="0"/>
                <w:color w:val="auto"/>
                <w:sz w:val="18"/>
                <w:szCs w:val="18"/>
              </w:rPr>
            </w:pPr>
            <w:bookmarkStart w:id="113" w:name="Title15"/>
            <w:bookmarkEnd w:id="113"/>
            <w:r w:rsidRPr="0021639B">
              <w:rPr>
                <w:rStyle w:val="TabletextBOLD"/>
                <w:b/>
                <w:bCs/>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625" w:type="pct"/>
          </w:tcPr>
          <w:p w14:paraId="49EAA2C7" w14:textId="77777777" w:rsidR="007B0FBA" w:rsidRPr="00610920" w:rsidRDefault="007B0FBA" w:rsidP="007007AC">
            <w:pPr>
              <w:pStyle w:val="TablecolumnheadTABLES"/>
              <w:jc w:val="center"/>
              <w:rPr>
                <w:rFonts w:ascii="Arial" w:hAnsi="Arial" w:cs="Arial"/>
                <w:color w:val="FFFFFF" w:themeColor="background1"/>
                <w:sz w:val="18"/>
                <w:szCs w:val="18"/>
              </w:rPr>
            </w:pPr>
            <w:r w:rsidRPr="00610920">
              <w:rPr>
                <w:rFonts w:ascii="Arial" w:hAnsi="Arial" w:cs="Arial"/>
                <w:color w:val="FFFFFF" w:themeColor="background1"/>
                <w:sz w:val="18"/>
                <w:szCs w:val="18"/>
              </w:rPr>
              <w:t>Undergraduate 2021</w:t>
            </w:r>
          </w:p>
        </w:tc>
        <w:tc>
          <w:tcPr>
            <w:cnfStyle w:val="000010000000" w:firstRow="0" w:lastRow="0" w:firstColumn="0" w:lastColumn="0" w:oddVBand="1" w:evenVBand="0" w:oddHBand="0" w:evenHBand="0" w:firstRowFirstColumn="0" w:firstRowLastColumn="0" w:lastRowFirstColumn="0" w:lastRowLastColumn="0"/>
            <w:tcW w:w="626" w:type="pct"/>
          </w:tcPr>
          <w:p w14:paraId="497388AE" w14:textId="77777777" w:rsidR="007B0FBA" w:rsidRPr="00610920" w:rsidRDefault="007B0FBA" w:rsidP="007007AC">
            <w:pPr>
              <w:pStyle w:val="TablecolumnheadTABLES"/>
              <w:jc w:val="center"/>
              <w:rPr>
                <w:rFonts w:ascii="Arial" w:hAnsi="Arial" w:cs="Arial"/>
                <w:color w:val="FFFFFF" w:themeColor="background1"/>
                <w:sz w:val="18"/>
                <w:szCs w:val="18"/>
              </w:rPr>
            </w:pPr>
            <w:r w:rsidRPr="00610920">
              <w:rPr>
                <w:rFonts w:ascii="Arial" w:hAnsi="Arial" w:cs="Arial"/>
                <w:color w:val="FFFFFF" w:themeColor="background1"/>
                <w:sz w:val="18"/>
                <w:szCs w:val="18"/>
              </w:rPr>
              <w:t>Undergraduate 2022</w:t>
            </w:r>
          </w:p>
        </w:tc>
        <w:tc>
          <w:tcPr>
            <w:cnfStyle w:val="000001000000" w:firstRow="0" w:lastRow="0" w:firstColumn="0" w:lastColumn="0" w:oddVBand="0" w:evenVBand="1" w:oddHBand="0" w:evenHBand="0" w:firstRowFirstColumn="0" w:firstRowLastColumn="0" w:lastRowFirstColumn="0" w:lastRowLastColumn="0"/>
            <w:tcW w:w="625" w:type="pct"/>
          </w:tcPr>
          <w:p w14:paraId="704F53A0" w14:textId="77777777" w:rsidR="007B0FBA" w:rsidRPr="00610920" w:rsidRDefault="007B0FBA" w:rsidP="007007AC">
            <w:pPr>
              <w:pStyle w:val="TablecolumnheadTABLES"/>
              <w:jc w:val="center"/>
              <w:rPr>
                <w:rFonts w:ascii="Arial" w:hAnsi="Arial" w:cs="Arial"/>
                <w:color w:val="FFFFFF" w:themeColor="background1"/>
                <w:sz w:val="18"/>
                <w:szCs w:val="18"/>
              </w:rPr>
            </w:pPr>
            <w:r w:rsidRPr="00610920">
              <w:rPr>
                <w:rFonts w:ascii="Arial" w:hAnsi="Arial" w:cs="Arial"/>
                <w:color w:val="FFFFFF" w:themeColor="background1"/>
                <w:sz w:val="18"/>
                <w:szCs w:val="18"/>
              </w:rPr>
              <w:t>Postgraduate coursework 2021</w:t>
            </w:r>
          </w:p>
        </w:tc>
        <w:tc>
          <w:tcPr>
            <w:cnfStyle w:val="000010000000" w:firstRow="0" w:lastRow="0" w:firstColumn="0" w:lastColumn="0" w:oddVBand="1" w:evenVBand="0" w:oddHBand="0" w:evenHBand="0" w:firstRowFirstColumn="0" w:firstRowLastColumn="0" w:lastRowFirstColumn="0" w:lastRowLastColumn="0"/>
            <w:tcW w:w="625" w:type="pct"/>
          </w:tcPr>
          <w:p w14:paraId="2E4807DA" w14:textId="77777777" w:rsidR="007B0FBA" w:rsidRPr="00610920" w:rsidRDefault="007B0FBA" w:rsidP="007007AC">
            <w:pPr>
              <w:pStyle w:val="TablecolumnheadTABLES"/>
              <w:jc w:val="center"/>
              <w:rPr>
                <w:rFonts w:ascii="Arial" w:hAnsi="Arial" w:cs="Arial"/>
                <w:color w:val="FFFFFF" w:themeColor="background1"/>
                <w:sz w:val="18"/>
                <w:szCs w:val="18"/>
              </w:rPr>
            </w:pPr>
            <w:r w:rsidRPr="00610920">
              <w:rPr>
                <w:rFonts w:ascii="Arial" w:hAnsi="Arial" w:cs="Arial"/>
                <w:color w:val="FFFFFF" w:themeColor="background1"/>
                <w:sz w:val="18"/>
                <w:szCs w:val="18"/>
              </w:rPr>
              <w:t>Postgraduate coursework 2022</w:t>
            </w:r>
          </w:p>
        </w:tc>
        <w:tc>
          <w:tcPr>
            <w:cnfStyle w:val="000001000000" w:firstRow="0" w:lastRow="0" w:firstColumn="0" w:lastColumn="0" w:oddVBand="0" w:evenVBand="1" w:oddHBand="0" w:evenHBand="0" w:firstRowFirstColumn="0" w:firstRowLastColumn="0" w:lastRowFirstColumn="0" w:lastRowLastColumn="0"/>
            <w:tcW w:w="625" w:type="pct"/>
          </w:tcPr>
          <w:p w14:paraId="1C62113C" w14:textId="77777777" w:rsidR="007B0FBA" w:rsidRPr="00610920" w:rsidRDefault="007B0FBA" w:rsidP="007007AC">
            <w:pPr>
              <w:pStyle w:val="TablecolumnheadTABLES"/>
              <w:jc w:val="center"/>
              <w:rPr>
                <w:rFonts w:ascii="Arial" w:hAnsi="Arial" w:cs="Arial"/>
                <w:color w:val="FFFFFF" w:themeColor="background1"/>
                <w:sz w:val="18"/>
                <w:szCs w:val="18"/>
              </w:rPr>
            </w:pPr>
            <w:r w:rsidRPr="00610920">
              <w:rPr>
                <w:rFonts w:ascii="Arial" w:hAnsi="Arial" w:cs="Arial"/>
                <w:color w:val="FFFFFF" w:themeColor="background1"/>
                <w:sz w:val="18"/>
                <w:szCs w:val="18"/>
              </w:rPr>
              <w:t>Postgraduate research 2021</w:t>
            </w:r>
          </w:p>
        </w:tc>
        <w:tc>
          <w:tcPr>
            <w:cnfStyle w:val="000010000000" w:firstRow="0" w:lastRow="0" w:firstColumn="0" w:lastColumn="0" w:oddVBand="1" w:evenVBand="0" w:oddHBand="0" w:evenHBand="0" w:firstRowFirstColumn="0" w:firstRowLastColumn="0" w:lastRowFirstColumn="0" w:lastRowLastColumn="0"/>
            <w:tcW w:w="623" w:type="pct"/>
          </w:tcPr>
          <w:p w14:paraId="793BF8DE" w14:textId="77777777" w:rsidR="007B0FBA" w:rsidRPr="00610920" w:rsidRDefault="007B0FBA" w:rsidP="007007AC">
            <w:pPr>
              <w:pStyle w:val="TablecolumnheadTABLES"/>
              <w:jc w:val="center"/>
              <w:rPr>
                <w:rFonts w:ascii="Arial" w:hAnsi="Arial" w:cs="Arial"/>
                <w:color w:val="FFFFFF" w:themeColor="background1"/>
                <w:sz w:val="18"/>
                <w:szCs w:val="18"/>
              </w:rPr>
            </w:pPr>
            <w:r w:rsidRPr="00610920">
              <w:rPr>
                <w:rFonts w:ascii="Arial" w:hAnsi="Arial" w:cs="Arial"/>
                <w:color w:val="FFFFFF" w:themeColor="background1"/>
                <w:sz w:val="18"/>
                <w:szCs w:val="18"/>
              </w:rPr>
              <w:t>Postgraduate research 2022</w:t>
            </w:r>
          </w:p>
        </w:tc>
      </w:tr>
      <w:tr w:rsidR="007B0FBA" w:rsidRPr="00CF3E3D" w14:paraId="48B1A6A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51" w:type="pct"/>
          </w:tcPr>
          <w:p w14:paraId="58CE9718" w14:textId="77777777" w:rsidR="007B0FBA" w:rsidRPr="00CF3E3D" w:rsidRDefault="007B0FBA" w:rsidP="007007AC">
            <w:pPr>
              <w:pStyle w:val="TablecolumnheadTABLES"/>
              <w:rPr>
                <w:rFonts w:ascii="Arial" w:hAnsi="Arial" w:cs="Arial"/>
                <w:b/>
                <w:bCs w:val="0"/>
                <w:color w:val="auto"/>
                <w:sz w:val="18"/>
                <w:szCs w:val="18"/>
              </w:rPr>
            </w:pPr>
            <w:r w:rsidRPr="00CF3E3D">
              <w:rPr>
                <w:rFonts w:ascii="Arial" w:hAnsi="Arial" w:cs="Arial"/>
                <w:b/>
                <w:bCs w:val="0"/>
                <w:color w:val="auto"/>
                <w:sz w:val="18"/>
                <w:szCs w:val="18"/>
              </w:rPr>
              <w:t>Full-time employed</w:t>
            </w:r>
          </w:p>
        </w:tc>
        <w:tc>
          <w:tcPr>
            <w:cnfStyle w:val="000001000000" w:firstRow="0" w:lastRow="0" w:firstColumn="0" w:lastColumn="0" w:oddVBand="0" w:evenVBand="1" w:oddHBand="0" w:evenHBand="0" w:firstRowFirstColumn="0" w:firstRowLastColumn="0" w:lastRowFirstColumn="0" w:lastRowLastColumn="0"/>
            <w:tcW w:w="625" w:type="pct"/>
          </w:tcPr>
          <w:p w14:paraId="08875AD3"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74.5</w:t>
            </w:r>
          </w:p>
        </w:tc>
        <w:tc>
          <w:tcPr>
            <w:cnfStyle w:val="000010000000" w:firstRow="0" w:lastRow="0" w:firstColumn="0" w:lastColumn="0" w:oddVBand="1" w:evenVBand="0" w:oddHBand="0" w:evenHBand="0" w:firstRowFirstColumn="0" w:firstRowLastColumn="0" w:lastRowFirstColumn="0" w:lastRowLastColumn="0"/>
            <w:tcW w:w="626" w:type="pct"/>
          </w:tcPr>
          <w:p w14:paraId="4BB401BB"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74.8</w:t>
            </w:r>
          </w:p>
        </w:tc>
        <w:tc>
          <w:tcPr>
            <w:cnfStyle w:val="000001000000" w:firstRow="0" w:lastRow="0" w:firstColumn="0" w:lastColumn="0" w:oddVBand="0" w:evenVBand="1" w:oddHBand="0" w:evenHBand="0" w:firstRowFirstColumn="0" w:firstRowLastColumn="0" w:lastRowFirstColumn="0" w:lastRowLastColumn="0"/>
            <w:tcW w:w="625" w:type="pct"/>
          </w:tcPr>
          <w:p w14:paraId="53B33BCC"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75.2</w:t>
            </w:r>
          </w:p>
        </w:tc>
        <w:tc>
          <w:tcPr>
            <w:cnfStyle w:val="000010000000" w:firstRow="0" w:lastRow="0" w:firstColumn="0" w:lastColumn="0" w:oddVBand="1" w:evenVBand="0" w:oddHBand="0" w:evenHBand="0" w:firstRowFirstColumn="0" w:firstRowLastColumn="0" w:lastRowFirstColumn="0" w:lastRowLastColumn="0"/>
            <w:tcW w:w="625" w:type="pct"/>
          </w:tcPr>
          <w:p w14:paraId="1E09EB49"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76.0</w:t>
            </w:r>
          </w:p>
        </w:tc>
        <w:tc>
          <w:tcPr>
            <w:cnfStyle w:val="000001000000" w:firstRow="0" w:lastRow="0" w:firstColumn="0" w:lastColumn="0" w:oddVBand="0" w:evenVBand="1" w:oddHBand="0" w:evenHBand="0" w:firstRowFirstColumn="0" w:firstRowLastColumn="0" w:lastRowFirstColumn="0" w:lastRowLastColumn="0"/>
            <w:tcW w:w="625" w:type="pct"/>
          </w:tcPr>
          <w:p w14:paraId="7D9411C1"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82.6</w:t>
            </w:r>
          </w:p>
        </w:tc>
        <w:tc>
          <w:tcPr>
            <w:cnfStyle w:val="000010000000" w:firstRow="0" w:lastRow="0" w:firstColumn="0" w:lastColumn="0" w:oddVBand="1" w:evenVBand="0" w:oddHBand="0" w:evenHBand="0" w:firstRowFirstColumn="0" w:firstRowLastColumn="0" w:lastRowFirstColumn="0" w:lastRowLastColumn="0"/>
            <w:tcW w:w="623" w:type="pct"/>
          </w:tcPr>
          <w:p w14:paraId="347A08D5"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82.5</w:t>
            </w:r>
          </w:p>
        </w:tc>
      </w:tr>
      <w:tr w:rsidR="007B0FBA" w:rsidRPr="00CF3E3D" w14:paraId="24FD24C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51" w:type="pct"/>
          </w:tcPr>
          <w:p w14:paraId="62521A65" w14:textId="77777777" w:rsidR="007B0FBA" w:rsidRPr="00CF3E3D" w:rsidRDefault="007B0FBA" w:rsidP="007007AC">
            <w:pPr>
              <w:pStyle w:val="TablecolumnheadTABLES"/>
              <w:rPr>
                <w:rFonts w:ascii="Arial" w:hAnsi="Arial" w:cs="Arial"/>
                <w:b/>
                <w:bCs w:val="0"/>
                <w:color w:val="auto"/>
                <w:sz w:val="18"/>
                <w:szCs w:val="18"/>
              </w:rPr>
            </w:pPr>
            <w:r w:rsidRPr="00CF3E3D">
              <w:rPr>
                <w:rFonts w:ascii="Arial" w:hAnsi="Arial" w:cs="Arial"/>
                <w:b/>
                <w:bCs w:val="0"/>
                <w:color w:val="auto"/>
                <w:sz w:val="18"/>
                <w:szCs w:val="18"/>
              </w:rPr>
              <w:t>Overall employed</w:t>
            </w:r>
          </w:p>
        </w:tc>
        <w:tc>
          <w:tcPr>
            <w:cnfStyle w:val="000001000000" w:firstRow="0" w:lastRow="0" w:firstColumn="0" w:lastColumn="0" w:oddVBand="0" w:evenVBand="1" w:oddHBand="0" w:evenHBand="0" w:firstRowFirstColumn="0" w:firstRowLastColumn="0" w:lastRowFirstColumn="0" w:lastRowLastColumn="0"/>
            <w:tcW w:w="625" w:type="pct"/>
          </w:tcPr>
          <w:p w14:paraId="02CB7F78"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65.0</w:t>
            </w:r>
          </w:p>
        </w:tc>
        <w:tc>
          <w:tcPr>
            <w:cnfStyle w:val="000010000000" w:firstRow="0" w:lastRow="0" w:firstColumn="0" w:lastColumn="0" w:oddVBand="1" w:evenVBand="0" w:oddHBand="0" w:evenHBand="0" w:firstRowFirstColumn="0" w:firstRowLastColumn="0" w:lastRowFirstColumn="0" w:lastRowLastColumn="0"/>
            <w:tcW w:w="626" w:type="pct"/>
          </w:tcPr>
          <w:p w14:paraId="53E5CBD9"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67.3</w:t>
            </w:r>
          </w:p>
        </w:tc>
        <w:tc>
          <w:tcPr>
            <w:cnfStyle w:val="000001000000" w:firstRow="0" w:lastRow="0" w:firstColumn="0" w:lastColumn="0" w:oddVBand="0" w:evenVBand="1" w:oddHBand="0" w:evenHBand="0" w:firstRowFirstColumn="0" w:firstRowLastColumn="0" w:lastRowFirstColumn="0" w:lastRowLastColumn="0"/>
            <w:tcW w:w="625" w:type="pct"/>
          </w:tcPr>
          <w:p w14:paraId="31CA38F3"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73.3</w:t>
            </w:r>
          </w:p>
        </w:tc>
        <w:tc>
          <w:tcPr>
            <w:cnfStyle w:val="000010000000" w:firstRow="0" w:lastRow="0" w:firstColumn="0" w:lastColumn="0" w:oddVBand="1" w:evenVBand="0" w:oddHBand="0" w:evenHBand="0" w:firstRowFirstColumn="0" w:firstRowLastColumn="0" w:lastRowFirstColumn="0" w:lastRowLastColumn="0"/>
            <w:tcW w:w="625" w:type="pct"/>
          </w:tcPr>
          <w:p w14:paraId="35F78916"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74.3</w:t>
            </w:r>
          </w:p>
        </w:tc>
        <w:tc>
          <w:tcPr>
            <w:cnfStyle w:val="000001000000" w:firstRow="0" w:lastRow="0" w:firstColumn="0" w:lastColumn="0" w:oddVBand="0" w:evenVBand="1" w:oddHBand="0" w:evenHBand="0" w:firstRowFirstColumn="0" w:firstRowLastColumn="0" w:lastRowFirstColumn="0" w:lastRowLastColumn="0"/>
            <w:tcW w:w="625" w:type="pct"/>
          </w:tcPr>
          <w:p w14:paraId="7452DD6B"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80.5</w:t>
            </w:r>
          </w:p>
        </w:tc>
        <w:tc>
          <w:tcPr>
            <w:cnfStyle w:val="000010000000" w:firstRow="0" w:lastRow="0" w:firstColumn="0" w:lastColumn="0" w:oddVBand="1" w:evenVBand="0" w:oddHBand="0" w:evenHBand="0" w:firstRowFirstColumn="0" w:firstRowLastColumn="0" w:lastRowFirstColumn="0" w:lastRowLastColumn="0"/>
            <w:tcW w:w="623" w:type="pct"/>
          </w:tcPr>
          <w:p w14:paraId="2A053634" w14:textId="77777777" w:rsidR="007B0FBA" w:rsidRPr="00CF3E3D" w:rsidRDefault="007B0FBA" w:rsidP="007007AC">
            <w:pPr>
              <w:pStyle w:val="TablecolumnheadTABLES"/>
              <w:jc w:val="center"/>
              <w:rPr>
                <w:rFonts w:ascii="Arial" w:hAnsi="Arial" w:cs="Arial"/>
                <w:color w:val="auto"/>
                <w:sz w:val="18"/>
                <w:szCs w:val="18"/>
              </w:rPr>
            </w:pPr>
            <w:r w:rsidRPr="00CF3E3D">
              <w:rPr>
                <w:rFonts w:ascii="Arial" w:hAnsi="Arial" w:cs="Arial"/>
                <w:color w:val="auto"/>
                <w:sz w:val="18"/>
                <w:szCs w:val="18"/>
              </w:rPr>
              <w:t>80.4</w:t>
            </w:r>
          </w:p>
        </w:tc>
      </w:tr>
    </w:tbl>
    <w:p w14:paraId="1E780557" w14:textId="77777777" w:rsidR="007B0FBA" w:rsidRPr="00CF3E3D" w:rsidRDefault="007B0FBA" w:rsidP="007B0FBA">
      <w:pPr>
        <w:pStyle w:val="Body"/>
      </w:pPr>
      <w:r w:rsidRPr="00CF3E3D">
        <w:t xml:space="preserve">Graduates were also asked to indicate whether they believed they were working in a job that allowed them to fully use their skills or education. In 2022, 28.3 per cent of undergraduates employed full-time indicated they were working in a job that did not allow them to fully use their skills or education, a decrease from 29.3 per cent in 2021. </w:t>
      </w:r>
    </w:p>
    <w:p w14:paraId="7D718C6E" w14:textId="77777777" w:rsidR="007B0FBA" w:rsidRPr="00CF3E3D" w:rsidRDefault="007B0FBA" w:rsidP="007B0FBA">
      <w:pPr>
        <w:pStyle w:val="Body"/>
      </w:pPr>
      <w:r w:rsidRPr="00CF3E3D">
        <w:lastRenderedPageBreak/>
        <w:t xml:space="preserve">More than one quarter, 27.6 per cent of full-time employed undergraduates who reported they were not fully utilising their skills or education in 2022, stated that this was because of personal factors, whilst more than half, 59.1 per cent, indicated it was due to labour market factors (see </w:t>
      </w:r>
      <w:r w:rsidRPr="00CF3E3D">
        <w:fldChar w:fldCharType="begin"/>
      </w:r>
      <w:r w:rsidRPr="00CF3E3D">
        <w:instrText xml:space="preserve"> REF _Ref110254395 \h </w:instrText>
      </w:r>
      <w:r w:rsidRPr="00CF3E3D">
        <w:fldChar w:fldCharType="separate"/>
      </w:r>
      <w:r w:rsidRPr="00CF3E3D">
        <w:t xml:space="preserve">Table </w:t>
      </w:r>
      <w:r>
        <w:rPr>
          <w:noProof/>
        </w:rPr>
        <w:t>16</w:t>
      </w:r>
      <w:r w:rsidRPr="00CF3E3D">
        <w:fldChar w:fldCharType="end"/>
      </w:r>
      <w:r w:rsidRPr="00CF3E3D">
        <w:t xml:space="preserve">). More specifically, the main reason reported by full-time employed undergraduates for working in a job not fully utilising their skills or education was that they are currently in an entry level job / career stepping stone, 28.4 per cent. This was followed by being satisfied with current job, 13.9 per cent, not enough work experience, 11.0 per cent, and no suitable jobs in area of expertise, 8.1 per cent. Overall, 21.8 per cent of employed undergraduates said they did not use their skills or education in their current job because they were engaging in further study, compared to 6.2 per cent of undergraduates in full-time employment, indicating a difference between graduates in full-time and part-time employment. </w:t>
      </w:r>
    </w:p>
    <w:p w14:paraId="08255026" w14:textId="169A7EC7" w:rsidR="007B0FBA" w:rsidRPr="00CF3E3D" w:rsidRDefault="007B0FBA" w:rsidP="00232AF6">
      <w:pPr>
        <w:pStyle w:val="Caption"/>
        <w:ind w:left="851" w:hanging="851"/>
      </w:pPr>
      <w:bookmarkStart w:id="114" w:name="_Ref110254395"/>
      <w:bookmarkStart w:id="115" w:name="_Toc116035810"/>
      <w:bookmarkStart w:id="116" w:name="_Toc116040365"/>
      <w:r w:rsidRPr="00232AF6">
        <w:rPr>
          <w:color w:val="auto"/>
        </w:rPr>
        <w:t xml:space="preserve">Table </w:t>
      </w:r>
      <w:r w:rsidRPr="00232AF6">
        <w:rPr>
          <w:color w:val="auto"/>
        </w:rPr>
        <w:fldChar w:fldCharType="begin"/>
      </w:r>
      <w:r w:rsidRPr="00232AF6">
        <w:rPr>
          <w:color w:val="auto"/>
        </w:rPr>
        <w:instrText xml:space="preserve"> SEQ Table \* ARABIC </w:instrText>
      </w:r>
      <w:r w:rsidRPr="00232AF6">
        <w:rPr>
          <w:color w:val="auto"/>
        </w:rPr>
        <w:fldChar w:fldCharType="separate"/>
      </w:r>
      <w:r w:rsidR="00232AF6">
        <w:rPr>
          <w:noProof/>
          <w:color w:val="auto"/>
        </w:rPr>
        <w:t>16</w:t>
      </w:r>
      <w:r w:rsidRPr="00232AF6">
        <w:rPr>
          <w:color w:val="auto"/>
        </w:rPr>
        <w:fldChar w:fldCharType="end"/>
      </w:r>
      <w:bookmarkEnd w:id="114"/>
      <w:r w:rsidRPr="00232AF6">
        <w:rPr>
          <w:color w:val="auto"/>
        </w:rPr>
        <w:t xml:space="preserve"> Undergraduates’ main reason for working in job in 2022 that does not fully use skills and education, by employment outcomes (%)</w:t>
      </w:r>
      <w:bookmarkEnd w:id="101"/>
      <w:bookmarkEnd w:id="115"/>
      <w:bookmarkEnd w:id="116"/>
      <w:r w:rsidRPr="00CF3E3D">
        <w:tab/>
      </w:r>
    </w:p>
    <w:tbl>
      <w:tblPr>
        <w:tblStyle w:val="SRC1"/>
        <w:tblW w:w="4461" w:type="pct"/>
        <w:tblLayout w:type="fixed"/>
        <w:tblLook w:val="0020" w:firstRow="1" w:lastRow="0" w:firstColumn="0" w:lastColumn="0" w:noHBand="0" w:noVBand="0"/>
        <w:tblCaption w:val="Table 5  Short- (2014) and medium-term (2017) outcomes for undergraduates by study area "/>
      </w:tblPr>
      <w:tblGrid>
        <w:gridCol w:w="3628"/>
        <w:gridCol w:w="2232"/>
        <w:gridCol w:w="2232"/>
      </w:tblGrid>
      <w:tr w:rsidR="007B0FBA" w:rsidRPr="00CF3E3D" w14:paraId="12502A82"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2242" w:type="pct"/>
          </w:tcPr>
          <w:p w14:paraId="1A8082C5" w14:textId="68EC3CA1" w:rsidR="007B0FBA" w:rsidRPr="00CF3E3D" w:rsidRDefault="009B7058" w:rsidP="007007AC">
            <w:pPr>
              <w:rPr>
                <w:b w:val="0"/>
                <w:sz w:val="18"/>
                <w:szCs w:val="18"/>
              </w:rPr>
            </w:pPr>
            <w:bookmarkStart w:id="117" w:name="Title16"/>
            <w:bookmarkEnd w:id="117"/>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1379" w:type="pct"/>
          </w:tcPr>
          <w:p w14:paraId="4F25858D" w14:textId="77777777" w:rsidR="007B0FBA" w:rsidRPr="00232AF6" w:rsidRDefault="007B0FBA" w:rsidP="007007AC">
            <w:pPr>
              <w:pStyle w:val="TablecolumnheadCENTRETABLES"/>
              <w:jc w:val="center"/>
              <w:rPr>
                <w:rFonts w:ascii="Arial" w:hAnsi="Arial" w:cs="Arial"/>
                <w:b/>
                <w:bCs w:val="0"/>
                <w:caps w:val="0"/>
                <w:color w:val="FFFFFF" w:themeColor="background1"/>
                <w:sz w:val="18"/>
                <w:szCs w:val="18"/>
              </w:rPr>
            </w:pPr>
            <w:r w:rsidRPr="00232AF6">
              <w:rPr>
                <w:rFonts w:ascii="Arial" w:hAnsi="Arial" w:cs="Arial"/>
                <w:b/>
                <w:bCs w:val="0"/>
                <w:color w:val="FFFFFF" w:themeColor="background1"/>
                <w:sz w:val="18"/>
                <w:szCs w:val="18"/>
              </w:rPr>
              <w:t>F</w:t>
            </w:r>
            <w:r w:rsidRPr="00232AF6">
              <w:rPr>
                <w:rFonts w:ascii="Arial" w:hAnsi="Arial" w:cs="Arial"/>
                <w:b/>
                <w:bCs w:val="0"/>
                <w:caps w:val="0"/>
                <w:color w:val="FFFFFF" w:themeColor="background1"/>
                <w:sz w:val="18"/>
                <w:szCs w:val="18"/>
              </w:rPr>
              <w:t>ull</w:t>
            </w:r>
            <w:r w:rsidRPr="00232AF6">
              <w:rPr>
                <w:rFonts w:ascii="Arial" w:hAnsi="Arial" w:cs="Arial"/>
                <w:b/>
                <w:bCs w:val="0"/>
                <w:color w:val="FFFFFF" w:themeColor="background1"/>
                <w:sz w:val="18"/>
                <w:szCs w:val="18"/>
              </w:rPr>
              <w:t>-</w:t>
            </w:r>
            <w:r w:rsidRPr="00232AF6">
              <w:rPr>
                <w:rFonts w:ascii="Arial" w:hAnsi="Arial" w:cs="Arial"/>
                <w:b/>
                <w:bCs w:val="0"/>
                <w:caps w:val="0"/>
                <w:color w:val="FFFFFF" w:themeColor="background1"/>
                <w:sz w:val="18"/>
                <w:szCs w:val="18"/>
              </w:rPr>
              <w:t>time employment</w:t>
            </w:r>
          </w:p>
        </w:tc>
        <w:tc>
          <w:tcPr>
            <w:cnfStyle w:val="000010000000" w:firstRow="0" w:lastRow="0" w:firstColumn="0" w:lastColumn="0" w:oddVBand="1" w:evenVBand="0" w:oddHBand="0" w:evenHBand="0" w:firstRowFirstColumn="0" w:firstRowLastColumn="0" w:lastRowFirstColumn="0" w:lastRowLastColumn="0"/>
            <w:tcW w:w="1379" w:type="pct"/>
          </w:tcPr>
          <w:p w14:paraId="6D813EB9" w14:textId="77777777" w:rsidR="007B0FBA" w:rsidRPr="00232AF6" w:rsidRDefault="007B0FBA" w:rsidP="007007AC">
            <w:pPr>
              <w:pStyle w:val="TablecolumnheadCENTRETABLES"/>
              <w:jc w:val="center"/>
              <w:rPr>
                <w:rFonts w:ascii="Arial" w:hAnsi="Arial" w:cs="Arial"/>
                <w:b/>
                <w:bCs w:val="0"/>
                <w:caps w:val="0"/>
                <w:color w:val="FFFFFF" w:themeColor="background1"/>
                <w:sz w:val="18"/>
                <w:szCs w:val="18"/>
              </w:rPr>
            </w:pPr>
            <w:r w:rsidRPr="00232AF6">
              <w:rPr>
                <w:rFonts w:ascii="Arial" w:hAnsi="Arial" w:cs="Arial"/>
                <w:b/>
                <w:bCs w:val="0"/>
                <w:caps w:val="0"/>
                <w:color w:val="FFFFFF" w:themeColor="background1"/>
                <w:sz w:val="18"/>
                <w:szCs w:val="18"/>
              </w:rPr>
              <w:t>Overall employment</w:t>
            </w:r>
          </w:p>
        </w:tc>
      </w:tr>
      <w:tr w:rsidR="007B0FBA" w:rsidRPr="00CF3E3D" w14:paraId="1DB09A7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287B74E6" w14:textId="77777777" w:rsidR="007B0FBA" w:rsidRPr="00C77781" w:rsidRDefault="007B0FBA" w:rsidP="007007AC">
            <w:pPr>
              <w:spacing w:before="85" w:line="288" w:lineRule="auto"/>
              <w:rPr>
                <w:b/>
                <w:bCs/>
                <w:sz w:val="18"/>
                <w:szCs w:val="18"/>
              </w:rPr>
            </w:pPr>
            <w:r w:rsidRPr="00C77781">
              <w:rPr>
                <w:b/>
                <w:bCs/>
                <w:sz w:val="18"/>
                <w:szCs w:val="18"/>
              </w:rPr>
              <w:t>Studying</w:t>
            </w:r>
          </w:p>
        </w:tc>
        <w:tc>
          <w:tcPr>
            <w:cnfStyle w:val="000001000000" w:firstRow="0" w:lastRow="0" w:firstColumn="0" w:lastColumn="0" w:oddVBand="0" w:evenVBand="1" w:oddHBand="0" w:evenHBand="0" w:firstRowFirstColumn="0" w:firstRowLastColumn="0" w:lastRowFirstColumn="0" w:lastRowLastColumn="0"/>
            <w:tcW w:w="1379" w:type="pct"/>
          </w:tcPr>
          <w:p w14:paraId="234073D3" w14:textId="77777777" w:rsidR="007B0FBA" w:rsidRPr="00CF3E3D" w:rsidRDefault="007B0FBA" w:rsidP="007007AC">
            <w:pPr>
              <w:spacing w:before="85" w:line="288" w:lineRule="auto"/>
              <w:jc w:val="center"/>
              <w:rPr>
                <w:sz w:val="18"/>
                <w:szCs w:val="18"/>
              </w:rPr>
            </w:pPr>
            <w:r w:rsidRPr="00CF3E3D">
              <w:rPr>
                <w:sz w:val="18"/>
                <w:szCs w:val="18"/>
              </w:rPr>
              <w:t>6.2</w:t>
            </w:r>
          </w:p>
        </w:tc>
        <w:tc>
          <w:tcPr>
            <w:cnfStyle w:val="000010000000" w:firstRow="0" w:lastRow="0" w:firstColumn="0" w:lastColumn="0" w:oddVBand="1" w:evenVBand="0" w:oddHBand="0" w:evenHBand="0" w:firstRowFirstColumn="0" w:firstRowLastColumn="0" w:lastRowFirstColumn="0" w:lastRowLastColumn="0"/>
            <w:tcW w:w="1379" w:type="pct"/>
          </w:tcPr>
          <w:p w14:paraId="7AA81813" w14:textId="77777777" w:rsidR="007B0FBA" w:rsidRPr="00CF3E3D" w:rsidRDefault="007B0FBA" w:rsidP="007007AC">
            <w:pPr>
              <w:spacing w:before="85" w:line="288" w:lineRule="auto"/>
              <w:jc w:val="center"/>
              <w:rPr>
                <w:sz w:val="18"/>
                <w:szCs w:val="18"/>
              </w:rPr>
            </w:pPr>
            <w:r w:rsidRPr="00CF3E3D">
              <w:rPr>
                <w:sz w:val="18"/>
                <w:szCs w:val="18"/>
              </w:rPr>
              <w:t>21.8</w:t>
            </w:r>
          </w:p>
        </w:tc>
      </w:tr>
      <w:tr w:rsidR="007B0FBA" w:rsidRPr="00CF3E3D" w14:paraId="5D45CBD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1B22DA51" w14:textId="77777777" w:rsidR="007B0FBA" w:rsidRPr="00C77781" w:rsidRDefault="007B0FBA" w:rsidP="007007AC">
            <w:pPr>
              <w:spacing w:before="85" w:line="288" w:lineRule="auto"/>
              <w:rPr>
                <w:b/>
                <w:bCs/>
                <w:sz w:val="18"/>
                <w:szCs w:val="18"/>
              </w:rPr>
            </w:pPr>
            <w:r w:rsidRPr="00C77781">
              <w:rPr>
                <w:b/>
                <w:bCs/>
                <w:sz w:val="18"/>
                <w:szCs w:val="18"/>
              </w:rPr>
              <w:t>I'm satisfied with my current job</w:t>
            </w:r>
          </w:p>
        </w:tc>
        <w:tc>
          <w:tcPr>
            <w:cnfStyle w:val="000001000000" w:firstRow="0" w:lastRow="0" w:firstColumn="0" w:lastColumn="0" w:oddVBand="0" w:evenVBand="1" w:oddHBand="0" w:evenHBand="0" w:firstRowFirstColumn="0" w:firstRowLastColumn="0" w:lastRowFirstColumn="0" w:lastRowLastColumn="0"/>
            <w:tcW w:w="1379" w:type="pct"/>
          </w:tcPr>
          <w:p w14:paraId="231E1E68" w14:textId="77777777" w:rsidR="007B0FBA" w:rsidRPr="00CF3E3D" w:rsidRDefault="007B0FBA" w:rsidP="007007AC">
            <w:pPr>
              <w:spacing w:before="85" w:line="288" w:lineRule="auto"/>
              <w:jc w:val="center"/>
              <w:rPr>
                <w:sz w:val="18"/>
                <w:szCs w:val="18"/>
              </w:rPr>
            </w:pPr>
            <w:r w:rsidRPr="00CF3E3D">
              <w:rPr>
                <w:sz w:val="18"/>
                <w:szCs w:val="18"/>
              </w:rPr>
              <w:t>13.9</w:t>
            </w:r>
          </w:p>
        </w:tc>
        <w:tc>
          <w:tcPr>
            <w:cnfStyle w:val="000010000000" w:firstRow="0" w:lastRow="0" w:firstColumn="0" w:lastColumn="0" w:oddVBand="1" w:evenVBand="0" w:oddHBand="0" w:evenHBand="0" w:firstRowFirstColumn="0" w:firstRowLastColumn="0" w:lastRowFirstColumn="0" w:lastRowLastColumn="0"/>
            <w:tcW w:w="1379" w:type="pct"/>
          </w:tcPr>
          <w:p w14:paraId="55815279" w14:textId="77777777" w:rsidR="007B0FBA" w:rsidRPr="00CF3E3D" w:rsidRDefault="007B0FBA" w:rsidP="007007AC">
            <w:pPr>
              <w:spacing w:before="85" w:line="288" w:lineRule="auto"/>
              <w:jc w:val="center"/>
              <w:rPr>
                <w:sz w:val="18"/>
                <w:szCs w:val="18"/>
              </w:rPr>
            </w:pPr>
            <w:r w:rsidRPr="00CF3E3D">
              <w:rPr>
                <w:sz w:val="18"/>
                <w:szCs w:val="18"/>
              </w:rPr>
              <w:t>10.2</w:t>
            </w:r>
          </w:p>
        </w:tc>
      </w:tr>
      <w:tr w:rsidR="007B0FBA" w:rsidRPr="00CF3E3D" w14:paraId="3144032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59AACA4E" w14:textId="77777777" w:rsidR="007B0FBA" w:rsidRPr="00C77781" w:rsidRDefault="007B0FBA" w:rsidP="007007AC">
            <w:pPr>
              <w:spacing w:before="85" w:line="288" w:lineRule="auto"/>
              <w:rPr>
                <w:b/>
                <w:bCs/>
                <w:sz w:val="18"/>
                <w:szCs w:val="18"/>
              </w:rPr>
            </w:pPr>
            <w:r w:rsidRPr="00C77781">
              <w:rPr>
                <w:b/>
                <w:bCs/>
                <w:sz w:val="18"/>
                <w:szCs w:val="18"/>
              </w:rPr>
              <w:t>For financial reasons</w:t>
            </w:r>
          </w:p>
        </w:tc>
        <w:tc>
          <w:tcPr>
            <w:cnfStyle w:val="000001000000" w:firstRow="0" w:lastRow="0" w:firstColumn="0" w:lastColumn="0" w:oddVBand="0" w:evenVBand="1" w:oddHBand="0" w:evenHBand="0" w:firstRowFirstColumn="0" w:firstRowLastColumn="0" w:lastRowFirstColumn="0" w:lastRowLastColumn="0"/>
            <w:tcW w:w="1379" w:type="pct"/>
          </w:tcPr>
          <w:p w14:paraId="081FF731" w14:textId="77777777" w:rsidR="007B0FBA" w:rsidRPr="00CF3E3D" w:rsidRDefault="007B0FBA" w:rsidP="007007AC">
            <w:pPr>
              <w:spacing w:before="85" w:line="288" w:lineRule="auto"/>
              <w:jc w:val="center"/>
              <w:rPr>
                <w:sz w:val="18"/>
                <w:szCs w:val="18"/>
              </w:rPr>
            </w:pPr>
            <w:r w:rsidRPr="00CF3E3D">
              <w:rPr>
                <w:sz w:val="18"/>
                <w:szCs w:val="18"/>
              </w:rPr>
              <w:t>6.2</w:t>
            </w:r>
          </w:p>
        </w:tc>
        <w:tc>
          <w:tcPr>
            <w:cnfStyle w:val="000010000000" w:firstRow="0" w:lastRow="0" w:firstColumn="0" w:lastColumn="0" w:oddVBand="1" w:evenVBand="0" w:oddHBand="0" w:evenHBand="0" w:firstRowFirstColumn="0" w:firstRowLastColumn="0" w:lastRowFirstColumn="0" w:lastRowLastColumn="0"/>
            <w:tcW w:w="1379" w:type="pct"/>
          </w:tcPr>
          <w:p w14:paraId="4D5AD902" w14:textId="77777777" w:rsidR="007B0FBA" w:rsidRPr="00CF3E3D" w:rsidRDefault="007B0FBA" w:rsidP="007007AC">
            <w:pPr>
              <w:spacing w:before="85" w:line="288" w:lineRule="auto"/>
              <w:jc w:val="center"/>
              <w:rPr>
                <w:sz w:val="18"/>
                <w:szCs w:val="18"/>
              </w:rPr>
            </w:pPr>
            <w:r w:rsidRPr="00CF3E3D">
              <w:rPr>
                <w:sz w:val="18"/>
                <w:szCs w:val="18"/>
              </w:rPr>
              <w:t>4.6</w:t>
            </w:r>
          </w:p>
        </w:tc>
      </w:tr>
      <w:tr w:rsidR="007B0FBA" w:rsidRPr="00CF3E3D" w14:paraId="2320FF59"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19390E4A" w14:textId="77777777" w:rsidR="007B0FBA" w:rsidRPr="00C77781" w:rsidRDefault="007B0FBA" w:rsidP="007007AC">
            <w:pPr>
              <w:spacing w:before="85" w:line="288" w:lineRule="auto"/>
              <w:rPr>
                <w:b/>
                <w:bCs/>
                <w:sz w:val="18"/>
                <w:szCs w:val="18"/>
              </w:rPr>
            </w:pPr>
            <w:r w:rsidRPr="00C77781">
              <w:rPr>
                <w:b/>
                <w:bCs/>
                <w:sz w:val="18"/>
                <w:szCs w:val="18"/>
              </w:rPr>
              <w:t>Caring for children or family member</w:t>
            </w:r>
          </w:p>
        </w:tc>
        <w:tc>
          <w:tcPr>
            <w:cnfStyle w:val="000001000000" w:firstRow="0" w:lastRow="0" w:firstColumn="0" w:lastColumn="0" w:oddVBand="0" w:evenVBand="1" w:oddHBand="0" w:evenHBand="0" w:firstRowFirstColumn="0" w:firstRowLastColumn="0" w:lastRowFirstColumn="0" w:lastRowLastColumn="0"/>
            <w:tcW w:w="1379" w:type="pct"/>
          </w:tcPr>
          <w:p w14:paraId="3CE5E5AE" w14:textId="77777777" w:rsidR="007B0FBA" w:rsidRPr="00CF3E3D" w:rsidRDefault="007B0FBA" w:rsidP="007007AC">
            <w:pPr>
              <w:spacing w:before="85" w:line="288" w:lineRule="auto"/>
              <w:jc w:val="center"/>
              <w:rPr>
                <w:sz w:val="18"/>
                <w:szCs w:val="18"/>
              </w:rPr>
            </w:pPr>
            <w:r w:rsidRPr="00CF3E3D">
              <w:rPr>
                <w:sz w:val="18"/>
                <w:szCs w:val="18"/>
              </w:rPr>
              <w:t>1.3</w:t>
            </w:r>
          </w:p>
        </w:tc>
        <w:tc>
          <w:tcPr>
            <w:cnfStyle w:val="000010000000" w:firstRow="0" w:lastRow="0" w:firstColumn="0" w:lastColumn="0" w:oddVBand="1" w:evenVBand="0" w:oddHBand="0" w:evenHBand="0" w:firstRowFirstColumn="0" w:firstRowLastColumn="0" w:lastRowFirstColumn="0" w:lastRowLastColumn="0"/>
            <w:tcW w:w="1379" w:type="pct"/>
          </w:tcPr>
          <w:p w14:paraId="5AA911E9" w14:textId="77777777" w:rsidR="007B0FBA" w:rsidRPr="00CF3E3D" w:rsidRDefault="007B0FBA" w:rsidP="007007AC">
            <w:pPr>
              <w:spacing w:before="85" w:line="288" w:lineRule="auto"/>
              <w:jc w:val="center"/>
              <w:rPr>
                <w:sz w:val="18"/>
                <w:szCs w:val="18"/>
              </w:rPr>
            </w:pPr>
            <w:r w:rsidRPr="00CF3E3D">
              <w:rPr>
                <w:sz w:val="18"/>
                <w:szCs w:val="18"/>
              </w:rPr>
              <w:t>1.7</w:t>
            </w:r>
          </w:p>
        </w:tc>
      </w:tr>
      <w:tr w:rsidR="007B0FBA" w:rsidRPr="00CF3E3D" w14:paraId="671DFC3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43F0BBCB" w14:textId="77777777" w:rsidR="007B0FBA" w:rsidRPr="00C77781" w:rsidRDefault="007B0FBA" w:rsidP="007007AC">
            <w:pPr>
              <w:spacing w:before="85" w:line="288" w:lineRule="auto"/>
              <w:rPr>
                <w:b/>
                <w:bCs/>
                <w:sz w:val="18"/>
                <w:szCs w:val="18"/>
              </w:rPr>
            </w:pPr>
            <w:r w:rsidRPr="00C77781">
              <w:rPr>
                <w:b/>
                <w:bCs/>
                <w:sz w:val="18"/>
                <w:szCs w:val="18"/>
              </w:rPr>
              <w:t>Long-term health condition or disability</w:t>
            </w:r>
          </w:p>
        </w:tc>
        <w:tc>
          <w:tcPr>
            <w:cnfStyle w:val="000001000000" w:firstRow="0" w:lastRow="0" w:firstColumn="0" w:lastColumn="0" w:oddVBand="0" w:evenVBand="1" w:oddHBand="0" w:evenHBand="0" w:firstRowFirstColumn="0" w:firstRowLastColumn="0" w:lastRowFirstColumn="0" w:lastRowLastColumn="0"/>
            <w:tcW w:w="1379" w:type="pct"/>
          </w:tcPr>
          <w:p w14:paraId="05613903" w14:textId="77777777" w:rsidR="007B0FBA" w:rsidRPr="00CF3E3D" w:rsidRDefault="007B0FBA" w:rsidP="007007AC">
            <w:pPr>
              <w:spacing w:before="85" w:line="288" w:lineRule="auto"/>
              <w:jc w:val="center"/>
              <w:rPr>
                <w:sz w:val="18"/>
                <w:szCs w:val="18"/>
              </w:rPr>
            </w:pPr>
            <w:r w:rsidRPr="00CF3E3D">
              <w:rPr>
                <w:sz w:val="18"/>
                <w:szCs w:val="18"/>
              </w:rPr>
              <w:t>0.0</w:t>
            </w:r>
          </w:p>
        </w:tc>
        <w:tc>
          <w:tcPr>
            <w:cnfStyle w:val="000010000000" w:firstRow="0" w:lastRow="0" w:firstColumn="0" w:lastColumn="0" w:oddVBand="1" w:evenVBand="0" w:oddHBand="0" w:evenHBand="0" w:firstRowFirstColumn="0" w:firstRowLastColumn="0" w:lastRowFirstColumn="0" w:lastRowLastColumn="0"/>
            <w:tcW w:w="1379" w:type="pct"/>
          </w:tcPr>
          <w:p w14:paraId="7DD4C888" w14:textId="77777777" w:rsidR="007B0FBA" w:rsidRPr="00CF3E3D" w:rsidRDefault="007B0FBA" w:rsidP="007007AC">
            <w:pPr>
              <w:spacing w:before="85" w:line="288" w:lineRule="auto"/>
              <w:jc w:val="center"/>
              <w:rPr>
                <w:sz w:val="18"/>
                <w:szCs w:val="18"/>
              </w:rPr>
            </w:pPr>
            <w:r w:rsidRPr="00CF3E3D">
              <w:rPr>
                <w:sz w:val="18"/>
                <w:szCs w:val="18"/>
              </w:rPr>
              <w:t>0.1</w:t>
            </w:r>
          </w:p>
        </w:tc>
      </w:tr>
      <w:tr w:rsidR="007B0FBA" w:rsidRPr="00CF3E3D" w14:paraId="64C1540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0460EE7F" w14:textId="77777777" w:rsidR="007B0FBA" w:rsidRPr="00C77781" w:rsidRDefault="007B0FBA" w:rsidP="007007AC">
            <w:pPr>
              <w:spacing w:before="85" w:line="288" w:lineRule="auto"/>
              <w:rPr>
                <w:b/>
                <w:bCs/>
                <w:sz w:val="18"/>
                <w:szCs w:val="18"/>
              </w:rPr>
            </w:pPr>
            <w:r w:rsidRPr="00C77781">
              <w:rPr>
                <w:b/>
                <w:bCs/>
                <w:sz w:val="18"/>
                <w:szCs w:val="18"/>
              </w:rPr>
              <w:t>Subtotal – Personal factors</w:t>
            </w:r>
          </w:p>
        </w:tc>
        <w:tc>
          <w:tcPr>
            <w:cnfStyle w:val="000001000000" w:firstRow="0" w:lastRow="0" w:firstColumn="0" w:lastColumn="0" w:oddVBand="0" w:evenVBand="1" w:oddHBand="0" w:evenHBand="0" w:firstRowFirstColumn="0" w:firstRowLastColumn="0" w:lastRowFirstColumn="0" w:lastRowLastColumn="0"/>
            <w:tcW w:w="1379" w:type="pct"/>
          </w:tcPr>
          <w:p w14:paraId="15AA39EF" w14:textId="77777777" w:rsidR="007B0FBA" w:rsidRPr="002D786A" w:rsidRDefault="007B0FBA" w:rsidP="007007AC">
            <w:pPr>
              <w:spacing w:before="85" w:line="288" w:lineRule="auto"/>
              <w:jc w:val="center"/>
              <w:rPr>
                <w:b/>
                <w:bCs/>
                <w:sz w:val="18"/>
                <w:szCs w:val="18"/>
              </w:rPr>
            </w:pPr>
            <w:r w:rsidRPr="002D786A">
              <w:rPr>
                <w:b/>
                <w:bCs/>
                <w:sz w:val="18"/>
                <w:szCs w:val="18"/>
              </w:rPr>
              <w:t>27.6</w:t>
            </w:r>
          </w:p>
        </w:tc>
        <w:tc>
          <w:tcPr>
            <w:cnfStyle w:val="000010000000" w:firstRow="0" w:lastRow="0" w:firstColumn="0" w:lastColumn="0" w:oddVBand="1" w:evenVBand="0" w:oddHBand="0" w:evenHBand="0" w:firstRowFirstColumn="0" w:firstRowLastColumn="0" w:lastRowFirstColumn="0" w:lastRowLastColumn="0"/>
            <w:tcW w:w="1379" w:type="pct"/>
          </w:tcPr>
          <w:p w14:paraId="3E7D375A" w14:textId="77777777" w:rsidR="007B0FBA" w:rsidRPr="002D786A" w:rsidRDefault="007B0FBA" w:rsidP="007007AC">
            <w:pPr>
              <w:spacing w:before="85" w:line="288" w:lineRule="auto"/>
              <w:jc w:val="center"/>
              <w:rPr>
                <w:b/>
                <w:bCs/>
                <w:sz w:val="18"/>
                <w:szCs w:val="18"/>
              </w:rPr>
            </w:pPr>
            <w:r w:rsidRPr="002D786A">
              <w:rPr>
                <w:b/>
                <w:bCs/>
                <w:sz w:val="18"/>
                <w:szCs w:val="18"/>
              </w:rPr>
              <w:t>38.4</w:t>
            </w:r>
          </w:p>
        </w:tc>
      </w:tr>
      <w:tr w:rsidR="007B0FBA" w:rsidRPr="00CF3E3D" w14:paraId="5251C1B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67C0A22C" w14:textId="77777777" w:rsidR="007B0FBA" w:rsidRPr="00C77781" w:rsidRDefault="007B0FBA" w:rsidP="007007AC">
            <w:pPr>
              <w:spacing w:before="85" w:line="288" w:lineRule="auto"/>
              <w:rPr>
                <w:b/>
                <w:bCs/>
                <w:sz w:val="18"/>
                <w:szCs w:val="18"/>
              </w:rPr>
            </w:pPr>
            <w:r w:rsidRPr="00C77781">
              <w:rPr>
                <w:b/>
                <w:bCs/>
                <w:sz w:val="18"/>
                <w:szCs w:val="18"/>
              </w:rPr>
              <w:t>No suitable jobs in my area of expertise</w:t>
            </w:r>
          </w:p>
        </w:tc>
        <w:tc>
          <w:tcPr>
            <w:cnfStyle w:val="000001000000" w:firstRow="0" w:lastRow="0" w:firstColumn="0" w:lastColumn="0" w:oddVBand="0" w:evenVBand="1" w:oddHBand="0" w:evenHBand="0" w:firstRowFirstColumn="0" w:firstRowLastColumn="0" w:lastRowFirstColumn="0" w:lastRowLastColumn="0"/>
            <w:tcW w:w="1379" w:type="pct"/>
          </w:tcPr>
          <w:p w14:paraId="641A5CD5" w14:textId="77777777" w:rsidR="007B0FBA" w:rsidRPr="00CF3E3D" w:rsidRDefault="007B0FBA" w:rsidP="007007AC">
            <w:pPr>
              <w:spacing w:before="85" w:line="288" w:lineRule="auto"/>
              <w:jc w:val="center"/>
              <w:rPr>
                <w:sz w:val="18"/>
                <w:szCs w:val="18"/>
              </w:rPr>
            </w:pPr>
            <w:r w:rsidRPr="00CF3E3D">
              <w:rPr>
                <w:sz w:val="18"/>
                <w:szCs w:val="18"/>
              </w:rPr>
              <w:t>8.1</w:t>
            </w:r>
          </w:p>
        </w:tc>
        <w:tc>
          <w:tcPr>
            <w:cnfStyle w:val="000010000000" w:firstRow="0" w:lastRow="0" w:firstColumn="0" w:lastColumn="0" w:oddVBand="1" w:evenVBand="0" w:oddHBand="0" w:evenHBand="0" w:firstRowFirstColumn="0" w:firstRowLastColumn="0" w:lastRowFirstColumn="0" w:lastRowLastColumn="0"/>
            <w:tcW w:w="1379" w:type="pct"/>
          </w:tcPr>
          <w:p w14:paraId="626831F7" w14:textId="77777777" w:rsidR="007B0FBA" w:rsidRPr="00CF3E3D" w:rsidRDefault="007B0FBA" w:rsidP="007007AC">
            <w:pPr>
              <w:spacing w:before="85" w:line="288" w:lineRule="auto"/>
              <w:jc w:val="center"/>
              <w:rPr>
                <w:sz w:val="18"/>
                <w:szCs w:val="18"/>
              </w:rPr>
            </w:pPr>
            <w:r w:rsidRPr="00CF3E3D">
              <w:rPr>
                <w:sz w:val="18"/>
                <w:szCs w:val="18"/>
              </w:rPr>
              <w:t>8.7</w:t>
            </w:r>
          </w:p>
        </w:tc>
      </w:tr>
      <w:tr w:rsidR="007B0FBA" w:rsidRPr="00CF3E3D" w14:paraId="7C0542F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2581ACC0" w14:textId="77777777" w:rsidR="007B0FBA" w:rsidRPr="00C77781" w:rsidRDefault="007B0FBA" w:rsidP="007007AC">
            <w:pPr>
              <w:spacing w:before="85" w:line="288" w:lineRule="auto"/>
              <w:rPr>
                <w:b/>
                <w:bCs/>
                <w:sz w:val="18"/>
                <w:szCs w:val="18"/>
              </w:rPr>
            </w:pPr>
            <w:r w:rsidRPr="00C77781">
              <w:rPr>
                <w:b/>
                <w:bCs/>
                <w:sz w:val="18"/>
                <w:szCs w:val="18"/>
              </w:rPr>
              <w:t>No suitable jobs in my local area</w:t>
            </w:r>
          </w:p>
        </w:tc>
        <w:tc>
          <w:tcPr>
            <w:cnfStyle w:val="000001000000" w:firstRow="0" w:lastRow="0" w:firstColumn="0" w:lastColumn="0" w:oddVBand="0" w:evenVBand="1" w:oddHBand="0" w:evenHBand="0" w:firstRowFirstColumn="0" w:firstRowLastColumn="0" w:lastRowFirstColumn="0" w:lastRowLastColumn="0"/>
            <w:tcW w:w="1379" w:type="pct"/>
          </w:tcPr>
          <w:p w14:paraId="7ACD13B8" w14:textId="77777777" w:rsidR="007B0FBA" w:rsidRPr="00CF3E3D" w:rsidRDefault="007B0FBA" w:rsidP="007007AC">
            <w:pPr>
              <w:spacing w:before="85" w:line="288" w:lineRule="auto"/>
              <w:jc w:val="center"/>
              <w:rPr>
                <w:sz w:val="18"/>
                <w:szCs w:val="18"/>
              </w:rPr>
            </w:pPr>
            <w:r w:rsidRPr="00CF3E3D">
              <w:rPr>
                <w:sz w:val="18"/>
                <w:szCs w:val="18"/>
              </w:rPr>
              <w:t>6.4</w:t>
            </w:r>
          </w:p>
        </w:tc>
        <w:tc>
          <w:tcPr>
            <w:cnfStyle w:val="000010000000" w:firstRow="0" w:lastRow="0" w:firstColumn="0" w:lastColumn="0" w:oddVBand="1" w:evenVBand="0" w:oddHBand="0" w:evenHBand="0" w:firstRowFirstColumn="0" w:firstRowLastColumn="0" w:lastRowFirstColumn="0" w:lastRowLastColumn="0"/>
            <w:tcW w:w="1379" w:type="pct"/>
          </w:tcPr>
          <w:p w14:paraId="287A6F1C" w14:textId="77777777" w:rsidR="007B0FBA" w:rsidRPr="00CF3E3D" w:rsidRDefault="007B0FBA" w:rsidP="007007AC">
            <w:pPr>
              <w:spacing w:before="85" w:line="288" w:lineRule="auto"/>
              <w:jc w:val="center"/>
              <w:rPr>
                <w:sz w:val="18"/>
                <w:szCs w:val="18"/>
              </w:rPr>
            </w:pPr>
            <w:r w:rsidRPr="00CF3E3D">
              <w:rPr>
                <w:sz w:val="18"/>
                <w:szCs w:val="18"/>
              </w:rPr>
              <w:t>6.5</w:t>
            </w:r>
          </w:p>
        </w:tc>
      </w:tr>
      <w:tr w:rsidR="007B0FBA" w:rsidRPr="00CF3E3D" w14:paraId="04D9510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70E7B820" w14:textId="77777777" w:rsidR="007B0FBA" w:rsidRPr="00C77781" w:rsidRDefault="007B0FBA" w:rsidP="007007AC">
            <w:pPr>
              <w:spacing w:before="85" w:line="288" w:lineRule="auto"/>
              <w:rPr>
                <w:b/>
                <w:bCs/>
                <w:sz w:val="18"/>
                <w:szCs w:val="18"/>
              </w:rPr>
            </w:pPr>
            <w:r w:rsidRPr="00C77781">
              <w:rPr>
                <w:b/>
                <w:bCs/>
                <w:sz w:val="18"/>
                <w:szCs w:val="18"/>
              </w:rPr>
              <w:t>Considered to be too young by employers</w:t>
            </w:r>
          </w:p>
        </w:tc>
        <w:tc>
          <w:tcPr>
            <w:cnfStyle w:val="000001000000" w:firstRow="0" w:lastRow="0" w:firstColumn="0" w:lastColumn="0" w:oddVBand="0" w:evenVBand="1" w:oddHBand="0" w:evenHBand="0" w:firstRowFirstColumn="0" w:firstRowLastColumn="0" w:lastRowFirstColumn="0" w:lastRowLastColumn="0"/>
            <w:tcW w:w="1379" w:type="pct"/>
          </w:tcPr>
          <w:p w14:paraId="048FAA20" w14:textId="77777777" w:rsidR="007B0FBA" w:rsidRPr="00CF3E3D" w:rsidRDefault="007B0FBA" w:rsidP="007007AC">
            <w:pPr>
              <w:spacing w:before="85" w:line="288" w:lineRule="auto"/>
              <w:jc w:val="center"/>
              <w:rPr>
                <w:sz w:val="18"/>
                <w:szCs w:val="18"/>
              </w:rPr>
            </w:pPr>
            <w:r w:rsidRPr="00CF3E3D">
              <w:rPr>
                <w:sz w:val="18"/>
                <w:szCs w:val="18"/>
              </w:rPr>
              <w:t>1.8</w:t>
            </w:r>
          </w:p>
        </w:tc>
        <w:tc>
          <w:tcPr>
            <w:cnfStyle w:val="000010000000" w:firstRow="0" w:lastRow="0" w:firstColumn="0" w:lastColumn="0" w:oddVBand="1" w:evenVBand="0" w:oddHBand="0" w:evenHBand="0" w:firstRowFirstColumn="0" w:firstRowLastColumn="0" w:lastRowFirstColumn="0" w:lastRowLastColumn="0"/>
            <w:tcW w:w="1379" w:type="pct"/>
          </w:tcPr>
          <w:p w14:paraId="167E42E7" w14:textId="77777777" w:rsidR="007B0FBA" w:rsidRPr="00CF3E3D" w:rsidRDefault="007B0FBA" w:rsidP="007007AC">
            <w:pPr>
              <w:spacing w:before="85" w:line="288" w:lineRule="auto"/>
              <w:jc w:val="center"/>
              <w:rPr>
                <w:sz w:val="18"/>
                <w:szCs w:val="18"/>
              </w:rPr>
            </w:pPr>
            <w:r w:rsidRPr="00CF3E3D">
              <w:rPr>
                <w:sz w:val="18"/>
                <w:szCs w:val="18"/>
              </w:rPr>
              <w:t>1.2</w:t>
            </w:r>
          </w:p>
        </w:tc>
      </w:tr>
      <w:tr w:rsidR="007B0FBA" w:rsidRPr="00CF3E3D" w14:paraId="0B4F97D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2005C9AB" w14:textId="77777777" w:rsidR="007B0FBA" w:rsidRPr="00C77781" w:rsidRDefault="007B0FBA" w:rsidP="007007AC">
            <w:pPr>
              <w:spacing w:before="85" w:line="288" w:lineRule="auto"/>
              <w:rPr>
                <w:b/>
                <w:bCs/>
                <w:sz w:val="18"/>
                <w:szCs w:val="18"/>
              </w:rPr>
            </w:pPr>
            <w:r w:rsidRPr="00C77781">
              <w:rPr>
                <w:b/>
                <w:bCs/>
                <w:sz w:val="18"/>
                <w:szCs w:val="18"/>
              </w:rPr>
              <w:t>Considered to be too old by employers</w:t>
            </w:r>
          </w:p>
        </w:tc>
        <w:tc>
          <w:tcPr>
            <w:cnfStyle w:val="000001000000" w:firstRow="0" w:lastRow="0" w:firstColumn="0" w:lastColumn="0" w:oddVBand="0" w:evenVBand="1" w:oddHBand="0" w:evenHBand="0" w:firstRowFirstColumn="0" w:firstRowLastColumn="0" w:lastRowFirstColumn="0" w:lastRowLastColumn="0"/>
            <w:tcW w:w="1379" w:type="pct"/>
          </w:tcPr>
          <w:p w14:paraId="191655FA" w14:textId="77777777" w:rsidR="007B0FBA" w:rsidRPr="00CF3E3D" w:rsidRDefault="007B0FBA" w:rsidP="007007AC">
            <w:pPr>
              <w:spacing w:before="85" w:line="288" w:lineRule="auto"/>
              <w:jc w:val="center"/>
              <w:rPr>
                <w:sz w:val="18"/>
                <w:szCs w:val="18"/>
              </w:rPr>
            </w:pPr>
            <w:r w:rsidRPr="00CF3E3D">
              <w:rPr>
                <w:sz w:val="18"/>
                <w:szCs w:val="18"/>
              </w:rPr>
              <w:t>0.7</w:t>
            </w:r>
          </w:p>
        </w:tc>
        <w:tc>
          <w:tcPr>
            <w:cnfStyle w:val="000010000000" w:firstRow="0" w:lastRow="0" w:firstColumn="0" w:lastColumn="0" w:oddVBand="1" w:evenVBand="0" w:oddHBand="0" w:evenHBand="0" w:firstRowFirstColumn="0" w:firstRowLastColumn="0" w:lastRowFirstColumn="0" w:lastRowLastColumn="0"/>
            <w:tcW w:w="1379" w:type="pct"/>
          </w:tcPr>
          <w:p w14:paraId="08ED1BC9" w14:textId="77777777" w:rsidR="007B0FBA" w:rsidRPr="00CF3E3D" w:rsidRDefault="007B0FBA" w:rsidP="007007AC">
            <w:pPr>
              <w:spacing w:before="85" w:line="288" w:lineRule="auto"/>
              <w:jc w:val="center"/>
              <w:rPr>
                <w:sz w:val="18"/>
                <w:szCs w:val="18"/>
              </w:rPr>
            </w:pPr>
            <w:r w:rsidRPr="00CF3E3D">
              <w:rPr>
                <w:sz w:val="18"/>
                <w:szCs w:val="18"/>
              </w:rPr>
              <w:t>0.6</w:t>
            </w:r>
          </w:p>
        </w:tc>
      </w:tr>
      <w:tr w:rsidR="007B0FBA" w:rsidRPr="00CF3E3D" w14:paraId="66A4B9C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0780877F" w14:textId="77777777" w:rsidR="007B0FBA" w:rsidRPr="00C77781" w:rsidRDefault="007B0FBA" w:rsidP="007007AC">
            <w:pPr>
              <w:spacing w:before="85" w:line="288" w:lineRule="auto"/>
              <w:rPr>
                <w:b/>
                <w:bCs/>
                <w:sz w:val="18"/>
                <w:szCs w:val="18"/>
              </w:rPr>
            </w:pPr>
            <w:r w:rsidRPr="00C77781">
              <w:rPr>
                <w:b/>
                <w:bCs/>
                <w:sz w:val="18"/>
                <w:szCs w:val="18"/>
              </w:rPr>
              <w:t>Not enough work experience</w:t>
            </w:r>
          </w:p>
        </w:tc>
        <w:tc>
          <w:tcPr>
            <w:cnfStyle w:val="000001000000" w:firstRow="0" w:lastRow="0" w:firstColumn="0" w:lastColumn="0" w:oddVBand="0" w:evenVBand="1" w:oddHBand="0" w:evenHBand="0" w:firstRowFirstColumn="0" w:firstRowLastColumn="0" w:lastRowFirstColumn="0" w:lastRowLastColumn="0"/>
            <w:tcW w:w="1379" w:type="pct"/>
          </w:tcPr>
          <w:p w14:paraId="68DAC0B1" w14:textId="77777777" w:rsidR="007B0FBA" w:rsidRPr="00CF3E3D" w:rsidRDefault="007B0FBA" w:rsidP="007007AC">
            <w:pPr>
              <w:spacing w:before="85" w:line="288" w:lineRule="auto"/>
              <w:jc w:val="center"/>
              <w:rPr>
                <w:sz w:val="18"/>
                <w:szCs w:val="18"/>
              </w:rPr>
            </w:pPr>
            <w:r w:rsidRPr="00CF3E3D">
              <w:rPr>
                <w:sz w:val="18"/>
                <w:szCs w:val="18"/>
              </w:rPr>
              <w:t>11.0</w:t>
            </w:r>
          </w:p>
        </w:tc>
        <w:tc>
          <w:tcPr>
            <w:cnfStyle w:val="000010000000" w:firstRow="0" w:lastRow="0" w:firstColumn="0" w:lastColumn="0" w:oddVBand="1" w:evenVBand="0" w:oddHBand="0" w:evenHBand="0" w:firstRowFirstColumn="0" w:firstRowLastColumn="0" w:lastRowFirstColumn="0" w:lastRowLastColumn="0"/>
            <w:tcW w:w="1379" w:type="pct"/>
          </w:tcPr>
          <w:p w14:paraId="2B1F30ED" w14:textId="77777777" w:rsidR="007B0FBA" w:rsidRPr="00CF3E3D" w:rsidRDefault="007B0FBA" w:rsidP="007007AC">
            <w:pPr>
              <w:spacing w:before="85" w:line="288" w:lineRule="auto"/>
              <w:jc w:val="center"/>
              <w:rPr>
                <w:sz w:val="18"/>
                <w:szCs w:val="18"/>
              </w:rPr>
            </w:pPr>
            <w:r w:rsidRPr="00CF3E3D">
              <w:rPr>
                <w:sz w:val="18"/>
                <w:szCs w:val="18"/>
              </w:rPr>
              <w:t>10.5</w:t>
            </w:r>
          </w:p>
        </w:tc>
      </w:tr>
      <w:tr w:rsidR="007B0FBA" w:rsidRPr="00CF3E3D" w14:paraId="7AB9B15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587804A6" w14:textId="77777777" w:rsidR="007B0FBA" w:rsidRPr="00C77781" w:rsidRDefault="007B0FBA" w:rsidP="007007AC">
            <w:pPr>
              <w:spacing w:before="85" w:line="288" w:lineRule="auto"/>
              <w:rPr>
                <w:b/>
                <w:bCs/>
                <w:sz w:val="18"/>
                <w:szCs w:val="18"/>
              </w:rPr>
            </w:pPr>
            <w:r w:rsidRPr="00C77781">
              <w:rPr>
                <w:b/>
                <w:bCs/>
                <w:sz w:val="18"/>
                <w:szCs w:val="18"/>
              </w:rPr>
              <w:t>No jobs with a suitable number of hours</w:t>
            </w:r>
          </w:p>
        </w:tc>
        <w:tc>
          <w:tcPr>
            <w:cnfStyle w:val="000001000000" w:firstRow="0" w:lastRow="0" w:firstColumn="0" w:lastColumn="0" w:oddVBand="0" w:evenVBand="1" w:oddHBand="0" w:evenHBand="0" w:firstRowFirstColumn="0" w:firstRowLastColumn="0" w:lastRowFirstColumn="0" w:lastRowLastColumn="0"/>
            <w:tcW w:w="1379" w:type="pct"/>
          </w:tcPr>
          <w:p w14:paraId="0F5729BA" w14:textId="77777777" w:rsidR="007B0FBA" w:rsidRPr="00CF3E3D" w:rsidRDefault="007B0FBA" w:rsidP="007007AC">
            <w:pPr>
              <w:spacing w:before="85" w:line="288" w:lineRule="auto"/>
              <w:jc w:val="center"/>
              <w:rPr>
                <w:sz w:val="18"/>
                <w:szCs w:val="18"/>
              </w:rPr>
            </w:pPr>
            <w:r w:rsidRPr="00CF3E3D">
              <w:rPr>
                <w:sz w:val="18"/>
                <w:szCs w:val="18"/>
              </w:rPr>
              <w:t>0.9</w:t>
            </w:r>
          </w:p>
        </w:tc>
        <w:tc>
          <w:tcPr>
            <w:cnfStyle w:val="000010000000" w:firstRow="0" w:lastRow="0" w:firstColumn="0" w:lastColumn="0" w:oddVBand="1" w:evenVBand="0" w:oddHBand="0" w:evenHBand="0" w:firstRowFirstColumn="0" w:firstRowLastColumn="0" w:lastRowFirstColumn="0" w:lastRowLastColumn="0"/>
            <w:tcW w:w="1379" w:type="pct"/>
          </w:tcPr>
          <w:p w14:paraId="1DE87ABF" w14:textId="77777777" w:rsidR="007B0FBA" w:rsidRPr="00CF3E3D" w:rsidRDefault="007B0FBA" w:rsidP="007007AC">
            <w:pPr>
              <w:spacing w:before="85" w:line="288" w:lineRule="auto"/>
              <w:jc w:val="center"/>
              <w:rPr>
                <w:sz w:val="18"/>
                <w:szCs w:val="18"/>
              </w:rPr>
            </w:pPr>
            <w:r w:rsidRPr="00CF3E3D">
              <w:rPr>
                <w:sz w:val="18"/>
                <w:szCs w:val="18"/>
              </w:rPr>
              <w:t>1.1</w:t>
            </w:r>
          </w:p>
        </w:tc>
      </w:tr>
      <w:tr w:rsidR="007B0FBA" w:rsidRPr="00CF3E3D" w14:paraId="068BBAA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40D68E5C" w14:textId="77777777" w:rsidR="007B0FBA" w:rsidRPr="00C77781" w:rsidRDefault="007B0FBA" w:rsidP="007007AC">
            <w:pPr>
              <w:spacing w:before="85" w:line="288" w:lineRule="auto"/>
              <w:rPr>
                <w:b/>
                <w:bCs/>
                <w:sz w:val="18"/>
                <w:szCs w:val="18"/>
              </w:rPr>
            </w:pPr>
            <w:r w:rsidRPr="00C77781">
              <w:rPr>
                <w:b/>
                <w:bCs/>
                <w:sz w:val="18"/>
                <w:szCs w:val="18"/>
              </w:rPr>
              <w:t>Cannot find a job NFI</w:t>
            </w:r>
          </w:p>
        </w:tc>
        <w:tc>
          <w:tcPr>
            <w:cnfStyle w:val="000001000000" w:firstRow="0" w:lastRow="0" w:firstColumn="0" w:lastColumn="0" w:oddVBand="0" w:evenVBand="1" w:oddHBand="0" w:evenHBand="0" w:firstRowFirstColumn="0" w:firstRowLastColumn="0" w:lastRowFirstColumn="0" w:lastRowLastColumn="0"/>
            <w:tcW w:w="1379" w:type="pct"/>
          </w:tcPr>
          <w:p w14:paraId="02203B37" w14:textId="77777777" w:rsidR="007B0FBA" w:rsidRPr="00CF3E3D" w:rsidRDefault="007B0FBA" w:rsidP="007007AC">
            <w:pPr>
              <w:spacing w:before="85" w:line="288" w:lineRule="auto"/>
              <w:jc w:val="center"/>
              <w:rPr>
                <w:sz w:val="18"/>
                <w:szCs w:val="18"/>
              </w:rPr>
            </w:pPr>
            <w:r w:rsidRPr="00CF3E3D">
              <w:rPr>
                <w:sz w:val="18"/>
                <w:szCs w:val="18"/>
              </w:rPr>
              <w:t>0.5</w:t>
            </w:r>
          </w:p>
        </w:tc>
        <w:tc>
          <w:tcPr>
            <w:cnfStyle w:val="000010000000" w:firstRow="0" w:lastRow="0" w:firstColumn="0" w:lastColumn="0" w:oddVBand="1" w:evenVBand="0" w:oddHBand="0" w:evenHBand="0" w:firstRowFirstColumn="0" w:firstRowLastColumn="0" w:lastRowFirstColumn="0" w:lastRowLastColumn="0"/>
            <w:tcW w:w="1379" w:type="pct"/>
          </w:tcPr>
          <w:p w14:paraId="298C4DA7" w14:textId="77777777" w:rsidR="007B0FBA" w:rsidRPr="00CF3E3D" w:rsidRDefault="007B0FBA" w:rsidP="007007AC">
            <w:pPr>
              <w:spacing w:before="85" w:line="288" w:lineRule="auto"/>
              <w:jc w:val="center"/>
              <w:rPr>
                <w:sz w:val="18"/>
                <w:szCs w:val="18"/>
              </w:rPr>
            </w:pPr>
            <w:r w:rsidRPr="00CF3E3D">
              <w:rPr>
                <w:sz w:val="18"/>
                <w:szCs w:val="18"/>
              </w:rPr>
              <w:t>0.7</w:t>
            </w:r>
          </w:p>
        </w:tc>
      </w:tr>
      <w:tr w:rsidR="007B0FBA" w:rsidRPr="00CF3E3D" w14:paraId="27EDC20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3983EE2F" w14:textId="77777777" w:rsidR="007B0FBA" w:rsidRPr="00C77781" w:rsidRDefault="007B0FBA" w:rsidP="007007AC">
            <w:pPr>
              <w:spacing w:before="85" w:line="288" w:lineRule="auto"/>
              <w:rPr>
                <w:b/>
                <w:bCs/>
                <w:sz w:val="18"/>
                <w:szCs w:val="18"/>
              </w:rPr>
            </w:pPr>
            <w:r w:rsidRPr="00C77781">
              <w:rPr>
                <w:b/>
                <w:bCs/>
                <w:sz w:val="18"/>
                <w:szCs w:val="18"/>
              </w:rPr>
              <w:t>I had to change jobs due to COVID-19</w:t>
            </w:r>
          </w:p>
        </w:tc>
        <w:tc>
          <w:tcPr>
            <w:cnfStyle w:val="000001000000" w:firstRow="0" w:lastRow="0" w:firstColumn="0" w:lastColumn="0" w:oddVBand="0" w:evenVBand="1" w:oddHBand="0" w:evenHBand="0" w:firstRowFirstColumn="0" w:firstRowLastColumn="0" w:lastRowFirstColumn="0" w:lastRowLastColumn="0"/>
            <w:tcW w:w="1379" w:type="pct"/>
          </w:tcPr>
          <w:p w14:paraId="15555B4A" w14:textId="77777777" w:rsidR="007B0FBA" w:rsidRPr="00CF3E3D" w:rsidRDefault="007B0FBA" w:rsidP="007007AC">
            <w:pPr>
              <w:spacing w:before="85" w:line="288" w:lineRule="auto"/>
              <w:jc w:val="center"/>
              <w:rPr>
                <w:sz w:val="18"/>
                <w:szCs w:val="18"/>
              </w:rPr>
            </w:pPr>
            <w:r w:rsidRPr="00CF3E3D">
              <w:rPr>
                <w:sz w:val="18"/>
                <w:szCs w:val="18"/>
              </w:rPr>
              <w:t>1.3</w:t>
            </w:r>
          </w:p>
        </w:tc>
        <w:tc>
          <w:tcPr>
            <w:cnfStyle w:val="000010000000" w:firstRow="0" w:lastRow="0" w:firstColumn="0" w:lastColumn="0" w:oddVBand="1" w:evenVBand="0" w:oddHBand="0" w:evenHBand="0" w:firstRowFirstColumn="0" w:firstRowLastColumn="0" w:lastRowFirstColumn="0" w:lastRowLastColumn="0"/>
            <w:tcW w:w="1379" w:type="pct"/>
          </w:tcPr>
          <w:p w14:paraId="069BF409" w14:textId="77777777" w:rsidR="007B0FBA" w:rsidRPr="00CF3E3D" w:rsidRDefault="007B0FBA" w:rsidP="007007AC">
            <w:pPr>
              <w:spacing w:before="85" w:line="288" w:lineRule="auto"/>
              <w:jc w:val="center"/>
              <w:rPr>
                <w:sz w:val="18"/>
                <w:szCs w:val="18"/>
              </w:rPr>
            </w:pPr>
            <w:r w:rsidRPr="00CF3E3D">
              <w:rPr>
                <w:sz w:val="18"/>
                <w:szCs w:val="18"/>
              </w:rPr>
              <w:t>1.0</w:t>
            </w:r>
          </w:p>
        </w:tc>
      </w:tr>
      <w:tr w:rsidR="007B0FBA" w:rsidRPr="00CF3E3D" w14:paraId="3600C9D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673A632F" w14:textId="77777777" w:rsidR="007B0FBA" w:rsidRPr="00C77781" w:rsidRDefault="007B0FBA" w:rsidP="007007AC">
            <w:pPr>
              <w:spacing w:before="85" w:line="288" w:lineRule="auto"/>
              <w:rPr>
                <w:b/>
                <w:bCs/>
                <w:sz w:val="18"/>
                <w:szCs w:val="18"/>
              </w:rPr>
            </w:pPr>
            <w:r w:rsidRPr="00C77781">
              <w:rPr>
                <w:b/>
                <w:bCs/>
                <w:sz w:val="18"/>
                <w:szCs w:val="18"/>
              </w:rPr>
              <w:t>Entry level job / career stepping stone</w:t>
            </w:r>
          </w:p>
        </w:tc>
        <w:tc>
          <w:tcPr>
            <w:cnfStyle w:val="000001000000" w:firstRow="0" w:lastRow="0" w:firstColumn="0" w:lastColumn="0" w:oddVBand="0" w:evenVBand="1" w:oddHBand="0" w:evenHBand="0" w:firstRowFirstColumn="0" w:firstRowLastColumn="0" w:lastRowFirstColumn="0" w:lastRowLastColumn="0"/>
            <w:tcW w:w="1379" w:type="pct"/>
          </w:tcPr>
          <w:p w14:paraId="45FBE295" w14:textId="77777777" w:rsidR="007B0FBA" w:rsidRPr="00CF3E3D" w:rsidRDefault="007B0FBA" w:rsidP="007007AC">
            <w:pPr>
              <w:spacing w:before="85" w:line="288" w:lineRule="auto"/>
              <w:jc w:val="center"/>
              <w:rPr>
                <w:sz w:val="18"/>
                <w:szCs w:val="18"/>
              </w:rPr>
            </w:pPr>
            <w:r w:rsidRPr="00CF3E3D">
              <w:rPr>
                <w:sz w:val="18"/>
                <w:szCs w:val="18"/>
              </w:rPr>
              <w:t>28.4</w:t>
            </w:r>
          </w:p>
        </w:tc>
        <w:tc>
          <w:tcPr>
            <w:cnfStyle w:val="000010000000" w:firstRow="0" w:lastRow="0" w:firstColumn="0" w:lastColumn="0" w:oddVBand="1" w:evenVBand="0" w:oddHBand="0" w:evenHBand="0" w:firstRowFirstColumn="0" w:firstRowLastColumn="0" w:lastRowFirstColumn="0" w:lastRowLastColumn="0"/>
            <w:tcW w:w="1379" w:type="pct"/>
          </w:tcPr>
          <w:p w14:paraId="6B30462B" w14:textId="77777777" w:rsidR="007B0FBA" w:rsidRPr="00CF3E3D" w:rsidRDefault="007B0FBA" w:rsidP="007007AC">
            <w:pPr>
              <w:spacing w:before="85" w:line="288" w:lineRule="auto"/>
              <w:jc w:val="center"/>
              <w:rPr>
                <w:sz w:val="18"/>
                <w:szCs w:val="18"/>
              </w:rPr>
            </w:pPr>
            <w:r w:rsidRPr="00CF3E3D">
              <w:rPr>
                <w:sz w:val="18"/>
                <w:szCs w:val="18"/>
              </w:rPr>
              <w:t>18.6</w:t>
            </w:r>
          </w:p>
        </w:tc>
      </w:tr>
      <w:tr w:rsidR="007B0FBA" w:rsidRPr="00CF3E3D" w14:paraId="2D7B104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574D395E" w14:textId="77777777" w:rsidR="007B0FBA" w:rsidRPr="00C77781" w:rsidRDefault="007B0FBA" w:rsidP="007007AC">
            <w:pPr>
              <w:spacing w:before="85" w:line="288" w:lineRule="auto"/>
              <w:rPr>
                <w:b/>
                <w:bCs/>
                <w:sz w:val="18"/>
                <w:szCs w:val="18"/>
              </w:rPr>
            </w:pPr>
            <w:r w:rsidRPr="00C77781">
              <w:rPr>
                <w:b/>
                <w:bCs/>
                <w:sz w:val="18"/>
                <w:szCs w:val="18"/>
              </w:rPr>
              <w:t>Subtotal - Labour market factors</w:t>
            </w:r>
          </w:p>
        </w:tc>
        <w:tc>
          <w:tcPr>
            <w:cnfStyle w:val="000001000000" w:firstRow="0" w:lastRow="0" w:firstColumn="0" w:lastColumn="0" w:oddVBand="0" w:evenVBand="1" w:oddHBand="0" w:evenHBand="0" w:firstRowFirstColumn="0" w:firstRowLastColumn="0" w:lastRowFirstColumn="0" w:lastRowLastColumn="0"/>
            <w:tcW w:w="1379" w:type="pct"/>
          </w:tcPr>
          <w:p w14:paraId="489E9E52" w14:textId="77777777" w:rsidR="007B0FBA" w:rsidRPr="002D786A" w:rsidRDefault="007B0FBA" w:rsidP="007007AC">
            <w:pPr>
              <w:spacing w:before="85" w:line="288" w:lineRule="auto"/>
              <w:jc w:val="center"/>
              <w:rPr>
                <w:b/>
                <w:sz w:val="18"/>
                <w:szCs w:val="18"/>
              </w:rPr>
            </w:pPr>
            <w:r w:rsidRPr="002D786A">
              <w:rPr>
                <w:b/>
                <w:sz w:val="18"/>
                <w:szCs w:val="18"/>
              </w:rPr>
              <w:t>59.1</w:t>
            </w:r>
          </w:p>
        </w:tc>
        <w:tc>
          <w:tcPr>
            <w:cnfStyle w:val="000010000000" w:firstRow="0" w:lastRow="0" w:firstColumn="0" w:lastColumn="0" w:oddVBand="1" w:evenVBand="0" w:oddHBand="0" w:evenHBand="0" w:firstRowFirstColumn="0" w:firstRowLastColumn="0" w:lastRowFirstColumn="0" w:lastRowLastColumn="0"/>
            <w:tcW w:w="1379" w:type="pct"/>
          </w:tcPr>
          <w:p w14:paraId="082C7B19" w14:textId="77777777" w:rsidR="007B0FBA" w:rsidRPr="002D786A" w:rsidRDefault="007B0FBA" w:rsidP="007007AC">
            <w:pPr>
              <w:spacing w:before="85" w:line="288" w:lineRule="auto"/>
              <w:jc w:val="center"/>
              <w:rPr>
                <w:b/>
                <w:sz w:val="18"/>
                <w:szCs w:val="18"/>
              </w:rPr>
            </w:pPr>
            <w:r w:rsidRPr="002D786A">
              <w:rPr>
                <w:b/>
                <w:sz w:val="18"/>
                <w:szCs w:val="18"/>
              </w:rPr>
              <w:t>48.9</w:t>
            </w:r>
          </w:p>
        </w:tc>
      </w:tr>
      <w:tr w:rsidR="007B0FBA" w:rsidRPr="00CF3E3D" w14:paraId="3298E73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652B3A7E" w14:textId="77777777" w:rsidR="007B0FBA" w:rsidRPr="00C77781" w:rsidRDefault="007B0FBA" w:rsidP="007007AC">
            <w:pPr>
              <w:spacing w:before="85" w:line="288" w:lineRule="auto"/>
              <w:rPr>
                <w:b/>
                <w:bCs/>
                <w:sz w:val="18"/>
                <w:szCs w:val="18"/>
              </w:rPr>
            </w:pPr>
            <w:r w:rsidRPr="00C77781">
              <w:rPr>
                <w:b/>
                <w:bCs/>
                <w:sz w:val="18"/>
                <w:szCs w:val="18"/>
              </w:rPr>
              <w:lastRenderedPageBreak/>
              <w:t xml:space="preserve">Other </w:t>
            </w:r>
          </w:p>
        </w:tc>
        <w:tc>
          <w:tcPr>
            <w:cnfStyle w:val="000001000000" w:firstRow="0" w:lastRow="0" w:firstColumn="0" w:lastColumn="0" w:oddVBand="0" w:evenVBand="1" w:oddHBand="0" w:evenHBand="0" w:firstRowFirstColumn="0" w:firstRowLastColumn="0" w:lastRowFirstColumn="0" w:lastRowLastColumn="0"/>
            <w:tcW w:w="1379" w:type="pct"/>
          </w:tcPr>
          <w:p w14:paraId="466FEC68" w14:textId="77777777" w:rsidR="007B0FBA" w:rsidRPr="00CF3E3D" w:rsidRDefault="007B0FBA" w:rsidP="007007AC">
            <w:pPr>
              <w:spacing w:before="85" w:line="288" w:lineRule="auto"/>
              <w:jc w:val="center"/>
              <w:rPr>
                <w:sz w:val="18"/>
                <w:szCs w:val="18"/>
              </w:rPr>
            </w:pPr>
            <w:r w:rsidRPr="00CF3E3D">
              <w:rPr>
                <w:sz w:val="18"/>
                <w:szCs w:val="18"/>
              </w:rPr>
              <w:t>13.3</w:t>
            </w:r>
          </w:p>
        </w:tc>
        <w:tc>
          <w:tcPr>
            <w:cnfStyle w:val="000010000000" w:firstRow="0" w:lastRow="0" w:firstColumn="0" w:lastColumn="0" w:oddVBand="1" w:evenVBand="0" w:oddHBand="0" w:evenHBand="0" w:firstRowFirstColumn="0" w:firstRowLastColumn="0" w:lastRowFirstColumn="0" w:lastRowLastColumn="0"/>
            <w:tcW w:w="1379" w:type="pct"/>
          </w:tcPr>
          <w:p w14:paraId="4ECD3C8E" w14:textId="77777777" w:rsidR="007B0FBA" w:rsidRPr="00CF3E3D" w:rsidRDefault="007B0FBA" w:rsidP="007007AC">
            <w:pPr>
              <w:spacing w:before="85" w:line="288" w:lineRule="auto"/>
              <w:jc w:val="center"/>
              <w:rPr>
                <w:sz w:val="18"/>
                <w:szCs w:val="18"/>
              </w:rPr>
            </w:pPr>
            <w:r w:rsidRPr="00CF3E3D">
              <w:rPr>
                <w:sz w:val="18"/>
                <w:szCs w:val="18"/>
              </w:rPr>
              <w:t>12.7</w:t>
            </w:r>
          </w:p>
        </w:tc>
      </w:tr>
      <w:tr w:rsidR="007B0FBA" w:rsidRPr="00CF3E3D" w14:paraId="6CAF2C2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42" w:type="pct"/>
          </w:tcPr>
          <w:p w14:paraId="2EEAAB01" w14:textId="77777777" w:rsidR="007B0FBA" w:rsidRPr="00C77781" w:rsidRDefault="007B0FBA" w:rsidP="007007AC">
            <w:pPr>
              <w:spacing w:before="85" w:line="288" w:lineRule="auto"/>
              <w:rPr>
                <w:b/>
                <w:bCs/>
                <w:sz w:val="18"/>
                <w:szCs w:val="18"/>
              </w:rPr>
            </w:pPr>
            <w:bookmarkStart w:id="118" w:name="_Hlk78454927"/>
            <w:r w:rsidRPr="00C77781">
              <w:rPr>
                <w:b/>
                <w:bCs/>
                <w:sz w:val="18"/>
                <w:szCs w:val="18"/>
              </w:rPr>
              <w:t>Extent to which skills and education are not fully utilised</w:t>
            </w:r>
            <w:bookmarkEnd w:id="118"/>
          </w:p>
        </w:tc>
        <w:tc>
          <w:tcPr>
            <w:cnfStyle w:val="000001000000" w:firstRow="0" w:lastRow="0" w:firstColumn="0" w:lastColumn="0" w:oddVBand="0" w:evenVBand="1" w:oddHBand="0" w:evenHBand="0" w:firstRowFirstColumn="0" w:firstRowLastColumn="0" w:lastRowFirstColumn="0" w:lastRowLastColumn="0"/>
            <w:tcW w:w="1379" w:type="pct"/>
          </w:tcPr>
          <w:p w14:paraId="7BAF1B87" w14:textId="77777777" w:rsidR="007B0FBA" w:rsidRPr="00CF3E3D" w:rsidRDefault="007B0FBA" w:rsidP="007007AC">
            <w:pPr>
              <w:spacing w:before="85" w:line="288" w:lineRule="auto"/>
              <w:jc w:val="center"/>
              <w:rPr>
                <w:b/>
                <w:bCs/>
                <w:sz w:val="18"/>
                <w:szCs w:val="18"/>
              </w:rPr>
            </w:pPr>
            <w:r w:rsidRPr="00CF3E3D">
              <w:rPr>
                <w:b/>
                <w:bCs/>
                <w:sz w:val="18"/>
                <w:szCs w:val="18"/>
              </w:rPr>
              <w:t>28.3</w:t>
            </w:r>
          </w:p>
        </w:tc>
        <w:tc>
          <w:tcPr>
            <w:cnfStyle w:val="000010000000" w:firstRow="0" w:lastRow="0" w:firstColumn="0" w:lastColumn="0" w:oddVBand="1" w:evenVBand="0" w:oddHBand="0" w:evenHBand="0" w:firstRowFirstColumn="0" w:firstRowLastColumn="0" w:lastRowFirstColumn="0" w:lastRowLastColumn="0"/>
            <w:tcW w:w="1379" w:type="pct"/>
          </w:tcPr>
          <w:p w14:paraId="07C005E7" w14:textId="77777777" w:rsidR="007B0FBA" w:rsidRPr="00CF3E3D" w:rsidRDefault="007B0FBA" w:rsidP="007007AC">
            <w:pPr>
              <w:spacing w:before="85" w:line="288" w:lineRule="auto"/>
              <w:jc w:val="center"/>
              <w:rPr>
                <w:b/>
                <w:bCs/>
                <w:sz w:val="18"/>
                <w:szCs w:val="18"/>
              </w:rPr>
            </w:pPr>
            <w:r w:rsidRPr="00CF3E3D">
              <w:rPr>
                <w:b/>
                <w:bCs/>
                <w:sz w:val="18"/>
                <w:szCs w:val="18"/>
              </w:rPr>
              <w:t>38.5</w:t>
            </w:r>
          </w:p>
        </w:tc>
      </w:tr>
    </w:tbl>
    <w:p w14:paraId="173CFD8E" w14:textId="77777777" w:rsidR="007B0FBA" w:rsidRPr="00CF3E3D" w:rsidRDefault="007B0FBA" w:rsidP="007B0FBA">
      <w:pPr>
        <w:rPr>
          <w:rFonts w:ascii="Calibri" w:hAnsi="Calibri" w:cs="Calibri"/>
          <w:lang w:eastAsia="en-AU"/>
        </w:rPr>
      </w:pPr>
      <w:bookmarkStart w:id="119" w:name="_Toc22810097"/>
    </w:p>
    <w:p w14:paraId="19D7E4F7" w14:textId="77777777" w:rsidR="007B0FBA" w:rsidRPr="00232AF6" w:rsidRDefault="007B0FBA" w:rsidP="00232AF6">
      <w:pPr>
        <w:pStyle w:val="Heading2"/>
        <w:numPr>
          <w:ilvl w:val="0"/>
          <w:numId w:val="0"/>
        </w:numPr>
        <w:ind w:left="851" w:hanging="851"/>
        <w:rPr>
          <w:color w:val="000000" w:themeColor="text1"/>
        </w:rPr>
      </w:pPr>
      <w:bookmarkStart w:id="120" w:name="_Toc116035548"/>
      <w:bookmarkStart w:id="121" w:name="_Toc116039903"/>
      <w:r w:rsidRPr="00232AF6">
        <w:rPr>
          <w:color w:val="000000" w:themeColor="text1"/>
        </w:rPr>
        <w:t>4. Further study</w:t>
      </w:r>
      <w:bookmarkEnd w:id="119"/>
      <w:bookmarkEnd w:id="120"/>
      <w:bookmarkEnd w:id="121"/>
    </w:p>
    <w:p w14:paraId="0A7789F0" w14:textId="77777777" w:rsidR="007B0FBA" w:rsidRPr="00CF3E3D" w:rsidRDefault="007B0FBA" w:rsidP="007B0FBA">
      <w:pPr>
        <w:pStyle w:val="Body"/>
      </w:pPr>
      <w:bookmarkStart w:id="122" w:name="_Toc22200711"/>
      <w:r w:rsidRPr="00CF3E3D">
        <w:t xml:space="preserve">In 2022, four months after graduation, 18.6 per cent of undergraduates were engaged in further full-time study which is a decrease from 21.1 per cent in 2021 (see </w:t>
      </w:r>
      <w:r w:rsidRPr="00CF3E3D">
        <w:fldChar w:fldCharType="begin"/>
      </w:r>
      <w:r w:rsidRPr="00CF3E3D">
        <w:instrText xml:space="preserve"> REF _Ref110254422 \h </w:instrText>
      </w:r>
      <w:r w:rsidRPr="00CF3E3D">
        <w:fldChar w:fldCharType="separate"/>
      </w:r>
      <w:r w:rsidRPr="00CF3E3D">
        <w:t xml:space="preserve">Table </w:t>
      </w:r>
      <w:r>
        <w:rPr>
          <w:noProof/>
        </w:rPr>
        <w:t>17</w:t>
      </w:r>
      <w:r w:rsidRPr="00CF3E3D">
        <w:fldChar w:fldCharType="end"/>
      </w:r>
      <w:r w:rsidRPr="00CF3E3D">
        <w:t>). Results from 2022 are comparable to those reported in 2020, 18.5 per cent, and 2019, 18.9 per cent. Both postgraduate coursework and postgraduate research graduates were less likely than those who had completed an undergraduate program to move into further study after completing their qualification, at 7.5 per cent and 6.7 per cent, respectively.</w:t>
      </w:r>
    </w:p>
    <w:p w14:paraId="26F36420" w14:textId="77777777" w:rsidR="007B0FBA" w:rsidRPr="00CF3E3D" w:rsidRDefault="007B0FBA" w:rsidP="007B0FBA">
      <w:pPr>
        <w:pStyle w:val="Body"/>
      </w:pPr>
      <w:r w:rsidRPr="00CF3E3D">
        <w:t>Study areas with the highest proportion of undergraduates proceeding to full-time study in 2022 included Science and mathematics, 35.9 per cent, Psychology, 32.6 per cent, Humanities, culture and social sciences, 23.7 per cent, Creative arts, 21.8 per cent and Tourism, hospitality, personal services, sport and recreation, 21.6 per cent. Undergraduates who completed degrees in study areas with a strong vocational orientation tended, not surprisingly, to be less likely to proceed on to further full-time study in 2021. These included Rehabilitation, 3.6 per cent, Nursing, 4.6 per cent, and Social work, 9.1 per cent.</w:t>
      </w:r>
    </w:p>
    <w:p w14:paraId="6254F258" w14:textId="51F27195" w:rsidR="007B0FBA" w:rsidRPr="00232AF6" w:rsidRDefault="007B0FBA" w:rsidP="007B0FBA">
      <w:pPr>
        <w:pStyle w:val="Caption"/>
        <w:rPr>
          <w:color w:val="000000" w:themeColor="text1"/>
        </w:rPr>
      </w:pPr>
      <w:bookmarkStart w:id="123" w:name="_Ref110254422"/>
      <w:bookmarkStart w:id="124" w:name="_Toc116035811"/>
      <w:bookmarkStart w:id="125" w:name="_Toc116040366"/>
      <w:r w:rsidRPr="00232AF6">
        <w:rPr>
          <w:color w:val="000000" w:themeColor="text1"/>
        </w:rPr>
        <w:t xml:space="preserve">Table </w:t>
      </w:r>
      <w:r w:rsidRPr="00232AF6">
        <w:rPr>
          <w:color w:val="000000" w:themeColor="text1"/>
        </w:rPr>
        <w:fldChar w:fldCharType="begin"/>
      </w:r>
      <w:r w:rsidRPr="00232AF6">
        <w:rPr>
          <w:color w:val="000000" w:themeColor="text1"/>
        </w:rPr>
        <w:instrText xml:space="preserve"> SEQ Table \* ARABIC </w:instrText>
      </w:r>
      <w:r w:rsidRPr="00232AF6">
        <w:rPr>
          <w:color w:val="000000" w:themeColor="text1"/>
        </w:rPr>
        <w:fldChar w:fldCharType="separate"/>
      </w:r>
      <w:r w:rsidR="00232AF6">
        <w:rPr>
          <w:noProof/>
          <w:color w:val="000000" w:themeColor="text1"/>
        </w:rPr>
        <w:t>17</w:t>
      </w:r>
      <w:r w:rsidRPr="00232AF6">
        <w:rPr>
          <w:color w:val="000000" w:themeColor="text1"/>
        </w:rPr>
        <w:fldChar w:fldCharType="end"/>
      </w:r>
      <w:bookmarkEnd w:id="123"/>
      <w:r w:rsidRPr="00232AF6">
        <w:rPr>
          <w:color w:val="000000" w:themeColor="text1"/>
        </w:rPr>
        <w:t xml:space="preserve"> Undergraduate further full-time study status, by original field of study</w:t>
      </w:r>
      <w:r w:rsidRPr="00232AF6">
        <w:rPr>
          <w:rStyle w:val="FootnoteReference"/>
          <w:rFonts w:ascii="Arial" w:hAnsi="Arial"/>
          <w:color w:val="000000" w:themeColor="text1"/>
        </w:rPr>
        <w:footnoteReference w:id="6"/>
      </w:r>
      <w:r w:rsidRPr="00232AF6">
        <w:rPr>
          <w:color w:val="000000" w:themeColor="text1"/>
        </w:rPr>
        <w:t>, 2021-2022 (%)</w:t>
      </w:r>
      <w:bookmarkEnd w:id="122"/>
      <w:bookmarkEnd w:id="124"/>
      <w:bookmarkEnd w:id="125"/>
    </w:p>
    <w:tbl>
      <w:tblPr>
        <w:tblStyle w:val="SRC1"/>
        <w:tblW w:w="4202" w:type="pct"/>
        <w:tblLayout w:type="fixed"/>
        <w:tblLook w:val="00A0" w:firstRow="1" w:lastRow="0" w:firstColumn="1" w:lastColumn="0" w:noHBand="0" w:noVBand="0"/>
        <w:tblCaption w:val="Table 5  Short- (2014) and medium-term (2017) outcomes for undergraduates by study area "/>
      </w:tblPr>
      <w:tblGrid>
        <w:gridCol w:w="4232"/>
        <w:gridCol w:w="1628"/>
        <w:gridCol w:w="1762"/>
      </w:tblGrid>
      <w:tr w:rsidR="007B0FBA" w:rsidRPr="00CF3E3D" w14:paraId="34C8AD8A"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2776" w:type="pct"/>
          </w:tcPr>
          <w:p w14:paraId="6FE20830" w14:textId="77777777" w:rsidR="007B0FBA" w:rsidRPr="00232AF6" w:rsidRDefault="007B0FBA" w:rsidP="007007AC">
            <w:pPr>
              <w:spacing w:before="85" w:line="288" w:lineRule="auto"/>
              <w:rPr>
                <w:b w:val="0"/>
                <w:bCs/>
                <w:color w:val="FFFFFF" w:themeColor="background1"/>
                <w:sz w:val="18"/>
                <w:szCs w:val="18"/>
              </w:rPr>
            </w:pPr>
            <w:bookmarkStart w:id="126" w:name="Title17"/>
            <w:bookmarkEnd w:id="126"/>
            <w:r w:rsidRPr="00232AF6">
              <w:rPr>
                <w:bCs/>
                <w:color w:val="FFFFFF" w:themeColor="background1"/>
                <w:sz w:val="18"/>
                <w:szCs w:val="18"/>
              </w:rPr>
              <w:t>Study area</w:t>
            </w:r>
          </w:p>
        </w:tc>
        <w:tc>
          <w:tcPr>
            <w:cnfStyle w:val="000010000000" w:firstRow="0" w:lastRow="0" w:firstColumn="0" w:lastColumn="0" w:oddVBand="1" w:evenVBand="0" w:oddHBand="0" w:evenHBand="0" w:firstRowFirstColumn="0" w:firstRowLastColumn="0" w:lastRowFirstColumn="0" w:lastRowLastColumn="0"/>
            <w:tcW w:w="1068" w:type="pct"/>
          </w:tcPr>
          <w:p w14:paraId="4D60FAB2" w14:textId="77777777" w:rsidR="007B0FBA" w:rsidRPr="00232AF6" w:rsidRDefault="007B0FBA" w:rsidP="007007AC">
            <w:pPr>
              <w:spacing w:before="85" w:line="288" w:lineRule="auto"/>
              <w:jc w:val="center"/>
              <w:rPr>
                <w:b w:val="0"/>
                <w:bCs/>
                <w:color w:val="FFFFFF" w:themeColor="background1"/>
                <w:sz w:val="18"/>
                <w:szCs w:val="18"/>
              </w:rPr>
            </w:pPr>
            <w:r w:rsidRPr="00232AF6">
              <w:rPr>
                <w:bCs/>
                <w:color w:val="FFFFFF" w:themeColor="background1"/>
                <w:sz w:val="18"/>
                <w:szCs w:val="18"/>
              </w:rPr>
              <w:t>In full-time study</w:t>
            </w:r>
            <w:r w:rsidRPr="00232AF6">
              <w:rPr>
                <w:bCs/>
                <w:caps/>
                <w:color w:val="FFFFFF" w:themeColor="background1"/>
                <w:sz w:val="18"/>
                <w:szCs w:val="18"/>
              </w:rPr>
              <w:t xml:space="preserve"> </w:t>
            </w:r>
            <w:r w:rsidRPr="00232AF6">
              <w:rPr>
                <w:bCs/>
                <w:color w:val="FFFFFF" w:themeColor="background1"/>
                <w:sz w:val="18"/>
                <w:szCs w:val="18"/>
              </w:rPr>
              <w:t>2021</w:t>
            </w:r>
          </w:p>
        </w:tc>
        <w:tc>
          <w:tcPr>
            <w:cnfStyle w:val="000001000000" w:firstRow="0" w:lastRow="0" w:firstColumn="0" w:lastColumn="0" w:oddVBand="0" w:evenVBand="1" w:oddHBand="0" w:evenHBand="0" w:firstRowFirstColumn="0" w:firstRowLastColumn="0" w:lastRowFirstColumn="0" w:lastRowLastColumn="0"/>
            <w:tcW w:w="1156" w:type="pct"/>
          </w:tcPr>
          <w:p w14:paraId="1C7E4FD0" w14:textId="77777777" w:rsidR="007B0FBA" w:rsidRPr="00232AF6" w:rsidRDefault="007B0FBA" w:rsidP="007007AC">
            <w:pPr>
              <w:spacing w:before="85" w:line="288" w:lineRule="auto"/>
              <w:jc w:val="center"/>
              <w:rPr>
                <w:b w:val="0"/>
                <w:bCs/>
                <w:color w:val="FFFFFF" w:themeColor="background1"/>
                <w:sz w:val="18"/>
                <w:szCs w:val="18"/>
              </w:rPr>
            </w:pPr>
            <w:r w:rsidRPr="00232AF6">
              <w:rPr>
                <w:bCs/>
                <w:color w:val="FFFFFF" w:themeColor="background1"/>
                <w:sz w:val="18"/>
                <w:szCs w:val="18"/>
              </w:rPr>
              <w:t>In full-time study</w:t>
            </w:r>
            <w:r w:rsidRPr="00232AF6">
              <w:rPr>
                <w:bCs/>
                <w:caps/>
                <w:color w:val="FFFFFF" w:themeColor="background1"/>
                <w:sz w:val="18"/>
                <w:szCs w:val="18"/>
              </w:rPr>
              <w:t xml:space="preserve"> </w:t>
            </w:r>
            <w:r w:rsidRPr="00232AF6">
              <w:rPr>
                <w:bCs/>
                <w:color w:val="FFFFFF" w:themeColor="background1"/>
                <w:sz w:val="18"/>
                <w:szCs w:val="18"/>
              </w:rPr>
              <w:t>2022</w:t>
            </w:r>
          </w:p>
        </w:tc>
      </w:tr>
      <w:tr w:rsidR="007B0FBA" w:rsidRPr="00CF3E3D" w14:paraId="21AA4F4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11B64BD8" w14:textId="77777777" w:rsidR="007B0FBA" w:rsidRPr="009E1BB3" w:rsidRDefault="007B0FBA" w:rsidP="007007AC">
            <w:pPr>
              <w:spacing w:before="85" w:line="288" w:lineRule="auto"/>
              <w:rPr>
                <w:b/>
                <w:bCs/>
                <w:sz w:val="18"/>
                <w:szCs w:val="18"/>
              </w:rPr>
            </w:pPr>
            <w:r w:rsidRPr="009E1BB3">
              <w:rPr>
                <w:b/>
                <w:bCs/>
                <w:sz w:val="18"/>
                <w:szCs w:val="18"/>
              </w:rPr>
              <w:t>Science and mathematics</w:t>
            </w:r>
          </w:p>
        </w:tc>
        <w:tc>
          <w:tcPr>
            <w:cnfStyle w:val="000010000000" w:firstRow="0" w:lastRow="0" w:firstColumn="0" w:lastColumn="0" w:oddVBand="1" w:evenVBand="0" w:oddHBand="0" w:evenHBand="0" w:firstRowFirstColumn="0" w:firstRowLastColumn="0" w:lastRowFirstColumn="0" w:lastRowLastColumn="0"/>
            <w:tcW w:w="1068" w:type="pct"/>
          </w:tcPr>
          <w:p w14:paraId="1988669A" w14:textId="77777777" w:rsidR="007B0FBA" w:rsidRPr="00CF3E3D" w:rsidRDefault="007B0FBA" w:rsidP="007007AC">
            <w:pPr>
              <w:spacing w:before="85" w:line="288" w:lineRule="auto"/>
              <w:jc w:val="center"/>
              <w:rPr>
                <w:sz w:val="18"/>
                <w:szCs w:val="18"/>
              </w:rPr>
            </w:pPr>
            <w:r w:rsidRPr="00CF3E3D">
              <w:rPr>
                <w:sz w:val="18"/>
                <w:szCs w:val="18"/>
              </w:rPr>
              <w:t>41.1</w:t>
            </w:r>
          </w:p>
        </w:tc>
        <w:tc>
          <w:tcPr>
            <w:cnfStyle w:val="000001000000" w:firstRow="0" w:lastRow="0" w:firstColumn="0" w:lastColumn="0" w:oddVBand="0" w:evenVBand="1" w:oddHBand="0" w:evenHBand="0" w:firstRowFirstColumn="0" w:firstRowLastColumn="0" w:lastRowFirstColumn="0" w:lastRowLastColumn="0"/>
            <w:tcW w:w="1156" w:type="pct"/>
          </w:tcPr>
          <w:p w14:paraId="20D4E037" w14:textId="77777777" w:rsidR="007B0FBA" w:rsidRPr="00CF3E3D" w:rsidRDefault="007B0FBA" w:rsidP="007007AC">
            <w:pPr>
              <w:spacing w:before="85" w:line="288" w:lineRule="auto"/>
              <w:jc w:val="center"/>
              <w:rPr>
                <w:sz w:val="18"/>
                <w:szCs w:val="18"/>
              </w:rPr>
            </w:pPr>
            <w:r w:rsidRPr="00CF3E3D">
              <w:rPr>
                <w:sz w:val="18"/>
                <w:szCs w:val="18"/>
              </w:rPr>
              <w:t>35.9</w:t>
            </w:r>
          </w:p>
        </w:tc>
      </w:tr>
      <w:tr w:rsidR="007B0FBA" w:rsidRPr="00CF3E3D" w14:paraId="440E7C8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1DB06AEE" w14:textId="77777777" w:rsidR="007B0FBA" w:rsidRPr="009E1BB3" w:rsidRDefault="007B0FBA" w:rsidP="007007AC">
            <w:pPr>
              <w:spacing w:before="85" w:line="288" w:lineRule="auto"/>
              <w:rPr>
                <w:b/>
                <w:bCs/>
                <w:sz w:val="18"/>
                <w:szCs w:val="18"/>
              </w:rPr>
            </w:pPr>
            <w:r w:rsidRPr="009E1BB3">
              <w:rPr>
                <w:b/>
                <w:bCs/>
                <w:sz w:val="18"/>
                <w:szCs w:val="18"/>
              </w:rPr>
              <w:t>Computing and information systems</w:t>
            </w:r>
          </w:p>
        </w:tc>
        <w:tc>
          <w:tcPr>
            <w:cnfStyle w:val="000010000000" w:firstRow="0" w:lastRow="0" w:firstColumn="0" w:lastColumn="0" w:oddVBand="1" w:evenVBand="0" w:oddHBand="0" w:evenHBand="0" w:firstRowFirstColumn="0" w:firstRowLastColumn="0" w:lastRowFirstColumn="0" w:lastRowLastColumn="0"/>
            <w:tcW w:w="1068" w:type="pct"/>
          </w:tcPr>
          <w:p w14:paraId="1402E3E9" w14:textId="77777777" w:rsidR="007B0FBA" w:rsidRPr="00CF3E3D" w:rsidRDefault="007B0FBA" w:rsidP="007007AC">
            <w:pPr>
              <w:spacing w:before="85" w:line="288" w:lineRule="auto"/>
              <w:jc w:val="center"/>
              <w:rPr>
                <w:sz w:val="18"/>
                <w:szCs w:val="18"/>
              </w:rPr>
            </w:pPr>
            <w:r w:rsidRPr="00CF3E3D">
              <w:rPr>
                <w:sz w:val="18"/>
                <w:szCs w:val="18"/>
              </w:rPr>
              <w:t>11.0</w:t>
            </w:r>
          </w:p>
        </w:tc>
        <w:tc>
          <w:tcPr>
            <w:cnfStyle w:val="000001000000" w:firstRow="0" w:lastRow="0" w:firstColumn="0" w:lastColumn="0" w:oddVBand="0" w:evenVBand="1" w:oddHBand="0" w:evenHBand="0" w:firstRowFirstColumn="0" w:firstRowLastColumn="0" w:lastRowFirstColumn="0" w:lastRowLastColumn="0"/>
            <w:tcW w:w="1156" w:type="pct"/>
          </w:tcPr>
          <w:p w14:paraId="4DEE2501" w14:textId="77777777" w:rsidR="007B0FBA" w:rsidRPr="00CF3E3D" w:rsidRDefault="007B0FBA" w:rsidP="007007AC">
            <w:pPr>
              <w:spacing w:before="85" w:line="288" w:lineRule="auto"/>
              <w:jc w:val="center"/>
              <w:rPr>
                <w:sz w:val="18"/>
                <w:szCs w:val="18"/>
              </w:rPr>
            </w:pPr>
            <w:r w:rsidRPr="00CF3E3D">
              <w:rPr>
                <w:sz w:val="18"/>
                <w:szCs w:val="18"/>
              </w:rPr>
              <w:t>10.1</w:t>
            </w:r>
          </w:p>
        </w:tc>
      </w:tr>
      <w:tr w:rsidR="007B0FBA" w:rsidRPr="00CF3E3D" w14:paraId="0909AEF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7ACBB608" w14:textId="77777777" w:rsidR="007B0FBA" w:rsidRPr="009E1BB3" w:rsidRDefault="007B0FBA" w:rsidP="007007AC">
            <w:pPr>
              <w:spacing w:before="85" w:line="288" w:lineRule="auto"/>
              <w:rPr>
                <w:b/>
                <w:bCs/>
                <w:sz w:val="18"/>
                <w:szCs w:val="18"/>
              </w:rPr>
            </w:pPr>
            <w:r w:rsidRPr="009E1BB3">
              <w:rPr>
                <w:b/>
                <w:bCs/>
                <w:sz w:val="18"/>
                <w:szCs w:val="18"/>
              </w:rPr>
              <w:t>Engineering</w:t>
            </w:r>
          </w:p>
        </w:tc>
        <w:tc>
          <w:tcPr>
            <w:cnfStyle w:val="000010000000" w:firstRow="0" w:lastRow="0" w:firstColumn="0" w:lastColumn="0" w:oddVBand="1" w:evenVBand="0" w:oddHBand="0" w:evenHBand="0" w:firstRowFirstColumn="0" w:firstRowLastColumn="0" w:lastRowFirstColumn="0" w:lastRowLastColumn="0"/>
            <w:tcW w:w="1068" w:type="pct"/>
          </w:tcPr>
          <w:p w14:paraId="74134830" w14:textId="77777777" w:rsidR="007B0FBA" w:rsidRPr="00CF3E3D" w:rsidRDefault="007B0FBA" w:rsidP="007007AC">
            <w:pPr>
              <w:spacing w:before="85" w:line="288" w:lineRule="auto"/>
              <w:jc w:val="center"/>
              <w:rPr>
                <w:sz w:val="18"/>
                <w:szCs w:val="18"/>
              </w:rPr>
            </w:pPr>
            <w:r w:rsidRPr="00CF3E3D">
              <w:rPr>
                <w:sz w:val="18"/>
                <w:szCs w:val="18"/>
              </w:rPr>
              <w:t>14.3</w:t>
            </w:r>
          </w:p>
        </w:tc>
        <w:tc>
          <w:tcPr>
            <w:cnfStyle w:val="000001000000" w:firstRow="0" w:lastRow="0" w:firstColumn="0" w:lastColumn="0" w:oddVBand="0" w:evenVBand="1" w:oddHBand="0" w:evenHBand="0" w:firstRowFirstColumn="0" w:firstRowLastColumn="0" w:lastRowFirstColumn="0" w:lastRowLastColumn="0"/>
            <w:tcW w:w="1156" w:type="pct"/>
          </w:tcPr>
          <w:p w14:paraId="22C5603C" w14:textId="77777777" w:rsidR="007B0FBA" w:rsidRPr="00CF3E3D" w:rsidRDefault="007B0FBA" w:rsidP="007007AC">
            <w:pPr>
              <w:spacing w:before="85" w:line="288" w:lineRule="auto"/>
              <w:jc w:val="center"/>
              <w:rPr>
                <w:sz w:val="18"/>
                <w:szCs w:val="18"/>
              </w:rPr>
            </w:pPr>
            <w:r w:rsidRPr="00CF3E3D">
              <w:rPr>
                <w:sz w:val="18"/>
                <w:szCs w:val="18"/>
              </w:rPr>
              <w:t>13.6</w:t>
            </w:r>
          </w:p>
        </w:tc>
      </w:tr>
      <w:tr w:rsidR="007B0FBA" w:rsidRPr="00CF3E3D" w14:paraId="772438F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538948E3" w14:textId="77777777" w:rsidR="007B0FBA" w:rsidRPr="009E1BB3" w:rsidRDefault="007B0FBA" w:rsidP="007007AC">
            <w:pPr>
              <w:spacing w:before="85" w:line="288" w:lineRule="auto"/>
              <w:rPr>
                <w:b/>
                <w:bCs/>
                <w:sz w:val="18"/>
                <w:szCs w:val="18"/>
              </w:rPr>
            </w:pPr>
            <w:r w:rsidRPr="009E1BB3">
              <w:rPr>
                <w:b/>
                <w:bCs/>
                <w:sz w:val="18"/>
                <w:szCs w:val="18"/>
              </w:rPr>
              <w:t>Architecture and built environment</w:t>
            </w:r>
          </w:p>
        </w:tc>
        <w:tc>
          <w:tcPr>
            <w:cnfStyle w:val="000010000000" w:firstRow="0" w:lastRow="0" w:firstColumn="0" w:lastColumn="0" w:oddVBand="1" w:evenVBand="0" w:oddHBand="0" w:evenHBand="0" w:firstRowFirstColumn="0" w:firstRowLastColumn="0" w:lastRowFirstColumn="0" w:lastRowLastColumn="0"/>
            <w:tcW w:w="1068" w:type="pct"/>
          </w:tcPr>
          <w:p w14:paraId="54BE1789" w14:textId="77777777" w:rsidR="007B0FBA" w:rsidRPr="00CF3E3D" w:rsidRDefault="007B0FBA" w:rsidP="007007AC">
            <w:pPr>
              <w:spacing w:before="85" w:line="288" w:lineRule="auto"/>
              <w:jc w:val="center"/>
              <w:rPr>
                <w:sz w:val="18"/>
                <w:szCs w:val="18"/>
              </w:rPr>
            </w:pPr>
            <w:r w:rsidRPr="00CF3E3D">
              <w:rPr>
                <w:sz w:val="18"/>
                <w:szCs w:val="18"/>
              </w:rPr>
              <w:t>20.6</w:t>
            </w:r>
          </w:p>
        </w:tc>
        <w:tc>
          <w:tcPr>
            <w:cnfStyle w:val="000001000000" w:firstRow="0" w:lastRow="0" w:firstColumn="0" w:lastColumn="0" w:oddVBand="0" w:evenVBand="1" w:oddHBand="0" w:evenHBand="0" w:firstRowFirstColumn="0" w:firstRowLastColumn="0" w:lastRowFirstColumn="0" w:lastRowLastColumn="0"/>
            <w:tcW w:w="1156" w:type="pct"/>
          </w:tcPr>
          <w:p w14:paraId="1B99D244" w14:textId="77777777" w:rsidR="007B0FBA" w:rsidRPr="00CF3E3D" w:rsidRDefault="007B0FBA" w:rsidP="007007AC">
            <w:pPr>
              <w:spacing w:before="85" w:line="288" w:lineRule="auto"/>
              <w:jc w:val="center"/>
              <w:rPr>
                <w:sz w:val="18"/>
                <w:szCs w:val="18"/>
              </w:rPr>
            </w:pPr>
            <w:r w:rsidRPr="00CF3E3D">
              <w:rPr>
                <w:sz w:val="18"/>
                <w:szCs w:val="18"/>
              </w:rPr>
              <w:t>18.0</w:t>
            </w:r>
          </w:p>
        </w:tc>
      </w:tr>
      <w:tr w:rsidR="007B0FBA" w:rsidRPr="00CF3E3D" w14:paraId="37387D5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43AA59C3" w14:textId="77777777" w:rsidR="007B0FBA" w:rsidRPr="009E1BB3" w:rsidRDefault="007B0FBA" w:rsidP="007007AC">
            <w:pPr>
              <w:spacing w:before="85" w:line="288" w:lineRule="auto"/>
              <w:rPr>
                <w:b/>
                <w:bCs/>
                <w:sz w:val="18"/>
                <w:szCs w:val="18"/>
              </w:rPr>
            </w:pPr>
            <w:r w:rsidRPr="009E1BB3">
              <w:rPr>
                <w:b/>
                <w:bCs/>
                <w:sz w:val="18"/>
                <w:szCs w:val="18"/>
              </w:rPr>
              <w:t>Agriculture and environmental studies</w:t>
            </w:r>
          </w:p>
        </w:tc>
        <w:tc>
          <w:tcPr>
            <w:cnfStyle w:val="000010000000" w:firstRow="0" w:lastRow="0" w:firstColumn="0" w:lastColumn="0" w:oddVBand="1" w:evenVBand="0" w:oddHBand="0" w:evenHBand="0" w:firstRowFirstColumn="0" w:firstRowLastColumn="0" w:lastRowFirstColumn="0" w:lastRowLastColumn="0"/>
            <w:tcW w:w="1068" w:type="pct"/>
          </w:tcPr>
          <w:p w14:paraId="79425565" w14:textId="77777777" w:rsidR="007B0FBA" w:rsidRPr="00CF3E3D" w:rsidRDefault="007B0FBA" w:rsidP="007007AC">
            <w:pPr>
              <w:spacing w:before="85" w:line="288" w:lineRule="auto"/>
              <w:jc w:val="center"/>
              <w:rPr>
                <w:sz w:val="18"/>
                <w:szCs w:val="18"/>
              </w:rPr>
            </w:pPr>
            <w:r w:rsidRPr="00CF3E3D">
              <w:rPr>
                <w:sz w:val="18"/>
                <w:szCs w:val="18"/>
              </w:rPr>
              <w:t>19.7</w:t>
            </w:r>
          </w:p>
        </w:tc>
        <w:tc>
          <w:tcPr>
            <w:cnfStyle w:val="000001000000" w:firstRow="0" w:lastRow="0" w:firstColumn="0" w:lastColumn="0" w:oddVBand="0" w:evenVBand="1" w:oddHBand="0" w:evenHBand="0" w:firstRowFirstColumn="0" w:firstRowLastColumn="0" w:lastRowFirstColumn="0" w:lastRowLastColumn="0"/>
            <w:tcW w:w="1156" w:type="pct"/>
          </w:tcPr>
          <w:p w14:paraId="00D2EF71" w14:textId="77777777" w:rsidR="007B0FBA" w:rsidRPr="00CF3E3D" w:rsidRDefault="007B0FBA" w:rsidP="007007AC">
            <w:pPr>
              <w:spacing w:before="85" w:line="288" w:lineRule="auto"/>
              <w:jc w:val="center"/>
              <w:rPr>
                <w:sz w:val="18"/>
                <w:szCs w:val="18"/>
              </w:rPr>
            </w:pPr>
            <w:r w:rsidRPr="00CF3E3D">
              <w:rPr>
                <w:sz w:val="18"/>
                <w:szCs w:val="18"/>
              </w:rPr>
              <w:t>13.6</w:t>
            </w:r>
          </w:p>
        </w:tc>
      </w:tr>
      <w:tr w:rsidR="007B0FBA" w:rsidRPr="00CF3E3D" w14:paraId="22825AA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0D2C8045" w14:textId="77777777" w:rsidR="007B0FBA" w:rsidRPr="009E1BB3" w:rsidRDefault="007B0FBA" w:rsidP="007007AC">
            <w:pPr>
              <w:spacing w:before="85" w:line="288" w:lineRule="auto"/>
              <w:rPr>
                <w:b/>
                <w:bCs/>
                <w:sz w:val="18"/>
                <w:szCs w:val="18"/>
              </w:rPr>
            </w:pPr>
            <w:r w:rsidRPr="009E1BB3">
              <w:rPr>
                <w:b/>
                <w:bCs/>
                <w:sz w:val="18"/>
                <w:szCs w:val="18"/>
              </w:rPr>
              <w:t>Health services and support</w:t>
            </w:r>
          </w:p>
        </w:tc>
        <w:tc>
          <w:tcPr>
            <w:cnfStyle w:val="000010000000" w:firstRow="0" w:lastRow="0" w:firstColumn="0" w:lastColumn="0" w:oddVBand="1" w:evenVBand="0" w:oddHBand="0" w:evenHBand="0" w:firstRowFirstColumn="0" w:firstRowLastColumn="0" w:lastRowFirstColumn="0" w:lastRowLastColumn="0"/>
            <w:tcW w:w="1068" w:type="pct"/>
          </w:tcPr>
          <w:p w14:paraId="7F418EF6" w14:textId="77777777" w:rsidR="007B0FBA" w:rsidRPr="00CF3E3D" w:rsidRDefault="007B0FBA" w:rsidP="007007AC">
            <w:pPr>
              <w:spacing w:before="85" w:line="288" w:lineRule="auto"/>
              <w:jc w:val="center"/>
              <w:rPr>
                <w:sz w:val="18"/>
                <w:szCs w:val="18"/>
              </w:rPr>
            </w:pPr>
            <w:r w:rsidRPr="00CF3E3D">
              <w:rPr>
                <w:sz w:val="18"/>
                <w:szCs w:val="18"/>
              </w:rPr>
              <w:t>23.2</w:t>
            </w:r>
          </w:p>
        </w:tc>
        <w:tc>
          <w:tcPr>
            <w:cnfStyle w:val="000001000000" w:firstRow="0" w:lastRow="0" w:firstColumn="0" w:lastColumn="0" w:oddVBand="0" w:evenVBand="1" w:oddHBand="0" w:evenHBand="0" w:firstRowFirstColumn="0" w:firstRowLastColumn="0" w:lastRowFirstColumn="0" w:lastRowLastColumn="0"/>
            <w:tcW w:w="1156" w:type="pct"/>
          </w:tcPr>
          <w:p w14:paraId="1116608A" w14:textId="77777777" w:rsidR="007B0FBA" w:rsidRPr="00CF3E3D" w:rsidRDefault="007B0FBA" w:rsidP="007007AC">
            <w:pPr>
              <w:spacing w:before="85" w:line="288" w:lineRule="auto"/>
              <w:jc w:val="center"/>
              <w:rPr>
                <w:sz w:val="18"/>
                <w:szCs w:val="18"/>
              </w:rPr>
            </w:pPr>
            <w:r w:rsidRPr="00CF3E3D">
              <w:rPr>
                <w:sz w:val="18"/>
                <w:szCs w:val="18"/>
              </w:rPr>
              <w:t>20.4</w:t>
            </w:r>
          </w:p>
        </w:tc>
      </w:tr>
      <w:tr w:rsidR="007B0FBA" w:rsidRPr="00CF3E3D" w14:paraId="7C6D803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7DDBE425" w14:textId="77777777" w:rsidR="007B0FBA" w:rsidRPr="009E1BB3" w:rsidRDefault="007B0FBA" w:rsidP="007007AC">
            <w:pPr>
              <w:spacing w:before="85" w:line="288" w:lineRule="auto"/>
              <w:rPr>
                <w:b/>
                <w:bCs/>
                <w:sz w:val="18"/>
                <w:szCs w:val="18"/>
              </w:rPr>
            </w:pPr>
            <w:r w:rsidRPr="009E1BB3">
              <w:rPr>
                <w:b/>
                <w:bCs/>
                <w:sz w:val="18"/>
                <w:szCs w:val="18"/>
              </w:rPr>
              <w:t>Medicine</w:t>
            </w:r>
          </w:p>
        </w:tc>
        <w:tc>
          <w:tcPr>
            <w:cnfStyle w:val="000010000000" w:firstRow="0" w:lastRow="0" w:firstColumn="0" w:lastColumn="0" w:oddVBand="1" w:evenVBand="0" w:oddHBand="0" w:evenHBand="0" w:firstRowFirstColumn="0" w:firstRowLastColumn="0" w:lastRowFirstColumn="0" w:lastRowLastColumn="0"/>
            <w:tcW w:w="1068" w:type="pct"/>
          </w:tcPr>
          <w:p w14:paraId="77CC63D6" w14:textId="77777777" w:rsidR="007B0FBA" w:rsidRPr="00CF3E3D" w:rsidRDefault="007B0FBA" w:rsidP="007007AC">
            <w:pPr>
              <w:spacing w:before="85" w:line="288" w:lineRule="auto"/>
              <w:jc w:val="center"/>
              <w:rPr>
                <w:sz w:val="18"/>
                <w:szCs w:val="18"/>
              </w:rPr>
            </w:pPr>
            <w:r w:rsidRPr="00CF3E3D">
              <w:rPr>
                <w:sz w:val="18"/>
                <w:szCs w:val="18"/>
              </w:rPr>
              <w:t>17.1</w:t>
            </w:r>
          </w:p>
        </w:tc>
        <w:tc>
          <w:tcPr>
            <w:cnfStyle w:val="000001000000" w:firstRow="0" w:lastRow="0" w:firstColumn="0" w:lastColumn="0" w:oddVBand="0" w:evenVBand="1" w:oddHBand="0" w:evenHBand="0" w:firstRowFirstColumn="0" w:firstRowLastColumn="0" w:lastRowFirstColumn="0" w:lastRowLastColumn="0"/>
            <w:tcW w:w="1156" w:type="pct"/>
          </w:tcPr>
          <w:p w14:paraId="771F0771" w14:textId="77777777" w:rsidR="007B0FBA" w:rsidRPr="00CF3E3D" w:rsidRDefault="007B0FBA" w:rsidP="007007AC">
            <w:pPr>
              <w:spacing w:before="85" w:line="288" w:lineRule="auto"/>
              <w:jc w:val="center"/>
              <w:rPr>
                <w:sz w:val="18"/>
                <w:szCs w:val="18"/>
              </w:rPr>
            </w:pPr>
            <w:r w:rsidRPr="00CF3E3D">
              <w:rPr>
                <w:sz w:val="18"/>
                <w:szCs w:val="18"/>
              </w:rPr>
              <w:t>16.5</w:t>
            </w:r>
          </w:p>
        </w:tc>
      </w:tr>
      <w:tr w:rsidR="007B0FBA" w:rsidRPr="00CF3E3D" w14:paraId="465B4C6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0FDDD704" w14:textId="77777777" w:rsidR="007B0FBA" w:rsidRPr="009E1BB3" w:rsidRDefault="007B0FBA" w:rsidP="007007AC">
            <w:pPr>
              <w:spacing w:before="85" w:line="288" w:lineRule="auto"/>
              <w:rPr>
                <w:b/>
                <w:bCs/>
                <w:sz w:val="18"/>
                <w:szCs w:val="18"/>
              </w:rPr>
            </w:pPr>
            <w:r w:rsidRPr="009E1BB3">
              <w:rPr>
                <w:b/>
                <w:bCs/>
                <w:sz w:val="18"/>
                <w:szCs w:val="18"/>
              </w:rPr>
              <w:t>Nursing</w:t>
            </w:r>
          </w:p>
        </w:tc>
        <w:tc>
          <w:tcPr>
            <w:cnfStyle w:val="000010000000" w:firstRow="0" w:lastRow="0" w:firstColumn="0" w:lastColumn="0" w:oddVBand="1" w:evenVBand="0" w:oddHBand="0" w:evenHBand="0" w:firstRowFirstColumn="0" w:firstRowLastColumn="0" w:lastRowFirstColumn="0" w:lastRowLastColumn="0"/>
            <w:tcW w:w="1068" w:type="pct"/>
          </w:tcPr>
          <w:p w14:paraId="4C8E7E1B" w14:textId="77777777" w:rsidR="007B0FBA" w:rsidRPr="00CF3E3D" w:rsidRDefault="007B0FBA" w:rsidP="007007AC">
            <w:pPr>
              <w:spacing w:before="85" w:line="288" w:lineRule="auto"/>
              <w:jc w:val="center"/>
              <w:rPr>
                <w:sz w:val="18"/>
                <w:szCs w:val="18"/>
              </w:rPr>
            </w:pPr>
            <w:r w:rsidRPr="00CF3E3D">
              <w:rPr>
                <w:sz w:val="18"/>
                <w:szCs w:val="18"/>
              </w:rPr>
              <w:t>4.7</w:t>
            </w:r>
          </w:p>
        </w:tc>
        <w:tc>
          <w:tcPr>
            <w:cnfStyle w:val="000001000000" w:firstRow="0" w:lastRow="0" w:firstColumn="0" w:lastColumn="0" w:oddVBand="0" w:evenVBand="1" w:oddHBand="0" w:evenHBand="0" w:firstRowFirstColumn="0" w:firstRowLastColumn="0" w:lastRowFirstColumn="0" w:lastRowLastColumn="0"/>
            <w:tcW w:w="1156" w:type="pct"/>
          </w:tcPr>
          <w:p w14:paraId="1188C0DB" w14:textId="77777777" w:rsidR="007B0FBA" w:rsidRPr="00CF3E3D" w:rsidRDefault="007B0FBA" w:rsidP="007007AC">
            <w:pPr>
              <w:spacing w:before="85" w:line="288" w:lineRule="auto"/>
              <w:jc w:val="center"/>
              <w:rPr>
                <w:sz w:val="18"/>
                <w:szCs w:val="18"/>
              </w:rPr>
            </w:pPr>
            <w:r w:rsidRPr="00CF3E3D">
              <w:rPr>
                <w:sz w:val="18"/>
                <w:szCs w:val="18"/>
              </w:rPr>
              <w:t>4.6</w:t>
            </w:r>
          </w:p>
        </w:tc>
      </w:tr>
      <w:tr w:rsidR="007B0FBA" w:rsidRPr="00CF3E3D" w14:paraId="50D0BC3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378DEF45" w14:textId="77777777" w:rsidR="007B0FBA" w:rsidRPr="009E1BB3" w:rsidRDefault="007B0FBA" w:rsidP="007007AC">
            <w:pPr>
              <w:spacing w:before="85" w:line="288" w:lineRule="auto"/>
              <w:rPr>
                <w:b/>
                <w:bCs/>
                <w:sz w:val="18"/>
                <w:szCs w:val="18"/>
              </w:rPr>
            </w:pPr>
            <w:r w:rsidRPr="009E1BB3">
              <w:rPr>
                <w:b/>
                <w:bCs/>
                <w:sz w:val="18"/>
                <w:szCs w:val="18"/>
              </w:rPr>
              <w:lastRenderedPageBreak/>
              <w:t>Pharmacy</w:t>
            </w:r>
          </w:p>
        </w:tc>
        <w:tc>
          <w:tcPr>
            <w:cnfStyle w:val="000010000000" w:firstRow="0" w:lastRow="0" w:firstColumn="0" w:lastColumn="0" w:oddVBand="1" w:evenVBand="0" w:oddHBand="0" w:evenHBand="0" w:firstRowFirstColumn="0" w:firstRowLastColumn="0" w:lastRowFirstColumn="0" w:lastRowLastColumn="0"/>
            <w:tcW w:w="1068" w:type="pct"/>
          </w:tcPr>
          <w:p w14:paraId="5B20EF39" w14:textId="77777777" w:rsidR="007B0FBA" w:rsidRPr="00CF3E3D" w:rsidRDefault="007B0FBA" w:rsidP="007007AC">
            <w:pPr>
              <w:spacing w:before="85" w:line="288" w:lineRule="auto"/>
              <w:jc w:val="center"/>
              <w:rPr>
                <w:sz w:val="18"/>
                <w:szCs w:val="18"/>
              </w:rPr>
            </w:pPr>
            <w:r w:rsidRPr="00CF3E3D">
              <w:rPr>
                <w:sz w:val="18"/>
                <w:szCs w:val="18"/>
              </w:rPr>
              <w:t>12.6</w:t>
            </w:r>
          </w:p>
        </w:tc>
        <w:tc>
          <w:tcPr>
            <w:cnfStyle w:val="000001000000" w:firstRow="0" w:lastRow="0" w:firstColumn="0" w:lastColumn="0" w:oddVBand="0" w:evenVBand="1" w:oddHBand="0" w:evenHBand="0" w:firstRowFirstColumn="0" w:firstRowLastColumn="0" w:lastRowFirstColumn="0" w:lastRowLastColumn="0"/>
            <w:tcW w:w="1156" w:type="pct"/>
          </w:tcPr>
          <w:p w14:paraId="198650A6" w14:textId="77777777" w:rsidR="007B0FBA" w:rsidRPr="00CF3E3D" w:rsidRDefault="007B0FBA" w:rsidP="007007AC">
            <w:pPr>
              <w:spacing w:before="85" w:line="288" w:lineRule="auto"/>
              <w:jc w:val="center"/>
              <w:rPr>
                <w:sz w:val="18"/>
                <w:szCs w:val="18"/>
              </w:rPr>
            </w:pPr>
            <w:r w:rsidRPr="00CF3E3D">
              <w:rPr>
                <w:sz w:val="18"/>
                <w:szCs w:val="18"/>
              </w:rPr>
              <w:t>14.0</w:t>
            </w:r>
          </w:p>
        </w:tc>
      </w:tr>
      <w:tr w:rsidR="007B0FBA" w:rsidRPr="00CF3E3D" w14:paraId="1A649F2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72D1172A" w14:textId="77777777" w:rsidR="007B0FBA" w:rsidRPr="009E1BB3" w:rsidRDefault="007B0FBA" w:rsidP="007007AC">
            <w:pPr>
              <w:spacing w:before="85" w:line="288" w:lineRule="auto"/>
              <w:rPr>
                <w:b/>
                <w:bCs/>
                <w:sz w:val="18"/>
                <w:szCs w:val="18"/>
              </w:rPr>
            </w:pPr>
            <w:r w:rsidRPr="009E1BB3">
              <w:rPr>
                <w:b/>
                <w:bCs/>
                <w:sz w:val="18"/>
                <w:szCs w:val="18"/>
              </w:rPr>
              <w:t>Dentistry</w:t>
            </w:r>
          </w:p>
        </w:tc>
        <w:tc>
          <w:tcPr>
            <w:cnfStyle w:val="000010000000" w:firstRow="0" w:lastRow="0" w:firstColumn="0" w:lastColumn="0" w:oddVBand="1" w:evenVBand="0" w:oddHBand="0" w:evenHBand="0" w:firstRowFirstColumn="0" w:firstRowLastColumn="0" w:lastRowFirstColumn="0" w:lastRowLastColumn="0"/>
            <w:tcW w:w="1068" w:type="pct"/>
          </w:tcPr>
          <w:p w14:paraId="5A72A543" w14:textId="77777777" w:rsidR="007B0FBA" w:rsidRPr="00CF3E3D" w:rsidRDefault="007B0FBA" w:rsidP="007007AC">
            <w:pPr>
              <w:spacing w:before="85" w:line="288" w:lineRule="auto"/>
              <w:jc w:val="center"/>
              <w:rPr>
                <w:sz w:val="18"/>
                <w:szCs w:val="18"/>
              </w:rPr>
            </w:pPr>
            <w:r w:rsidRPr="00CF3E3D">
              <w:rPr>
                <w:sz w:val="18"/>
                <w:szCs w:val="18"/>
              </w:rPr>
              <w:t>9.7</w:t>
            </w:r>
          </w:p>
        </w:tc>
        <w:tc>
          <w:tcPr>
            <w:cnfStyle w:val="000001000000" w:firstRow="0" w:lastRow="0" w:firstColumn="0" w:lastColumn="0" w:oddVBand="0" w:evenVBand="1" w:oddHBand="0" w:evenHBand="0" w:firstRowFirstColumn="0" w:firstRowLastColumn="0" w:lastRowFirstColumn="0" w:lastRowLastColumn="0"/>
            <w:tcW w:w="1156" w:type="pct"/>
          </w:tcPr>
          <w:p w14:paraId="7B3AD0AE" w14:textId="77777777" w:rsidR="007B0FBA" w:rsidRPr="00CF3E3D" w:rsidRDefault="007B0FBA" w:rsidP="007007AC">
            <w:pPr>
              <w:spacing w:before="85" w:line="288" w:lineRule="auto"/>
              <w:jc w:val="center"/>
              <w:rPr>
                <w:sz w:val="18"/>
                <w:szCs w:val="18"/>
              </w:rPr>
            </w:pPr>
            <w:r w:rsidRPr="00CF3E3D">
              <w:rPr>
                <w:sz w:val="18"/>
                <w:szCs w:val="18"/>
              </w:rPr>
              <w:t>13.6</w:t>
            </w:r>
          </w:p>
        </w:tc>
      </w:tr>
      <w:tr w:rsidR="007B0FBA" w:rsidRPr="00CF3E3D" w14:paraId="49460A9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213A12B4" w14:textId="77777777" w:rsidR="007B0FBA" w:rsidRPr="009E1BB3" w:rsidRDefault="007B0FBA" w:rsidP="007007AC">
            <w:pPr>
              <w:spacing w:before="85" w:line="288" w:lineRule="auto"/>
              <w:rPr>
                <w:b/>
                <w:bCs/>
                <w:sz w:val="18"/>
                <w:szCs w:val="18"/>
              </w:rPr>
            </w:pPr>
            <w:r w:rsidRPr="009E1BB3">
              <w:rPr>
                <w:b/>
                <w:bCs/>
                <w:sz w:val="18"/>
                <w:szCs w:val="18"/>
              </w:rPr>
              <w:t>Veterinary science</w:t>
            </w:r>
          </w:p>
        </w:tc>
        <w:tc>
          <w:tcPr>
            <w:cnfStyle w:val="000010000000" w:firstRow="0" w:lastRow="0" w:firstColumn="0" w:lastColumn="0" w:oddVBand="1" w:evenVBand="0" w:oddHBand="0" w:evenHBand="0" w:firstRowFirstColumn="0" w:firstRowLastColumn="0" w:lastRowFirstColumn="0" w:lastRowLastColumn="0"/>
            <w:tcW w:w="1068" w:type="pct"/>
          </w:tcPr>
          <w:p w14:paraId="4BEC4913" w14:textId="77777777" w:rsidR="007B0FBA" w:rsidRPr="00CF3E3D" w:rsidRDefault="007B0FBA" w:rsidP="007007AC">
            <w:pPr>
              <w:spacing w:before="85" w:line="288" w:lineRule="auto"/>
              <w:jc w:val="center"/>
              <w:rPr>
                <w:sz w:val="18"/>
                <w:szCs w:val="18"/>
              </w:rPr>
            </w:pPr>
            <w:r w:rsidRPr="00CF3E3D">
              <w:rPr>
                <w:sz w:val="18"/>
                <w:szCs w:val="18"/>
              </w:rPr>
              <w:t>30.4</w:t>
            </w:r>
          </w:p>
        </w:tc>
        <w:tc>
          <w:tcPr>
            <w:cnfStyle w:val="000001000000" w:firstRow="0" w:lastRow="0" w:firstColumn="0" w:lastColumn="0" w:oddVBand="0" w:evenVBand="1" w:oddHBand="0" w:evenHBand="0" w:firstRowFirstColumn="0" w:firstRowLastColumn="0" w:lastRowFirstColumn="0" w:lastRowLastColumn="0"/>
            <w:tcW w:w="1156" w:type="pct"/>
          </w:tcPr>
          <w:p w14:paraId="42BC34E5" w14:textId="77777777" w:rsidR="007B0FBA" w:rsidRPr="00CF3E3D" w:rsidRDefault="007B0FBA" w:rsidP="007007AC">
            <w:pPr>
              <w:spacing w:before="85" w:line="288" w:lineRule="auto"/>
              <w:jc w:val="center"/>
              <w:rPr>
                <w:sz w:val="18"/>
                <w:szCs w:val="18"/>
              </w:rPr>
            </w:pPr>
            <w:r w:rsidRPr="00CF3E3D">
              <w:rPr>
                <w:sz w:val="18"/>
                <w:szCs w:val="18"/>
              </w:rPr>
              <w:t>20.3</w:t>
            </w:r>
          </w:p>
        </w:tc>
      </w:tr>
      <w:tr w:rsidR="007B0FBA" w:rsidRPr="00CF3E3D" w14:paraId="4081297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1F11DF36" w14:textId="77777777" w:rsidR="007B0FBA" w:rsidRPr="009E1BB3" w:rsidRDefault="007B0FBA" w:rsidP="007007AC">
            <w:pPr>
              <w:spacing w:before="85" w:line="288" w:lineRule="auto"/>
              <w:rPr>
                <w:b/>
                <w:bCs/>
                <w:sz w:val="18"/>
                <w:szCs w:val="18"/>
              </w:rPr>
            </w:pPr>
            <w:r w:rsidRPr="009E1BB3">
              <w:rPr>
                <w:b/>
                <w:bCs/>
                <w:sz w:val="18"/>
                <w:szCs w:val="18"/>
              </w:rPr>
              <w:t>Rehabilitation</w:t>
            </w:r>
          </w:p>
        </w:tc>
        <w:tc>
          <w:tcPr>
            <w:cnfStyle w:val="000010000000" w:firstRow="0" w:lastRow="0" w:firstColumn="0" w:lastColumn="0" w:oddVBand="1" w:evenVBand="0" w:oddHBand="0" w:evenHBand="0" w:firstRowFirstColumn="0" w:firstRowLastColumn="0" w:lastRowFirstColumn="0" w:lastRowLastColumn="0"/>
            <w:tcW w:w="1068" w:type="pct"/>
          </w:tcPr>
          <w:p w14:paraId="0BACDA9C" w14:textId="77777777" w:rsidR="007B0FBA" w:rsidRPr="00CF3E3D" w:rsidRDefault="007B0FBA" w:rsidP="007007AC">
            <w:pPr>
              <w:spacing w:before="85" w:line="288" w:lineRule="auto"/>
              <w:jc w:val="center"/>
              <w:rPr>
                <w:sz w:val="18"/>
                <w:szCs w:val="18"/>
              </w:rPr>
            </w:pPr>
            <w:r w:rsidRPr="00CF3E3D">
              <w:rPr>
                <w:sz w:val="18"/>
                <w:szCs w:val="18"/>
              </w:rPr>
              <w:t>2.8</w:t>
            </w:r>
          </w:p>
        </w:tc>
        <w:tc>
          <w:tcPr>
            <w:cnfStyle w:val="000001000000" w:firstRow="0" w:lastRow="0" w:firstColumn="0" w:lastColumn="0" w:oddVBand="0" w:evenVBand="1" w:oddHBand="0" w:evenHBand="0" w:firstRowFirstColumn="0" w:firstRowLastColumn="0" w:lastRowFirstColumn="0" w:lastRowLastColumn="0"/>
            <w:tcW w:w="1156" w:type="pct"/>
          </w:tcPr>
          <w:p w14:paraId="014B4ACC" w14:textId="77777777" w:rsidR="007B0FBA" w:rsidRPr="00CF3E3D" w:rsidRDefault="007B0FBA" w:rsidP="007007AC">
            <w:pPr>
              <w:spacing w:before="85" w:line="288" w:lineRule="auto"/>
              <w:jc w:val="center"/>
              <w:rPr>
                <w:sz w:val="18"/>
                <w:szCs w:val="18"/>
              </w:rPr>
            </w:pPr>
            <w:r w:rsidRPr="00CF3E3D">
              <w:rPr>
                <w:sz w:val="18"/>
                <w:szCs w:val="18"/>
              </w:rPr>
              <w:t>3.6</w:t>
            </w:r>
          </w:p>
        </w:tc>
      </w:tr>
      <w:tr w:rsidR="007B0FBA" w:rsidRPr="00CF3E3D" w14:paraId="1C3D4BA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362053EF" w14:textId="77777777" w:rsidR="007B0FBA" w:rsidRPr="009E1BB3" w:rsidRDefault="007B0FBA" w:rsidP="007007AC">
            <w:pPr>
              <w:spacing w:before="85" w:line="288" w:lineRule="auto"/>
              <w:rPr>
                <w:b/>
                <w:bCs/>
                <w:sz w:val="18"/>
                <w:szCs w:val="18"/>
              </w:rPr>
            </w:pPr>
            <w:r w:rsidRPr="009E1BB3">
              <w:rPr>
                <w:b/>
                <w:bCs/>
                <w:sz w:val="18"/>
                <w:szCs w:val="18"/>
              </w:rPr>
              <w:t>Teacher education</w:t>
            </w:r>
          </w:p>
        </w:tc>
        <w:tc>
          <w:tcPr>
            <w:cnfStyle w:val="000010000000" w:firstRow="0" w:lastRow="0" w:firstColumn="0" w:lastColumn="0" w:oddVBand="1" w:evenVBand="0" w:oddHBand="0" w:evenHBand="0" w:firstRowFirstColumn="0" w:firstRowLastColumn="0" w:lastRowFirstColumn="0" w:lastRowLastColumn="0"/>
            <w:tcW w:w="1068" w:type="pct"/>
          </w:tcPr>
          <w:p w14:paraId="1140C262" w14:textId="77777777" w:rsidR="007B0FBA" w:rsidRPr="00CF3E3D" w:rsidRDefault="007B0FBA" w:rsidP="007007AC">
            <w:pPr>
              <w:spacing w:before="85" w:line="288" w:lineRule="auto"/>
              <w:jc w:val="center"/>
              <w:rPr>
                <w:sz w:val="18"/>
                <w:szCs w:val="18"/>
              </w:rPr>
            </w:pPr>
            <w:r w:rsidRPr="00CF3E3D">
              <w:rPr>
                <w:sz w:val="18"/>
                <w:szCs w:val="18"/>
              </w:rPr>
              <w:t>8.0</w:t>
            </w:r>
          </w:p>
        </w:tc>
        <w:tc>
          <w:tcPr>
            <w:cnfStyle w:val="000001000000" w:firstRow="0" w:lastRow="0" w:firstColumn="0" w:lastColumn="0" w:oddVBand="0" w:evenVBand="1" w:oddHBand="0" w:evenHBand="0" w:firstRowFirstColumn="0" w:firstRowLastColumn="0" w:lastRowFirstColumn="0" w:lastRowLastColumn="0"/>
            <w:tcW w:w="1156" w:type="pct"/>
          </w:tcPr>
          <w:p w14:paraId="7C6DD2CF" w14:textId="77777777" w:rsidR="007B0FBA" w:rsidRPr="00CF3E3D" w:rsidRDefault="007B0FBA" w:rsidP="007007AC">
            <w:pPr>
              <w:spacing w:before="85" w:line="288" w:lineRule="auto"/>
              <w:jc w:val="center"/>
              <w:rPr>
                <w:sz w:val="18"/>
                <w:szCs w:val="18"/>
              </w:rPr>
            </w:pPr>
            <w:r w:rsidRPr="00CF3E3D">
              <w:rPr>
                <w:sz w:val="18"/>
                <w:szCs w:val="18"/>
              </w:rPr>
              <w:t>12.1</w:t>
            </w:r>
          </w:p>
        </w:tc>
      </w:tr>
      <w:tr w:rsidR="007B0FBA" w:rsidRPr="00CF3E3D" w14:paraId="5996D29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768C3AA1" w14:textId="77777777" w:rsidR="007B0FBA" w:rsidRPr="009E1BB3" w:rsidRDefault="007B0FBA" w:rsidP="007007AC">
            <w:pPr>
              <w:spacing w:before="85" w:line="288" w:lineRule="auto"/>
              <w:rPr>
                <w:b/>
                <w:bCs/>
                <w:sz w:val="18"/>
                <w:szCs w:val="18"/>
              </w:rPr>
            </w:pPr>
            <w:r w:rsidRPr="009E1BB3">
              <w:rPr>
                <w:b/>
                <w:bCs/>
                <w:sz w:val="18"/>
                <w:szCs w:val="18"/>
              </w:rPr>
              <w:t>Business and management</w:t>
            </w:r>
          </w:p>
        </w:tc>
        <w:tc>
          <w:tcPr>
            <w:cnfStyle w:val="000010000000" w:firstRow="0" w:lastRow="0" w:firstColumn="0" w:lastColumn="0" w:oddVBand="1" w:evenVBand="0" w:oddHBand="0" w:evenHBand="0" w:firstRowFirstColumn="0" w:firstRowLastColumn="0" w:lastRowFirstColumn="0" w:lastRowLastColumn="0"/>
            <w:tcW w:w="1068" w:type="pct"/>
          </w:tcPr>
          <w:p w14:paraId="7CB22114" w14:textId="77777777" w:rsidR="007B0FBA" w:rsidRPr="00CF3E3D" w:rsidRDefault="007B0FBA" w:rsidP="007007AC">
            <w:pPr>
              <w:spacing w:before="85" w:line="288" w:lineRule="auto"/>
              <w:jc w:val="center"/>
              <w:rPr>
                <w:sz w:val="18"/>
                <w:szCs w:val="18"/>
              </w:rPr>
            </w:pPr>
            <w:r w:rsidRPr="00CF3E3D">
              <w:rPr>
                <w:sz w:val="18"/>
                <w:szCs w:val="18"/>
              </w:rPr>
              <w:t>12.5</w:t>
            </w:r>
          </w:p>
        </w:tc>
        <w:tc>
          <w:tcPr>
            <w:cnfStyle w:val="000001000000" w:firstRow="0" w:lastRow="0" w:firstColumn="0" w:lastColumn="0" w:oddVBand="0" w:evenVBand="1" w:oddHBand="0" w:evenHBand="0" w:firstRowFirstColumn="0" w:firstRowLastColumn="0" w:lastRowFirstColumn="0" w:lastRowLastColumn="0"/>
            <w:tcW w:w="1156" w:type="pct"/>
          </w:tcPr>
          <w:p w14:paraId="58AC005D" w14:textId="77777777" w:rsidR="007B0FBA" w:rsidRPr="00CF3E3D" w:rsidRDefault="007B0FBA" w:rsidP="007007AC">
            <w:pPr>
              <w:spacing w:before="85" w:line="288" w:lineRule="auto"/>
              <w:jc w:val="center"/>
              <w:rPr>
                <w:sz w:val="18"/>
                <w:szCs w:val="18"/>
              </w:rPr>
            </w:pPr>
            <w:r w:rsidRPr="00CF3E3D">
              <w:rPr>
                <w:sz w:val="18"/>
                <w:szCs w:val="18"/>
              </w:rPr>
              <w:t>10.2</w:t>
            </w:r>
          </w:p>
        </w:tc>
      </w:tr>
      <w:tr w:rsidR="007B0FBA" w:rsidRPr="00CF3E3D" w14:paraId="0EF33E9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0A1AC148" w14:textId="77777777" w:rsidR="007B0FBA" w:rsidRPr="009E1BB3" w:rsidRDefault="007B0FBA" w:rsidP="007007AC">
            <w:pPr>
              <w:spacing w:before="85" w:line="288" w:lineRule="auto"/>
              <w:rPr>
                <w:b/>
                <w:bCs/>
                <w:sz w:val="18"/>
                <w:szCs w:val="18"/>
              </w:rPr>
            </w:pPr>
            <w:r w:rsidRPr="009E1BB3">
              <w:rPr>
                <w:b/>
                <w:bCs/>
                <w:sz w:val="18"/>
                <w:szCs w:val="18"/>
              </w:rPr>
              <w:t>Humanities, culture and social sciences</w:t>
            </w:r>
          </w:p>
        </w:tc>
        <w:tc>
          <w:tcPr>
            <w:cnfStyle w:val="000010000000" w:firstRow="0" w:lastRow="0" w:firstColumn="0" w:lastColumn="0" w:oddVBand="1" w:evenVBand="0" w:oddHBand="0" w:evenHBand="0" w:firstRowFirstColumn="0" w:firstRowLastColumn="0" w:lastRowFirstColumn="0" w:lastRowLastColumn="0"/>
            <w:tcW w:w="1068" w:type="pct"/>
          </w:tcPr>
          <w:p w14:paraId="3F759E61" w14:textId="77777777" w:rsidR="007B0FBA" w:rsidRPr="00CF3E3D" w:rsidRDefault="007B0FBA" w:rsidP="007007AC">
            <w:pPr>
              <w:spacing w:before="85" w:line="288" w:lineRule="auto"/>
              <w:jc w:val="center"/>
              <w:rPr>
                <w:sz w:val="18"/>
                <w:szCs w:val="18"/>
              </w:rPr>
            </w:pPr>
            <w:r w:rsidRPr="00CF3E3D">
              <w:rPr>
                <w:sz w:val="18"/>
                <w:szCs w:val="18"/>
              </w:rPr>
              <w:t>29.4</w:t>
            </w:r>
          </w:p>
        </w:tc>
        <w:tc>
          <w:tcPr>
            <w:cnfStyle w:val="000001000000" w:firstRow="0" w:lastRow="0" w:firstColumn="0" w:lastColumn="0" w:oddVBand="0" w:evenVBand="1" w:oddHBand="0" w:evenHBand="0" w:firstRowFirstColumn="0" w:firstRowLastColumn="0" w:lastRowFirstColumn="0" w:lastRowLastColumn="0"/>
            <w:tcW w:w="1156" w:type="pct"/>
          </w:tcPr>
          <w:p w14:paraId="1E49C40F" w14:textId="77777777" w:rsidR="007B0FBA" w:rsidRPr="00CF3E3D" w:rsidRDefault="007B0FBA" w:rsidP="007007AC">
            <w:pPr>
              <w:spacing w:before="85" w:line="288" w:lineRule="auto"/>
              <w:jc w:val="center"/>
              <w:rPr>
                <w:sz w:val="18"/>
                <w:szCs w:val="18"/>
              </w:rPr>
            </w:pPr>
            <w:r w:rsidRPr="00CF3E3D">
              <w:rPr>
                <w:sz w:val="18"/>
                <w:szCs w:val="18"/>
              </w:rPr>
              <w:t>23.7</w:t>
            </w:r>
          </w:p>
        </w:tc>
      </w:tr>
      <w:tr w:rsidR="007B0FBA" w:rsidRPr="00CF3E3D" w14:paraId="642A49C9"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24B57AE8" w14:textId="77777777" w:rsidR="007B0FBA" w:rsidRPr="009E1BB3" w:rsidRDefault="007B0FBA" w:rsidP="007007AC">
            <w:pPr>
              <w:spacing w:before="85" w:line="288" w:lineRule="auto"/>
              <w:rPr>
                <w:b/>
                <w:bCs/>
                <w:sz w:val="18"/>
                <w:szCs w:val="18"/>
              </w:rPr>
            </w:pPr>
            <w:r w:rsidRPr="009E1BB3">
              <w:rPr>
                <w:b/>
                <w:bCs/>
                <w:sz w:val="18"/>
                <w:szCs w:val="18"/>
              </w:rPr>
              <w:t>Social work</w:t>
            </w:r>
          </w:p>
        </w:tc>
        <w:tc>
          <w:tcPr>
            <w:cnfStyle w:val="000010000000" w:firstRow="0" w:lastRow="0" w:firstColumn="0" w:lastColumn="0" w:oddVBand="1" w:evenVBand="0" w:oddHBand="0" w:evenHBand="0" w:firstRowFirstColumn="0" w:firstRowLastColumn="0" w:lastRowFirstColumn="0" w:lastRowLastColumn="0"/>
            <w:tcW w:w="1068" w:type="pct"/>
          </w:tcPr>
          <w:p w14:paraId="6138CB67" w14:textId="77777777" w:rsidR="007B0FBA" w:rsidRPr="00CF3E3D" w:rsidRDefault="007B0FBA" w:rsidP="007007AC">
            <w:pPr>
              <w:spacing w:before="85" w:line="288" w:lineRule="auto"/>
              <w:jc w:val="center"/>
              <w:rPr>
                <w:sz w:val="18"/>
                <w:szCs w:val="18"/>
              </w:rPr>
            </w:pPr>
            <w:r w:rsidRPr="00CF3E3D">
              <w:rPr>
                <w:sz w:val="18"/>
                <w:szCs w:val="18"/>
              </w:rPr>
              <w:t>10.0</w:t>
            </w:r>
          </w:p>
        </w:tc>
        <w:tc>
          <w:tcPr>
            <w:cnfStyle w:val="000001000000" w:firstRow="0" w:lastRow="0" w:firstColumn="0" w:lastColumn="0" w:oddVBand="0" w:evenVBand="1" w:oddHBand="0" w:evenHBand="0" w:firstRowFirstColumn="0" w:firstRowLastColumn="0" w:lastRowFirstColumn="0" w:lastRowLastColumn="0"/>
            <w:tcW w:w="1156" w:type="pct"/>
          </w:tcPr>
          <w:p w14:paraId="5AE0264D" w14:textId="77777777" w:rsidR="007B0FBA" w:rsidRPr="00CF3E3D" w:rsidRDefault="007B0FBA" w:rsidP="007007AC">
            <w:pPr>
              <w:spacing w:before="85" w:line="288" w:lineRule="auto"/>
              <w:jc w:val="center"/>
              <w:rPr>
                <w:sz w:val="18"/>
                <w:szCs w:val="18"/>
              </w:rPr>
            </w:pPr>
            <w:r w:rsidRPr="00CF3E3D">
              <w:rPr>
                <w:sz w:val="18"/>
                <w:szCs w:val="18"/>
              </w:rPr>
              <w:t>9.1</w:t>
            </w:r>
          </w:p>
        </w:tc>
      </w:tr>
      <w:tr w:rsidR="007B0FBA" w:rsidRPr="00CF3E3D" w14:paraId="4BDEDF9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455DA0DA" w14:textId="77777777" w:rsidR="007B0FBA" w:rsidRPr="009E1BB3" w:rsidRDefault="007B0FBA" w:rsidP="007007AC">
            <w:pPr>
              <w:spacing w:before="85" w:line="288" w:lineRule="auto"/>
              <w:rPr>
                <w:b/>
                <w:bCs/>
                <w:sz w:val="18"/>
                <w:szCs w:val="18"/>
              </w:rPr>
            </w:pPr>
            <w:r w:rsidRPr="009E1BB3">
              <w:rPr>
                <w:b/>
                <w:bCs/>
                <w:sz w:val="18"/>
                <w:szCs w:val="18"/>
              </w:rPr>
              <w:t>Psychology</w:t>
            </w:r>
          </w:p>
        </w:tc>
        <w:tc>
          <w:tcPr>
            <w:cnfStyle w:val="000010000000" w:firstRow="0" w:lastRow="0" w:firstColumn="0" w:lastColumn="0" w:oddVBand="1" w:evenVBand="0" w:oddHBand="0" w:evenHBand="0" w:firstRowFirstColumn="0" w:firstRowLastColumn="0" w:lastRowFirstColumn="0" w:lastRowLastColumn="0"/>
            <w:tcW w:w="1068" w:type="pct"/>
          </w:tcPr>
          <w:p w14:paraId="33F09633" w14:textId="77777777" w:rsidR="007B0FBA" w:rsidRPr="00CF3E3D" w:rsidRDefault="007B0FBA" w:rsidP="007007AC">
            <w:pPr>
              <w:spacing w:before="85" w:line="288" w:lineRule="auto"/>
              <w:jc w:val="center"/>
              <w:rPr>
                <w:sz w:val="18"/>
                <w:szCs w:val="18"/>
              </w:rPr>
            </w:pPr>
            <w:r w:rsidRPr="00CF3E3D">
              <w:rPr>
                <w:sz w:val="18"/>
                <w:szCs w:val="18"/>
              </w:rPr>
              <w:t>37.5</w:t>
            </w:r>
          </w:p>
        </w:tc>
        <w:tc>
          <w:tcPr>
            <w:cnfStyle w:val="000001000000" w:firstRow="0" w:lastRow="0" w:firstColumn="0" w:lastColumn="0" w:oddVBand="0" w:evenVBand="1" w:oddHBand="0" w:evenHBand="0" w:firstRowFirstColumn="0" w:firstRowLastColumn="0" w:lastRowFirstColumn="0" w:lastRowLastColumn="0"/>
            <w:tcW w:w="1156" w:type="pct"/>
          </w:tcPr>
          <w:p w14:paraId="2FBEF58D" w14:textId="77777777" w:rsidR="007B0FBA" w:rsidRPr="00CF3E3D" w:rsidRDefault="007B0FBA" w:rsidP="007007AC">
            <w:pPr>
              <w:spacing w:before="85" w:line="288" w:lineRule="auto"/>
              <w:jc w:val="center"/>
              <w:rPr>
                <w:sz w:val="18"/>
                <w:szCs w:val="18"/>
              </w:rPr>
            </w:pPr>
            <w:r w:rsidRPr="00CF3E3D">
              <w:rPr>
                <w:sz w:val="18"/>
                <w:szCs w:val="18"/>
              </w:rPr>
              <w:t>32.6</w:t>
            </w:r>
          </w:p>
        </w:tc>
      </w:tr>
      <w:tr w:rsidR="007B0FBA" w:rsidRPr="00CF3E3D" w14:paraId="7C0AD78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403474A1" w14:textId="77777777" w:rsidR="007B0FBA" w:rsidRPr="009E1BB3" w:rsidRDefault="007B0FBA" w:rsidP="007007AC">
            <w:pPr>
              <w:spacing w:before="85" w:line="288" w:lineRule="auto"/>
              <w:rPr>
                <w:b/>
                <w:bCs/>
                <w:sz w:val="18"/>
                <w:szCs w:val="18"/>
              </w:rPr>
            </w:pPr>
            <w:r w:rsidRPr="009E1BB3">
              <w:rPr>
                <w:b/>
                <w:bCs/>
                <w:sz w:val="18"/>
                <w:szCs w:val="18"/>
              </w:rPr>
              <w:t>Law and paralegal studies</w:t>
            </w:r>
          </w:p>
        </w:tc>
        <w:tc>
          <w:tcPr>
            <w:cnfStyle w:val="000010000000" w:firstRow="0" w:lastRow="0" w:firstColumn="0" w:lastColumn="0" w:oddVBand="1" w:evenVBand="0" w:oddHBand="0" w:evenHBand="0" w:firstRowFirstColumn="0" w:firstRowLastColumn="0" w:lastRowFirstColumn="0" w:lastRowLastColumn="0"/>
            <w:tcW w:w="1068" w:type="pct"/>
          </w:tcPr>
          <w:p w14:paraId="376B16FC" w14:textId="77777777" w:rsidR="007B0FBA" w:rsidRPr="00CF3E3D" w:rsidRDefault="007B0FBA" w:rsidP="007007AC">
            <w:pPr>
              <w:spacing w:before="85" w:line="288" w:lineRule="auto"/>
              <w:jc w:val="center"/>
              <w:rPr>
                <w:sz w:val="18"/>
                <w:szCs w:val="18"/>
              </w:rPr>
            </w:pPr>
            <w:r w:rsidRPr="00CF3E3D">
              <w:rPr>
                <w:sz w:val="18"/>
                <w:szCs w:val="18"/>
              </w:rPr>
              <w:t>22.0</w:t>
            </w:r>
          </w:p>
        </w:tc>
        <w:tc>
          <w:tcPr>
            <w:cnfStyle w:val="000001000000" w:firstRow="0" w:lastRow="0" w:firstColumn="0" w:lastColumn="0" w:oddVBand="0" w:evenVBand="1" w:oddHBand="0" w:evenHBand="0" w:firstRowFirstColumn="0" w:firstRowLastColumn="0" w:lastRowFirstColumn="0" w:lastRowLastColumn="0"/>
            <w:tcW w:w="1156" w:type="pct"/>
          </w:tcPr>
          <w:p w14:paraId="225D9ADD" w14:textId="77777777" w:rsidR="007B0FBA" w:rsidRPr="00CF3E3D" w:rsidRDefault="007B0FBA" w:rsidP="007007AC">
            <w:pPr>
              <w:spacing w:before="85" w:line="288" w:lineRule="auto"/>
              <w:jc w:val="center"/>
              <w:rPr>
                <w:sz w:val="18"/>
                <w:szCs w:val="18"/>
              </w:rPr>
            </w:pPr>
            <w:r w:rsidRPr="00CF3E3D">
              <w:rPr>
                <w:sz w:val="18"/>
                <w:szCs w:val="18"/>
              </w:rPr>
              <w:t>19.6</w:t>
            </w:r>
          </w:p>
        </w:tc>
      </w:tr>
      <w:tr w:rsidR="007B0FBA" w:rsidRPr="00CF3E3D" w14:paraId="0E2C831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46FBBF5F" w14:textId="77777777" w:rsidR="007B0FBA" w:rsidRPr="009E1BB3" w:rsidRDefault="007B0FBA" w:rsidP="007007AC">
            <w:pPr>
              <w:spacing w:before="85" w:line="288" w:lineRule="auto"/>
              <w:rPr>
                <w:b/>
                <w:bCs/>
                <w:sz w:val="18"/>
                <w:szCs w:val="18"/>
              </w:rPr>
            </w:pPr>
            <w:r w:rsidRPr="009E1BB3">
              <w:rPr>
                <w:b/>
                <w:bCs/>
                <w:sz w:val="18"/>
                <w:szCs w:val="18"/>
              </w:rPr>
              <w:t>Creative arts</w:t>
            </w:r>
          </w:p>
        </w:tc>
        <w:tc>
          <w:tcPr>
            <w:cnfStyle w:val="000010000000" w:firstRow="0" w:lastRow="0" w:firstColumn="0" w:lastColumn="0" w:oddVBand="1" w:evenVBand="0" w:oddHBand="0" w:evenHBand="0" w:firstRowFirstColumn="0" w:firstRowLastColumn="0" w:lastRowFirstColumn="0" w:lastRowLastColumn="0"/>
            <w:tcW w:w="1068" w:type="pct"/>
          </w:tcPr>
          <w:p w14:paraId="42E96B44" w14:textId="77777777" w:rsidR="007B0FBA" w:rsidRPr="00CF3E3D" w:rsidRDefault="007B0FBA" w:rsidP="007007AC">
            <w:pPr>
              <w:spacing w:before="85" w:line="288" w:lineRule="auto"/>
              <w:jc w:val="center"/>
              <w:rPr>
                <w:sz w:val="18"/>
                <w:szCs w:val="18"/>
              </w:rPr>
            </w:pPr>
            <w:r w:rsidRPr="00CF3E3D">
              <w:rPr>
                <w:sz w:val="18"/>
                <w:szCs w:val="18"/>
              </w:rPr>
              <w:t>25.9</w:t>
            </w:r>
          </w:p>
        </w:tc>
        <w:tc>
          <w:tcPr>
            <w:cnfStyle w:val="000001000000" w:firstRow="0" w:lastRow="0" w:firstColumn="0" w:lastColumn="0" w:oddVBand="0" w:evenVBand="1" w:oddHBand="0" w:evenHBand="0" w:firstRowFirstColumn="0" w:firstRowLastColumn="0" w:lastRowFirstColumn="0" w:lastRowLastColumn="0"/>
            <w:tcW w:w="1156" w:type="pct"/>
          </w:tcPr>
          <w:p w14:paraId="0FC4DBAF" w14:textId="77777777" w:rsidR="007B0FBA" w:rsidRPr="00CF3E3D" w:rsidRDefault="007B0FBA" w:rsidP="007007AC">
            <w:pPr>
              <w:spacing w:before="85" w:line="288" w:lineRule="auto"/>
              <w:jc w:val="center"/>
              <w:rPr>
                <w:sz w:val="18"/>
                <w:szCs w:val="18"/>
              </w:rPr>
            </w:pPr>
            <w:r w:rsidRPr="00CF3E3D">
              <w:rPr>
                <w:sz w:val="18"/>
                <w:szCs w:val="18"/>
              </w:rPr>
              <w:t>21.8</w:t>
            </w:r>
          </w:p>
        </w:tc>
      </w:tr>
      <w:tr w:rsidR="007B0FBA" w:rsidRPr="00CF3E3D" w14:paraId="47BDE4F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5CAE043D" w14:textId="77777777" w:rsidR="007B0FBA" w:rsidRPr="009E1BB3" w:rsidRDefault="007B0FBA" w:rsidP="007007AC">
            <w:pPr>
              <w:spacing w:before="85" w:line="288" w:lineRule="auto"/>
              <w:rPr>
                <w:b/>
                <w:bCs/>
                <w:sz w:val="18"/>
                <w:szCs w:val="18"/>
              </w:rPr>
            </w:pPr>
            <w:r w:rsidRPr="009E1BB3">
              <w:rPr>
                <w:b/>
                <w:bCs/>
                <w:sz w:val="18"/>
                <w:szCs w:val="18"/>
              </w:rPr>
              <w:t>Communications</w:t>
            </w:r>
          </w:p>
        </w:tc>
        <w:tc>
          <w:tcPr>
            <w:cnfStyle w:val="000010000000" w:firstRow="0" w:lastRow="0" w:firstColumn="0" w:lastColumn="0" w:oddVBand="1" w:evenVBand="0" w:oddHBand="0" w:evenHBand="0" w:firstRowFirstColumn="0" w:firstRowLastColumn="0" w:lastRowFirstColumn="0" w:lastRowLastColumn="0"/>
            <w:tcW w:w="1068" w:type="pct"/>
          </w:tcPr>
          <w:p w14:paraId="1AE56DCE" w14:textId="77777777" w:rsidR="007B0FBA" w:rsidRPr="00CF3E3D" w:rsidRDefault="007B0FBA" w:rsidP="007007AC">
            <w:pPr>
              <w:spacing w:before="85" w:line="288" w:lineRule="auto"/>
              <w:jc w:val="center"/>
              <w:rPr>
                <w:sz w:val="18"/>
                <w:szCs w:val="18"/>
              </w:rPr>
            </w:pPr>
            <w:r w:rsidRPr="00CF3E3D">
              <w:rPr>
                <w:sz w:val="18"/>
                <w:szCs w:val="18"/>
              </w:rPr>
              <w:t>17.4</w:t>
            </w:r>
          </w:p>
        </w:tc>
        <w:tc>
          <w:tcPr>
            <w:cnfStyle w:val="000001000000" w:firstRow="0" w:lastRow="0" w:firstColumn="0" w:lastColumn="0" w:oddVBand="0" w:evenVBand="1" w:oddHBand="0" w:evenHBand="0" w:firstRowFirstColumn="0" w:firstRowLastColumn="0" w:lastRowFirstColumn="0" w:lastRowLastColumn="0"/>
            <w:tcW w:w="1156" w:type="pct"/>
          </w:tcPr>
          <w:p w14:paraId="6EB242E9" w14:textId="77777777" w:rsidR="007B0FBA" w:rsidRPr="00CF3E3D" w:rsidRDefault="007B0FBA" w:rsidP="007007AC">
            <w:pPr>
              <w:spacing w:before="85" w:line="288" w:lineRule="auto"/>
              <w:jc w:val="center"/>
              <w:rPr>
                <w:sz w:val="18"/>
                <w:szCs w:val="18"/>
              </w:rPr>
            </w:pPr>
            <w:r w:rsidRPr="00CF3E3D">
              <w:rPr>
                <w:sz w:val="18"/>
                <w:szCs w:val="18"/>
              </w:rPr>
              <w:t>12.3</w:t>
            </w:r>
          </w:p>
        </w:tc>
      </w:tr>
      <w:tr w:rsidR="007B0FBA" w:rsidRPr="00CF3E3D" w14:paraId="099D71C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5B06EA52" w14:textId="77777777" w:rsidR="007B0FBA" w:rsidRPr="009E1BB3" w:rsidRDefault="007B0FBA" w:rsidP="007007AC">
            <w:pPr>
              <w:spacing w:before="85" w:line="288" w:lineRule="auto"/>
              <w:rPr>
                <w:b/>
                <w:bCs/>
                <w:sz w:val="18"/>
                <w:szCs w:val="18"/>
              </w:rPr>
            </w:pPr>
            <w:r w:rsidRPr="009E1BB3">
              <w:rPr>
                <w:b/>
                <w:bCs/>
                <w:sz w:val="18"/>
                <w:szCs w:val="18"/>
              </w:rPr>
              <w:t>Tourism, hospitality, personal services, sport and recreation</w:t>
            </w:r>
          </w:p>
        </w:tc>
        <w:tc>
          <w:tcPr>
            <w:cnfStyle w:val="000010000000" w:firstRow="0" w:lastRow="0" w:firstColumn="0" w:lastColumn="0" w:oddVBand="1" w:evenVBand="0" w:oddHBand="0" w:evenHBand="0" w:firstRowFirstColumn="0" w:firstRowLastColumn="0" w:lastRowFirstColumn="0" w:lastRowLastColumn="0"/>
            <w:tcW w:w="1068" w:type="pct"/>
          </w:tcPr>
          <w:p w14:paraId="335823E8" w14:textId="77777777" w:rsidR="007B0FBA" w:rsidRPr="00CF3E3D" w:rsidRDefault="007B0FBA" w:rsidP="007007AC">
            <w:pPr>
              <w:spacing w:before="85" w:line="288" w:lineRule="auto"/>
              <w:jc w:val="center"/>
              <w:rPr>
                <w:sz w:val="18"/>
                <w:szCs w:val="18"/>
              </w:rPr>
            </w:pPr>
            <w:r w:rsidRPr="00CF3E3D">
              <w:rPr>
                <w:sz w:val="18"/>
                <w:szCs w:val="18"/>
              </w:rPr>
              <w:t>29.4</w:t>
            </w:r>
          </w:p>
        </w:tc>
        <w:tc>
          <w:tcPr>
            <w:cnfStyle w:val="000001000000" w:firstRow="0" w:lastRow="0" w:firstColumn="0" w:lastColumn="0" w:oddVBand="0" w:evenVBand="1" w:oddHBand="0" w:evenHBand="0" w:firstRowFirstColumn="0" w:firstRowLastColumn="0" w:lastRowFirstColumn="0" w:lastRowLastColumn="0"/>
            <w:tcW w:w="1156" w:type="pct"/>
          </w:tcPr>
          <w:p w14:paraId="57664622" w14:textId="77777777" w:rsidR="007B0FBA" w:rsidRPr="00CF3E3D" w:rsidRDefault="007B0FBA" w:rsidP="007007AC">
            <w:pPr>
              <w:spacing w:before="85" w:line="288" w:lineRule="auto"/>
              <w:jc w:val="center"/>
              <w:rPr>
                <w:sz w:val="18"/>
                <w:szCs w:val="18"/>
              </w:rPr>
            </w:pPr>
            <w:r w:rsidRPr="00CF3E3D">
              <w:rPr>
                <w:sz w:val="18"/>
                <w:szCs w:val="18"/>
              </w:rPr>
              <w:t>21.6</w:t>
            </w:r>
          </w:p>
        </w:tc>
      </w:tr>
      <w:tr w:rsidR="007B0FBA" w:rsidRPr="00CF3E3D" w14:paraId="17C9416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78238B14" w14:textId="77777777" w:rsidR="007B0FBA" w:rsidRPr="009E1BB3" w:rsidRDefault="007B0FBA" w:rsidP="007007AC">
            <w:pPr>
              <w:spacing w:before="85" w:line="288" w:lineRule="auto"/>
              <w:rPr>
                <w:b/>
                <w:bCs/>
                <w:sz w:val="18"/>
                <w:szCs w:val="18"/>
              </w:rPr>
            </w:pPr>
            <w:r w:rsidRPr="009E1BB3">
              <w:rPr>
                <w:b/>
                <w:bCs/>
                <w:sz w:val="18"/>
                <w:szCs w:val="18"/>
              </w:rPr>
              <w:t>All study areas</w:t>
            </w:r>
          </w:p>
        </w:tc>
        <w:tc>
          <w:tcPr>
            <w:cnfStyle w:val="000010000000" w:firstRow="0" w:lastRow="0" w:firstColumn="0" w:lastColumn="0" w:oddVBand="1" w:evenVBand="0" w:oddHBand="0" w:evenHBand="0" w:firstRowFirstColumn="0" w:firstRowLastColumn="0" w:lastRowFirstColumn="0" w:lastRowLastColumn="0"/>
            <w:tcW w:w="1068" w:type="pct"/>
          </w:tcPr>
          <w:p w14:paraId="069B74A8" w14:textId="77777777" w:rsidR="007B0FBA" w:rsidRPr="00CF3E3D" w:rsidRDefault="007B0FBA" w:rsidP="007007AC">
            <w:pPr>
              <w:spacing w:before="85" w:line="288" w:lineRule="auto"/>
              <w:jc w:val="center"/>
              <w:rPr>
                <w:b/>
                <w:bCs/>
                <w:sz w:val="18"/>
                <w:szCs w:val="18"/>
              </w:rPr>
            </w:pPr>
            <w:r w:rsidRPr="00CF3E3D">
              <w:rPr>
                <w:b/>
                <w:bCs/>
                <w:sz w:val="18"/>
                <w:szCs w:val="18"/>
              </w:rPr>
              <w:t>21.1</w:t>
            </w:r>
          </w:p>
        </w:tc>
        <w:tc>
          <w:tcPr>
            <w:cnfStyle w:val="000001000000" w:firstRow="0" w:lastRow="0" w:firstColumn="0" w:lastColumn="0" w:oddVBand="0" w:evenVBand="1" w:oddHBand="0" w:evenHBand="0" w:firstRowFirstColumn="0" w:firstRowLastColumn="0" w:lastRowFirstColumn="0" w:lastRowLastColumn="0"/>
            <w:tcW w:w="1156" w:type="pct"/>
          </w:tcPr>
          <w:p w14:paraId="14D70436" w14:textId="77777777" w:rsidR="007B0FBA" w:rsidRPr="00CF3E3D" w:rsidRDefault="007B0FBA" w:rsidP="007007AC">
            <w:pPr>
              <w:spacing w:before="85" w:line="288" w:lineRule="auto"/>
              <w:jc w:val="center"/>
              <w:rPr>
                <w:b/>
                <w:bCs/>
                <w:sz w:val="18"/>
                <w:szCs w:val="18"/>
              </w:rPr>
            </w:pPr>
            <w:r w:rsidRPr="00CF3E3D">
              <w:rPr>
                <w:b/>
                <w:bCs/>
                <w:sz w:val="18"/>
                <w:szCs w:val="18"/>
              </w:rPr>
              <w:t>18.6</w:t>
            </w:r>
          </w:p>
        </w:tc>
      </w:tr>
    </w:tbl>
    <w:p w14:paraId="1EDF6962" w14:textId="2A850FBC" w:rsidR="007B0FBA" w:rsidRPr="00CF3E3D" w:rsidRDefault="007B0FBA" w:rsidP="007B0FBA">
      <w:pPr>
        <w:pStyle w:val="Body"/>
      </w:pPr>
      <w:bookmarkStart w:id="127" w:name="_Toc22200712"/>
      <w:r w:rsidRPr="00CF3E3D">
        <w:t xml:space="preserve">In 2022, Society and culture was the most common field of education destination chosen by undergraduates undertaking further full-time study, with 26.8 per cent enrolled in this </w:t>
      </w:r>
      <w:r w:rsidR="00764CD7">
        <w:t>destination</w:t>
      </w:r>
      <w:r w:rsidRPr="00CF3E3D">
        <w:t xml:space="preserve">, see </w:t>
      </w:r>
      <w:r w:rsidRPr="00CF3E3D">
        <w:fldChar w:fldCharType="begin"/>
      </w:r>
      <w:r w:rsidRPr="00CF3E3D">
        <w:instrText xml:space="preserve"> REF _Ref78966707 \h  \* MERGEFORMAT </w:instrText>
      </w:r>
      <w:r w:rsidRPr="00CF3E3D">
        <w:fldChar w:fldCharType="separate"/>
      </w:r>
      <w:r w:rsidRPr="00CF3E3D">
        <w:t xml:space="preserve">Table </w:t>
      </w:r>
      <w:r>
        <w:t>18</w:t>
      </w:r>
      <w:r w:rsidRPr="00CF3E3D">
        <w:fldChar w:fldCharType="end"/>
      </w:r>
      <w:r w:rsidRPr="00CF3E3D">
        <w:t xml:space="preserve">. This was followed by Health, 23.8 per cent, Natural and physical sciences, 15.4 per cent, and Education, 8.5 per cent. </w:t>
      </w:r>
    </w:p>
    <w:p w14:paraId="7BDAA153" w14:textId="77777777" w:rsidR="007B0FBA" w:rsidRPr="00CF3E3D" w:rsidRDefault="007B0FBA" w:rsidP="007B0FBA">
      <w:pPr>
        <w:pStyle w:val="Body"/>
      </w:pPr>
      <w:r w:rsidRPr="00CF3E3D">
        <w:t>There has been a marked decrease in the proportion of undergraduates undertaking further full-time study who chose Health as their field of education, down 7.6 percentage points between 2021 and 2022. Other notable changes in 2022 include increases in the proportion of undergraduates choosing Society and culture for further full-time study, up 5.4 percentage points, and Natural and physical sciences, up 4.5 percentage points.</w:t>
      </w:r>
    </w:p>
    <w:p w14:paraId="0D6BED5C" w14:textId="6D88B072" w:rsidR="007B0FBA" w:rsidRPr="00AD4DA1" w:rsidRDefault="007B0FBA" w:rsidP="00AD4DA1">
      <w:pPr>
        <w:pStyle w:val="Caption"/>
        <w:ind w:left="851" w:hanging="851"/>
        <w:rPr>
          <w:color w:val="000000" w:themeColor="text1"/>
        </w:rPr>
      </w:pPr>
      <w:bookmarkStart w:id="128" w:name="_Ref78966707"/>
      <w:bookmarkStart w:id="129" w:name="_Toc77927543"/>
      <w:bookmarkStart w:id="130" w:name="_Toc116035812"/>
      <w:bookmarkStart w:id="131" w:name="_Toc116040367"/>
      <w:r w:rsidRPr="00AD4DA1">
        <w:rPr>
          <w:color w:val="000000" w:themeColor="text1"/>
        </w:rPr>
        <w:t xml:space="preserve">Table </w:t>
      </w:r>
      <w:r w:rsidRPr="00AD4DA1">
        <w:rPr>
          <w:color w:val="000000" w:themeColor="text1"/>
        </w:rPr>
        <w:fldChar w:fldCharType="begin"/>
      </w:r>
      <w:r w:rsidRPr="00AD4DA1">
        <w:rPr>
          <w:color w:val="000000" w:themeColor="text1"/>
        </w:rPr>
        <w:instrText xml:space="preserve"> SEQ Table \* ARABIC </w:instrText>
      </w:r>
      <w:r w:rsidRPr="00AD4DA1">
        <w:rPr>
          <w:color w:val="000000" w:themeColor="text1"/>
        </w:rPr>
        <w:fldChar w:fldCharType="separate"/>
      </w:r>
      <w:r w:rsidR="00AD4DA1">
        <w:rPr>
          <w:noProof/>
          <w:color w:val="000000" w:themeColor="text1"/>
        </w:rPr>
        <w:t>18</w:t>
      </w:r>
      <w:r w:rsidRPr="00AD4DA1">
        <w:rPr>
          <w:color w:val="000000" w:themeColor="text1"/>
        </w:rPr>
        <w:fldChar w:fldCharType="end"/>
      </w:r>
      <w:bookmarkEnd w:id="128"/>
      <w:r w:rsidRPr="00AD4DA1">
        <w:rPr>
          <w:color w:val="000000" w:themeColor="text1"/>
        </w:rPr>
        <w:t xml:space="preserve"> Broad field of education destinations of undergraduates undertaking further full-time study, 2021-2022 (%)</w:t>
      </w:r>
      <w:bookmarkEnd w:id="127"/>
      <w:bookmarkEnd w:id="129"/>
      <w:bookmarkEnd w:id="130"/>
      <w:bookmarkEnd w:id="131"/>
    </w:p>
    <w:tbl>
      <w:tblPr>
        <w:tblStyle w:val="SRC1"/>
        <w:tblW w:w="4202" w:type="pct"/>
        <w:tblLayout w:type="fixed"/>
        <w:tblLook w:val="00A0" w:firstRow="1" w:lastRow="0" w:firstColumn="1" w:lastColumn="0" w:noHBand="0" w:noVBand="0"/>
        <w:tblCaption w:val="Table 5  Short- (2014) and medium-term (2017) outcomes for undergraduates by study area "/>
      </w:tblPr>
      <w:tblGrid>
        <w:gridCol w:w="4232"/>
        <w:gridCol w:w="1628"/>
        <w:gridCol w:w="1762"/>
      </w:tblGrid>
      <w:tr w:rsidR="007B0FBA" w:rsidRPr="00CF3E3D" w14:paraId="661D0ECE"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2776" w:type="pct"/>
          </w:tcPr>
          <w:p w14:paraId="007D8DCF" w14:textId="77777777" w:rsidR="007B0FBA" w:rsidRPr="00AD4DA1" w:rsidRDefault="007B0FBA" w:rsidP="007007AC">
            <w:pPr>
              <w:spacing w:before="85" w:line="288" w:lineRule="auto"/>
              <w:rPr>
                <w:b w:val="0"/>
                <w:color w:val="FFFFFF" w:themeColor="background1"/>
                <w:sz w:val="18"/>
              </w:rPr>
            </w:pPr>
            <w:bookmarkStart w:id="132" w:name="Title18"/>
            <w:bookmarkEnd w:id="132"/>
            <w:r w:rsidRPr="00AD4DA1">
              <w:rPr>
                <w:color w:val="FFFFFF" w:themeColor="background1"/>
                <w:sz w:val="18"/>
                <w:szCs w:val="18"/>
              </w:rPr>
              <w:t>Field of education</w:t>
            </w:r>
          </w:p>
        </w:tc>
        <w:tc>
          <w:tcPr>
            <w:cnfStyle w:val="000010000000" w:firstRow="0" w:lastRow="0" w:firstColumn="0" w:lastColumn="0" w:oddVBand="1" w:evenVBand="0" w:oddHBand="0" w:evenHBand="0" w:firstRowFirstColumn="0" w:firstRowLastColumn="0" w:lastRowFirstColumn="0" w:lastRowLastColumn="0"/>
            <w:tcW w:w="1068" w:type="pct"/>
          </w:tcPr>
          <w:p w14:paraId="6BB5F831" w14:textId="77777777" w:rsidR="007B0FBA" w:rsidRPr="00AD4DA1" w:rsidRDefault="007B0FBA" w:rsidP="007007AC">
            <w:pPr>
              <w:spacing w:before="85" w:line="288" w:lineRule="auto"/>
              <w:jc w:val="center"/>
              <w:rPr>
                <w:b w:val="0"/>
                <w:color w:val="FFFFFF" w:themeColor="background1"/>
                <w:sz w:val="18"/>
                <w:szCs w:val="18"/>
              </w:rPr>
            </w:pPr>
            <w:r w:rsidRPr="00AD4DA1">
              <w:rPr>
                <w:color w:val="FFFFFF" w:themeColor="background1"/>
                <w:sz w:val="18"/>
                <w:szCs w:val="18"/>
              </w:rPr>
              <w:t>In full-time study</w:t>
            </w:r>
            <w:r w:rsidRPr="00AD4DA1">
              <w:rPr>
                <w:caps/>
                <w:color w:val="FFFFFF" w:themeColor="background1"/>
                <w:sz w:val="18"/>
                <w:szCs w:val="18"/>
              </w:rPr>
              <w:t xml:space="preserve"> </w:t>
            </w:r>
            <w:r w:rsidRPr="00AD4DA1">
              <w:rPr>
                <w:color w:val="FFFFFF" w:themeColor="background1"/>
                <w:sz w:val="18"/>
                <w:szCs w:val="18"/>
              </w:rPr>
              <w:t>2021</w:t>
            </w:r>
          </w:p>
        </w:tc>
        <w:tc>
          <w:tcPr>
            <w:cnfStyle w:val="000001000000" w:firstRow="0" w:lastRow="0" w:firstColumn="0" w:lastColumn="0" w:oddVBand="0" w:evenVBand="1" w:oddHBand="0" w:evenHBand="0" w:firstRowFirstColumn="0" w:firstRowLastColumn="0" w:lastRowFirstColumn="0" w:lastRowLastColumn="0"/>
            <w:tcW w:w="1156" w:type="pct"/>
          </w:tcPr>
          <w:p w14:paraId="3EFF6045" w14:textId="77777777" w:rsidR="007B0FBA" w:rsidRPr="00AD4DA1" w:rsidRDefault="007B0FBA" w:rsidP="007007AC">
            <w:pPr>
              <w:spacing w:before="85" w:line="288" w:lineRule="auto"/>
              <w:jc w:val="center"/>
              <w:rPr>
                <w:b w:val="0"/>
                <w:color w:val="FFFFFF" w:themeColor="background1"/>
                <w:sz w:val="18"/>
                <w:szCs w:val="18"/>
              </w:rPr>
            </w:pPr>
            <w:r w:rsidRPr="00AD4DA1">
              <w:rPr>
                <w:color w:val="FFFFFF" w:themeColor="background1"/>
                <w:sz w:val="18"/>
                <w:szCs w:val="18"/>
              </w:rPr>
              <w:t>In full-time study</w:t>
            </w:r>
            <w:r w:rsidRPr="00AD4DA1">
              <w:rPr>
                <w:caps/>
                <w:color w:val="FFFFFF" w:themeColor="background1"/>
                <w:sz w:val="18"/>
                <w:szCs w:val="18"/>
              </w:rPr>
              <w:t xml:space="preserve"> </w:t>
            </w:r>
            <w:r w:rsidRPr="00AD4DA1">
              <w:rPr>
                <w:color w:val="FFFFFF" w:themeColor="background1"/>
                <w:sz w:val="18"/>
                <w:szCs w:val="18"/>
              </w:rPr>
              <w:t>2022</w:t>
            </w:r>
          </w:p>
        </w:tc>
      </w:tr>
      <w:tr w:rsidR="007B0FBA" w:rsidRPr="00CF3E3D" w14:paraId="4744E5C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03CDE994" w14:textId="77777777" w:rsidR="007B0FBA" w:rsidRPr="009E1BB3" w:rsidRDefault="007B0FBA" w:rsidP="007007AC">
            <w:pPr>
              <w:spacing w:before="85" w:line="288" w:lineRule="auto"/>
              <w:rPr>
                <w:b/>
                <w:bCs/>
                <w:sz w:val="18"/>
                <w:szCs w:val="18"/>
              </w:rPr>
            </w:pPr>
            <w:r w:rsidRPr="009E1BB3">
              <w:rPr>
                <w:b/>
                <w:bCs/>
                <w:sz w:val="18"/>
              </w:rPr>
              <w:t>Natural and physical sciences</w:t>
            </w:r>
          </w:p>
        </w:tc>
        <w:tc>
          <w:tcPr>
            <w:cnfStyle w:val="000010000000" w:firstRow="0" w:lastRow="0" w:firstColumn="0" w:lastColumn="0" w:oddVBand="1" w:evenVBand="0" w:oddHBand="0" w:evenHBand="0" w:firstRowFirstColumn="0" w:firstRowLastColumn="0" w:lastRowFirstColumn="0" w:lastRowLastColumn="0"/>
            <w:tcW w:w="1068" w:type="pct"/>
          </w:tcPr>
          <w:p w14:paraId="0D868618" w14:textId="77777777" w:rsidR="007B0FBA" w:rsidRPr="00CF3E3D" w:rsidRDefault="007B0FBA" w:rsidP="007007AC">
            <w:pPr>
              <w:spacing w:before="85" w:line="288" w:lineRule="auto"/>
              <w:jc w:val="center"/>
              <w:rPr>
                <w:sz w:val="18"/>
                <w:szCs w:val="18"/>
              </w:rPr>
            </w:pPr>
            <w:r w:rsidRPr="00CF3E3D">
              <w:rPr>
                <w:sz w:val="18"/>
                <w:szCs w:val="18"/>
              </w:rPr>
              <w:t>10.9</w:t>
            </w:r>
          </w:p>
        </w:tc>
        <w:tc>
          <w:tcPr>
            <w:cnfStyle w:val="000001000000" w:firstRow="0" w:lastRow="0" w:firstColumn="0" w:lastColumn="0" w:oddVBand="0" w:evenVBand="1" w:oddHBand="0" w:evenHBand="0" w:firstRowFirstColumn="0" w:firstRowLastColumn="0" w:lastRowFirstColumn="0" w:lastRowLastColumn="0"/>
            <w:tcW w:w="1156" w:type="pct"/>
          </w:tcPr>
          <w:p w14:paraId="7CD30A73" w14:textId="77777777" w:rsidR="007B0FBA" w:rsidRPr="00CF3E3D" w:rsidRDefault="007B0FBA" w:rsidP="007007AC">
            <w:pPr>
              <w:spacing w:before="85" w:line="288" w:lineRule="auto"/>
              <w:jc w:val="center"/>
              <w:rPr>
                <w:sz w:val="18"/>
                <w:szCs w:val="18"/>
              </w:rPr>
            </w:pPr>
            <w:r w:rsidRPr="00CF3E3D">
              <w:rPr>
                <w:sz w:val="18"/>
                <w:szCs w:val="18"/>
              </w:rPr>
              <w:t>15.4</w:t>
            </w:r>
          </w:p>
        </w:tc>
      </w:tr>
      <w:tr w:rsidR="007B0FBA" w:rsidRPr="00CF3E3D" w14:paraId="7E61544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392FAA7B" w14:textId="77777777" w:rsidR="007B0FBA" w:rsidRPr="009E1BB3" w:rsidRDefault="007B0FBA" w:rsidP="007007AC">
            <w:pPr>
              <w:spacing w:before="85" w:line="288" w:lineRule="auto"/>
              <w:rPr>
                <w:b/>
                <w:bCs/>
                <w:sz w:val="18"/>
                <w:szCs w:val="18"/>
              </w:rPr>
            </w:pPr>
            <w:r w:rsidRPr="009E1BB3">
              <w:rPr>
                <w:b/>
                <w:bCs/>
                <w:sz w:val="18"/>
              </w:rPr>
              <w:lastRenderedPageBreak/>
              <w:t>Information technology</w:t>
            </w:r>
          </w:p>
        </w:tc>
        <w:tc>
          <w:tcPr>
            <w:cnfStyle w:val="000010000000" w:firstRow="0" w:lastRow="0" w:firstColumn="0" w:lastColumn="0" w:oddVBand="1" w:evenVBand="0" w:oddHBand="0" w:evenHBand="0" w:firstRowFirstColumn="0" w:firstRowLastColumn="0" w:lastRowFirstColumn="0" w:lastRowLastColumn="0"/>
            <w:tcW w:w="1068" w:type="pct"/>
          </w:tcPr>
          <w:p w14:paraId="74AC0A72" w14:textId="77777777" w:rsidR="007B0FBA" w:rsidRPr="00CF3E3D" w:rsidRDefault="007B0FBA" w:rsidP="007007AC">
            <w:pPr>
              <w:spacing w:before="85" w:line="288" w:lineRule="auto"/>
              <w:jc w:val="center"/>
              <w:rPr>
                <w:sz w:val="18"/>
                <w:szCs w:val="18"/>
              </w:rPr>
            </w:pPr>
            <w:r w:rsidRPr="00CF3E3D">
              <w:rPr>
                <w:sz w:val="18"/>
                <w:szCs w:val="18"/>
              </w:rPr>
              <w:t>3.1</w:t>
            </w:r>
          </w:p>
        </w:tc>
        <w:tc>
          <w:tcPr>
            <w:cnfStyle w:val="000001000000" w:firstRow="0" w:lastRow="0" w:firstColumn="0" w:lastColumn="0" w:oddVBand="0" w:evenVBand="1" w:oddHBand="0" w:evenHBand="0" w:firstRowFirstColumn="0" w:firstRowLastColumn="0" w:lastRowFirstColumn="0" w:lastRowLastColumn="0"/>
            <w:tcW w:w="1156" w:type="pct"/>
          </w:tcPr>
          <w:p w14:paraId="0719A87C" w14:textId="77777777" w:rsidR="007B0FBA" w:rsidRPr="00CF3E3D" w:rsidRDefault="007B0FBA" w:rsidP="007007AC">
            <w:pPr>
              <w:spacing w:before="85" w:line="288" w:lineRule="auto"/>
              <w:jc w:val="center"/>
              <w:rPr>
                <w:sz w:val="18"/>
                <w:szCs w:val="18"/>
              </w:rPr>
            </w:pPr>
            <w:r w:rsidRPr="00CF3E3D">
              <w:rPr>
                <w:sz w:val="18"/>
                <w:szCs w:val="18"/>
              </w:rPr>
              <w:t>3.1</w:t>
            </w:r>
          </w:p>
        </w:tc>
      </w:tr>
      <w:tr w:rsidR="007B0FBA" w:rsidRPr="00CF3E3D" w14:paraId="2459E66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76EAAFE2" w14:textId="77777777" w:rsidR="007B0FBA" w:rsidRPr="009E1BB3" w:rsidRDefault="007B0FBA" w:rsidP="007007AC">
            <w:pPr>
              <w:spacing w:before="85" w:line="288" w:lineRule="auto"/>
              <w:rPr>
                <w:b/>
                <w:bCs/>
                <w:sz w:val="18"/>
                <w:szCs w:val="18"/>
              </w:rPr>
            </w:pPr>
            <w:r w:rsidRPr="009E1BB3">
              <w:rPr>
                <w:b/>
                <w:bCs/>
                <w:sz w:val="18"/>
              </w:rPr>
              <w:t>Engineering and related technologies</w:t>
            </w:r>
          </w:p>
        </w:tc>
        <w:tc>
          <w:tcPr>
            <w:cnfStyle w:val="000010000000" w:firstRow="0" w:lastRow="0" w:firstColumn="0" w:lastColumn="0" w:oddVBand="1" w:evenVBand="0" w:oddHBand="0" w:evenHBand="0" w:firstRowFirstColumn="0" w:firstRowLastColumn="0" w:lastRowFirstColumn="0" w:lastRowLastColumn="0"/>
            <w:tcW w:w="1068" w:type="pct"/>
          </w:tcPr>
          <w:p w14:paraId="246A629F" w14:textId="77777777" w:rsidR="007B0FBA" w:rsidRPr="00CF3E3D" w:rsidRDefault="007B0FBA" w:rsidP="007007AC">
            <w:pPr>
              <w:spacing w:before="85" w:line="288" w:lineRule="auto"/>
              <w:jc w:val="center"/>
              <w:rPr>
                <w:sz w:val="18"/>
                <w:szCs w:val="18"/>
              </w:rPr>
            </w:pPr>
            <w:r w:rsidRPr="00CF3E3D">
              <w:rPr>
                <w:sz w:val="18"/>
                <w:szCs w:val="18"/>
              </w:rPr>
              <w:t>4.6</w:t>
            </w:r>
          </w:p>
        </w:tc>
        <w:tc>
          <w:tcPr>
            <w:cnfStyle w:val="000001000000" w:firstRow="0" w:lastRow="0" w:firstColumn="0" w:lastColumn="0" w:oddVBand="0" w:evenVBand="1" w:oddHBand="0" w:evenHBand="0" w:firstRowFirstColumn="0" w:firstRowLastColumn="0" w:lastRowFirstColumn="0" w:lastRowLastColumn="0"/>
            <w:tcW w:w="1156" w:type="pct"/>
          </w:tcPr>
          <w:p w14:paraId="2056286F" w14:textId="77777777" w:rsidR="007B0FBA" w:rsidRPr="00CF3E3D" w:rsidRDefault="007B0FBA" w:rsidP="007007AC">
            <w:pPr>
              <w:spacing w:before="85" w:line="288" w:lineRule="auto"/>
              <w:jc w:val="center"/>
              <w:rPr>
                <w:sz w:val="18"/>
                <w:szCs w:val="18"/>
              </w:rPr>
            </w:pPr>
            <w:r w:rsidRPr="00CF3E3D">
              <w:rPr>
                <w:sz w:val="18"/>
                <w:szCs w:val="18"/>
              </w:rPr>
              <w:t>4.8</w:t>
            </w:r>
          </w:p>
        </w:tc>
      </w:tr>
      <w:tr w:rsidR="007B0FBA" w:rsidRPr="00CF3E3D" w14:paraId="48509D7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27E96446" w14:textId="77777777" w:rsidR="007B0FBA" w:rsidRPr="009E1BB3" w:rsidRDefault="007B0FBA" w:rsidP="007007AC">
            <w:pPr>
              <w:spacing w:before="85" w:line="288" w:lineRule="auto"/>
              <w:rPr>
                <w:b/>
                <w:bCs/>
                <w:sz w:val="18"/>
                <w:szCs w:val="18"/>
              </w:rPr>
            </w:pPr>
            <w:r w:rsidRPr="009E1BB3">
              <w:rPr>
                <w:b/>
                <w:bCs/>
                <w:sz w:val="18"/>
              </w:rPr>
              <w:t>Architecture and building</w:t>
            </w:r>
          </w:p>
        </w:tc>
        <w:tc>
          <w:tcPr>
            <w:cnfStyle w:val="000010000000" w:firstRow="0" w:lastRow="0" w:firstColumn="0" w:lastColumn="0" w:oddVBand="1" w:evenVBand="0" w:oddHBand="0" w:evenHBand="0" w:firstRowFirstColumn="0" w:firstRowLastColumn="0" w:lastRowFirstColumn="0" w:lastRowLastColumn="0"/>
            <w:tcW w:w="1068" w:type="pct"/>
          </w:tcPr>
          <w:p w14:paraId="3FB89D42" w14:textId="77777777" w:rsidR="007B0FBA" w:rsidRPr="00CF3E3D" w:rsidRDefault="007B0FBA" w:rsidP="007007AC">
            <w:pPr>
              <w:spacing w:before="85" w:line="288" w:lineRule="auto"/>
              <w:jc w:val="center"/>
              <w:rPr>
                <w:sz w:val="18"/>
                <w:szCs w:val="18"/>
              </w:rPr>
            </w:pPr>
            <w:r w:rsidRPr="00CF3E3D">
              <w:rPr>
                <w:sz w:val="18"/>
                <w:szCs w:val="18"/>
              </w:rPr>
              <w:t>2.5</w:t>
            </w:r>
          </w:p>
        </w:tc>
        <w:tc>
          <w:tcPr>
            <w:cnfStyle w:val="000001000000" w:firstRow="0" w:lastRow="0" w:firstColumn="0" w:lastColumn="0" w:oddVBand="0" w:evenVBand="1" w:oddHBand="0" w:evenHBand="0" w:firstRowFirstColumn="0" w:firstRowLastColumn="0" w:lastRowFirstColumn="0" w:lastRowLastColumn="0"/>
            <w:tcW w:w="1156" w:type="pct"/>
          </w:tcPr>
          <w:p w14:paraId="2875BFED" w14:textId="77777777" w:rsidR="007B0FBA" w:rsidRPr="00CF3E3D" w:rsidRDefault="007B0FBA" w:rsidP="007007AC">
            <w:pPr>
              <w:spacing w:before="85" w:line="288" w:lineRule="auto"/>
              <w:jc w:val="center"/>
              <w:rPr>
                <w:sz w:val="18"/>
                <w:szCs w:val="18"/>
              </w:rPr>
            </w:pPr>
            <w:r w:rsidRPr="00CF3E3D">
              <w:rPr>
                <w:sz w:val="18"/>
                <w:szCs w:val="18"/>
              </w:rPr>
              <w:t>2.9</w:t>
            </w:r>
          </w:p>
        </w:tc>
      </w:tr>
      <w:tr w:rsidR="007B0FBA" w:rsidRPr="00CF3E3D" w14:paraId="7EB4751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57B6E608" w14:textId="77777777" w:rsidR="007B0FBA" w:rsidRPr="009E1BB3" w:rsidRDefault="007B0FBA" w:rsidP="007007AC">
            <w:pPr>
              <w:spacing w:before="85" w:line="288" w:lineRule="auto"/>
              <w:rPr>
                <w:b/>
                <w:bCs/>
                <w:sz w:val="18"/>
                <w:szCs w:val="18"/>
              </w:rPr>
            </w:pPr>
            <w:r w:rsidRPr="009E1BB3">
              <w:rPr>
                <w:b/>
                <w:bCs/>
                <w:sz w:val="18"/>
              </w:rPr>
              <w:t>Agriculture, environmental and related studies</w:t>
            </w:r>
          </w:p>
        </w:tc>
        <w:tc>
          <w:tcPr>
            <w:cnfStyle w:val="000010000000" w:firstRow="0" w:lastRow="0" w:firstColumn="0" w:lastColumn="0" w:oddVBand="1" w:evenVBand="0" w:oddHBand="0" w:evenHBand="0" w:firstRowFirstColumn="0" w:firstRowLastColumn="0" w:lastRowFirstColumn="0" w:lastRowLastColumn="0"/>
            <w:tcW w:w="1068" w:type="pct"/>
          </w:tcPr>
          <w:p w14:paraId="1EA39308" w14:textId="77777777" w:rsidR="007B0FBA" w:rsidRPr="00CF3E3D" w:rsidRDefault="007B0FBA" w:rsidP="007007AC">
            <w:pPr>
              <w:spacing w:before="85" w:line="288" w:lineRule="auto"/>
              <w:jc w:val="center"/>
              <w:rPr>
                <w:sz w:val="18"/>
                <w:szCs w:val="18"/>
              </w:rPr>
            </w:pPr>
            <w:r w:rsidRPr="00CF3E3D">
              <w:rPr>
                <w:sz w:val="18"/>
                <w:szCs w:val="18"/>
              </w:rPr>
              <w:t>2.0</w:t>
            </w:r>
          </w:p>
        </w:tc>
        <w:tc>
          <w:tcPr>
            <w:cnfStyle w:val="000001000000" w:firstRow="0" w:lastRow="0" w:firstColumn="0" w:lastColumn="0" w:oddVBand="0" w:evenVBand="1" w:oddHBand="0" w:evenHBand="0" w:firstRowFirstColumn="0" w:firstRowLastColumn="0" w:lastRowFirstColumn="0" w:lastRowLastColumn="0"/>
            <w:tcW w:w="1156" w:type="pct"/>
          </w:tcPr>
          <w:p w14:paraId="044C5062" w14:textId="77777777" w:rsidR="007B0FBA" w:rsidRPr="00CF3E3D" w:rsidRDefault="007B0FBA" w:rsidP="007007AC">
            <w:pPr>
              <w:spacing w:before="85" w:line="288" w:lineRule="auto"/>
              <w:jc w:val="center"/>
              <w:rPr>
                <w:sz w:val="18"/>
                <w:szCs w:val="18"/>
              </w:rPr>
            </w:pPr>
            <w:r w:rsidRPr="00CF3E3D">
              <w:rPr>
                <w:sz w:val="18"/>
                <w:szCs w:val="18"/>
              </w:rPr>
              <w:t>1.6</w:t>
            </w:r>
          </w:p>
        </w:tc>
      </w:tr>
      <w:tr w:rsidR="007B0FBA" w:rsidRPr="00CF3E3D" w14:paraId="19B34ED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6BFD3471" w14:textId="77777777" w:rsidR="007B0FBA" w:rsidRPr="009E1BB3" w:rsidRDefault="007B0FBA" w:rsidP="007007AC">
            <w:pPr>
              <w:spacing w:before="85" w:line="288" w:lineRule="auto"/>
              <w:rPr>
                <w:b/>
                <w:bCs/>
                <w:sz w:val="18"/>
                <w:szCs w:val="18"/>
              </w:rPr>
            </w:pPr>
            <w:r w:rsidRPr="009E1BB3">
              <w:rPr>
                <w:b/>
                <w:bCs/>
                <w:sz w:val="18"/>
              </w:rPr>
              <w:t>Health</w:t>
            </w:r>
          </w:p>
        </w:tc>
        <w:tc>
          <w:tcPr>
            <w:cnfStyle w:val="000010000000" w:firstRow="0" w:lastRow="0" w:firstColumn="0" w:lastColumn="0" w:oddVBand="1" w:evenVBand="0" w:oddHBand="0" w:evenHBand="0" w:firstRowFirstColumn="0" w:firstRowLastColumn="0" w:lastRowFirstColumn="0" w:lastRowLastColumn="0"/>
            <w:tcW w:w="1068" w:type="pct"/>
          </w:tcPr>
          <w:p w14:paraId="6BD1D6B3" w14:textId="77777777" w:rsidR="007B0FBA" w:rsidRPr="00CF3E3D" w:rsidRDefault="007B0FBA" w:rsidP="007007AC">
            <w:pPr>
              <w:spacing w:before="85" w:line="288" w:lineRule="auto"/>
              <w:jc w:val="center"/>
              <w:rPr>
                <w:sz w:val="18"/>
                <w:szCs w:val="18"/>
              </w:rPr>
            </w:pPr>
            <w:r w:rsidRPr="00CF3E3D">
              <w:rPr>
                <w:sz w:val="18"/>
                <w:szCs w:val="18"/>
              </w:rPr>
              <w:t>31.4</w:t>
            </w:r>
          </w:p>
        </w:tc>
        <w:tc>
          <w:tcPr>
            <w:cnfStyle w:val="000001000000" w:firstRow="0" w:lastRow="0" w:firstColumn="0" w:lastColumn="0" w:oddVBand="0" w:evenVBand="1" w:oddHBand="0" w:evenHBand="0" w:firstRowFirstColumn="0" w:firstRowLastColumn="0" w:lastRowFirstColumn="0" w:lastRowLastColumn="0"/>
            <w:tcW w:w="1156" w:type="pct"/>
          </w:tcPr>
          <w:p w14:paraId="6C267069" w14:textId="77777777" w:rsidR="007B0FBA" w:rsidRPr="00CF3E3D" w:rsidRDefault="007B0FBA" w:rsidP="007007AC">
            <w:pPr>
              <w:spacing w:before="85" w:line="288" w:lineRule="auto"/>
              <w:jc w:val="center"/>
              <w:rPr>
                <w:sz w:val="18"/>
                <w:szCs w:val="18"/>
              </w:rPr>
            </w:pPr>
            <w:r w:rsidRPr="00CF3E3D">
              <w:rPr>
                <w:sz w:val="18"/>
                <w:szCs w:val="18"/>
              </w:rPr>
              <w:t>23.8</w:t>
            </w:r>
          </w:p>
        </w:tc>
      </w:tr>
      <w:tr w:rsidR="007B0FBA" w:rsidRPr="00CF3E3D" w14:paraId="2BC86B2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0EE3D709" w14:textId="77777777" w:rsidR="007B0FBA" w:rsidRPr="009E1BB3" w:rsidRDefault="007B0FBA" w:rsidP="007007AC">
            <w:pPr>
              <w:spacing w:before="85" w:line="288" w:lineRule="auto"/>
              <w:rPr>
                <w:b/>
                <w:bCs/>
                <w:sz w:val="18"/>
                <w:szCs w:val="18"/>
              </w:rPr>
            </w:pPr>
            <w:r w:rsidRPr="009E1BB3">
              <w:rPr>
                <w:b/>
                <w:bCs/>
                <w:sz w:val="18"/>
              </w:rPr>
              <w:t>Education</w:t>
            </w:r>
          </w:p>
        </w:tc>
        <w:tc>
          <w:tcPr>
            <w:cnfStyle w:val="000010000000" w:firstRow="0" w:lastRow="0" w:firstColumn="0" w:lastColumn="0" w:oddVBand="1" w:evenVBand="0" w:oddHBand="0" w:evenHBand="0" w:firstRowFirstColumn="0" w:firstRowLastColumn="0" w:lastRowFirstColumn="0" w:lastRowLastColumn="0"/>
            <w:tcW w:w="1068" w:type="pct"/>
          </w:tcPr>
          <w:p w14:paraId="55BD3AB3" w14:textId="77777777" w:rsidR="007B0FBA" w:rsidRPr="00CF3E3D" w:rsidRDefault="007B0FBA" w:rsidP="007007AC">
            <w:pPr>
              <w:spacing w:before="85" w:line="288" w:lineRule="auto"/>
              <w:jc w:val="center"/>
              <w:rPr>
                <w:sz w:val="18"/>
                <w:szCs w:val="18"/>
              </w:rPr>
            </w:pPr>
            <w:r w:rsidRPr="00CF3E3D">
              <w:rPr>
                <w:sz w:val="18"/>
                <w:szCs w:val="18"/>
              </w:rPr>
              <w:t>9.1</w:t>
            </w:r>
          </w:p>
        </w:tc>
        <w:tc>
          <w:tcPr>
            <w:cnfStyle w:val="000001000000" w:firstRow="0" w:lastRow="0" w:firstColumn="0" w:lastColumn="0" w:oddVBand="0" w:evenVBand="1" w:oddHBand="0" w:evenHBand="0" w:firstRowFirstColumn="0" w:firstRowLastColumn="0" w:lastRowFirstColumn="0" w:lastRowLastColumn="0"/>
            <w:tcW w:w="1156" w:type="pct"/>
          </w:tcPr>
          <w:p w14:paraId="5781DB57" w14:textId="77777777" w:rsidR="007B0FBA" w:rsidRPr="00CF3E3D" w:rsidRDefault="007B0FBA" w:rsidP="007007AC">
            <w:pPr>
              <w:spacing w:before="85" w:line="288" w:lineRule="auto"/>
              <w:jc w:val="center"/>
              <w:rPr>
                <w:sz w:val="18"/>
                <w:szCs w:val="18"/>
              </w:rPr>
            </w:pPr>
            <w:r w:rsidRPr="00CF3E3D">
              <w:rPr>
                <w:sz w:val="18"/>
                <w:szCs w:val="18"/>
              </w:rPr>
              <w:t>8.5</w:t>
            </w:r>
          </w:p>
        </w:tc>
      </w:tr>
      <w:tr w:rsidR="007B0FBA" w:rsidRPr="00CF3E3D" w14:paraId="395400F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42C47DA1" w14:textId="77777777" w:rsidR="007B0FBA" w:rsidRPr="009E1BB3" w:rsidRDefault="007B0FBA" w:rsidP="007007AC">
            <w:pPr>
              <w:spacing w:before="85" w:line="288" w:lineRule="auto"/>
              <w:rPr>
                <w:b/>
                <w:bCs/>
                <w:sz w:val="18"/>
                <w:szCs w:val="18"/>
              </w:rPr>
            </w:pPr>
            <w:r w:rsidRPr="009E1BB3">
              <w:rPr>
                <w:b/>
                <w:bCs/>
                <w:sz w:val="18"/>
              </w:rPr>
              <w:t>Management and commerce</w:t>
            </w:r>
          </w:p>
        </w:tc>
        <w:tc>
          <w:tcPr>
            <w:cnfStyle w:val="000010000000" w:firstRow="0" w:lastRow="0" w:firstColumn="0" w:lastColumn="0" w:oddVBand="1" w:evenVBand="0" w:oddHBand="0" w:evenHBand="0" w:firstRowFirstColumn="0" w:firstRowLastColumn="0" w:lastRowFirstColumn="0" w:lastRowLastColumn="0"/>
            <w:tcW w:w="1068" w:type="pct"/>
          </w:tcPr>
          <w:p w14:paraId="071472FE" w14:textId="77777777" w:rsidR="007B0FBA" w:rsidRPr="00CF3E3D" w:rsidRDefault="007B0FBA" w:rsidP="007007AC">
            <w:pPr>
              <w:spacing w:before="85" w:line="288" w:lineRule="auto"/>
              <w:jc w:val="center"/>
              <w:rPr>
                <w:sz w:val="18"/>
                <w:szCs w:val="18"/>
              </w:rPr>
            </w:pPr>
            <w:r w:rsidRPr="00CF3E3D">
              <w:rPr>
                <w:sz w:val="18"/>
                <w:szCs w:val="18"/>
              </w:rPr>
              <w:t>6.4</w:t>
            </w:r>
          </w:p>
        </w:tc>
        <w:tc>
          <w:tcPr>
            <w:cnfStyle w:val="000001000000" w:firstRow="0" w:lastRow="0" w:firstColumn="0" w:lastColumn="0" w:oddVBand="0" w:evenVBand="1" w:oddHBand="0" w:evenHBand="0" w:firstRowFirstColumn="0" w:firstRowLastColumn="0" w:lastRowFirstColumn="0" w:lastRowLastColumn="0"/>
            <w:tcW w:w="1156" w:type="pct"/>
          </w:tcPr>
          <w:p w14:paraId="368C2429" w14:textId="77777777" w:rsidR="007B0FBA" w:rsidRPr="00CF3E3D" w:rsidRDefault="007B0FBA" w:rsidP="007007AC">
            <w:pPr>
              <w:spacing w:before="85" w:line="288" w:lineRule="auto"/>
              <w:jc w:val="center"/>
              <w:rPr>
                <w:sz w:val="18"/>
                <w:szCs w:val="18"/>
              </w:rPr>
            </w:pPr>
            <w:r w:rsidRPr="00CF3E3D">
              <w:rPr>
                <w:sz w:val="18"/>
                <w:szCs w:val="18"/>
              </w:rPr>
              <w:t>5.5</w:t>
            </w:r>
          </w:p>
        </w:tc>
      </w:tr>
      <w:tr w:rsidR="007B0FBA" w:rsidRPr="00CF3E3D" w14:paraId="7419DBC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66B6469E" w14:textId="77777777" w:rsidR="007B0FBA" w:rsidRPr="009E1BB3" w:rsidRDefault="007B0FBA" w:rsidP="007007AC">
            <w:pPr>
              <w:spacing w:before="85" w:line="288" w:lineRule="auto"/>
              <w:rPr>
                <w:b/>
                <w:bCs/>
                <w:sz w:val="18"/>
                <w:szCs w:val="18"/>
              </w:rPr>
            </w:pPr>
            <w:r w:rsidRPr="009E1BB3">
              <w:rPr>
                <w:b/>
                <w:bCs/>
                <w:sz w:val="18"/>
              </w:rPr>
              <w:t>Society and culture</w:t>
            </w:r>
          </w:p>
        </w:tc>
        <w:tc>
          <w:tcPr>
            <w:cnfStyle w:val="000010000000" w:firstRow="0" w:lastRow="0" w:firstColumn="0" w:lastColumn="0" w:oddVBand="1" w:evenVBand="0" w:oddHBand="0" w:evenHBand="0" w:firstRowFirstColumn="0" w:firstRowLastColumn="0" w:lastRowFirstColumn="0" w:lastRowLastColumn="0"/>
            <w:tcW w:w="1068" w:type="pct"/>
          </w:tcPr>
          <w:p w14:paraId="79C00665" w14:textId="77777777" w:rsidR="007B0FBA" w:rsidRPr="00CF3E3D" w:rsidRDefault="007B0FBA" w:rsidP="007007AC">
            <w:pPr>
              <w:spacing w:before="85" w:line="288" w:lineRule="auto"/>
              <w:jc w:val="center"/>
              <w:rPr>
                <w:sz w:val="18"/>
                <w:szCs w:val="18"/>
              </w:rPr>
            </w:pPr>
            <w:r w:rsidRPr="00CF3E3D">
              <w:rPr>
                <w:sz w:val="18"/>
                <w:szCs w:val="18"/>
              </w:rPr>
              <w:t>21.4</w:t>
            </w:r>
          </w:p>
        </w:tc>
        <w:tc>
          <w:tcPr>
            <w:cnfStyle w:val="000001000000" w:firstRow="0" w:lastRow="0" w:firstColumn="0" w:lastColumn="0" w:oddVBand="0" w:evenVBand="1" w:oddHBand="0" w:evenHBand="0" w:firstRowFirstColumn="0" w:firstRowLastColumn="0" w:lastRowFirstColumn="0" w:lastRowLastColumn="0"/>
            <w:tcW w:w="1156" w:type="pct"/>
          </w:tcPr>
          <w:p w14:paraId="56C23937" w14:textId="77777777" w:rsidR="007B0FBA" w:rsidRPr="00CF3E3D" w:rsidRDefault="007B0FBA" w:rsidP="007007AC">
            <w:pPr>
              <w:spacing w:before="85" w:line="288" w:lineRule="auto"/>
              <w:jc w:val="center"/>
              <w:rPr>
                <w:sz w:val="18"/>
                <w:szCs w:val="18"/>
              </w:rPr>
            </w:pPr>
            <w:r w:rsidRPr="00CF3E3D">
              <w:rPr>
                <w:sz w:val="18"/>
                <w:szCs w:val="18"/>
              </w:rPr>
              <w:t>26.8</w:t>
            </w:r>
          </w:p>
        </w:tc>
      </w:tr>
      <w:tr w:rsidR="007B0FBA" w:rsidRPr="00CF3E3D" w14:paraId="084219B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1F124C19" w14:textId="77777777" w:rsidR="007B0FBA" w:rsidRPr="009E1BB3" w:rsidRDefault="007B0FBA" w:rsidP="007007AC">
            <w:pPr>
              <w:spacing w:before="85" w:line="288" w:lineRule="auto"/>
              <w:rPr>
                <w:b/>
                <w:bCs/>
                <w:sz w:val="18"/>
                <w:szCs w:val="18"/>
              </w:rPr>
            </w:pPr>
            <w:r w:rsidRPr="009E1BB3">
              <w:rPr>
                <w:b/>
                <w:bCs/>
                <w:sz w:val="18"/>
              </w:rPr>
              <w:t>Creative arts</w:t>
            </w:r>
          </w:p>
        </w:tc>
        <w:tc>
          <w:tcPr>
            <w:cnfStyle w:val="000010000000" w:firstRow="0" w:lastRow="0" w:firstColumn="0" w:lastColumn="0" w:oddVBand="1" w:evenVBand="0" w:oddHBand="0" w:evenHBand="0" w:firstRowFirstColumn="0" w:firstRowLastColumn="0" w:lastRowFirstColumn="0" w:lastRowLastColumn="0"/>
            <w:tcW w:w="1068" w:type="pct"/>
          </w:tcPr>
          <w:p w14:paraId="1BFE220B" w14:textId="77777777" w:rsidR="007B0FBA" w:rsidRPr="00CF3E3D" w:rsidRDefault="007B0FBA" w:rsidP="007007AC">
            <w:pPr>
              <w:spacing w:before="85" w:line="288" w:lineRule="auto"/>
              <w:jc w:val="center"/>
              <w:rPr>
                <w:sz w:val="18"/>
                <w:szCs w:val="18"/>
              </w:rPr>
            </w:pPr>
            <w:r w:rsidRPr="00CF3E3D">
              <w:rPr>
                <w:sz w:val="18"/>
                <w:szCs w:val="18"/>
              </w:rPr>
              <w:t>6.1</w:t>
            </w:r>
          </w:p>
        </w:tc>
        <w:tc>
          <w:tcPr>
            <w:cnfStyle w:val="000001000000" w:firstRow="0" w:lastRow="0" w:firstColumn="0" w:lastColumn="0" w:oddVBand="0" w:evenVBand="1" w:oddHBand="0" w:evenHBand="0" w:firstRowFirstColumn="0" w:firstRowLastColumn="0" w:lastRowFirstColumn="0" w:lastRowLastColumn="0"/>
            <w:tcW w:w="1156" w:type="pct"/>
          </w:tcPr>
          <w:p w14:paraId="7F6CB3FE" w14:textId="77777777" w:rsidR="007B0FBA" w:rsidRPr="00CF3E3D" w:rsidRDefault="007B0FBA" w:rsidP="007007AC">
            <w:pPr>
              <w:spacing w:before="85" w:line="288" w:lineRule="auto"/>
              <w:jc w:val="center"/>
              <w:rPr>
                <w:sz w:val="18"/>
                <w:szCs w:val="18"/>
              </w:rPr>
            </w:pPr>
            <w:r w:rsidRPr="00CF3E3D">
              <w:rPr>
                <w:sz w:val="18"/>
                <w:szCs w:val="18"/>
              </w:rPr>
              <w:t>5.7</w:t>
            </w:r>
          </w:p>
        </w:tc>
      </w:tr>
      <w:tr w:rsidR="007B0FBA" w:rsidRPr="00CF3E3D" w14:paraId="5C211CA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6AE1B12F" w14:textId="77777777" w:rsidR="007B0FBA" w:rsidRPr="009E1BB3" w:rsidRDefault="007B0FBA" w:rsidP="007007AC">
            <w:pPr>
              <w:spacing w:before="85" w:line="288" w:lineRule="auto"/>
              <w:rPr>
                <w:b/>
                <w:bCs/>
                <w:sz w:val="18"/>
                <w:szCs w:val="18"/>
              </w:rPr>
            </w:pPr>
            <w:r w:rsidRPr="009E1BB3">
              <w:rPr>
                <w:b/>
                <w:bCs/>
                <w:sz w:val="18"/>
              </w:rPr>
              <w:t>Food, hospitality and personal services</w:t>
            </w:r>
          </w:p>
        </w:tc>
        <w:tc>
          <w:tcPr>
            <w:cnfStyle w:val="000010000000" w:firstRow="0" w:lastRow="0" w:firstColumn="0" w:lastColumn="0" w:oddVBand="1" w:evenVBand="0" w:oddHBand="0" w:evenHBand="0" w:firstRowFirstColumn="0" w:firstRowLastColumn="0" w:lastRowFirstColumn="0" w:lastRowLastColumn="0"/>
            <w:tcW w:w="1068" w:type="pct"/>
          </w:tcPr>
          <w:p w14:paraId="6F575640" w14:textId="77777777" w:rsidR="007B0FBA" w:rsidRPr="00CF3E3D" w:rsidRDefault="007B0FBA" w:rsidP="007007AC">
            <w:pPr>
              <w:spacing w:before="85" w:line="288" w:lineRule="auto"/>
              <w:jc w:val="center"/>
              <w:rPr>
                <w:sz w:val="18"/>
                <w:szCs w:val="18"/>
              </w:rPr>
            </w:pPr>
            <w:r w:rsidRPr="00CF3E3D">
              <w:rPr>
                <w:sz w:val="18"/>
                <w:szCs w:val="18"/>
              </w:rPr>
              <w:t>0.3</w:t>
            </w:r>
          </w:p>
        </w:tc>
        <w:tc>
          <w:tcPr>
            <w:cnfStyle w:val="000001000000" w:firstRow="0" w:lastRow="0" w:firstColumn="0" w:lastColumn="0" w:oddVBand="0" w:evenVBand="1" w:oddHBand="0" w:evenHBand="0" w:firstRowFirstColumn="0" w:firstRowLastColumn="0" w:lastRowFirstColumn="0" w:lastRowLastColumn="0"/>
            <w:tcW w:w="1156" w:type="pct"/>
          </w:tcPr>
          <w:p w14:paraId="0494D0F6" w14:textId="77777777" w:rsidR="007B0FBA" w:rsidRPr="00CF3E3D" w:rsidRDefault="007B0FBA" w:rsidP="007007AC">
            <w:pPr>
              <w:spacing w:before="85" w:line="288" w:lineRule="auto"/>
              <w:jc w:val="center"/>
              <w:rPr>
                <w:sz w:val="18"/>
                <w:szCs w:val="18"/>
              </w:rPr>
            </w:pPr>
            <w:r w:rsidRPr="00CF3E3D">
              <w:rPr>
                <w:sz w:val="18"/>
                <w:szCs w:val="18"/>
              </w:rPr>
              <w:t>0.3</w:t>
            </w:r>
          </w:p>
        </w:tc>
      </w:tr>
      <w:tr w:rsidR="007B0FBA" w:rsidRPr="00CF3E3D" w14:paraId="7F6ACA3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7D54D761" w14:textId="77777777" w:rsidR="007B0FBA" w:rsidRPr="009E1BB3" w:rsidRDefault="007B0FBA" w:rsidP="007007AC">
            <w:pPr>
              <w:spacing w:before="85" w:line="288" w:lineRule="auto"/>
              <w:rPr>
                <w:b/>
                <w:bCs/>
                <w:sz w:val="18"/>
                <w:szCs w:val="18"/>
              </w:rPr>
            </w:pPr>
            <w:r w:rsidRPr="009E1BB3">
              <w:rPr>
                <w:b/>
                <w:bCs/>
                <w:sz w:val="18"/>
              </w:rPr>
              <w:t>Mixed field qualification</w:t>
            </w:r>
          </w:p>
        </w:tc>
        <w:tc>
          <w:tcPr>
            <w:cnfStyle w:val="000010000000" w:firstRow="0" w:lastRow="0" w:firstColumn="0" w:lastColumn="0" w:oddVBand="1" w:evenVBand="0" w:oddHBand="0" w:evenHBand="0" w:firstRowFirstColumn="0" w:firstRowLastColumn="0" w:lastRowFirstColumn="0" w:lastRowLastColumn="0"/>
            <w:tcW w:w="1068" w:type="pct"/>
          </w:tcPr>
          <w:p w14:paraId="3AD7A497" w14:textId="77777777" w:rsidR="007B0FBA" w:rsidRPr="00CF3E3D" w:rsidRDefault="007B0FBA" w:rsidP="007007AC">
            <w:pPr>
              <w:spacing w:before="85" w:line="288" w:lineRule="auto"/>
              <w:jc w:val="center"/>
              <w:rPr>
                <w:sz w:val="18"/>
                <w:szCs w:val="18"/>
              </w:rPr>
            </w:pPr>
            <w:r w:rsidRPr="00CF3E3D">
              <w:rPr>
                <w:sz w:val="18"/>
                <w:szCs w:val="18"/>
              </w:rPr>
              <w:t>1.9</w:t>
            </w:r>
          </w:p>
        </w:tc>
        <w:tc>
          <w:tcPr>
            <w:cnfStyle w:val="000001000000" w:firstRow="0" w:lastRow="0" w:firstColumn="0" w:lastColumn="0" w:oddVBand="0" w:evenVBand="1" w:oddHBand="0" w:evenHBand="0" w:firstRowFirstColumn="0" w:firstRowLastColumn="0" w:lastRowFirstColumn="0" w:lastRowLastColumn="0"/>
            <w:tcW w:w="1156" w:type="pct"/>
          </w:tcPr>
          <w:p w14:paraId="7DD21489" w14:textId="77777777" w:rsidR="007B0FBA" w:rsidRPr="00CF3E3D" w:rsidRDefault="007B0FBA" w:rsidP="007007AC">
            <w:pPr>
              <w:spacing w:before="85" w:line="288" w:lineRule="auto"/>
              <w:jc w:val="center"/>
              <w:rPr>
                <w:sz w:val="18"/>
                <w:szCs w:val="18"/>
              </w:rPr>
            </w:pPr>
            <w:r w:rsidRPr="00CF3E3D">
              <w:rPr>
                <w:sz w:val="18"/>
                <w:szCs w:val="18"/>
              </w:rPr>
              <w:t>1.4</w:t>
            </w:r>
          </w:p>
        </w:tc>
      </w:tr>
      <w:tr w:rsidR="007B0FBA" w:rsidRPr="00CF3E3D" w14:paraId="4809146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3EDDC41B" w14:textId="77777777" w:rsidR="007B0FBA" w:rsidRPr="009E1BB3" w:rsidRDefault="007B0FBA" w:rsidP="007007AC">
            <w:pPr>
              <w:spacing w:before="85" w:line="288" w:lineRule="auto"/>
              <w:rPr>
                <w:b/>
                <w:bCs/>
                <w:sz w:val="18"/>
                <w:szCs w:val="18"/>
              </w:rPr>
            </w:pPr>
            <w:r w:rsidRPr="009E1BB3">
              <w:rPr>
                <w:b/>
                <w:bCs/>
                <w:sz w:val="18"/>
              </w:rPr>
              <w:t>Other</w:t>
            </w:r>
          </w:p>
        </w:tc>
        <w:tc>
          <w:tcPr>
            <w:cnfStyle w:val="000010000000" w:firstRow="0" w:lastRow="0" w:firstColumn="0" w:lastColumn="0" w:oddVBand="1" w:evenVBand="0" w:oddHBand="0" w:evenHBand="0" w:firstRowFirstColumn="0" w:firstRowLastColumn="0" w:lastRowFirstColumn="0" w:lastRowLastColumn="0"/>
            <w:tcW w:w="1068" w:type="pct"/>
          </w:tcPr>
          <w:p w14:paraId="5CB904F7" w14:textId="77777777" w:rsidR="007B0FBA" w:rsidRPr="00CF3E3D" w:rsidRDefault="007B0FBA" w:rsidP="007007AC">
            <w:pPr>
              <w:spacing w:before="85" w:line="288" w:lineRule="auto"/>
              <w:jc w:val="center"/>
              <w:rPr>
                <w:sz w:val="18"/>
                <w:szCs w:val="18"/>
              </w:rPr>
            </w:pPr>
            <w:r w:rsidRPr="00CF3E3D">
              <w:rPr>
                <w:sz w:val="18"/>
                <w:szCs w:val="18"/>
              </w:rPr>
              <w:t>0.2</w:t>
            </w:r>
          </w:p>
        </w:tc>
        <w:tc>
          <w:tcPr>
            <w:cnfStyle w:val="000001000000" w:firstRow="0" w:lastRow="0" w:firstColumn="0" w:lastColumn="0" w:oddVBand="0" w:evenVBand="1" w:oddHBand="0" w:evenHBand="0" w:firstRowFirstColumn="0" w:firstRowLastColumn="0" w:lastRowFirstColumn="0" w:lastRowLastColumn="0"/>
            <w:tcW w:w="1156" w:type="pct"/>
          </w:tcPr>
          <w:p w14:paraId="41006AAC" w14:textId="77777777" w:rsidR="007B0FBA" w:rsidRPr="00CF3E3D" w:rsidRDefault="007B0FBA" w:rsidP="007007AC">
            <w:pPr>
              <w:spacing w:before="85" w:line="288" w:lineRule="auto"/>
              <w:jc w:val="center"/>
              <w:rPr>
                <w:sz w:val="18"/>
                <w:szCs w:val="18"/>
              </w:rPr>
            </w:pPr>
            <w:r w:rsidRPr="00CF3E3D">
              <w:rPr>
                <w:sz w:val="18"/>
                <w:szCs w:val="18"/>
              </w:rPr>
              <w:t>0.1</w:t>
            </w:r>
          </w:p>
        </w:tc>
      </w:tr>
      <w:tr w:rsidR="007B0FBA" w:rsidRPr="00CF3E3D" w14:paraId="079C3ED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76" w:type="pct"/>
          </w:tcPr>
          <w:p w14:paraId="1F5FF3E2" w14:textId="77777777" w:rsidR="007B0FBA" w:rsidRPr="009E1BB3" w:rsidRDefault="007B0FBA" w:rsidP="007007AC">
            <w:pPr>
              <w:spacing w:before="85" w:line="288" w:lineRule="auto"/>
              <w:rPr>
                <w:b/>
                <w:bCs/>
                <w:sz w:val="18"/>
                <w:szCs w:val="18"/>
              </w:rPr>
            </w:pPr>
            <w:r w:rsidRPr="009E1BB3">
              <w:rPr>
                <w:b/>
                <w:bCs/>
                <w:sz w:val="18"/>
              </w:rPr>
              <w:t>Total</w:t>
            </w:r>
          </w:p>
        </w:tc>
        <w:tc>
          <w:tcPr>
            <w:cnfStyle w:val="000010000000" w:firstRow="0" w:lastRow="0" w:firstColumn="0" w:lastColumn="0" w:oddVBand="1" w:evenVBand="0" w:oddHBand="0" w:evenHBand="0" w:firstRowFirstColumn="0" w:firstRowLastColumn="0" w:lastRowFirstColumn="0" w:lastRowLastColumn="0"/>
            <w:tcW w:w="1068" w:type="pct"/>
          </w:tcPr>
          <w:p w14:paraId="3F1BD761" w14:textId="77777777" w:rsidR="007B0FBA" w:rsidRPr="00CF3E3D" w:rsidRDefault="007B0FBA" w:rsidP="007007AC">
            <w:pPr>
              <w:spacing w:before="85" w:line="288" w:lineRule="auto"/>
              <w:jc w:val="center"/>
              <w:rPr>
                <w:b/>
                <w:bCs/>
                <w:sz w:val="18"/>
                <w:szCs w:val="18"/>
              </w:rPr>
            </w:pPr>
            <w:r w:rsidRPr="00CF3E3D">
              <w:rPr>
                <w:b/>
                <w:bCs/>
                <w:sz w:val="18"/>
                <w:szCs w:val="18"/>
              </w:rPr>
              <w:t>100.0</w:t>
            </w:r>
          </w:p>
        </w:tc>
        <w:tc>
          <w:tcPr>
            <w:cnfStyle w:val="000001000000" w:firstRow="0" w:lastRow="0" w:firstColumn="0" w:lastColumn="0" w:oddVBand="0" w:evenVBand="1" w:oddHBand="0" w:evenHBand="0" w:firstRowFirstColumn="0" w:firstRowLastColumn="0" w:lastRowFirstColumn="0" w:lastRowLastColumn="0"/>
            <w:tcW w:w="1156" w:type="pct"/>
          </w:tcPr>
          <w:p w14:paraId="2A227982" w14:textId="77777777" w:rsidR="007B0FBA" w:rsidRPr="00CF3E3D" w:rsidRDefault="007B0FBA" w:rsidP="007007AC">
            <w:pPr>
              <w:spacing w:before="85" w:line="288" w:lineRule="auto"/>
              <w:jc w:val="center"/>
              <w:rPr>
                <w:b/>
                <w:bCs/>
                <w:sz w:val="18"/>
                <w:szCs w:val="18"/>
              </w:rPr>
            </w:pPr>
            <w:r w:rsidRPr="00CF3E3D">
              <w:rPr>
                <w:b/>
                <w:bCs/>
                <w:sz w:val="18"/>
                <w:szCs w:val="18"/>
              </w:rPr>
              <w:t>100.0</w:t>
            </w:r>
          </w:p>
        </w:tc>
      </w:tr>
    </w:tbl>
    <w:p w14:paraId="25328671" w14:textId="77777777" w:rsidR="002E40BA" w:rsidRDefault="002E40BA">
      <w:pPr>
        <w:rPr>
          <w:rFonts w:eastAsiaTheme="majorEastAsia" w:cstheme="majorBidi"/>
          <w:b/>
          <w:bCs/>
          <w:color w:val="auto"/>
          <w:sz w:val="32"/>
          <w:szCs w:val="26"/>
        </w:rPr>
      </w:pPr>
      <w:bookmarkStart w:id="133" w:name="_Toc22810098"/>
      <w:bookmarkStart w:id="134" w:name="_Toc116035549"/>
      <w:bookmarkStart w:id="135" w:name="_Toc116039904"/>
      <w:r>
        <w:rPr>
          <w:color w:val="auto"/>
        </w:rPr>
        <w:br w:type="page"/>
      </w:r>
    </w:p>
    <w:p w14:paraId="10231340" w14:textId="2D15730F" w:rsidR="007B0FBA" w:rsidRPr="00AD4DA1" w:rsidRDefault="007B0FBA" w:rsidP="00AD4DA1">
      <w:pPr>
        <w:pStyle w:val="Heading2"/>
        <w:numPr>
          <w:ilvl w:val="0"/>
          <w:numId w:val="0"/>
        </w:numPr>
        <w:ind w:left="851" w:hanging="851"/>
        <w:rPr>
          <w:color w:val="auto"/>
        </w:rPr>
      </w:pPr>
      <w:r w:rsidRPr="00AD4DA1">
        <w:rPr>
          <w:color w:val="auto"/>
        </w:rPr>
        <w:lastRenderedPageBreak/>
        <w:t>5. Satisfaction</w:t>
      </w:r>
      <w:bookmarkEnd w:id="133"/>
      <w:bookmarkEnd w:id="134"/>
      <w:bookmarkEnd w:id="135"/>
    </w:p>
    <w:p w14:paraId="2CA635A0" w14:textId="77777777" w:rsidR="007B0FBA" w:rsidRPr="00AD4DA1" w:rsidRDefault="007B0FBA" w:rsidP="00AD4DA1">
      <w:pPr>
        <w:pStyle w:val="Heading3"/>
        <w:numPr>
          <w:ilvl w:val="0"/>
          <w:numId w:val="0"/>
        </w:numPr>
        <w:ind w:left="851" w:hanging="851"/>
        <w:rPr>
          <w:color w:val="auto"/>
        </w:rPr>
      </w:pPr>
      <w:bookmarkStart w:id="136" w:name="_Toc116035550"/>
      <w:bookmarkStart w:id="137" w:name="_Toc116039905"/>
      <w:r w:rsidRPr="00AD4DA1">
        <w:rPr>
          <w:color w:val="auto"/>
        </w:rPr>
        <w:t>5.1</w:t>
      </w:r>
      <w:r w:rsidRPr="00AD4DA1">
        <w:rPr>
          <w:color w:val="auto"/>
        </w:rPr>
        <w:tab/>
        <w:t>Coursework satisfaction</w:t>
      </w:r>
      <w:bookmarkStart w:id="138" w:name="_Toc22810099"/>
      <w:bookmarkEnd w:id="136"/>
      <w:bookmarkEnd w:id="137"/>
      <w:r w:rsidRPr="00AD4DA1">
        <w:rPr>
          <w:color w:val="auto"/>
        </w:rPr>
        <w:t xml:space="preserve"> </w:t>
      </w:r>
    </w:p>
    <w:p w14:paraId="20CFA510" w14:textId="77777777" w:rsidR="00BC6766" w:rsidRPr="00EC6DD2" w:rsidRDefault="00BC6766" w:rsidP="00BC6766">
      <w:pPr>
        <w:pStyle w:val="Body"/>
      </w:pPr>
      <w:bookmarkStart w:id="139" w:name="_Toc22200713"/>
      <w:bookmarkEnd w:id="138"/>
      <w:r w:rsidRPr="00EC6DD2">
        <w:t>First administered in 1993, the CEQ invites undergraduate and postgraduate coursework graduates four months after completing their course to express agreement or disagreement on a five-point scale with statements about various aspects of their course. The</w:t>
      </w:r>
      <w:r>
        <w:t xml:space="preserve"> CEQ</w:t>
      </w:r>
      <w:r w:rsidRPr="00EC6DD2">
        <w:t xml:space="preserve"> statements relate to teaching, generic skills, and </w:t>
      </w:r>
      <w:r>
        <w:t>O</w:t>
      </w:r>
      <w:r w:rsidRPr="00EC6DD2">
        <w:t>verall satisfaction. The CEQ time series was collected through the AGS, the precursor to the GOS. The change in collection methodology and the way in which these scores were calculated in the GOS, necessitated a break in time series between 2015 and 2016 and should be kept in mind when viewing results.</w:t>
      </w:r>
    </w:p>
    <w:p w14:paraId="58FC0857" w14:textId="77777777" w:rsidR="00BC6766" w:rsidRDefault="00BC6766" w:rsidP="00BC6766">
      <w:pPr>
        <w:pStyle w:val="Body"/>
      </w:pPr>
      <w:r w:rsidRPr="00EC6DD2">
        <w:t>For the 2021 GOS, at the request of the QILT Working Group, all CEQ statements relating to teaching and generic skills were removed from the core survey instrument. Only the Overall satisfaction item from the CEQ was presented to graduates as part of the core survey. Institutions could continue to include statements relating to teaching and generic skills by adding these as additional, fee-for-service items. Please note, CEQ results are based on responses from both domestic and international graduates.</w:t>
      </w:r>
    </w:p>
    <w:p w14:paraId="6C13CED9" w14:textId="77777777" w:rsidR="007B0FBA" w:rsidRPr="00CF3E3D" w:rsidRDefault="007B0FBA" w:rsidP="007B0FBA">
      <w:pPr>
        <w:pStyle w:val="Body"/>
      </w:pPr>
      <w:r w:rsidRPr="00CF3E3D">
        <w:t>Over six years of the GOS, undergraduate ratings for Overall satisfaction with their completed course have been broadly steady up until 2020, at 80.6 per cent in 2016 and 80.7 per cent in 2020, as seen in</w:t>
      </w:r>
      <w:r>
        <w:t xml:space="preserve"> </w:t>
      </w:r>
      <w:r>
        <w:fldChar w:fldCharType="begin"/>
      </w:r>
      <w:r>
        <w:instrText xml:space="preserve"> REF _Ref115946804 \h </w:instrText>
      </w:r>
      <w:r>
        <w:fldChar w:fldCharType="separate"/>
      </w:r>
      <w:r>
        <w:t xml:space="preserve">Table </w:t>
      </w:r>
      <w:r>
        <w:rPr>
          <w:noProof/>
        </w:rPr>
        <w:t>19</w:t>
      </w:r>
      <w:r>
        <w:fldChar w:fldCharType="end"/>
      </w:r>
      <w:r w:rsidRPr="00CF3E3D">
        <w:t xml:space="preserve">. Results for 2022 are lower than all previous years, at 77.4 per cent, a further 0.5 percentage point decrease from 2021. </w:t>
      </w:r>
    </w:p>
    <w:p w14:paraId="0A1D2CDA" w14:textId="77777777" w:rsidR="00BC6766" w:rsidRPr="00EE668E" w:rsidRDefault="00BC6766" w:rsidP="00BC6766">
      <w:pPr>
        <w:pStyle w:val="Body"/>
      </w:pPr>
      <w:bookmarkStart w:id="140" w:name="_Ref115946804"/>
      <w:bookmarkStart w:id="141" w:name="_Toc116035813"/>
      <w:bookmarkStart w:id="142" w:name="_Toc116040368"/>
      <w:r w:rsidRPr="00EE668E">
        <w:t xml:space="preserve">As in previous years, postgraduate coursework graduates appear to have higher levels of </w:t>
      </w:r>
      <w:r>
        <w:t>O</w:t>
      </w:r>
      <w:r w:rsidRPr="00EE668E">
        <w:t xml:space="preserve">verall satisfaction than undergraduates. Postgraduate coursework graduates’ </w:t>
      </w:r>
      <w:r>
        <w:t>O</w:t>
      </w:r>
      <w:r w:rsidRPr="00EE668E">
        <w:t xml:space="preserve">verall satisfaction was also broadly steady up until 2020, at 82.5 per cent in 2016 and 81.7 per cent in 2020. Overall satisfaction was 80.0 per cent in 2022, representing only a slight improvement from the timeseries low of 79.8 per cent in 2021. Trends in </w:t>
      </w:r>
      <w:r>
        <w:t>O</w:t>
      </w:r>
      <w:r w:rsidRPr="00EE668E">
        <w:t xml:space="preserve">verall satisfaction in the 2022 GOS refer to graduates whose last year of study was in 2021. As such, the fall in </w:t>
      </w:r>
      <w:r>
        <w:t>O</w:t>
      </w:r>
      <w:r w:rsidRPr="00EE668E">
        <w:t xml:space="preserve">verall undergraduate satisfaction observed in the 2022 GOS may continue to reflect disruption to the study experience caused by the COVID-19 pandemic. </w:t>
      </w:r>
    </w:p>
    <w:p w14:paraId="69349739" w14:textId="21A79350" w:rsidR="007B0FBA" w:rsidRPr="00AD4DA1" w:rsidRDefault="007B0FBA" w:rsidP="007B0FBA">
      <w:pPr>
        <w:pStyle w:val="Caption"/>
        <w:rPr>
          <w:color w:val="auto"/>
        </w:rPr>
      </w:pPr>
      <w:r w:rsidRPr="00AD4DA1">
        <w:rPr>
          <w:color w:val="auto"/>
        </w:rPr>
        <w:t xml:space="preserve">Table </w:t>
      </w:r>
      <w:r w:rsidRPr="00AD4DA1">
        <w:rPr>
          <w:color w:val="auto"/>
        </w:rPr>
        <w:fldChar w:fldCharType="begin"/>
      </w:r>
      <w:r w:rsidRPr="00AD4DA1">
        <w:rPr>
          <w:color w:val="auto"/>
        </w:rPr>
        <w:instrText xml:space="preserve"> SEQ Table \* ARABIC </w:instrText>
      </w:r>
      <w:r w:rsidRPr="00AD4DA1">
        <w:rPr>
          <w:color w:val="auto"/>
        </w:rPr>
        <w:fldChar w:fldCharType="separate"/>
      </w:r>
      <w:r w:rsidR="00AD4DA1">
        <w:rPr>
          <w:noProof/>
          <w:color w:val="auto"/>
        </w:rPr>
        <w:t>19</w:t>
      </w:r>
      <w:r w:rsidRPr="00AD4DA1">
        <w:rPr>
          <w:color w:val="auto"/>
        </w:rPr>
        <w:fldChar w:fldCharType="end"/>
      </w:r>
      <w:bookmarkEnd w:id="140"/>
      <w:r w:rsidRPr="00AD4DA1">
        <w:rPr>
          <w:color w:val="auto"/>
        </w:rPr>
        <w:t xml:space="preserve"> Undergraduate and Postgraduate coursework satisfaction, 2011-2022 (% agreement)</w:t>
      </w:r>
      <w:bookmarkEnd w:id="141"/>
      <w:bookmarkEnd w:id="142"/>
    </w:p>
    <w:tbl>
      <w:tblPr>
        <w:tblStyle w:val="SRC1"/>
        <w:tblW w:w="3001" w:type="pct"/>
        <w:tblLayout w:type="fixed"/>
        <w:tblLook w:val="00A0" w:firstRow="1" w:lastRow="0" w:firstColumn="1" w:lastColumn="0" w:noHBand="0" w:noVBand="0"/>
        <w:tblCaption w:val="Table 5  Short- (2014) and medium-term (2017) outcomes for undergraduates by study area "/>
      </w:tblPr>
      <w:tblGrid>
        <w:gridCol w:w="1448"/>
        <w:gridCol w:w="1938"/>
        <w:gridCol w:w="2058"/>
      </w:tblGrid>
      <w:tr w:rsidR="007B0FBA" w:rsidRPr="00CF3E3D" w14:paraId="4503555F" w14:textId="77777777" w:rsidTr="002E40BA">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30" w:type="pct"/>
          </w:tcPr>
          <w:p w14:paraId="219A5BA5" w14:textId="14C77FAA" w:rsidR="007B0FBA" w:rsidRPr="005E2EAC" w:rsidRDefault="00AA4F5E" w:rsidP="007007AC">
            <w:pPr>
              <w:spacing w:before="85" w:line="288" w:lineRule="auto"/>
              <w:rPr>
                <w:b w:val="0"/>
                <w:sz w:val="18"/>
              </w:rPr>
            </w:pPr>
            <w:bookmarkStart w:id="143" w:name="Title19"/>
            <w:bookmarkEnd w:id="143"/>
            <w:r w:rsidRPr="0021639B">
              <w:rPr>
                <w:rStyle w:val="TabletextBOLD"/>
                <w:b/>
                <w:bCs w:val="0"/>
                <w:color w:val="1F698E" w:themeColor="accent1"/>
              </w:rPr>
              <w:t>Category</w:t>
            </w:r>
          </w:p>
        </w:tc>
        <w:tc>
          <w:tcPr>
            <w:cnfStyle w:val="000010000000" w:firstRow="0" w:lastRow="0" w:firstColumn="0" w:lastColumn="0" w:oddVBand="1" w:evenVBand="0" w:oddHBand="0" w:evenHBand="0" w:firstRowFirstColumn="0" w:firstRowLastColumn="0" w:lastRowFirstColumn="0" w:lastRowLastColumn="0"/>
            <w:tcW w:w="1780" w:type="pct"/>
          </w:tcPr>
          <w:p w14:paraId="39BA9F09" w14:textId="77777777" w:rsidR="007B0FBA" w:rsidRPr="00AD4DA1" w:rsidRDefault="007B0FBA" w:rsidP="00AD4DA1">
            <w:pPr>
              <w:spacing w:before="85" w:line="288" w:lineRule="auto"/>
              <w:jc w:val="center"/>
              <w:rPr>
                <w:b w:val="0"/>
                <w:color w:val="FFFFFF" w:themeColor="background1"/>
                <w:sz w:val="18"/>
                <w:szCs w:val="18"/>
              </w:rPr>
            </w:pPr>
            <w:r w:rsidRPr="00AD4DA1">
              <w:rPr>
                <w:color w:val="FFFFFF" w:themeColor="background1"/>
                <w:sz w:val="18"/>
                <w:szCs w:val="18"/>
              </w:rPr>
              <w:t>Undergraduate</w:t>
            </w:r>
          </w:p>
        </w:tc>
        <w:tc>
          <w:tcPr>
            <w:cnfStyle w:val="000001000000" w:firstRow="0" w:lastRow="0" w:firstColumn="0" w:lastColumn="0" w:oddVBand="0" w:evenVBand="1" w:oddHBand="0" w:evenHBand="0" w:firstRowFirstColumn="0" w:firstRowLastColumn="0" w:lastRowFirstColumn="0" w:lastRowLastColumn="0"/>
            <w:tcW w:w="1890" w:type="pct"/>
          </w:tcPr>
          <w:p w14:paraId="4773EACB" w14:textId="77777777" w:rsidR="007B0FBA" w:rsidRPr="00AD4DA1" w:rsidRDefault="007B0FBA" w:rsidP="00AD4DA1">
            <w:pPr>
              <w:spacing w:before="85" w:line="288" w:lineRule="auto"/>
              <w:jc w:val="center"/>
              <w:rPr>
                <w:b w:val="0"/>
                <w:color w:val="FFFFFF" w:themeColor="background1"/>
                <w:sz w:val="18"/>
                <w:szCs w:val="18"/>
              </w:rPr>
            </w:pPr>
            <w:r w:rsidRPr="00AD4DA1">
              <w:rPr>
                <w:color w:val="FFFFFF" w:themeColor="background1"/>
                <w:sz w:val="18"/>
                <w:szCs w:val="18"/>
              </w:rPr>
              <w:t>Postgraduate coursework</w:t>
            </w:r>
          </w:p>
        </w:tc>
      </w:tr>
      <w:tr w:rsidR="007B0FBA" w:rsidRPr="00CF3E3D" w14:paraId="5B29E60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2BEEFF5F" w14:textId="77777777" w:rsidR="007B0FBA" w:rsidRPr="00A04C53" w:rsidRDefault="007B0FBA" w:rsidP="007007AC">
            <w:pPr>
              <w:spacing w:before="85" w:line="288" w:lineRule="auto"/>
              <w:rPr>
                <w:b/>
                <w:bCs/>
                <w:sz w:val="18"/>
                <w:szCs w:val="18"/>
              </w:rPr>
            </w:pPr>
            <w:r w:rsidRPr="00A04C53">
              <w:rPr>
                <w:b/>
                <w:bCs/>
                <w:sz w:val="18"/>
                <w:szCs w:val="18"/>
              </w:rPr>
              <w:t>2011</w:t>
            </w:r>
          </w:p>
        </w:tc>
        <w:tc>
          <w:tcPr>
            <w:cnfStyle w:val="000010000000" w:firstRow="0" w:lastRow="0" w:firstColumn="0" w:lastColumn="0" w:oddVBand="1" w:evenVBand="0" w:oddHBand="0" w:evenHBand="0" w:firstRowFirstColumn="0" w:firstRowLastColumn="0" w:lastRowFirstColumn="0" w:lastRowLastColumn="0"/>
            <w:tcW w:w="1780" w:type="pct"/>
          </w:tcPr>
          <w:p w14:paraId="0AC79B88" w14:textId="77777777" w:rsidR="007B0FBA" w:rsidRPr="00CF3E3D" w:rsidRDefault="007B0FBA" w:rsidP="007007AC">
            <w:pPr>
              <w:spacing w:before="85" w:line="288" w:lineRule="auto"/>
              <w:jc w:val="center"/>
              <w:rPr>
                <w:sz w:val="18"/>
                <w:szCs w:val="18"/>
              </w:rPr>
            </w:pPr>
            <w:r>
              <w:rPr>
                <w:sz w:val="18"/>
                <w:szCs w:val="18"/>
              </w:rPr>
              <w:t>82.3</w:t>
            </w:r>
          </w:p>
        </w:tc>
        <w:tc>
          <w:tcPr>
            <w:cnfStyle w:val="000001000000" w:firstRow="0" w:lastRow="0" w:firstColumn="0" w:lastColumn="0" w:oddVBand="0" w:evenVBand="1" w:oddHBand="0" w:evenHBand="0" w:firstRowFirstColumn="0" w:firstRowLastColumn="0" w:lastRowFirstColumn="0" w:lastRowLastColumn="0"/>
            <w:tcW w:w="1890" w:type="pct"/>
          </w:tcPr>
          <w:p w14:paraId="26A676D7" w14:textId="77777777" w:rsidR="007B0FBA" w:rsidRPr="00CF3E3D" w:rsidRDefault="007B0FBA" w:rsidP="007007AC">
            <w:pPr>
              <w:spacing w:before="85" w:line="288" w:lineRule="auto"/>
              <w:jc w:val="center"/>
              <w:rPr>
                <w:sz w:val="18"/>
                <w:szCs w:val="18"/>
              </w:rPr>
            </w:pPr>
            <w:r>
              <w:rPr>
                <w:sz w:val="18"/>
                <w:szCs w:val="18"/>
              </w:rPr>
              <w:t>82.1</w:t>
            </w:r>
          </w:p>
        </w:tc>
      </w:tr>
      <w:tr w:rsidR="007B0FBA" w:rsidRPr="00CF3E3D" w14:paraId="296F646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716B79A7" w14:textId="77777777" w:rsidR="007B0FBA" w:rsidRPr="00A04C53" w:rsidRDefault="007B0FBA" w:rsidP="007007AC">
            <w:pPr>
              <w:spacing w:before="85" w:line="288" w:lineRule="auto"/>
              <w:rPr>
                <w:b/>
                <w:bCs/>
                <w:sz w:val="18"/>
                <w:szCs w:val="18"/>
              </w:rPr>
            </w:pPr>
            <w:r w:rsidRPr="00A04C53">
              <w:rPr>
                <w:b/>
                <w:bCs/>
                <w:sz w:val="18"/>
                <w:szCs w:val="18"/>
              </w:rPr>
              <w:t>2012</w:t>
            </w:r>
          </w:p>
        </w:tc>
        <w:tc>
          <w:tcPr>
            <w:cnfStyle w:val="000010000000" w:firstRow="0" w:lastRow="0" w:firstColumn="0" w:lastColumn="0" w:oddVBand="1" w:evenVBand="0" w:oddHBand="0" w:evenHBand="0" w:firstRowFirstColumn="0" w:firstRowLastColumn="0" w:lastRowFirstColumn="0" w:lastRowLastColumn="0"/>
            <w:tcW w:w="1780" w:type="pct"/>
          </w:tcPr>
          <w:p w14:paraId="43270250" w14:textId="77777777" w:rsidR="007B0FBA" w:rsidRPr="00CF3E3D" w:rsidRDefault="007B0FBA" w:rsidP="007007AC">
            <w:pPr>
              <w:spacing w:before="85" w:line="288" w:lineRule="auto"/>
              <w:jc w:val="center"/>
              <w:rPr>
                <w:sz w:val="18"/>
                <w:szCs w:val="18"/>
              </w:rPr>
            </w:pPr>
            <w:r>
              <w:rPr>
                <w:sz w:val="18"/>
                <w:szCs w:val="18"/>
              </w:rPr>
              <w:t>83.3</w:t>
            </w:r>
          </w:p>
        </w:tc>
        <w:tc>
          <w:tcPr>
            <w:cnfStyle w:val="000001000000" w:firstRow="0" w:lastRow="0" w:firstColumn="0" w:lastColumn="0" w:oddVBand="0" w:evenVBand="1" w:oddHBand="0" w:evenHBand="0" w:firstRowFirstColumn="0" w:firstRowLastColumn="0" w:lastRowFirstColumn="0" w:lastRowLastColumn="0"/>
            <w:tcW w:w="1890" w:type="pct"/>
          </w:tcPr>
          <w:p w14:paraId="4A90A0A3" w14:textId="77777777" w:rsidR="007B0FBA" w:rsidRPr="00CF3E3D" w:rsidRDefault="007B0FBA" w:rsidP="007007AC">
            <w:pPr>
              <w:spacing w:before="85" w:line="288" w:lineRule="auto"/>
              <w:jc w:val="center"/>
              <w:rPr>
                <w:sz w:val="18"/>
                <w:szCs w:val="18"/>
              </w:rPr>
            </w:pPr>
            <w:r>
              <w:rPr>
                <w:sz w:val="18"/>
                <w:szCs w:val="18"/>
              </w:rPr>
              <w:t>83.0</w:t>
            </w:r>
          </w:p>
        </w:tc>
      </w:tr>
      <w:tr w:rsidR="007B0FBA" w:rsidRPr="00CF3E3D" w14:paraId="1780A13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316CBA49" w14:textId="77777777" w:rsidR="007B0FBA" w:rsidRPr="00A04C53" w:rsidRDefault="007B0FBA" w:rsidP="007007AC">
            <w:pPr>
              <w:spacing w:before="85" w:line="288" w:lineRule="auto"/>
              <w:rPr>
                <w:b/>
                <w:bCs/>
                <w:sz w:val="18"/>
                <w:szCs w:val="18"/>
              </w:rPr>
            </w:pPr>
            <w:r w:rsidRPr="00A04C53">
              <w:rPr>
                <w:b/>
                <w:bCs/>
                <w:sz w:val="18"/>
                <w:szCs w:val="18"/>
              </w:rPr>
              <w:t>2013</w:t>
            </w:r>
          </w:p>
        </w:tc>
        <w:tc>
          <w:tcPr>
            <w:cnfStyle w:val="000010000000" w:firstRow="0" w:lastRow="0" w:firstColumn="0" w:lastColumn="0" w:oddVBand="1" w:evenVBand="0" w:oddHBand="0" w:evenHBand="0" w:firstRowFirstColumn="0" w:firstRowLastColumn="0" w:lastRowFirstColumn="0" w:lastRowLastColumn="0"/>
            <w:tcW w:w="1780" w:type="pct"/>
          </w:tcPr>
          <w:p w14:paraId="333352B2" w14:textId="77777777" w:rsidR="007B0FBA" w:rsidRPr="00CF3E3D" w:rsidRDefault="007B0FBA" w:rsidP="007007AC">
            <w:pPr>
              <w:spacing w:before="85" w:line="288" w:lineRule="auto"/>
              <w:jc w:val="center"/>
              <w:rPr>
                <w:sz w:val="18"/>
                <w:szCs w:val="18"/>
              </w:rPr>
            </w:pPr>
            <w:r>
              <w:rPr>
                <w:sz w:val="18"/>
                <w:szCs w:val="18"/>
              </w:rPr>
              <w:t>83.1</w:t>
            </w:r>
          </w:p>
        </w:tc>
        <w:tc>
          <w:tcPr>
            <w:cnfStyle w:val="000001000000" w:firstRow="0" w:lastRow="0" w:firstColumn="0" w:lastColumn="0" w:oddVBand="0" w:evenVBand="1" w:oddHBand="0" w:evenHBand="0" w:firstRowFirstColumn="0" w:firstRowLastColumn="0" w:lastRowFirstColumn="0" w:lastRowLastColumn="0"/>
            <w:tcW w:w="1890" w:type="pct"/>
          </w:tcPr>
          <w:p w14:paraId="52F837C7" w14:textId="77777777" w:rsidR="007B0FBA" w:rsidRPr="00CF3E3D" w:rsidRDefault="007B0FBA" w:rsidP="007007AC">
            <w:pPr>
              <w:spacing w:before="85" w:line="288" w:lineRule="auto"/>
              <w:jc w:val="center"/>
              <w:rPr>
                <w:sz w:val="18"/>
                <w:szCs w:val="18"/>
              </w:rPr>
            </w:pPr>
            <w:r>
              <w:rPr>
                <w:sz w:val="18"/>
                <w:szCs w:val="18"/>
              </w:rPr>
              <w:t>83.1</w:t>
            </w:r>
          </w:p>
        </w:tc>
      </w:tr>
      <w:tr w:rsidR="007B0FBA" w:rsidRPr="00CF3E3D" w14:paraId="2D38F94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3CB57F3E" w14:textId="77777777" w:rsidR="007B0FBA" w:rsidRPr="00A04C53" w:rsidRDefault="007B0FBA" w:rsidP="007007AC">
            <w:pPr>
              <w:spacing w:before="85" w:line="288" w:lineRule="auto"/>
              <w:rPr>
                <w:b/>
                <w:bCs/>
                <w:sz w:val="18"/>
                <w:szCs w:val="18"/>
              </w:rPr>
            </w:pPr>
            <w:r w:rsidRPr="00A04C53">
              <w:rPr>
                <w:b/>
                <w:bCs/>
                <w:sz w:val="18"/>
                <w:szCs w:val="18"/>
              </w:rPr>
              <w:t>2014</w:t>
            </w:r>
          </w:p>
        </w:tc>
        <w:tc>
          <w:tcPr>
            <w:cnfStyle w:val="000010000000" w:firstRow="0" w:lastRow="0" w:firstColumn="0" w:lastColumn="0" w:oddVBand="1" w:evenVBand="0" w:oddHBand="0" w:evenHBand="0" w:firstRowFirstColumn="0" w:firstRowLastColumn="0" w:lastRowFirstColumn="0" w:lastRowLastColumn="0"/>
            <w:tcW w:w="1780" w:type="pct"/>
          </w:tcPr>
          <w:p w14:paraId="19DF3336" w14:textId="77777777" w:rsidR="007B0FBA" w:rsidRPr="00CF3E3D" w:rsidRDefault="007B0FBA" w:rsidP="007007AC">
            <w:pPr>
              <w:spacing w:before="85" w:line="288" w:lineRule="auto"/>
              <w:jc w:val="center"/>
              <w:rPr>
                <w:sz w:val="18"/>
                <w:szCs w:val="18"/>
              </w:rPr>
            </w:pPr>
            <w:r>
              <w:rPr>
                <w:sz w:val="18"/>
                <w:szCs w:val="18"/>
              </w:rPr>
              <w:t>82.8</w:t>
            </w:r>
          </w:p>
        </w:tc>
        <w:tc>
          <w:tcPr>
            <w:cnfStyle w:val="000001000000" w:firstRow="0" w:lastRow="0" w:firstColumn="0" w:lastColumn="0" w:oddVBand="0" w:evenVBand="1" w:oddHBand="0" w:evenHBand="0" w:firstRowFirstColumn="0" w:firstRowLastColumn="0" w:lastRowFirstColumn="0" w:lastRowLastColumn="0"/>
            <w:tcW w:w="1890" w:type="pct"/>
          </w:tcPr>
          <w:p w14:paraId="22BC4F3F" w14:textId="77777777" w:rsidR="007B0FBA" w:rsidRPr="00CF3E3D" w:rsidRDefault="007B0FBA" w:rsidP="007007AC">
            <w:pPr>
              <w:spacing w:before="85" w:line="288" w:lineRule="auto"/>
              <w:jc w:val="center"/>
              <w:rPr>
                <w:sz w:val="18"/>
                <w:szCs w:val="18"/>
              </w:rPr>
            </w:pPr>
            <w:r>
              <w:rPr>
                <w:sz w:val="18"/>
                <w:szCs w:val="18"/>
              </w:rPr>
              <w:t>83.5</w:t>
            </w:r>
          </w:p>
        </w:tc>
      </w:tr>
      <w:tr w:rsidR="007B0FBA" w:rsidRPr="00CF3E3D" w14:paraId="7725669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7DC101DE" w14:textId="77777777" w:rsidR="007B0FBA" w:rsidRPr="00A04C53" w:rsidRDefault="007B0FBA" w:rsidP="007007AC">
            <w:pPr>
              <w:spacing w:before="85" w:line="288" w:lineRule="auto"/>
              <w:rPr>
                <w:b/>
                <w:bCs/>
                <w:sz w:val="18"/>
                <w:szCs w:val="18"/>
              </w:rPr>
            </w:pPr>
            <w:r w:rsidRPr="00A04C53">
              <w:rPr>
                <w:b/>
                <w:bCs/>
                <w:sz w:val="18"/>
                <w:szCs w:val="18"/>
              </w:rPr>
              <w:t>2015</w:t>
            </w:r>
          </w:p>
        </w:tc>
        <w:tc>
          <w:tcPr>
            <w:cnfStyle w:val="000010000000" w:firstRow="0" w:lastRow="0" w:firstColumn="0" w:lastColumn="0" w:oddVBand="1" w:evenVBand="0" w:oddHBand="0" w:evenHBand="0" w:firstRowFirstColumn="0" w:firstRowLastColumn="0" w:lastRowFirstColumn="0" w:lastRowLastColumn="0"/>
            <w:tcW w:w="1780" w:type="pct"/>
          </w:tcPr>
          <w:p w14:paraId="7071AE5C" w14:textId="77777777" w:rsidR="007B0FBA" w:rsidRPr="00CF3E3D" w:rsidRDefault="007B0FBA" w:rsidP="007007AC">
            <w:pPr>
              <w:spacing w:before="85" w:line="288" w:lineRule="auto"/>
              <w:jc w:val="center"/>
              <w:rPr>
                <w:sz w:val="18"/>
                <w:szCs w:val="18"/>
              </w:rPr>
            </w:pPr>
            <w:r>
              <w:rPr>
                <w:sz w:val="18"/>
                <w:szCs w:val="18"/>
              </w:rPr>
              <w:t>83.4</w:t>
            </w:r>
          </w:p>
        </w:tc>
        <w:tc>
          <w:tcPr>
            <w:cnfStyle w:val="000001000000" w:firstRow="0" w:lastRow="0" w:firstColumn="0" w:lastColumn="0" w:oddVBand="0" w:evenVBand="1" w:oddHBand="0" w:evenHBand="0" w:firstRowFirstColumn="0" w:firstRowLastColumn="0" w:lastRowFirstColumn="0" w:lastRowLastColumn="0"/>
            <w:tcW w:w="1890" w:type="pct"/>
          </w:tcPr>
          <w:p w14:paraId="543B046B" w14:textId="77777777" w:rsidR="007B0FBA" w:rsidRPr="00CF3E3D" w:rsidRDefault="007B0FBA" w:rsidP="007007AC">
            <w:pPr>
              <w:spacing w:before="85" w:line="288" w:lineRule="auto"/>
              <w:jc w:val="center"/>
              <w:rPr>
                <w:sz w:val="18"/>
                <w:szCs w:val="18"/>
              </w:rPr>
            </w:pPr>
            <w:r>
              <w:rPr>
                <w:sz w:val="18"/>
                <w:szCs w:val="18"/>
              </w:rPr>
              <w:t>83.2</w:t>
            </w:r>
          </w:p>
        </w:tc>
      </w:tr>
      <w:tr w:rsidR="007B0FBA" w:rsidRPr="00CF3E3D" w14:paraId="0735612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70DDBA5F" w14:textId="77777777" w:rsidR="007B0FBA" w:rsidRPr="00A04C53" w:rsidRDefault="007B0FBA" w:rsidP="007007AC">
            <w:pPr>
              <w:spacing w:before="85" w:line="288" w:lineRule="auto"/>
              <w:rPr>
                <w:b/>
                <w:bCs/>
                <w:sz w:val="18"/>
                <w:szCs w:val="18"/>
              </w:rPr>
            </w:pPr>
            <w:r w:rsidRPr="00A04C53">
              <w:rPr>
                <w:b/>
                <w:bCs/>
                <w:sz w:val="18"/>
                <w:szCs w:val="18"/>
              </w:rPr>
              <w:t>2016</w:t>
            </w:r>
          </w:p>
        </w:tc>
        <w:tc>
          <w:tcPr>
            <w:cnfStyle w:val="000010000000" w:firstRow="0" w:lastRow="0" w:firstColumn="0" w:lastColumn="0" w:oddVBand="1" w:evenVBand="0" w:oddHBand="0" w:evenHBand="0" w:firstRowFirstColumn="0" w:firstRowLastColumn="0" w:lastRowFirstColumn="0" w:lastRowLastColumn="0"/>
            <w:tcW w:w="1780" w:type="pct"/>
          </w:tcPr>
          <w:p w14:paraId="0543B0BF" w14:textId="77777777" w:rsidR="007B0FBA" w:rsidRPr="00CF3E3D" w:rsidRDefault="007B0FBA" w:rsidP="007007AC">
            <w:pPr>
              <w:spacing w:before="85" w:line="288" w:lineRule="auto"/>
              <w:jc w:val="center"/>
              <w:rPr>
                <w:sz w:val="18"/>
                <w:szCs w:val="18"/>
              </w:rPr>
            </w:pPr>
            <w:r>
              <w:rPr>
                <w:sz w:val="18"/>
                <w:szCs w:val="18"/>
              </w:rPr>
              <w:t>80.6</w:t>
            </w:r>
          </w:p>
        </w:tc>
        <w:tc>
          <w:tcPr>
            <w:cnfStyle w:val="000001000000" w:firstRow="0" w:lastRow="0" w:firstColumn="0" w:lastColumn="0" w:oddVBand="0" w:evenVBand="1" w:oddHBand="0" w:evenHBand="0" w:firstRowFirstColumn="0" w:firstRowLastColumn="0" w:lastRowFirstColumn="0" w:lastRowLastColumn="0"/>
            <w:tcW w:w="1890" w:type="pct"/>
          </w:tcPr>
          <w:p w14:paraId="10E047F6" w14:textId="77777777" w:rsidR="007B0FBA" w:rsidRPr="00CF3E3D" w:rsidRDefault="007B0FBA" w:rsidP="007007AC">
            <w:pPr>
              <w:spacing w:before="85" w:line="288" w:lineRule="auto"/>
              <w:jc w:val="center"/>
              <w:rPr>
                <w:sz w:val="18"/>
                <w:szCs w:val="18"/>
              </w:rPr>
            </w:pPr>
            <w:r>
              <w:rPr>
                <w:sz w:val="18"/>
                <w:szCs w:val="18"/>
              </w:rPr>
              <w:t>82.5</w:t>
            </w:r>
          </w:p>
        </w:tc>
      </w:tr>
      <w:tr w:rsidR="007B0FBA" w:rsidRPr="00CF3E3D" w14:paraId="7873ED3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25DD55F6" w14:textId="77777777" w:rsidR="007B0FBA" w:rsidRPr="00A04C53" w:rsidRDefault="007B0FBA" w:rsidP="007007AC">
            <w:pPr>
              <w:spacing w:before="85" w:line="288" w:lineRule="auto"/>
              <w:rPr>
                <w:b/>
                <w:bCs/>
                <w:sz w:val="18"/>
                <w:szCs w:val="18"/>
              </w:rPr>
            </w:pPr>
            <w:r w:rsidRPr="00A04C53">
              <w:rPr>
                <w:b/>
                <w:bCs/>
                <w:sz w:val="18"/>
                <w:szCs w:val="18"/>
              </w:rPr>
              <w:t>2017</w:t>
            </w:r>
          </w:p>
        </w:tc>
        <w:tc>
          <w:tcPr>
            <w:cnfStyle w:val="000010000000" w:firstRow="0" w:lastRow="0" w:firstColumn="0" w:lastColumn="0" w:oddVBand="1" w:evenVBand="0" w:oddHBand="0" w:evenHBand="0" w:firstRowFirstColumn="0" w:firstRowLastColumn="0" w:lastRowFirstColumn="0" w:lastRowLastColumn="0"/>
            <w:tcW w:w="1780" w:type="pct"/>
          </w:tcPr>
          <w:p w14:paraId="37377FB5" w14:textId="77777777" w:rsidR="007B0FBA" w:rsidRPr="00CF3E3D" w:rsidRDefault="007B0FBA" w:rsidP="007007AC">
            <w:pPr>
              <w:spacing w:before="85" w:line="288" w:lineRule="auto"/>
              <w:jc w:val="center"/>
              <w:rPr>
                <w:sz w:val="18"/>
                <w:szCs w:val="18"/>
              </w:rPr>
            </w:pPr>
            <w:r>
              <w:rPr>
                <w:sz w:val="18"/>
                <w:szCs w:val="18"/>
              </w:rPr>
              <w:t>79.4</w:t>
            </w:r>
          </w:p>
        </w:tc>
        <w:tc>
          <w:tcPr>
            <w:cnfStyle w:val="000001000000" w:firstRow="0" w:lastRow="0" w:firstColumn="0" w:lastColumn="0" w:oddVBand="0" w:evenVBand="1" w:oddHBand="0" w:evenHBand="0" w:firstRowFirstColumn="0" w:firstRowLastColumn="0" w:lastRowFirstColumn="0" w:lastRowLastColumn="0"/>
            <w:tcW w:w="1890" w:type="pct"/>
          </w:tcPr>
          <w:p w14:paraId="672B0537" w14:textId="77777777" w:rsidR="007B0FBA" w:rsidRPr="00CF3E3D" w:rsidRDefault="007B0FBA" w:rsidP="007007AC">
            <w:pPr>
              <w:spacing w:before="85" w:line="288" w:lineRule="auto"/>
              <w:jc w:val="center"/>
              <w:rPr>
                <w:sz w:val="18"/>
                <w:szCs w:val="18"/>
              </w:rPr>
            </w:pPr>
            <w:r>
              <w:rPr>
                <w:sz w:val="18"/>
                <w:szCs w:val="18"/>
              </w:rPr>
              <w:t>81.9</w:t>
            </w:r>
          </w:p>
        </w:tc>
      </w:tr>
      <w:tr w:rsidR="007B0FBA" w:rsidRPr="00CF3E3D" w14:paraId="4239ECC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12612A55" w14:textId="77777777" w:rsidR="007B0FBA" w:rsidRPr="00A04C53" w:rsidRDefault="007B0FBA" w:rsidP="007007AC">
            <w:pPr>
              <w:spacing w:before="85" w:line="288" w:lineRule="auto"/>
              <w:rPr>
                <w:b/>
                <w:bCs/>
                <w:sz w:val="18"/>
                <w:szCs w:val="18"/>
              </w:rPr>
            </w:pPr>
            <w:r w:rsidRPr="00A04C53">
              <w:rPr>
                <w:b/>
                <w:bCs/>
                <w:sz w:val="18"/>
                <w:szCs w:val="18"/>
              </w:rPr>
              <w:lastRenderedPageBreak/>
              <w:t>2018</w:t>
            </w:r>
          </w:p>
        </w:tc>
        <w:tc>
          <w:tcPr>
            <w:cnfStyle w:val="000010000000" w:firstRow="0" w:lastRow="0" w:firstColumn="0" w:lastColumn="0" w:oddVBand="1" w:evenVBand="0" w:oddHBand="0" w:evenHBand="0" w:firstRowFirstColumn="0" w:firstRowLastColumn="0" w:lastRowFirstColumn="0" w:lastRowLastColumn="0"/>
            <w:tcW w:w="1780" w:type="pct"/>
          </w:tcPr>
          <w:p w14:paraId="34A1CB62" w14:textId="77777777" w:rsidR="007B0FBA" w:rsidRPr="00CF3E3D" w:rsidRDefault="007B0FBA" w:rsidP="007007AC">
            <w:pPr>
              <w:spacing w:before="85" w:line="288" w:lineRule="auto"/>
              <w:jc w:val="center"/>
              <w:rPr>
                <w:sz w:val="18"/>
                <w:szCs w:val="18"/>
              </w:rPr>
            </w:pPr>
            <w:r>
              <w:rPr>
                <w:sz w:val="18"/>
                <w:szCs w:val="18"/>
              </w:rPr>
              <w:t>79.7</w:t>
            </w:r>
          </w:p>
        </w:tc>
        <w:tc>
          <w:tcPr>
            <w:cnfStyle w:val="000001000000" w:firstRow="0" w:lastRow="0" w:firstColumn="0" w:lastColumn="0" w:oddVBand="0" w:evenVBand="1" w:oddHBand="0" w:evenHBand="0" w:firstRowFirstColumn="0" w:firstRowLastColumn="0" w:lastRowFirstColumn="0" w:lastRowLastColumn="0"/>
            <w:tcW w:w="1890" w:type="pct"/>
          </w:tcPr>
          <w:p w14:paraId="3E043389" w14:textId="77777777" w:rsidR="007B0FBA" w:rsidRPr="00CF3E3D" w:rsidRDefault="007B0FBA" w:rsidP="007007AC">
            <w:pPr>
              <w:spacing w:before="85" w:line="288" w:lineRule="auto"/>
              <w:jc w:val="center"/>
              <w:rPr>
                <w:sz w:val="18"/>
                <w:szCs w:val="18"/>
              </w:rPr>
            </w:pPr>
            <w:r>
              <w:rPr>
                <w:sz w:val="18"/>
                <w:szCs w:val="18"/>
              </w:rPr>
              <w:t>81.7</w:t>
            </w:r>
          </w:p>
        </w:tc>
      </w:tr>
      <w:tr w:rsidR="007B0FBA" w:rsidRPr="00CF3E3D" w14:paraId="72E116B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433E731A" w14:textId="77777777" w:rsidR="007B0FBA" w:rsidRPr="00A04C53" w:rsidRDefault="007B0FBA" w:rsidP="007007AC">
            <w:pPr>
              <w:spacing w:before="85" w:line="288" w:lineRule="auto"/>
              <w:rPr>
                <w:b/>
                <w:bCs/>
                <w:sz w:val="18"/>
                <w:szCs w:val="18"/>
              </w:rPr>
            </w:pPr>
            <w:r w:rsidRPr="00A04C53">
              <w:rPr>
                <w:b/>
                <w:bCs/>
                <w:sz w:val="18"/>
                <w:szCs w:val="18"/>
              </w:rPr>
              <w:t>2019</w:t>
            </w:r>
          </w:p>
        </w:tc>
        <w:tc>
          <w:tcPr>
            <w:cnfStyle w:val="000010000000" w:firstRow="0" w:lastRow="0" w:firstColumn="0" w:lastColumn="0" w:oddVBand="1" w:evenVBand="0" w:oddHBand="0" w:evenHBand="0" w:firstRowFirstColumn="0" w:firstRowLastColumn="0" w:lastRowFirstColumn="0" w:lastRowLastColumn="0"/>
            <w:tcW w:w="1780" w:type="pct"/>
          </w:tcPr>
          <w:p w14:paraId="4DD2853C" w14:textId="77777777" w:rsidR="007B0FBA" w:rsidRPr="00CF3E3D" w:rsidRDefault="007B0FBA" w:rsidP="007007AC">
            <w:pPr>
              <w:spacing w:before="85" w:line="288" w:lineRule="auto"/>
              <w:jc w:val="center"/>
              <w:rPr>
                <w:sz w:val="18"/>
                <w:szCs w:val="18"/>
              </w:rPr>
            </w:pPr>
            <w:r>
              <w:rPr>
                <w:sz w:val="18"/>
                <w:szCs w:val="18"/>
              </w:rPr>
              <w:t>80.1</w:t>
            </w:r>
          </w:p>
        </w:tc>
        <w:tc>
          <w:tcPr>
            <w:cnfStyle w:val="000001000000" w:firstRow="0" w:lastRow="0" w:firstColumn="0" w:lastColumn="0" w:oddVBand="0" w:evenVBand="1" w:oddHBand="0" w:evenHBand="0" w:firstRowFirstColumn="0" w:firstRowLastColumn="0" w:lastRowFirstColumn="0" w:lastRowLastColumn="0"/>
            <w:tcW w:w="1890" w:type="pct"/>
          </w:tcPr>
          <w:p w14:paraId="204E3201" w14:textId="77777777" w:rsidR="007B0FBA" w:rsidRPr="00CF3E3D" w:rsidRDefault="007B0FBA" w:rsidP="007007AC">
            <w:pPr>
              <w:spacing w:before="85" w:line="288" w:lineRule="auto"/>
              <w:jc w:val="center"/>
              <w:rPr>
                <w:sz w:val="18"/>
                <w:szCs w:val="18"/>
              </w:rPr>
            </w:pPr>
            <w:r>
              <w:rPr>
                <w:sz w:val="18"/>
                <w:szCs w:val="18"/>
              </w:rPr>
              <w:t>81.8</w:t>
            </w:r>
          </w:p>
        </w:tc>
      </w:tr>
      <w:tr w:rsidR="007B0FBA" w:rsidRPr="00CF3E3D" w14:paraId="63D4C6F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40318030" w14:textId="77777777" w:rsidR="007B0FBA" w:rsidRPr="00A04C53" w:rsidRDefault="007B0FBA" w:rsidP="007007AC">
            <w:pPr>
              <w:spacing w:before="85" w:line="288" w:lineRule="auto"/>
              <w:rPr>
                <w:b/>
                <w:bCs/>
                <w:sz w:val="18"/>
                <w:szCs w:val="18"/>
              </w:rPr>
            </w:pPr>
            <w:r w:rsidRPr="00A04C53">
              <w:rPr>
                <w:b/>
                <w:bCs/>
                <w:sz w:val="18"/>
                <w:szCs w:val="18"/>
              </w:rPr>
              <w:t>2020</w:t>
            </w:r>
          </w:p>
        </w:tc>
        <w:tc>
          <w:tcPr>
            <w:cnfStyle w:val="000010000000" w:firstRow="0" w:lastRow="0" w:firstColumn="0" w:lastColumn="0" w:oddVBand="1" w:evenVBand="0" w:oddHBand="0" w:evenHBand="0" w:firstRowFirstColumn="0" w:firstRowLastColumn="0" w:lastRowFirstColumn="0" w:lastRowLastColumn="0"/>
            <w:tcW w:w="1780" w:type="pct"/>
          </w:tcPr>
          <w:p w14:paraId="460F8848" w14:textId="77777777" w:rsidR="007B0FBA" w:rsidRPr="00CF3E3D" w:rsidRDefault="007B0FBA" w:rsidP="007007AC">
            <w:pPr>
              <w:spacing w:before="85" w:line="288" w:lineRule="auto"/>
              <w:jc w:val="center"/>
              <w:rPr>
                <w:sz w:val="18"/>
                <w:szCs w:val="18"/>
              </w:rPr>
            </w:pPr>
            <w:r>
              <w:rPr>
                <w:sz w:val="18"/>
                <w:szCs w:val="18"/>
              </w:rPr>
              <w:t>80.7</w:t>
            </w:r>
          </w:p>
        </w:tc>
        <w:tc>
          <w:tcPr>
            <w:cnfStyle w:val="000001000000" w:firstRow="0" w:lastRow="0" w:firstColumn="0" w:lastColumn="0" w:oddVBand="0" w:evenVBand="1" w:oddHBand="0" w:evenHBand="0" w:firstRowFirstColumn="0" w:firstRowLastColumn="0" w:lastRowFirstColumn="0" w:lastRowLastColumn="0"/>
            <w:tcW w:w="1890" w:type="pct"/>
          </w:tcPr>
          <w:p w14:paraId="5CEBF9A3" w14:textId="77777777" w:rsidR="007B0FBA" w:rsidRPr="00CF3E3D" w:rsidRDefault="007B0FBA" w:rsidP="007007AC">
            <w:pPr>
              <w:spacing w:before="85" w:line="288" w:lineRule="auto"/>
              <w:jc w:val="center"/>
              <w:rPr>
                <w:sz w:val="18"/>
                <w:szCs w:val="18"/>
              </w:rPr>
            </w:pPr>
            <w:r>
              <w:rPr>
                <w:sz w:val="18"/>
                <w:szCs w:val="18"/>
              </w:rPr>
              <w:t>81.7</w:t>
            </w:r>
          </w:p>
        </w:tc>
      </w:tr>
      <w:tr w:rsidR="007B0FBA" w:rsidRPr="00CF3E3D" w14:paraId="59292BD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74E2E3E0" w14:textId="77777777" w:rsidR="007B0FBA" w:rsidRPr="00A04C53" w:rsidRDefault="007B0FBA" w:rsidP="007007AC">
            <w:pPr>
              <w:spacing w:before="85" w:line="288" w:lineRule="auto"/>
              <w:rPr>
                <w:b/>
                <w:bCs/>
                <w:sz w:val="18"/>
                <w:szCs w:val="18"/>
              </w:rPr>
            </w:pPr>
            <w:r w:rsidRPr="00A04C53">
              <w:rPr>
                <w:b/>
                <w:bCs/>
                <w:sz w:val="18"/>
                <w:szCs w:val="18"/>
              </w:rPr>
              <w:t>2021</w:t>
            </w:r>
          </w:p>
        </w:tc>
        <w:tc>
          <w:tcPr>
            <w:cnfStyle w:val="000010000000" w:firstRow="0" w:lastRow="0" w:firstColumn="0" w:lastColumn="0" w:oddVBand="1" w:evenVBand="0" w:oddHBand="0" w:evenHBand="0" w:firstRowFirstColumn="0" w:firstRowLastColumn="0" w:lastRowFirstColumn="0" w:lastRowLastColumn="0"/>
            <w:tcW w:w="1780" w:type="pct"/>
          </w:tcPr>
          <w:p w14:paraId="3F4CEDE7" w14:textId="77777777" w:rsidR="007B0FBA" w:rsidRPr="00CF3E3D" w:rsidRDefault="007B0FBA" w:rsidP="007007AC">
            <w:pPr>
              <w:spacing w:before="85" w:line="288" w:lineRule="auto"/>
              <w:jc w:val="center"/>
              <w:rPr>
                <w:sz w:val="18"/>
                <w:szCs w:val="18"/>
              </w:rPr>
            </w:pPr>
            <w:r>
              <w:rPr>
                <w:sz w:val="18"/>
                <w:szCs w:val="18"/>
              </w:rPr>
              <w:t>77.9</w:t>
            </w:r>
          </w:p>
        </w:tc>
        <w:tc>
          <w:tcPr>
            <w:cnfStyle w:val="000001000000" w:firstRow="0" w:lastRow="0" w:firstColumn="0" w:lastColumn="0" w:oddVBand="0" w:evenVBand="1" w:oddHBand="0" w:evenHBand="0" w:firstRowFirstColumn="0" w:firstRowLastColumn="0" w:lastRowFirstColumn="0" w:lastRowLastColumn="0"/>
            <w:tcW w:w="1890" w:type="pct"/>
          </w:tcPr>
          <w:p w14:paraId="054F958E" w14:textId="77777777" w:rsidR="007B0FBA" w:rsidRPr="00CF3E3D" w:rsidRDefault="007B0FBA" w:rsidP="007007AC">
            <w:pPr>
              <w:spacing w:before="85" w:line="288" w:lineRule="auto"/>
              <w:jc w:val="center"/>
              <w:rPr>
                <w:sz w:val="18"/>
                <w:szCs w:val="18"/>
              </w:rPr>
            </w:pPr>
            <w:r>
              <w:rPr>
                <w:sz w:val="18"/>
                <w:szCs w:val="18"/>
              </w:rPr>
              <w:t>79.8</w:t>
            </w:r>
          </w:p>
        </w:tc>
      </w:tr>
      <w:tr w:rsidR="007B0FBA" w:rsidRPr="00CF3E3D" w14:paraId="75C02A9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30" w:type="pct"/>
          </w:tcPr>
          <w:p w14:paraId="1B84E833" w14:textId="77777777" w:rsidR="007B0FBA" w:rsidRPr="00A04C53" w:rsidRDefault="007B0FBA" w:rsidP="007007AC">
            <w:pPr>
              <w:spacing w:before="85" w:line="288" w:lineRule="auto"/>
              <w:rPr>
                <w:b/>
                <w:bCs/>
                <w:sz w:val="18"/>
                <w:szCs w:val="18"/>
              </w:rPr>
            </w:pPr>
            <w:r w:rsidRPr="00A04C53">
              <w:rPr>
                <w:b/>
                <w:bCs/>
                <w:sz w:val="18"/>
                <w:szCs w:val="18"/>
              </w:rPr>
              <w:t>2022</w:t>
            </w:r>
          </w:p>
        </w:tc>
        <w:tc>
          <w:tcPr>
            <w:cnfStyle w:val="000010000000" w:firstRow="0" w:lastRow="0" w:firstColumn="0" w:lastColumn="0" w:oddVBand="1" w:evenVBand="0" w:oddHBand="0" w:evenHBand="0" w:firstRowFirstColumn="0" w:firstRowLastColumn="0" w:lastRowFirstColumn="0" w:lastRowLastColumn="0"/>
            <w:tcW w:w="1780" w:type="pct"/>
          </w:tcPr>
          <w:p w14:paraId="54CCAC5E" w14:textId="77777777" w:rsidR="007B0FBA" w:rsidRPr="00CF3E3D" w:rsidRDefault="007B0FBA" w:rsidP="007007AC">
            <w:pPr>
              <w:spacing w:before="85" w:line="288" w:lineRule="auto"/>
              <w:jc w:val="center"/>
              <w:rPr>
                <w:sz w:val="18"/>
                <w:szCs w:val="18"/>
              </w:rPr>
            </w:pPr>
            <w:r>
              <w:rPr>
                <w:sz w:val="18"/>
                <w:szCs w:val="18"/>
              </w:rPr>
              <w:t>77.4</w:t>
            </w:r>
          </w:p>
        </w:tc>
        <w:tc>
          <w:tcPr>
            <w:cnfStyle w:val="000001000000" w:firstRow="0" w:lastRow="0" w:firstColumn="0" w:lastColumn="0" w:oddVBand="0" w:evenVBand="1" w:oddHBand="0" w:evenHBand="0" w:firstRowFirstColumn="0" w:firstRowLastColumn="0" w:lastRowFirstColumn="0" w:lastRowLastColumn="0"/>
            <w:tcW w:w="1890" w:type="pct"/>
          </w:tcPr>
          <w:p w14:paraId="4AFD62B2" w14:textId="77777777" w:rsidR="007B0FBA" w:rsidRPr="00CF3E3D" w:rsidRDefault="007B0FBA" w:rsidP="007007AC">
            <w:pPr>
              <w:spacing w:before="85" w:line="288" w:lineRule="auto"/>
              <w:jc w:val="center"/>
              <w:rPr>
                <w:sz w:val="18"/>
                <w:szCs w:val="18"/>
              </w:rPr>
            </w:pPr>
            <w:r>
              <w:rPr>
                <w:sz w:val="18"/>
                <w:szCs w:val="18"/>
              </w:rPr>
              <w:t>80.0</w:t>
            </w:r>
          </w:p>
        </w:tc>
      </w:tr>
    </w:tbl>
    <w:p w14:paraId="682FD513" w14:textId="77777777" w:rsidR="007B0FBA" w:rsidRPr="00CF3E3D" w:rsidRDefault="007B0FBA" w:rsidP="007B0FBA">
      <w:pPr>
        <w:pStyle w:val="Body"/>
        <w:spacing w:before="240"/>
      </w:pPr>
      <w:bookmarkStart w:id="144" w:name="_Toc22200716"/>
      <w:bookmarkEnd w:id="139"/>
      <w:r w:rsidRPr="00CF3E3D">
        <w:t xml:space="preserve">One of the key factors influencing CEQ scores is study area. </w:t>
      </w:r>
      <w:r w:rsidRPr="00CF3E3D">
        <w:fldChar w:fldCharType="begin"/>
      </w:r>
      <w:r w:rsidRPr="00CF3E3D">
        <w:instrText xml:space="preserve"> REF _Ref77868119 \h  \* MERGEFORMAT </w:instrText>
      </w:r>
      <w:r w:rsidRPr="00CF3E3D">
        <w:fldChar w:fldCharType="separate"/>
      </w:r>
      <w:r w:rsidRPr="00CF3E3D">
        <w:t xml:space="preserve">Table </w:t>
      </w:r>
      <w:r>
        <w:t>20</w:t>
      </w:r>
      <w:r w:rsidRPr="00CF3E3D">
        <w:fldChar w:fldCharType="end"/>
      </w:r>
      <w:r w:rsidRPr="00CF3E3D">
        <w:t xml:space="preserve"> shows Overall satisfaction by study area for undergraduates and postgraduate coursework graduates. In 2022, Overall satisfaction among undergraduates ranged from a high of 88.3 per cent for Agriculture and environmental studies, 83.1 per cent for Social work, and 82.6 per cent for Humanities, culture and social sciences down to 54.8 per cent for Dentistry, 71.8 per cent for Creative Arts, and 71.9 per cent for Engineering. </w:t>
      </w:r>
    </w:p>
    <w:p w14:paraId="0E0E267A" w14:textId="77777777" w:rsidR="007B0FBA" w:rsidRPr="00CF3E3D" w:rsidRDefault="007B0FBA" w:rsidP="007B0FBA">
      <w:pPr>
        <w:pStyle w:val="Body"/>
      </w:pPr>
      <w:r w:rsidRPr="00CF3E3D">
        <w:t>For postgraduate coursework graduates, Overall satisfaction ranged from a high of 88.0 per cent in Pharmacy, 86.8 per cent in Humanities, culture and social sciences, and 83.4 per cent in Agriculture and environmental studies down to 44.4 per cent in Dentistry, 62.7 per cent in Veterinary science, and 70.2 per cent in Tourism, hospitality, personal services, sport and recreation. The variation in satisfaction across study areas for both undergraduate and postgraduate coursework indicates there is scope for improvement in the interactions between institutions and their students.</w:t>
      </w:r>
    </w:p>
    <w:p w14:paraId="4FE6D15D" w14:textId="194CC80D" w:rsidR="007B0FBA" w:rsidRPr="006C6C9E" w:rsidRDefault="007B0FBA" w:rsidP="007B0FBA">
      <w:pPr>
        <w:pStyle w:val="Caption"/>
        <w:rPr>
          <w:color w:val="000000" w:themeColor="text1"/>
        </w:rPr>
      </w:pPr>
      <w:bookmarkStart w:id="145" w:name="_Ref77868119"/>
      <w:bookmarkStart w:id="146" w:name="_Toc116035814"/>
      <w:bookmarkStart w:id="147" w:name="_Toc116040369"/>
      <w:r w:rsidRPr="006C6C9E">
        <w:rPr>
          <w:color w:val="000000" w:themeColor="text1"/>
        </w:rPr>
        <w:t xml:space="preserve">Table </w:t>
      </w:r>
      <w:r w:rsidRPr="006C6C9E">
        <w:rPr>
          <w:color w:val="000000" w:themeColor="text1"/>
        </w:rPr>
        <w:fldChar w:fldCharType="begin"/>
      </w:r>
      <w:r w:rsidRPr="006C6C9E">
        <w:rPr>
          <w:color w:val="000000" w:themeColor="text1"/>
        </w:rPr>
        <w:instrText xml:space="preserve"> SEQ Table \* ARABIC </w:instrText>
      </w:r>
      <w:r w:rsidRPr="006C6C9E">
        <w:rPr>
          <w:color w:val="000000" w:themeColor="text1"/>
        </w:rPr>
        <w:fldChar w:fldCharType="separate"/>
      </w:r>
      <w:r w:rsidR="00C802FA">
        <w:rPr>
          <w:noProof/>
          <w:color w:val="000000" w:themeColor="text1"/>
        </w:rPr>
        <w:t>20</w:t>
      </w:r>
      <w:r w:rsidRPr="006C6C9E">
        <w:rPr>
          <w:color w:val="000000" w:themeColor="text1"/>
        </w:rPr>
        <w:fldChar w:fldCharType="end"/>
      </w:r>
      <w:bookmarkEnd w:id="145"/>
      <w:r w:rsidRPr="006C6C9E">
        <w:rPr>
          <w:color w:val="000000" w:themeColor="text1"/>
        </w:rPr>
        <w:t xml:space="preserve"> Overall satisfaction by course level and study area, 2021-2022 (% agreement</w:t>
      </w:r>
      <w:bookmarkEnd w:id="144"/>
      <w:r w:rsidRPr="006C6C9E">
        <w:rPr>
          <w:color w:val="000000" w:themeColor="text1"/>
        </w:rPr>
        <w:t>)</w:t>
      </w:r>
      <w:bookmarkEnd w:id="146"/>
      <w:bookmarkEnd w:id="147"/>
    </w:p>
    <w:tbl>
      <w:tblPr>
        <w:tblStyle w:val="SRC1"/>
        <w:tblW w:w="4796" w:type="pct"/>
        <w:tblLayout w:type="fixed"/>
        <w:tblCellMar>
          <w:left w:w="28" w:type="dxa"/>
          <w:right w:w="28" w:type="dxa"/>
        </w:tblCellMar>
        <w:tblLook w:val="0020" w:firstRow="1" w:lastRow="0" w:firstColumn="0" w:lastColumn="0" w:noHBand="0" w:noVBand="0"/>
        <w:tblCaption w:val="Table 5  Short- (2014) and medium-term (2017) outcomes for undergraduates by study area "/>
      </w:tblPr>
      <w:tblGrid>
        <w:gridCol w:w="3386"/>
        <w:gridCol w:w="1328"/>
        <w:gridCol w:w="1329"/>
        <w:gridCol w:w="1328"/>
        <w:gridCol w:w="1329"/>
      </w:tblGrid>
      <w:tr w:rsidR="007B0FBA" w:rsidRPr="00CF3E3D" w14:paraId="76F0C510"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946" w:type="pct"/>
          </w:tcPr>
          <w:p w14:paraId="64FABBB8" w14:textId="77777777" w:rsidR="007B0FBA" w:rsidRPr="006C6C9E" w:rsidRDefault="007B0FBA" w:rsidP="007007AC">
            <w:pPr>
              <w:rPr>
                <w:color w:val="FFFFFF" w:themeColor="background1"/>
                <w:sz w:val="18"/>
                <w:szCs w:val="18"/>
              </w:rPr>
            </w:pPr>
            <w:bookmarkStart w:id="148" w:name="Title20"/>
            <w:bookmarkEnd w:id="148"/>
            <w:r w:rsidRPr="006C6C9E">
              <w:rPr>
                <w:color w:val="FFFFFF" w:themeColor="background1"/>
                <w:sz w:val="18"/>
                <w:szCs w:val="18"/>
              </w:rPr>
              <w:t>Study area</w:t>
            </w:r>
          </w:p>
        </w:tc>
        <w:tc>
          <w:tcPr>
            <w:cnfStyle w:val="000001000000" w:firstRow="0" w:lastRow="0" w:firstColumn="0" w:lastColumn="0" w:oddVBand="0" w:evenVBand="1" w:oddHBand="0" w:evenHBand="0" w:firstRowFirstColumn="0" w:firstRowLastColumn="0" w:lastRowFirstColumn="0" w:lastRowLastColumn="0"/>
            <w:tcW w:w="763" w:type="pct"/>
          </w:tcPr>
          <w:p w14:paraId="02006102" w14:textId="77777777" w:rsidR="007B0FBA" w:rsidRPr="006C6C9E" w:rsidRDefault="007B0FBA" w:rsidP="007007AC">
            <w:pPr>
              <w:pStyle w:val="TablecolumnheadCENTRETABLES"/>
              <w:jc w:val="center"/>
              <w:rPr>
                <w:rFonts w:ascii="Arial" w:hAnsi="Arial" w:cs="Arial"/>
                <w:b/>
                <w:bCs w:val="0"/>
                <w:color w:val="FFFFFF" w:themeColor="background1"/>
                <w:sz w:val="18"/>
                <w:szCs w:val="18"/>
              </w:rPr>
            </w:pPr>
            <w:r w:rsidRPr="006C6C9E">
              <w:rPr>
                <w:rFonts w:ascii="Arial" w:hAnsi="Arial" w:cs="Arial"/>
                <w:b/>
                <w:bCs w:val="0"/>
                <w:caps w:val="0"/>
                <w:color w:val="FFFFFF" w:themeColor="background1"/>
                <w:sz w:val="18"/>
                <w:szCs w:val="18"/>
              </w:rPr>
              <w:t>Undergraduate</w:t>
            </w:r>
            <w:r w:rsidRPr="006C6C9E">
              <w:rPr>
                <w:rFonts w:ascii="Arial" w:hAnsi="Arial" w:cs="Arial"/>
                <w:b/>
                <w:bCs w:val="0"/>
                <w:color w:val="FFFFFF" w:themeColor="background1"/>
                <w:sz w:val="18"/>
                <w:szCs w:val="18"/>
              </w:rPr>
              <w:t xml:space="preserve"> 2021</w:t>
            </w:r>
          </w:p>
        </w:tc>
        <w:tc>
          <w:tcPr>
            <w:cnfStyle w:val="000010000000" w:firstRow="0" w:lastRow="0" w:firstColumn="0" w:lastColumn="0" w:oddVBand="1" w:evenVBand="0" w:oddHBand="0" w:evenHBand="0" w:firstRowFirstColumn="0" w:firstRowLastColumn="0" w:lastRowFirstColumn="0" w:lastRowLastColumn="0"/>
            <w:tcW w:w="764" w:type="pct"/>
          </w:tcPr>
          <w:p w14:paraId="63963110" w14:textId="77777777" w:rsidR="007B0FBA" w:rsidRPr="006C6C9E" w:rsidRDefault="007B0FBA" w:rsidP="007007AC">
            <w:pPr>
              <w:pStyle w:val="TablecolumnheadCENTRETABLES"/>
              <w:jc w:val="center"/>
              <w:rPr>
                <w:rFonts w:ascii="Arial" w:hAnsi="Arial" w:cs="Arial"/>
                <w:b/>
                <w:bCs w:val="0"/>
                <w:color w:val="FFFFFF" w:themeColor="background1"/>
                <w:sz w:val="18"/>
                <w:szCs w:val="18"/>
              </w:rPr>
            </w:pPr>
            <w:r w:rsidRPr="006C6C9E">
              <w:rPr>
                <w:rFonts w:ascii="Arial" w:hAnsi="Arial" w:cs="Arial"/>
                <w:b/>
                <w:bCs w:val="0"/>
                <w:caps w:val="0"/>
                <w:color w:val="FFFFFF" w:themeColor="background1"/>
                <w:sz w:val="18"/>
                <w:szCs w:val="18"/>
              </w:rPr>
              <w:t>Undergraduate</w:t>
            </w:r>
            <w:r w:rsidRPr="006C6C9E">
              <w:rPr>
                <w:rFonts w:ascii="Arial" w:hAnsi="Arial" w:cs="Arial"/>
                <w:b/>
                <w:bCs w:val="0"/>
                <w:color w:val="FFFFFF" w:themeColor="background1"/>
                <w:sz w:val="18"/>
                <w:szCs w:val="18"/>
              </w:rPr>
              <w:t xml:space="preserve"> 2022</w:t>
            </w:r>
          </w:p>
        </w:tc>
        <w:tc>
          <w:tcPr>
            <w:cnfStyle w:val="000001000000" w:firstRow="0" w:lastRow="0" w:firstColumn="0" w:lastColumn="0" w:oddVBand="0" w:evenVBand="1" w:oddHBand="0" w:evenHBand="0" w:firstRowFirstColumn="0" w:firstRowLastColumn="0" w:lastRowFirstColumn="0" w:lastRowLastColumn="0"/>
            <w:tcW w:w="763" w:type="pct"/>
          </w:tcPr>
          <w:p w14:paraId="13E51A85" w14:textId="77777777" w:rsidR="007B0FBA" w:rsidRPr="006C6C9E" w:rsidRDefault="007B0FBA" w:rsidP="007007AC">
            <w:pPr>
              <w:pStyle w:val="TablecolumnheadCENTRETABLES"/>
              <w:jc w:val="center"/>
              <w:rPr>
                <w:rFonts w:ascii="Arial" w:hAnsi="Arial" w:cs="Arial"/>
                <w:b/>
                <w:bCs w:val="0"/>
                <w:caps w:val="0"/>
                <w:color w:val="FFFFFF" w:themeColor="background1"/>
                <w:sz w:val="18"/>
                <w:szCs w:val="18"/>
              </w:rPr>
            </w:pPr>
            <w:r w:rsidRPr="006C6C9E">
              <w:rPr>
                <w:rFonts w:ascii="Arial" w:hAnsi="Arial" w:cs="Arial"/>
                <w:b/>
                <w:bCs w:val="0"/>
                <w:caps w:val="0"/>
                <w:color w:val="FFFFFF" w:themeColor="background1"/>
                <w:sz w:val="18"/>
                <w:szCs w:val="18"/>
              </w:rPr>
              <w:t>Postgraduate coursework 2021</w:t>
            </w:r>
          </w:p>
        </w:tc>
        <w:tc>
          <w:tcPr>
            <w:cnfStyle w:val="000010000000" w:firstRow="0" w:lastRow="0" w:firstColumn="0" w:lastColumn="0" w:oddVBand="1" w:evenVBand="0" w:oddHBand="0" w:evenHBand="0" w:firstRowFirstColumn="0" w:firstRowLastColumn="0" w:lastRowFirstColumn="0" w:lastRowLastColumn="0"/>
            <w:tcW w:w="764" w:type="pct"/>
          </w:tcPr>
          <w:p w14:paraId="5737136B" w14:textId="77777777" w:rsidR="007B0FBA" w:rsidRPr="006C6C9E" w:rsidRDefault="007B0FBA" w:rsidP="007007AC">
            <w:pPr>
              <w:pStyle w:val="TablecolumnheadCENTRETABLES"/>
              <w:jc w:val="center"/>
              <w:rPr>
                <w:rFonts w:ascii="Arial" w:hAnsi="Arial" w:cs="Arial"/>
                <w:b/>
                <w:bCs w:val="0"/>
                <w:caps w:val="0"/>
                <w:color w:val="FFFFFF" w:themeColor="background1"/>
                <w:sz w:val="18"/>
                <w:szCs w:val="18"/>
              </w:rPr>
            </w:pPr>
            <w:r w:rsidRPr="006C6C9E">
              <w:rPr>
                <w:rFonts w:ascii="Arial" w:hAnsi="Arial" w:cs="Arial"/>
                <w:b/>
                <w:bCs w:val="0"/>
                <w:caps w:val="0"/>
                <w:color w:val="FFFFFF" w:themeColor="background1"/>
                <w:sz w:val="18"/>
                <w:szCs w:val="18"/>
              </w:rPr>
              <w:t>Postgraduate coursework 2022</w:t>
            </w:r>
          </w:p>
        </w:tc>
      </w:tr>
      <w:tr w:rsidR="007B0FBA" w:rsidRPr="00CF3E3D" w14:paraId="71C2117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0DC4E4D0" w14:textId="77777777" w:rsidR="007B0FBA" w:rsidRPr="00A36C51" w:rsidRDefault="007B0FBA" w:rsidP="007007AC">
            <w:pPr>
              <w:spacing w:before="85" w:line="288" w:lineRule="auto"/>
              <w:rPr>
                <w:b/>
                <w:bCs/>
                <w:sz w:val="18"/>
                <w:szCs w:val="18"/>
              </w:rPr>
            </w:pPr>
            <w:r w:rsidRPr="00A36C51">
              <w:rPr>
                <w:b/>
                <w:bCs/>
                <w:sz w:val="18"/>
              </w:rPr>
              <w:t>Science and mathematics</w:t>
            </w:r>
          </w:p>
        </w:tc>
        <w:tc>
          <w:tcPr>
            <w:cnfStyle w:val="000001000000" w:firstRow="0" w:lastRow="0" w:firstColumn="0" w:lastColumn="0" w:oddVBand="0" w:evenVBand="1" w:oddHBand="0" w:evenHBand="0" w:firstRowFirstColumn="0" w:firstRowLastColumn="0" w:lastRowFirstColumn="0" w:lastRowLastColumn="0"/>
            <w:tcW w:w="763" w:type="pct"/>
          </w:tcPr>
          <w:p w14:paraId="558AA58D" w14:textId="77777777" w:rsidR="007B0FBA" w:rsidRPr="00CF3E3D" w:rsidRDefault="007B0FBA" w:rsidP="007007AC">
            <w:pPr>
              <w:spacing w:before="85" w:line="288" w:lineRule="auto"/>
              <w:jc w:val="center"/>
              <w:rPr>
                <w:sz w:val="18"/>
                <w:szCs w:val="18"/>
              </w:rPr>
            </w:pPr>
            <w:r w:rsidRPr="00CF3E3D">
              <w:rPr>
                <w:sz w:val="18"/>
                <w:szCs w:val="18"/>
              </w:rPr>
              <w:t>82.6</w:t>
            </w:r>
          </w:p>
        </w:tc>
        <w:tc>
          <w:tcPr>
            <w:cnfStyle w:val="000010000000" w:firstRow="0" w:lastRow="0" w:firstColumn="0" w:lastColumn="0" w:oddVBand="1" w:evenVBand="0" w:oddHBand="0" w:evenHBand="0" w:firstRowFirstColumn="0" w:firstRowLastColumn="0" w:lastRowFirstColumn="0" w:lastRowLastColumn="0"/>
            <w:tcW w:w="764" w:type="pct"/>
          </w:tcPr>
          <w:p w14:paraId="42FDEF95" w14:textId="77777777" w:rsidR="007B0FBA" w:rsidRPr="00CF3E3D" w:rsidRDefault="007B0FBA" w:rsidP="007007AC">
            <w:pPr>
              <w:spacing w:before="85" w:line="288" w:lineRule="auto"/>
              <w:jc w:val="center"/>
              <w:rPr>
                <w:sz w:val="18"/>
                <w:szCs w:val="18"/>
              </w:rPr>
            </w:pPr>
            <w:r w:rsidRPr="00CF3E3D">
              <w:rPr>
                <w:sz w:val="18"/>
                <w:szCs w:val="18"/>
              </w:rPr>
              <w:t>81.2</w:t>
            </w:r>
          </w:p>
        </w:tc>
        <w:tc>
          <w:tcPr>
            <w:cnfStyle w:val="000001000000" w:firstRow="0" w:lastRow="0" w:firstColumn="0" w:lastColumn="0" w:oddVBand="0" w:evenVBand="1" w:oddHBand="0" w:evenHBand="0" w:firstRowFirstColumn="0" w:firstRowLastColumn="0" w:lastRowFirstColumn="0" w:lastRowLastColumn="0"/>
            <w:tcW w:w="763" w:type="pct"/>
          </w:tcPr>
          <w:p w14:paraId="22DD0D68"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79.4</w:t>
            </w:r>
          </w:p>
        </w:tc>
        <w:tc>
          <w:tcPr>
            <w:cnfStyle w:val="000010000000" w:firstRow="0" w:lastRow="0" w:firstColumn="0" w:lastColumn="0" w:oddVBand="1" w:evenVBand="0" w:oddHBand="0" w:evenHBand="0" w:firstRowFirstColumn="0" w:firstRowLastColumn="0" w:lastRowFirstColumn="0" w:lastRowLastColumn="0"/>
            <w:tcW w:w="764" w:type="pct"/>
          </w:tcPr>
          <w:p w14:paraId="1558264D" w14:textId="77777777" w:rsidR="007B0FBA" w:rsidRPr="00CF3E3D" w:rsidRDefault="007B0FBA" w:rsidP="007007AC">
            <w:pPr>
              <w:spacing w:before="85" w:line="288" w:lineRule="auto"/>
              <w:jc w:val="center"/>
              <w:rPr>
                <w:sz w:val="18"/>
                <w:szCs w:val="18"/>
              </w:rPr>
            </w:pPr>
            <w:r w:rsidRPr="00CF3E3D">
              <w:rPr>
                <w:sz w:val="18"/>
                <w:szCs w:val="18"/>
              </w:rPr>
              <w:t>80.0</w:t>
            </w:r>
          </w:p>
        </w:tc>
      </w:tr>
      <w:tr w:rsidR="007B0FBA" w:rsidRPr="00CF3E3D" w14:paraId="0B90519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3D24021B" w14:textId="77777777" w:rsidR="007B0FBA" w:rsidRPr="00A36C51" w:rsidRDefault="007B0FBA" w:rsidP="007007AC">
            <w:pPr>
              <w:spacing w:before="85" w:line="288" w:lineRule="auto"/>
              <w:rPr>
                <w:b/>
                <w:bCs/>
                <w:sz w:val="18"/>
                <w:szCs w:val="18"/>
              </w:rPr>
            </w:pPr>
            <w:r w:rsidRPr="00A36C51">
              <w:rPr>
                <w:b/>
                <w:bCs/>
                <w:sz w:val="18"/>
              </w:rPr>
              <w:t>Computing and information systems</w:t>
            </w:r>
          </w:p>
        </w:tc>
        <w:tc>
          <w:tcPr>
            <w:cnfStyle w:val="000001000000" w:firstRow="0" w:lastRow="0" w:firstColumn="0" w:lastColumn="0" w:oddVBand="0" w:evenVBand="1" w:oddHBand="0" w:evenHBand="0" w:firstRowFirstColumn="0" w:firstRowLastColumn="0" w:lastRowFirstColumn="0" w:lastRowLastColumn="0"/>
            <w:tcW w:w="763" w:type="pct"/>
          </w:tcPr>
          <w:p w14:paraId="29718892" w14:textId="77777777" w:rsidR="007B0FBA" w:rsidRPr="00CF3E3D" w:rsidRDefault="007B0FBA" w:rsidP="007007AC">
            <w:pPr>
              <w:spacing w:before="85" w:line="288" w:lineRule="auto"/>
              <w:jc w:val="center"/>
              <w:rPr>
                <w:sz w:val="18"/>
                <w:szCs w:val="18"/>
              </w:rPr>
            </w:pPr>
            <w:r w:rsidRPr="00CF3E3D">
              <w:rPr>
                <w:sz w:val="18"/>
                <w:szCs w:val="18"/>
              </w:rPr>
              <w:t>72.5</w:t>
            </w:r>
          </w:p>
        </w:tc>
        <w:tc>
          <w:tcPr>
            <w:cnfStyle w:val="000010000000" w:firstRow="0" w:lastRow="0" w:firstColumn="0" w:lastColumn="0" w:oddVBand="1" w:evenVBand="0" w:oddHBand="0" w:evenHBand="0" w:firstRowFirstColumn="0" w:firstRowLastColumn="0" w:lastRowFirstColumn="0" w:lastRowLastColumn="0"/>
            <w:tcW w:w="764" w:type="pct"/>
          </w:tcPr>
          <w:p w14:paraId="03911CD0" w14:textId="77777777" w:rsidR="007B0FBA" w:rsidRPr="00CF3E3D" w:rsidRDefault="007B0FBA" w:rsidP="007007AC">
            <w:pPr>
              <w:spacing w:before="85" w:line="288" w:lineRule="auto"/>
              <w:jc w:val="center"/>
              <w:rPr>
                <w:sz w:val="18"/>
                <w:szCs w:val="18"/>
              </w:rPr>
            </w:pPr>
            <w:r w:rsidRPr="00CF3E3D">
              <w:rPr>
                <w:sz w:val="18"/>
                <w:szCs w:val="18"/>
              </w:rPr>
              <w:t>72.2</w:t>
            </w:r>
          </w:p>
        </w:tc>
        <w:tc>
          <w:tcPr>
            <w:cnfStyle w:val="000001000000" w:firstRow="0" w:lastRow="0" w:firstColumn="0" w:lastColumn="0" w:oddVBand="0" w:evenVBand="1" w:oddHBand="0" w:evenHBand="0" w:firstRowFirstColumn="0" w:firstRowLastColumn="0" w:lastRowFirstColumn="0" w:lastRowLastColumn="0"/>
            <w:tcW w:w="763" w:type="pct"/>
          </w:tcPr>
          <w:p w14:paraId="710B0DE2"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72.8</w:t>
            </w:r>
          </w:p>
        </w:tc>
        <w:tc>
          <w:tcPr>
            <w:cnfStyle w:val="000010000000" w:firstRow="0" w:lastRow="0" w:firstColumn="0" w:lastColumn="0" w:oddVBand="1" w:evenVBand="0" w:oddHBand="0" w:evenHBand="0" w:firstRowFirstColumn="0" w:firstRowLastColumn="0" w:lastRowFirstColumn="0" w:lastRowLastColumn="0"/>
            <w:tcW w:w="764" w:type="pct"/>
          </w:tcPr>
          <w:p w14:paraId="50208B64" w14:textId="77777777" w:rsidR="007B0FBA" w:rsidRPr="00CF3E3D" w:rsidRDefault="007B0FBA" w:rsidP="007007AC">
            <w:pPr>
              <w:spacing w:before="85" w:line="288" w:lineRule="auto"/>
              <w:jc w:val="center"/>
              <w:rPr>
                <w:sz w:val="18"/>
                <w:szCs w:val="18"/>
              </w:rPr>
            </w:pPr>
            <w:r w:rsidRPr="00CF3E3D">
              <w:rPr>
                <w:sz w:val="18"/>
                <w:szCs w:val="18"/>
              </w:rPr>
              <w:t>74.7</w:t>
            </w:r>
          </w:p>
        </w:tc>
      </w:tr>
      <w:tr w:rsidR="007B0FBA" w:rsidRPr="00CF3E3D" w14:paraId="0191420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3A962A80" w14:textId="77777777" w:rsidR="007B0FBA" w:rsidRPr="00A36C51" w:rsidRDefault="007B0FBA" w:rsidP="007007AC">
            <w:pPr>
              <w:spacing w:before="85" w:line="288" w:lineRule="auto"/>
              <w:rPr>
                <w:b/>
                <w:bCs/>
                <w:sz w:val="18"/>
                <w:szCs w:val="18"/>
              </w:rPr>
            </w:pPr>
            <w:r w:rsidRPr="00A36C51">
              <w:rPr>
                <w:b/>
                <w:bCs/>
                <w:sz w:val="18"/>
              </w:rPr>
              <w:t>Engineering</w:t>
            </w:r>
          </w:p>
        </w:tc>
        <w:tc>
          <w:tcPr>
            <w:cnfStyle w:val="000001000000" w:firstRow="0" w:lastRow="0" w:firstColumn="0" w:lastColumn="0" w:oddVBand="0" w:evenVBand="1" w:oddHBand="0" w:evenHBand="0" w:firstRowFirstColumn="0" w:firstRowLastColumn="0" w:lastRowFirstColumn="0" w:lastRowLastColumn="0"/>
            <w:tcW w:w="763" w:type="pct"/>
          </w:tcPr>
          <w:p w14:paraId="2DE94FE3" w14:textId="77777777" w:rsidR="007B0FBA" w:rsidRPr="00CF3E3D" w:rsidRDefault="007B0FBA" w:rsidP="007007AC">
            <w:pPr>
              <w:spacing w:before="85" w:line="288" w:lineRule="auto"/>
              <w:jc w:val="center"/>
              <w:rPr>
                <w:sz w:val="18"/>
                <w:szCs w:val="18"/>
              </w:rPr>
            </w:pPr>
            <w:r w:rsidRPr="00CF3E3D">
              <w:rPr>
                <w:sz w:val="18"/>
                <w:szCs w:val="18"/>
              </w:rPr>
              <w:t>72.3</w:t>
            </w:r>
          </w:p>
        </w:tc>
        <w:tc>
          <w:tcPr>
            <w:cnfStyle w:val="000010000000" w:firstRow="0" w:lastRow="0" w:firstColumn="0" w:lastColumn="0" w:oddVBand="1" w:evenVBand="0" w:oddHBand="0" w:evenHBand="0" w:firstRowFirstColumn="0" w:firstRowLastColumn="0" w:lastRowFirstColumn="0" w:lastRowLastColumn="0"/>
            <w:tcW w:w="764" w:type="pct"/>
          </w:tcPr>
          <w:p w14:paraId="6AAA73B4" w14:textId="77777777" w:rsidR="007B0FBA" w:rsidRPr="00CF3E3D" w:rsidRDefault="007B0FBA" w:rsidP="007007AC">
            <w:pPr>
              <w:spacing w:before="85" w:line="288" w:lineRule="auto"/>
              <w:jc w:val="center"/>
              <w:rPr>
                <w:sz w:val="18"/>
                <w:szCs w:val="18"/>
              </w:rPr>
            </w:pPr>
            <w:r w:rsidRPr="00CF3E3D">
              <w:rPr>
                <w:sz w:val="18"/>
                <w:szCs w:val="18"/>
              </w:rPr>
              <w:t>71.9</w:t>
            </w:r>
          </w:p>
        </w:tc>
        <w:tc>
          <w:tcPr>
            <w:cnfStyle w:val="000001000000" w:firstRow="0" w:lastRow="0" w:firstColumn="0" w:lastColumn="0" w:oddVBand="0" w:evenVBand="1" w:oddHBand="0" w:evenHBand="0" w:firstRowFirstColumn="0" w:firstRowLastColumn="0" w:lastRowFirstColumn="0" w:lastRowLastColumn="0"/>
            <w:tcW w:w="763" w:type="pct"/>
          </w:tcPr>
          <w:p w14:paraId="2825C218"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74.6</w:t>
            </w:r>
          </w:p>
        </w:tc>
        <w:tc>
          <w:tcPr>
            <w:cnfStyle w:val="000010000000" w:firstRow="0" w:lastRow="0" w:firstColumn="0" w:lastColumn="0" w:oddVBand="1" w:evenVBand="0" w:oddHBand="0" w:evenHBand="0" w:firstRowFirstColumn="0" w:firstRowLastColumn="0" w:lastRowFirstColumn="0" w:lastRowLastColumn="0"/>
            <w:tcW w:w="764" w:type="pct"/>
          </w:tcPr>
          <w:p w14:paraId="4B93D64E" w14:textId="77777777" w:rsidR="007B0FBA" w:rsidRPr="00CF3E3D" w:rsidRDefault="007B0FBA" w:rsidP="007007AC">
            <w:pPr>
              <w:spacing w:before="85" w:line="288" w:lineRule="auto"/>
              <w:jc w:val="center"/>
              <w:rPr>
                <w:sz w:val="18"/>
                <w:szCs w:val="18"/>
              </w:rPr>
            </w:pPr>
            <w:r w:rsidRPr="00CF3E3D">
              <w:rPr>
                <w:sz w:val="18"/>
                <w:szCs w:val="18"/>
              </w:rPr>
              <w:t>74.6</w:t>
            </w:r>
          </w:p>
        </w:tc>
      </w:tr>
      <w:tr w:rsidR="007B0FBA" w:rsidRPr="00CF3E3D" w14:paraId="44FF06F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3C9F02A0" w14:textId="77777777" w:rsidR="007B0FBA" w:rsidRPr="00A36C51" w:rsidRDefault="007B0FBA" w:rsidP="007007AC">
            <w:pPr>
              <w:spacing w:before="85" w:line="288" w:lineRule="auto"/>
              <w:rPr>
                <w:b/>
                <w:bCs/>
                <w:sz w:val="18"/>
                <w:szCs w:val="18"/>
              </w:rPr>
            </w:pPr>
            <w:r w:rsidRPr="00A36C51">
              <w:rPr>
                <w:b/>
                <w:bCs/>
                <w:sz w:val="18"/>
              </w:rPr>
              <w:t>Architecture and built environment</w:t>
            </w:r>
          </w:p>
        </w:tc>
        <w:tc>
          <w:tcPr>
            <w:cnfStyle w:val="000001000000" w:firstRow="0" w:lastRow="0" w:firstColumn="0" w:lastColumn="0" w:oddVBand="0" w:evenVBand="1" w:oddHBand="0" w:evenHBand="0" w:firstRowFirstColumn="0" w:firstRowLastColumn="0" w:lastRowFirstColumn="0" w:lastRowLastColumn="0"/>
            <w:tcW w:w="763" w:type="pct"/>
          </w:tcPr>
          <w:p w14:paraId="3B34862C" w14:textId="77777777" w:rsidR="007B0FBA" w:rsidRPr="00CF3E3D" w:rsidRDefault="007B0FBA" w:rsidP="007007AC">
            <w:pPr>
              <w:spacing w:before="85" w:line="288" w:lineRule="auto"/>
              <w:jc w:val="center"/>
              <w:rPr>
                <w:sz w:val="18"/>
                <w:szCs w:val="18"/>
              </w:rPr>
            </w:pPr>
            <w:r w:rsidRPr="00CF3E3D">
              <w:rPr>
                <w:sz w:val="18"/>
                <w:szCs w:val="18"/>
              </w:rPr>
              <w:t>70.4</w:t>
            </w:r>
          </w:p>
        </w:tc>
        <w:tc>
          <w:tcPr>
            <w:cnfStyle w:val="000010000000" w:firstRow="0" w:lastRow="0" w:firstColumn="0" w:lastColumn="0" w:oddVBand="1" w:evenVBand="0" w:oddHBand="0" w:evenHBand="0" w:firstRowFirstColumn="0" w:firstRowLastColumn="0" w:lastRowFirstColumn="0" w:lastRowLastColumn="0"/>
            <w:tcW w:w="764" w:type="pct"/>
          </w:tcPr>
          <w:p w14:paraId="690C2750" w14:textId="77777777" w:rsidR="007B0FBA" w:rsidRPr="00CF3E3D" w:rsidRDefault="007B0FBA" w:rsidP="007007AC">
            <w:pPr>
              <w:spacing w:before="85" w:line="288" w:lineRule="auto"/>
              <w:jc w:val="center"/>
              <w:rPr>
                <w:sz w:val="18"/>
                <w:szCs w:val="18"/>
              </w:rPr>
            </w:pPr>
            <w:r w:rsidRPr="00CF3E3D">
              <w:rPr>
                <w:sz w:val="18"/>
                <w:szCs w:val="18"/>
              </w:rPr>
              <w:t>72.7</w:t>
            </w:r>
          </w:p>
        </w:tc>
        <w:tc>
          <w:tcPr>
            <w:cnfStyle w:val="000001000000" w:firstRow="0" w:lastRow="0" w:firstColumn="0" w:lastColumn="0" w:oddVBand="0" w:evenVBand="1" w:oddHBand="0" w:evenHBand="0" w:firstRowFirstColumn="0" w:firstRowLastColumn="0" w:lastRowFirstColumn="0" w:lastRowLastColumn="0"/>
            <w:tcW w:w="763" w:type="pct"/>
          </w:tcPr>
          <w:p w14:paraId="124D2665"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75.7</w:t>
            </w:r>
          </w:p>
        </w:tc>
        <w:tc>
          <w:tcPr>
            <w:cnfStyle w:val="000010000000" w:firstRow="0" w:lastRow="0" w:firstColumn="0" w:lastColumn="0" w:oddVBand="1" w:evenVBand="0" w:oddHBand="0" w:evenHBand="0" w:firstRowFirstColumn="0" w:firstRowLastColumn="0" w:lastRowFirstColumn="0" w:lastRowLastColumn="0"/>
            <w:tcW w:w="764" w:type="pct"/>
          </w:tcPr>
          <w:p w14:paraId="34C6AD9C" w14:textId="77777777" w:rsidR="007B0FBA" w:rsidRPr="00CF3E3D" w:rsidRDefault="007B0FBA" w:rsidP="007007AC">
            <w:pPr>
              <w:spacing w:before="85" w:line="288" w:lineRule="auto"/>
              <w:jc w:val="center"/>
              <w:rPr>
                <w:sz w:val="18"/>
                <w:szCs w:val="18"/>
              </w:rPr>
            </w:pPr>
            <w:r w:rsidRPr="00CF3E3D">
              <w:rPr>
                <w:sz w:val="18"/>
                <w:szCs w:val="18"/>
              </w:rPr>
              <w:t>74.3</w:t>
            </w:r>
          </w:p>
        </w:tc>
      </w:tr>
      <w:tr w:rsidR="007B0FBA" w:rsidRPr="00CF3E3D" w14:paraId="66D5426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06BC4FDD" w14:textId="77777777" w:rsidR="007B0FBA" w:rsidRPr="00A36C51" w:rsidRDefault="007B0FBA" w:rsidP="007007AC">
            <w:pPr>
              <w:spacing w:before="85" w:line="288" w:lineRule="auto"/>
              <w:rPr>
                <w:b/>
                <w:bCs/>
                <w:sz w:val="18"/>
                <w:szCs w:val="18"/>
              </w:rPr>
            </w:pPr>
            <w:r w:rsidRPr="00A36C51">
              <w:rPr>
                <w:b/>
                <w:bCs/>
                <w:sz w:val="18"/>
              </w:rPr>
              <w:t>Agriculture and environmental studies</w:t>
            </w:r>
          </w:p>
        </w:tc>
        <w:tc>
          <w:tcPr>
            <w:cnfStyle w:val="000001000000" w:firstRow="0" w:lastRow="0" w:firstColumn="0" w:lastColumn="0" w:oddVBand="0" w:evenVBand="1" w:oddHBand="0" w:evenHBand="0" w:firstRowFirstColumn="0" w:firstRowLastColumn="0" w:lastRowFirstColumn="0" w:lastRowLastColumn="0"/>
            <w:tcW w:w="763" w:type="pct"/>
          </w:tcPr>
          <w:p w14:paraId="015081FE" w14:textId="77777777" w:rsidR="007B0FBA" w:rsidRPr="00CF3E3D" w:rsidRDefault="007B0FBA" w:rsidP="007007AC">
            <w:pPr>
              <w:spacing w:before="85" w:line="288" w:lineRule="auto"/>
              <w:jc w:val="center"/>
              <w:rPr>
                <w:sz w:val="18"/>
                <w:szCs w:val="18"/>
              </w:rPr>
            </w:pPr>
            <w:r w:rsidRPr="00CF3E3D">
              <w:rPr>
                <w:sz w:val="18"/>
                <w:szCs w:val="18"/>
              </w:rPr>
              <w:t>81.9</w:t>
            </w:r>
          </w:p>
        </w:tc>
        <w:tc>
          <w:tcPr>
            <w:cnfStyle w:val="000010000000" w:firstRow="0" w:lastRow="0" w:firstColumn="0" w:lastColumn="0" w:oddVBand="1" w:evenVBand="0" w:oddHBand="0" w:evenHBand="0" w:firstRowFirstColumn="0" w:firstRowLastColumn="0" w:lastRowFirstColumn="0" w:lastRowLastColumn="0"/>
            <w:tcW w:w="764" w:type="pct"/>
          </w:tcPr>
          <w:p w14:paraId="0897A34D" w14:textId="77777777" w:rsidR="007B0FBA" w:rsidRPr="00CF3E3D" w:rsidRDefault="007B0FBA" w:rsidP="007007AC">
            <w:pPr>
              <w:spacing w:before="85" w:line="288" w:lineRule="auto"/>
              <w:jc w:val="center"/>
              <w:rPr>
                <w:sz w:val="18"/>
                <w:szCs w:val="18"/>
              </w:rPr>
            </w:pPr>
            <w:r w:rsidRPr="00CF3E3D">
              <w:rPr>
                <w:sz w:val="18"/>
                <w:szCs w:val="18"/>
              </w:rPr>
              <w:t>88.3</w:t>
            </w:r>
          </w:p>
        </w:tc>
        <w:tc>
          <w:tcPr>
            <w:cnfStyle w:val="000001000000" w:firstRow="0" w:lastRow="0" w:firstColumn="0" w:lastColumn="0" w:oddVBand="0" w:evenVBand="1" w:oddHBand="0" w:evenHBand="0" w:firstRowFirstColumn="0" w:firstRowLastColumn="0" w:lastRowFirstColumn="0" w:lastRowLastColumn="0"/>
            <w:tcW w:w="763" w:type="pct"/>
          </w:tcPr>
          <w:p w14:paraId="3C607307"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87.8</w:t>
            </w:r>
          </w:p>
        </w:tc>
        <w:tc>
          <w:tcPr>
            <w:cnfStyle w:val="000010000000" w:firstRow="0" w:lastRow="0" w:firstColumn="0" w:lastColumn="0" w:oddVBand="1" w:evenVBand="0" w:oddHBand="0" w:evenHBand="0" w:firstRowFirstColumn="0" w:firstRowLastColumn="0" w:lastRowFirstColumn="0" w:lastRowLastColumn="0"/>
            <w:tcW w:w="764" w:type="pct"/>
          </w:tcPr>
          <w:p w14:paraId="5B299F68" w14:textId="77777777" w:rsidR="007B0FBA" w:rsidRPr="00CF3E3D" w:rsidRDefault="007B0FBA" w:rsidP="007007AC">
            <w:pPr>
              <w:spacing w:before="85" w:line="288" w:lineRule="auto"/>
              <w:jc w:val="center"/>
              <w:rPr>
                <w:sz w:val="18"/>
                <w:szCs w:val="18"/>
              </w:rPr>
            </w:pPr>
            <w:r w:rsidRPr="00CF3E3D">
              <w:rPr>
                <w:sz w:val="18"/>
                <w:szCs w:val="18"/>
              </w:rPr>
              <w:t>83.4</w:t>
            </w:r>
          </w:p>
        </w:tc>
      </w:tr>
      <w:tr w:rsidR="007B0FBA" w:rsidRPr="00CF3E3D" w14:paraId="627B8A5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1E625426" w14:textId="77777777" w:rsidR="007B0FBA" w:rsidRPr="00A36C51" w:rsidRDefault="007B0FBA" w:rsidP="007007AC">
            <w:pPr>
              <w:spacing w:before="85" w:line="288" w:lineRule="auto"/>
              <w:rPr>
                <w:b/>
                <w:bCs/>
                <w:sz w:val="18"/>
                <w:szCs w:val="18"/>
              </w:rPr>
            </w:pPr>
            <w:r w:rsidRPr="00A36C51">
              <w:rPr>
                <w:b/>
                <w:bCs/>
                <w:sz w:val="18"/>
              </w:rPr>
              <w:t>Health services and support</w:t>
            </w:r>
          </w:p>
        </w:tc>
        <w:tc>
          <w:tcPr>
            <w:cnfStyle w:val="000001000000" w:firstRow="0" w:lastRow="0" w:firstColumn="0" w:lastColumn="0" w:oddVBand="0" w:evenVBand="1" w:oddHBand="0" w:evenHBand="0" w:firstRowFirstColumn="0" w:firstRowLastColumn="0" w:lastRowFirstColumn="0" w:lastRowLastColumn="0"/>
            <w:tcW w:w="763" w:type="pct"/>
          </w:tcPr>
          <w:p w14:paraId="3D42F5A5" w14:textId="77777777" w:rsidR="007B0FBA" w:rsidRPr="00CF3E3D" w:rsidRDefault="007B0FBA" w:rsidP="007007AC">
            <w:pPr>
              <w:spacing w:before="85" w:line="288" w:lineRule="auto"/>
              <w:jc w:val="center"/>
              <w:rPr>
                <w:sz w:val="18"/>
                <w:szCs w:val="18"/>
              </w:rPr>
            </w:pPr>
            <w:r w:rsidRPr="00CF3E3D">
              <w:rPr>
                <w:sz w:val="18"/>
                <w:szCs w:val="18"/>
              </w:rPr>
              <w:t>77.8</w:t>
            </w:r>
          </w:p>
        </w:tc>
        <w:tc>
          <w:tcPr>
            <w:cnfStyle w:val="000010000000" w:firstRow="0" w:lastRow="0" w:firstColumn="0" w:lastColumn="0" w:oddVBand="1" w:evenVBand="0" w:oddHBand="0" w:evenHBand="0" w:firstRowFirstColumn="0" w:firstRowLastColumn="0" w:lastRowFirstColumn="0" w:lastRowLastColumn="0"/>
            <w:tcW w:w="764" w:type="pct"/>
          </w:tcPr>
          <w:p w14:paraId="4CD68B7D" w14:textId="77777777" w:rsidR="007B0FBA" w:rsidRPr="00CF3E3D" w:rsidRDefault="007B0FBA" w:rsidP="007007AC">
            <w:pPr>
              <w:spacing w:before="85" w:line="288" w:lineRule="auto"/>
              <w:jc w:val="center"/>
              <w:rPr>
                <w:sz w:val="18"/>
                <w:szCs w:val="18"/>
              </w:rPr>
            </w:pPr>
            <w:r w:rsidRPr="00CF3E3D">
              <w:rPr>
                <w:sz w:val="18"/>
                <w:szCs w:val="18"/>
              </w:rPr>
              <w:t>77.4</w:t>
            </w:r>
          </w:p>
        </w:tc>
        <w:tc>
          <w:tcPr>
            <w:cnfStyle w:val="000001000000" w:firstRow="0" w:lastRow="0" w:firstColumn="0" w:lastColumn="0" w:oddVBand="0" w:evenVBand="1" w:oddHBand="0" w:evenHBand="0" w:firstRowFirstColumn="0" w:firstRowLastColumn="0" w:lastRowFirstColumn="0" w:lastRowLastColumn="0"/>
            <w:tcW w:w="763" w:type="pct"/>
          </w:tcPr>
          <w:p w14:paraId="5DB21E5D"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84.5</w:t>
            </w:r>
          </w:p>
        </w:tc>
        <w:tc>
          <w:tcPr>
            <w:cnfStyle w:val="000010000000" w:firstRow="0" w:lastRow="0" w:firstColumn="0" w:lastColumn="0" w:oddVBand="1" w:evenVBand="0" w:oddHBand="0" w:evenHBand="0" w:firstRowFirstColumn="0" w:firstRowLastColumn="0" w:lastRowFirstColumn="0" w:lastRowLastColumn="0"/>
            <w:tcW w:w="764" w:type="pct"/>
          </w:tcPr>
          <w:p w14:paraId="1543BB77" w14:textId="77777777" w:rsidR="007B0FBA" w:rsidRPr="00CF3E3D" w:rsidRDefault="007B0FBA" w:rsidP="007007AC">
            <w:pPr>
              <w:spacing w:before="85" w:line="288" w:lineRule="auto"/>
              <w:jc w:val="center"/>
              <w:rPr>
                <w:sz w:val="18"/>
                <w:szCs w:val="18"/>
              </w:rPr>
            </w:pPr>
            <w:r w:rsidRPr="00CF3E3D">
              <w:rPr>
                <w:sz w:val="18"/>
                <w:szCs w:val="18"/>
              </w:rPr>
              <w:t>83.2</w:t>
            </w:r>
          </w:p>
        </w:tc>
      </w:tr>
      <w:tr w:rsidR="007B0FBA" w:rsidRPr="00CF3E3D" w14:paraId="2DA3194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3877EC39" w14:textId="77777777" w:rsidR="007B0FBA" w:rsidRPr="00A36C51" w:rsidRDefault="007B0FBA" w:rsidP="007007AC">
            <w:pPr>
              <w:spacing w:before="85" w:line="288" w:lineRule="auto"/>
              <w:rPr>
                <w:b/>
                <w:bCs/>
                <w:sz w:val="18"/>
                <w:szCs w:val="18"/>
              </w:rPr>
            </w:pPr>
            <w:r w:rsidRPr="00A36C51">
              <w:rPr>
                <w:b/>
                <w:bCs/>
                <w:sz w:val="18"/>
              </w:rPr>
              <w:t>Medicine</w:t>
            </w:r>
          </w:p>
        </w:tc>
        <w:tc>
          <w:tcPr>
            <w:cnfStyle w:val="000001000000" w:firstRow="0" w:lastRow="0" w:firstColumn="0" w:lastColumn="0" w:oddVBand="0" w:evenVBand="1" w:oddHBand="0" w:evenHBand="0" w:firstRowFirstColumn="0" w:firstRowLastColumn="0" w:lastRowFirstColumn="0" w:lastRowLastColumn="0"/>
            <w:tcW w:w="763" w:type="pct"/>
          </w:tcPr>
          <w:p w14:paraId="6BAE29C3" w14:textId="77777777" w:rsidR="007B0FBA" w:rsidRPr="00CF3E3D" w:rsidRDefault="007B0FBA" w:rsidP="007007AC">
            <w:pPr>
              <w:spacing w:before="85" w:line="288" w:lineRule="auto"/>
              <w:jc w:val="center"/>
              <w:rPr>
                <w:sz w:val="18"/>
                <w:szCs w:val="18"/>
              </w:rPr>
            </w:pPr>
            <w:r w:rsidRPr="00CF3E3D">
              <w:rPr>
                <w:sz w:val="18"/>
                <w:szCs w:val="18"/>
              </w:rPr>
              <w:t>79.6</w:t>
            </w:r>
          </w:p>
        </w:tc>
        <w:tc>
          <w:tcPr>
            <w:cnfStyle w:val="000010000000" w:firstRow="0" w:lastRow="0" w:firstColumn="0" w:lastColumn="0" w:oddVBand="1" w:evenVBand="0" w:oddHBand="0" w:evenHBand="0" w:firstRowFirstColumn="0" w:firstRowLastColumn="0" w:lastRowFirstColumn="0" w:lastRowLastColumn="0"/>
            <w:tcW w:w="764" w:type="pct"/>
          </w:tcPr>
          <w:p w14:paraId="1384FCA1" w14:textId="77777777" w:rsidR="007B0FBA" w:rsidRPr="00CF3E3D" w:rsidRDefault="007B0FBA" w:rsidP="007007AC">
            <w:pPr>
              <w:spacing w:before="85" w:line="288" w:lineRule="auto"/>
              <w:jc w:val="center"/>
              <w:rPr>
                <w:sz w:val="18"/>
                <w:szCs w:val="18"/>
              </w:rPr>
            </w:pPr>
            <w:r w:rsidRPr="00CF3E3D">
              <w:rPr>
                <w:sz w:val="18"/>
                <w:szCs w:val="18"/>
              </w:rPr>
              <w:t>82.4</w:t>
            </w:r>
          </w:p>
        </w:tc>
        <w:tc>
          <w:tcPr>
            <w:cnfStyle w:val="000001000000" w:firstRow="0" w:lastRow="0" w:firstColumn="0" w:lastColumn="0" w:oddVBand="0" w:evenVBand="1" w:oddHBand="0" w:evenHBand="0" w:firstRowFirstColumn="0" w:firstRowLastColumn="0" w:lastRowFirstColumn="0" w:lastRowLastColumn="0"/>
            <w:tcW w:w="763" w:type="pct"/>
          </w:tcPr>
          <w:p w14:paraId="6FDC576B"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73.4</w:t>
            </w:r>
          </w:p>
        </w:tc>
        <w:tc>
          <w:tcPr>
            <w:cnfStyle w:val="000010000000" w:firstRow="0" w:lastRow="0" w:firstColumn="0" w:lastColumn="0" w:oddVBand="1" w:evenVBand="0" w:oddHBand="0" w:evenHBand="0" w:firstRowFirstColumn="0" w:firstRowLastColumn="0" w:lastRowFirstColumn="0" w:lastRowLastColumn="0"/>
            <w:tcW w:w="764" w:type="pct"/>
          </w:tcPr>
          <w:p w14:paraId="7312A725" w14:textId="77777777" w:rsidR="007B0FBA" w:rsidRPr="00CF3E3D" w:rsidRDefault="007B0FBA" w:rsidP="007007AC">
            <w:pPr>
              <w:spacing w:before="85" w:line="288" w:lineRule="auto"/>
              <w:jc w:val="center"/>
              <w:rPr>
                <w:sz w:val="18"/>
                <w:szCs w:val="18"/>
              </w:rPr>
            </w:pPr>
            <w:r w:rsidRPr="00CF3E3D">
              <w:rPr>
                <w:sz w:val="18"/>
                <w:szCs w:val="18"/>
              </w:rPr>
              <w:t>75.7</w:t>
            </w:r>
          </w:p>
        </w:tc>
      </w:tr>
      <w:tr w:rsidR="007B0FBA" w:rsidRPr="00CF3E3D" w14:paraId="6D8274B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650D5C62" w14:textId="77777777" w:rsidR="007B0FBA" w:rsidRPr="00A36C51" w:rsidRDefault="007B0FBA" w:rsidP="007007AC">
            <w:pPr>
              <w:spacing w:before="85" w:line="288" w:lineRule="auto"/>
              <w:rPr>
                <w:b/>
                <w:bCs/>
                <w:sz w:val="18"/>
                <w:szCs w:val="18"/>
              </w:rPr>
            </w:pPr>
            <w:r w:rsidRPr="00A36C51">
              <w:rPr>
                <w:b/>
                <w:bCs/>
                <w:sz w:val="18"/>
              </w:rPr>
              <w:t>Nursing</w:t>
            </w:r>
          </w:p>
        </w:tc>
        <w:tc>
          <w:tcPr>
            <w:cnfStyle w:val="000001000000" w:firstRow="0" w:lastRow="0" w:firstColumn="0" w:lastColumn="0" w:oddVBand="0" w:evenVBand="1" w:oddHBand="0" w:evenHBand="0" w:firstRowFirstColumn="0" w:firstRowLastColumn="0" w:lastRowFirstColumn="0" w:lastRowLastColumn="0"/>
            <w:tcW w:w="763" w:type="pct"/>
          </w:tcPr>
          <w:p w14:paraId="4C9E0028" w14:textId="77777777" w:rsidR="007B0FBA" w:rsidRPr="00CF3E3D" w:rsidRDefault="007B0FBA" w:rsidP="007007AC">
            <w:pPr>
              <w:spacing w:before="85" w:line="288" w:lineRule="auto"/>
              <w:jc w:val="center"/>
              <w:rPr>
                <w:sz w:val="18"/>
                <w:szCs w:val="18"/>
              </w:rPr>
            </w:pPr>
            <w:r w:rsidRPr="00CF3E3D">
              <w:rPr>
                <w:sz w:val="18"/>
                <w:szCs w:val="18"/>
              </w:rPr>
              <w:t>75.9</w:t>
            </w:r>
          </w:p>
        </w:tc>
        <w:tc>
          <w:tcPr>
            <w:cnfStyle w:val="000010000000" w:firstRow="0" w:lastRow="0" w:firstColumn="0" w:lastColumn="0" w:oddVBand="1" w:evenVBand="0" w:oddHBand="0" w:evenHBand="0" w:firstRowFirstColumn="0" w:firstRowLastColumn="0" w:lastRowFirstColumn="0" w:lastRowLastColumn="0"/>
            <w:tcW w:w="764" w:type="pct"/>
          </w:tcPr>
          <w:p w14:paraId="6478CF3A" w14:textId="77777777" w:rsidR="007B0FBA" w:rsidRPr="00CF3E3D" w:rsidRDefault="007B0FBA" w:rsidP="007007AC">
            <w:pPr>
              <w:spacing w:before="85" w:line="288" w:lineRule="auto"/>
              <w:jc w:val="center"/>
              <w:rPr>
                <w:sz w:val="18"/>
                <w:szCs w:val="18"/>
              </w:rPr>
            </w:pPr>
            <w:r w:rsidRPr="00CF3E3D">
              <w:rPr>
                <w:sz w:val="18"/>
                <w:szCs w:val="18"/>
              </w:rPr>
              <w:t>73.9</w:t>
            </w:r>
          </w:p>
        </w:tc>
        <w:tc>
          <w:tcPr>
            <w:cnfStyle w:val="000001000000" w:firstRow="0" w:lastRow="0" w:firstColumn="0" w:lastColumn="0" w:oddVBand="0" w:evenVBand="1" w:oddHBand="0" w:evenHBand="0" w:firstRowFirstColumn="0" w:firstRowLastColumn="0" w:lastRowFirstColumn="0" w:lastRowLastColumn="0"/>
            <w:tcW w:w="763" w:type="pct"/>
          </w:tcPr>
          <w:p w14:paraId="09B2D5F7"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80.8</w:t>
            </w:r>
          </w:p>
        </w:tc>
        <w:tc>
          <w:tcPr>
            <w:cnfStyle w:val="000010000000" w:firstRow="0" w:lastRow="0" w:firstColumn="0" w:lastColumn="0" w:oddVBand="1" w:evenVBand="0" w:oddHBand="0" w:evenHBand="0" w:firstRowFirstColumn="0" w:firstRowLastColumn="0" w:lastRowFirstColumn="0" w:lastRowLastColumn="0"/>
            <w:tcW w:w="764" w:type="pct"/>
          </w:tcPr>
          <w:p w14:paraId="2CC71BCE" w14:textId="77777777" w:rsidR="007B0FBA" w:rsidRPr="00CF3E3D" w:rsidRDefault="007B0FBA" w:rsidP="007007AC">
            <w:pPr>
              <w:spacing w:before="85" w:line="288" w:lineRule="auto"/>
              <w:jc w:val="center"/>
              <w:rPr>
                <w:sz w:val="18"/>
                <w:szCs w:val="18"/>
              </w:rPr>
            </w:pPr>
            <w:r w:rsidRPr="00CF3E3D">
              <w:rPr>
                <w:sz w:val="18"/>
                <w:szCs w:val="18"/>
              </w:rPr>
              <w:t>81.5</w:t>
            </w:r>
          </w:p>
        </w:tc>
      </w:tr>
      <w:tr w:rsidR="007B0FBA" w:rsidRPr="00CF3E3D" w14:paraId="27CEC89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40C48A3D" w14:textId="77777777" w:rsidR="007B0FBA" w:rsidRPr="00A36C51" w:rsidRDefault="007B0FBA" w:rsidP="007007AC">
            <w:pPr>
              <w:spacing w:before="85" w:line="288" w:lineRule="auto"/>
              <w:rPr>
                <w:b/>
                <w:bCs/>
                <w:sz w:val="18"/>
                <w:szCs w:val="18"/>
              </w:rPr>
            </w:pPr>
            <w:r w:rsidRPr="00A36C51">
              <w:rPr>
                <w:b/>
                <w:bCs/>
                <w:sz w:val="18"/>
              </w:rPr>
              <w:t>Pharmacy</w:t>
            </w:r>
          </w:p>
        </w:tc>
        <w:tc>
          <w:tcPr>
            <w:cnfStyle w:val="000001000000" w:firstRow="0" w:lastRow="0" w:firstColumn="0" w:lastColumn="0" w:oddVBand="0" w:evenVBand="1" w:oddHBand="0" w:evenHBand="0" w:firstRowFirstColumn="0" w:firstRowLastColumn="0" w:lastRowFirstColumn="0" w:lastRowLastColumn="0"/>
            <w:tcW w:w="763" w:type="pct"/>
          </w:tcPr>
          <w:p w14:paraId="4EF82671" w14:textId="77777777" w:rsidR="007B0FBA" w:rsidRPr="00CF3E3D" w:rsidRDefault="007B0FBA" w:rsidP="007007AC">
            <w:pPr>
              <w:spacing w:before="85" w:line="288" w:lineRule="auto"/>
              <w:jc w:val="center"/>
              <w:rPr>
                <w:sz w:val="18"/>
                <w:szCs w:val="18"/>
              </w:rPr>
            </w:pPr>
            <w:r w:rsidRPr="00CF3E3D">
              <w:rPr>
                <w:sz w:val="18"/>
                <w:szCs w:val="18"/>
              </w:rPr>
              <w:t>84.2</w:t>
            </w:r>
          </w:p>
        </w:tc>
        <w:tc>
          <w:tcPr>
            <w:cnfStyle w:val="000010000000" w:firstRow="0" w:lastRow="0" w:firstColumn="0" w:lastColumn="0" w:oddVBand="1" w:evenVBand="0" w:oddHBand="0" w:evenHBand="0" w:firstRowFirstColumn="0" w:firstRowLastColumn="0" w:lastRowFirstColumn="0" w:lastRowLastColumn="0"/>
            <w:tcW w:w="764" w:type="pct"/>
          </w:tcPr>
          <w:p w14:paraId="20E7A68D" w14:textId="77777777" w:rsidR="007B0FBA" w:rsidRPr="00CF3E3D" w:rsidRDefault="007B0FBA" w:rsidP="007007AC">
            <w:pPr>
              <w:spacing w:before="85" w:line="288" w:lineRule="auto"/>
              <w:jc w:val="center"/>
              <w:rPr>
                <w:sz w:val="18"/>
                <w:szCs w:val="18"/>
              </w:rPr>
            </w:pPr>
            <w:r w:rsidRPr="00CF3E3D">
              <w:rPr>
                <w:sz w:val="18"/>
                <w:szCs w:val="18"/>
              </w:rPr>
              <w:t>80.4</w:t>
            </w:r>
          </w:p>
        </w:tc>
        <w:tc>
          <w:tcPr>
            <w:cnfStyle w:val="000001000000" w:firstRow="0" w:lastRow="0" w:firstColumn="0" w:lastColumn="0" w:oddVBand="0" w:evenVBand="1" w:oddHBand="0" w:evenHBand="0" w:firstRowFirstColumn="0" w:firstRowLastColumn="0" w:lastRowFirstColumn="0" w:lastRowLastColumn="0"/>
            <w:tcW w:w="763" w:type="pct"/>
          </w:tcPr>
          <w:p w14:paraId="71ED3F78"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78.7</w:t>
            </w:r>
          </w:p>
        </w:tc>
        <w:tc>
          <w:tcPr>
            <w:cnfStyle w:val="000010000000" w:firstRow="0" w:lastRow="0" w:firstColumn="0" w:lastColumn="0" w:oddVBand="1" w:evenVBand="0" w:oddHBand="0" w:evenHBand="0" w:firstRowFirstColumn="0" w:firstRowLastColumn="0" w:lastRowFirstColumn="0" w:lastRowLastColumn="0"/>
            <w:tcW w:w="764" w:type="pct"/>
          </w:tcPr>
          <w:p w14:paraId="35A8CD0A" w14:textId="77777777" w:rsidR="007B0FBA" w:rsidRPr="00CF3E3D" w:rsidRDefault="007B0FBA" w:rsidP="007007AC">
            <w:pPr>
              <w:spacing w:before="85" w:line="288" w:lineRule="auto"/>
              <w:jc w:val="center"/>
              <w:rPr>
                <w:sz w:val="18"/>
                <w:szCs w:val="18"/>
              </w:rPr>
            </w:pPr>
            <w:r w:rsidRPr="00CF3E3D">
              <w:rPr>
                <w:sz w:val="18"/>
                <w:szCs w:val="18"/>
              </w:rPr>
              <w:t>88.0</w:t>
            </w:r>
          </w:p>
        </w:tc>
      </w:tr>
      <w:tr w:rsidR="007B0FBA" w:rsidRPr="00CF3E3D" w14:paraId="6831D1A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42F1CEB3" w14:textId="77777777" w:rsidR="007B0FBA" w:rsidRPr="00A36C51" w:rsidRDefault="007B0FBA" w:rsidP="007007AC">
            <w:pPr>
              <w:spacing w:before="85" w:line="288" w:lineRule="auto"/>
              <w:rPr>
                <w:b/>
                <w:bCs/>
                <w:sz w:val="18"/>
                <w:szCs w:val="18"/>
              </w:rPr>
            </w:pPr>
            <w:r w:rsidRPr="00A36C51">
              <w:rPr>
                <w:b/>
                <w:bCs/>
                <w:sz w:val="18"/>
              </w:rPr>
              <w:t>Dentistry</w:t>
            </w:r>
          </w:p>
        </w:tc>
        <w:tc>
          <w:tcPr>
            <w:cnfStyle w:val="000001000000" w:firstRow="0" w:lastRow="0" w:firstColumn="0" w:lastColumn="0" w:oddVBand="0" w:evenVBand="1" w:oddHBand="0" w:evenHBand="0" w:firstRowFirstColumn="0" w:firstRowLastColumn="0" w:lastRowFirstColumn="0" w:lastRowLastColumn="0"/>
            <w:tcW w:w="763" w:type="pct"/>
          </w:tcPr>
          <w:p w14:paraId="5193894F" w14:textId="77777777" w:rsidR="007B0FBA" w:rsidRPr="00CF3E3D" w:rsidRDefault="007B0FBA" w:rsidP="007007AC">
            <w:pPr>
              <w:spacing w:before="85" w:line="288" w:lineRule="auto"/>
              <w:jc w:val="center"/>
              <w:rPr>
                <w:sz w:val="18"/>
                <w:szCs w:val="18"/>
              </w:rPr>
            </w:pPr>
            <w:r w:rsidRPr="00CF3E3D">
              <w:rPr>
                <w:sz w:val="18"/>
                <w:szCs w:val="18"/>
              </w:rPr>
              <w:t>65.6</w:t>
            </w:r>
          </w:p>
        </w:tc>
        <w:tc>
          <w:tcPr>
            <w:cnfStyle w:val="000010000000" w:firstRow="0" w:lastRow="0" w:firstColumn="0" w:lastColumn="0" w:oddVBand="1" w:evenVBand="0" w:oddHBand="0" w:evenHBand="0" w:firstRowFirstColumn="0" w:firstRowLastColumn="0" w:lastRowFirstColumn="0" w:lastRowLastColumn="0"/>
            <w:tcW w:w="764" w:type="pct"/>
          </w:tcPr>
          <w:p w14:paraId="24078533" w14:textId="77777777" w:rsidR="007B0FBA" w:rsidRPr="00CF3E3D" w:rsidRDefault="007B0FBA" w:rsidP="007007AC">
            <w:pPr>
              <w:spacing w:before="85" w:line="288" w:lineRule="auto"/>
              <w:jc w:val="center"/>
              <w:rPr>
                <w:sz w:val="18"/>
                <w:szCs w:val="18"/>
              </w:rPr>
            </w:pPr>
            <w:r w:rsidRPr="00CF3E3D">
              <w:rPr>
                <w:sz w:val="18"/>
                <w:szCs w:val="18"/>
              </w:rPr>
              <w:t>54.8</w:t>
            </w:r>
          </w:p>
        </w:tc>
        <w:tc>
          <w:tcPr>
            <w:cnfStyle w:val="000001000000" w:firstRow="0" w:lastRow="0" w:firstColumn="0" w:lastColumn="0" w:oddVBand="0" w:evenVBand="1" w:oddHBand="0" w:evenHBand="0" w:firstRowFirstColumn="0" w:firstRowLastColumn="0" w:lastRowFirstColumn="0" w:lastRowLastColumn="0"/>
            <w:tcW w:w="763" w:type="pct"/>
          </w:tcPr>
          <w:p w14:paraId="4F8DC5C6"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61.7</w:t>
            </w:r>
          </w:p>
        </w:tc>
        <w:tc>
          <w:tcPr>
            <w:cnfStyle w:val="000010000000" w:firstRow="0" w:lastRow="0" w:firstColumn="0" w:lastColumn="0" w:oddVBand="1" w:evenVBand="0" w:oddHBand="0" w:evenHBand="0" w:firstRowFirstColumn="0" w:firstRowLastColumn="0" w:lastRowFirstColumn="0" w:lastRowLastColumn="0"/>
            <w:tcW w:w="764" w:type="pct"/>
          </w:tcPr>
          <w:p w14:paraId="0CE92B61" w14:textId="77777777" w:rsidR="007B0FBA" w:rsidRPr="00CF3E3D" w:rsidRDefault="007B0FBA" w:rsidP="007007AC">
            <w:pPr>
              <w:spacing w:before="85" w:line="288" w:lineRule="auto"/>
              <w:jc w:val="center"/>
              <w:rPr>
                <w:sz w:val="18"/>
                <w:szCs w:val="18"/>
              </w:rPr>
            </w:pPr>
            <w:r w:rsidRPr="00CF3E3D">
              <w:rPr>
                <w:sz w:val="18"/>
                <w:szCs w:val="18"/>
              </w:rPr>
              <w:t>44.4</w:t>
            </w:r>
          </w:p>
        </w:tc>
      </w:tr>
      <w:tr w:rsidR="007B0FBA" w:rsidRPr="00CF3E3D" w14:paraId="686C986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5A459E7B" w14:textId="77777777" w:rsidR="007B0FBA" w:rsidRPr="00A36C51" w:rsidRDefault="007B0FBA" w:rsidP="007007AC">
            <w:pPr>
              <w:spacing w:before="85" w:line="288" w:lineRule="auto"/>
              <w:rPr>
                <w:b/>
                <w:bCs/>
                <w:sz w:val="18"/>
                <w:szCs w:val="18"/>
              </w:rPr>
            </w:pPr>
            <w:r w:rsidRPr="00A36C51">
              <w:rPr>
                <w:b/>
                <w:bCs/>
                <w:sz w:val="18"/>
              </w:rPr>
              <w:lastRenderedPageBreak/>
              <w:t>Veterinary science</w:t>
            </w:r>
          </w:p>
        </w:tc>
        <w:tc>
          <w:tcPr>
            <w:cnfStyle w:val="000001000000" w:firstRow="0" w:lastRow="0" w:firstColumn="0" w:lastColumn="0" w:oddVBand="0" w:evenVBand="1" w:oddHBand="0" w:evenHBand="0" w:firstRowFirstColumn="0" w:firstRowLastColumn="0" w:lastRowFirstColumn="0" w:lastRowLastColumn="0"/>
            <w:tcW w:w="763" w:type="pct"/>
          </w:tcPr>
          <w:p w14:paraId="3BDDBD36" w14:textId="77777777" w:rsidR="007B0FBA" w:rsidRPr="00CF3E3D" w:rsidRDefault="007B0FBA" w:rsidP="007007AC">
            <w:pPr>
              <w:spacing w:before="85" w:line="288" w:lineRule="auto"/>
              <w:jc w:val="center"/>
              <w:rPr>
                <w:sz w:val="18"/>
                <w:szCs w:val="18"/>
              </w:rPr>
            </w:pPr>
            <w:r w:rsidRPr="00CF3E3D">
              <w:rPr>
                <w:sz w:val="18"/>
                <w:szCs w:val="18"/>
              </w:rPr>
              <w:t>78.8</w:t>
            </w:r>
          </w:p>
        </w:tc>
        <w:tc>
          <w:tcPr>
            <w:cnfStyle w:val="000010000000" w:firstRow="0" w:lastRow="0" w:firstColumn="0" w:lastColumn="0" w:oddVBand="1" w:evenVBand="0" w:oddHBand="0" w:evenHBand="0" w:firstRowFirstColumn="0" w:firstRowLastColumn="0" w:lastRowFirstColumn="0" w:lastRowLastColumn="0"/>
            <w:tcW w:w="764" w:type="pct"/>
          </w:tcPr>
          <w:p w14:paraId="44B08301" w14:textId="77777777" w:rsidR="007B0FBA" w:rsidRPr="00CF3E3D" w:rsidRDefault="007B0FBA" w:rsidP="007007AC">
            <w:pPr>
              <w:spacing w:before="85" w:line="288" w:lineRule="auto"/>
              <w:jc w:val="center"/>
              <w:rPr>
                <w:sz w:val="18"/>
                <w:szCs w:val="18"/>
              </w:rPr>
            </w:pPr>
            <w:r w:rsidRPr="00CF3E3D">
              <w:rPr>
                <w:sz w:val="18"/>
                <w:szCs w:val="18"/>
              </w:rPr>
              <w:t>74.2</w:t>
            </w:r>
          </w:p>
        </w:tc>
        <w:tc>
          <w:tcPr>
            <w:cnfStyle w:val="000001000000" w:firstRow="0" w:lastRow="0" w:firstColumn="0" w:lastColumn="0" w:oddVBand="0" w:evenVBand="1" w:oddHBand="0" w:evenHBand="0" w:firstRowFirstColumn="0" w:firstRowLastColumn="0" w:lastRowFirstColumn="0" w:lastRowLastColumn="0"/>
            <w:tcW w:w="763" w:type="pct"/>
          </w:tcPr>
          <w:p w14:paraId="429E94A8"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66.1</w:t>
            </w:r>
          </w:p>
        </w:tc>
        <w:tc>
          <w:tcPr>
            <w:cnfStyle w:val="000010000000" w:firstRow="0" w:lastRow="0" w:firstColumn="0" w:lastColumn="0" w:oddVBand="1" w:evenVBand="0" w:oddHBand="0" w:evenHBand="0" w:firstRowFirstColumn="0" w:firstRowLastColumn="0" w:lastRowFirstColumn="0" w:lastRowLastColumn="0"/>
            <w:tcW w:w="764" w:type="pct"/>
          </w:tcPr>
          <w:p w14:paraId="58B9BBF5" w14:textId="77777777" w:rsidR="007B0FBA" w:rsidRPr="00CF3E3D" w:rsidRDefault="007B0FBA" w:rsidP="007007AC">
            <w:pPr>
              <w:spacing w:before="85" w:line="288" w:lineRule="auto"/>
              <w:jc w:val="center"/>
              <w:rPr>
                <w:sz w:val="18"/>
                <w:szCs w:val="18"/>
              </w:rPr>
            </w:pPr>
            <w:r w:rsidRPr="00CF3E3D">
              <w:rPr>
                <w:sz w:val="18"/>
                <w:szCs w:val="18"/>
              </w:rPr>
              <w:t>62.7</w:t>
            </w:r>
          </w:p>
        </w:tc>
      </w:tr>
      <w:tr w:rsidR="007B0FBA" w:rsidRPr="00CF3E3D" w14:paraId="4419370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292028B9" w14:textId="77777777" w:rsidR="007B0FBA" w:rsidRPr="00A36C51" w:rsidRDefault="007B0FBA" w:rsidP="007007AC">
            <w:pPr>
              <w:spacing w:before="85" w:line="288" w:lineRule="auto"/>
              <w:rPr>
                <w:b/>
                <w:bCs/>
                <w:sz w:val="18"/>
                <w:szCs w:val="18"/>
              </w:rPr>
            </w:pPr>
            <w:r w:rsidRPr="00A36C51">
              <w:rPr>
                <w:b/>
                <w:bCs/>
                <w:sz w:val="18"/>
              </w:rPr>
              <w:t>Rehabilitation</w:t>
            </w:r>
          </w:p>
        </w:tc>
        <w:tc>
          <w:tcPr>
            <w:cnfStyle w:val="000001000000" w:firstRow="0" w:lastRow="0" w:firstColumn="0" w:lastColumn="0" w:oddVBand="0" w:evenVBand="1" w:oddHBand="0" w:evenHBand="0" w:firstRowFirstColumn="0" w:firstRowLastColumn="0" w:lastRowFirstColumn="0" w:lastRowLastColumn="0"/>
            <w:tcW w:w="763" w:type="pct"/>
          </w:tcPr>
          <w:p w14:paraId="51C7119B" w14:textId="77777777" w:rsidR="007B0FBA" w:rsidRPr="00CF3E3D" w:rsidRDefault="007B0FBA" w:rsidP="007007AC">
            <w:pPr>
              <w:spacing w:before="85" w:line="288" w:lineRule="auto"/>
              <w:jc w:val="center"/>
              <w:rPr>
                <w:sz w:val="18"/>
                <w:szCs w:val="18"/>
              </w:rPr>
            </w:pPr>
            <w:r w:rsidRPr="00CF3E3D">
              <w:rPr>
                <w:sz w:val="18"/>
                <w:szCs w:val="18"/>
              </w:rPr>
              <w:t>82.0</w:t>
            </w:r>
          </w:p>
        </w:tc>
        <w:tc>
          <w:tcPr>
            <w:cnfStyle w:val="000010000000" w:firstRow="0" w:lastRow="0" w:firstColumn="0" w:lastColumn="0" w:oddVBand="1" w:evenVBand="0" w:oddHBand="0" w:evenHBand="0" w:firstRowFirstColumn="0" w:firstRowLastColumn="0" w:lastRowFirstColumn="0" w:lastRowLastColumn="0"/>
            <w:tcW w:w="764" w:type="pct"/>
          </w:tcPr>
          <w:p w14:paraId="5CFB3D53" w14:textId="77777777" w:rsidR="007B0FBA" w:rsidRPr="00CF3E3D" w:rsidRDefault="007B0FBA" w:rsidP="007007AC">
            <w:pPr>
              <w:spacing w:before="85" w:line="288" w:lineRule="auto"/>
              <w:jc w:val="center"/>
              <w:rPr>
                <w:sz w:val="18"/>
                <w:szCs w:val="18"/>
              </w:rPr>
            </w:pPr>
            <w:r w:rsidRPr="00CF3E3D">
              <w:rPr>
                <w:sz w:val="18"/>
                <w:szCs w:val="18"/>
              </w:rPr>
              <w:t>81.9</w:t>
            </w:r>
          </w:p>
        </w:tc>
        <w:tc>
          <w:tcPr>
            <w:cnfStyle w:val="000001000000" w:firstRow="0" w:lastRow="0" w:firstColumn="0" w:lastColumn="0" w:oddVBand="0" w:evenVBand="1" w:oddHBand="0" w:evenHBand="0" w:firstRowFirstColumn="0" w:firstRowLastColumn="0" w:lastRowFirstColumn="0" w:lastRowLastColumn="0"/>
            <w:tcW w:w="763" w:type="pct"/>
          </w:tcPr>
          <w:p w14:paraId="2D6C8713"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75.5</w:t>
            </w:r>
          </w:p>
        </w:tc>
        <w:tc>
          <w:tcPr>
            <w:cnfStyle w:val="000010000000" w:firstRow="0" w:lastRow="0" w:firstColumn="0" w:lastColumn="0" w:oddVBand="1" w:evenVBand="0" w:oddHBand="0" w:evenHBand="0" w:firstRowFirstColumn="0" w:firstRowLastColumn="0" w:lastRowFirstColumn="0" w:lastRowLastColumn="0"/>
            <w:tcW w:w="764" w:type="pct"/>
          </w:tcPr>
          <w:p w14:paraId="3786A949" w14:textId="77777777" w:rsidR="007B0FBA" w:rsidRPr="00CF3E3D" w:rsidRDefault="007B0FBA" w:rsidP="007007AC">
            <w:pPr>
              <w:spacing w:before="85" w:line="288" w:lineRule="auto"/>
              <w:jc w:val="center"/>
              <w:rPr>
                <w:sz w:val="18"/>
                <w:szCs w:val="18"/>
              </w:rPr>
            </w:pPr>
            <w:r w:rsidRPr="00CF3E3D">
              <w:rPr>
                <w:sz w:val="18"/>
                <w:szCs w:val="18"/>
              </w:rPr>
              <w:t>75.2</w:t>
            </w:r>
          </w:p>
        </w:tc>
      </w:tr>
      <w:tr w:rsidR="007B0FBA" w:rsidRPr="00CF3E3D" w14:paraId="1A60D73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165FE0E8" w14:textId="77777777" w:rsidR="007B0FBA" w:rsidRPr="00A36C51" w:rsidRDefault="007B0FBA" w:rsidP="007007AC">
            <w:pPr>
              <w:spacing w:before="85" w:line="288" w:lineRule="auto"/>
              <w:rPr>
                <w:b/>
                <w:bCs/>
                <w:sz w:val="18"/>
                <w:szCs w:val="18"/>
              </w:rPr>
            </w:pPr>
            <w:r w:rsidRPr="00A36C51">
              <w:rPr>
                <w:b/>
                <w:bCs/>
                <w:sz w:val="18"/>
              </w:rPr>
              <w:t>Teacher education</w:t>
            </w:r>
          </w:p>
        </w:tc>
        <w:tc>
          <w:tcPr>
            <w:cnfStyle w:val="000001000000" w:firstRow="0" w:lastRow="0" w:firstColumn="0" w:lastColumn="0" w:oddVBand="0" w:evenVBand="1" w:oddHBand="0" w:evenHBand="0" w:firstRowFirstColumn="0" w:firstRowLastColumn="0" w:lastRowFirstColumn="0" w:lastRowLastColumn="0"/>
            <w:tcW w:w="763" w:type="pct"/>
          </w:tcPr>
          <w:p w14:paraId="7743D8F4" w14:textId="77777777" w:rsidR="007B0FBA" w:rsidRPr="00CF3E3D" w:rsidRDefault="007B0FBA" w:rsidP="007007AC">
            <w:pPr>
              <w:spacing w:before="85" w:line="288" w:lineRule="auto"/>
              <w:jc w:val="center"/>
              <w:rPr>
                <w:sz w:val="18"/>
                <w:szCs w:val="18"/>
              </w:rPr>
            </w:pPr>
            <w:r w:rsidRPr="00CF3E3D">
              <w:rPr>
                <w:sz w:val="18"/>
                <w:szCs w:val="18"/>
              </w:rPr>
              <w:t>75.3</w:t>
            </w:r>
          </w:p>
        </w:tc>
        <w:tc>
          <w:tcPr>
            <w:cnfStyle w:val="000010000000" w:firstRow="0" w:lastRow="0" w:firstColumn="0" w:lastColumn="0" w:oddVBand="1" w:evenVBand="0" w:oddHBand="0" w:evenHBand="0" w:firstRowFirstColumn="0" w:firstRowLastColumn="0" w:lastRowFirstColumn="0" w:lastRowLastColumn="0"/>
            <w:tcW w:w="764" w:type="pct"/>
          </w:tcPr>
          <w:p w14:paraId="00E6FD15" w14:textId="77777777" w:rsidR="007B0FBA" w:rsidRPr="00CF3E3D" w:rsidRDefault="007B0FBA" w:rsidP="007007AC">
            <w:pPr>
              <w:spacing w:before="85" w:line="288" w:lineRule="auto"/>
              <w:jc w:val="center"/>
              <w:rPr>
                <w:sz w:val="18"/>
                <w:szCs w:val="18"/>
              </w:rPr>
            </w:pPr>
            <w:r w:rsidRPr="00CF3E3D">
              <w:rPr>
                <w:sz w:val="18"/>
                <w:szCs w:val="18"/>
              </w:rPr>
              <w:t>75.2</w:t>
            </w:r>
          </w:p>
        </w:tc>
        <w:tc>
          <w:tcPr>
            <w:cnfStyle w:val="000001000000" w:firstRow="0" w:lastRow="0" w:firstColumn="0" w:lastColumn="0" w:oddVBand="0" w:evenVBand="1" w:oddHBand="0" w:evenHBand="0" w:firstRowFirstColumn="0" w:firstRowLastColumn="0" w:lastRowFirstColumn="0" w:lastRowLastColumn="0"/>
            <w:tcW w:w="763" w:type="pct"/>
          </w:tcPr>
          <w:p w14:paraId="3887CC98"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81.3</w:t>
            </w:r>
          </w:p>
        </w:tc>
        <w:tc>
          <w:tcPr>
            <w:cnfStyle w:val="000010000000" w:firstRow="0" w:lastRow="0" w:firstColumn="0" w:lastColumn="0" w:oddVBand="1" w:evenVBand="0" w:oddHBand="0" w:evenHBand="0" w:firstRowFirstColumn="0" w:firstRowLastColumn="0" w:lastRowFirstColumn="0" w:lastRowLastColumn="0"/>
            <w:tcW w:w="764" w:type="pct"/>
          </w:tcPr>
          <w:p w14:paraId="4CC0C560" w14:textId="77777777" w:rsidR="007B0FBA" w:rsidRPr="00CF3E3D" w:rsidRDefault="007B0FBA" w:rsidP="007007AC">
            <w:pPr>
              <w:spacing w:before="85" w:line="288" w:lineRule="auto"/>
              <w:jc w:val="center"/>
              <w:rPr>
                <w:sz w:val="18"/>
                <w:szCs w:val="18"/>
              </w:rPr>
            </w:pPr>
            <w:r w:rsidRPr="00CF3E3D">
              <w:rPr>
                <w:sz w:val="18"/>
                <w:szCs w:val="18"/>
              </w:rPr>
              <w:t>80.8</w:t>
            </w:r>
          </w:p>
        </w:tc>
      </w:tr>
      <w:tr w:rsidR="007B0FBA" w:rsidRPr="00CF3E3D" w14:paraId="29CA22B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102DC6BB" w14:textId="77777777" w:rsidR="007B0FBA" w:rsidRPr="00A36C51" w:rsidRDefault="007B0FBA" w:rsidP="007007AC">
            <w:pPr>
              <w:spacing w:before="85" w:line="288" w:lineRule="auto"/>
              <w:rPr>
                <w:b/>
                <w:bCs/>
                <w:sz w:val="18"/>
                <w:szCs w:val="18"/>
              </w:rPr>
            </w:pPr>
            <w:r w:rsidRPr="00A36C51">
              <w:rPr>
                <w:b/>
                <w:bCs/>
                <w:sz w:val="18"/>
              </w:rPr>
              <w:t>Business and management</w:t>
            </w:r>
          </w:p>
        </w:tc>
        <w:tc>
          <w:tcPr>
            <w:cnfStyle w:val="000001000000" w:firstRow="0" w:lastRow="0" w:firstColumn="0" w:lastColumn="0" w:oddVBand="0" w:evenVBand="1" w:oddHBand="0" w:evenHBand="0" w:firstRowFirstColumn="0" w:firstRowLastColumn="0" w:lastRowFirstColumn="0" w:lastRowLastColumn="0"/>
            <w:tcW w:w="763" w:type="pct"/>
          </w:tcPr>
          <w:p w14:paraId="472DB4AC" w14:textId="77777777" w:rsidR="007B0FBA" w:rsidRPr="00CF3E3D" w:rsidRDefault="007B0FBA" w:rsidP="007007AC">
            <w:pPr>
              <w:spacing w:before="85" w:line="288" w:lineRule="auto"/>
              <w:jc w:val="center"/>
              <w:rPr>
                <w:sz w:val="18"/>
                <w:szCs w:val="18"/>
              </w:rPr>
            </w:pPr>
            <w:r w:rsidRPr="00CF3E3D">
              <w:rPr>
                <w:sz w:val="18"/>
                <w:szCs w:val="18"/>
              </w:rPr>
              <w:t>76.5</w:t>
            </w:r>
          </w:p>
        </w:tc>
        <w:tc>
          <w:tcPr>
            <w:cnfStyle w:val="000010000000" w:firstRow="0" w:lastRow="0" w:firstColumn="0" w:lastColumn="0" w:oddVBand="1" w:evenVBand="0" w:oddHBand="0" w:evenHBand="0" w:firstRowFirstColumn="0" w:firstRowLastColumn="0" w:lastRowFirstColumn="0" w:lastRowLastColumn="0"/>
            <w:tcW w:w="764" w:type="pct"/>
          </w:tcPr>
          <w:p w14:paraId="3F7901ED" w14:textId="77777777" w:rsidR="007B0FBA" w:rsidRPr="00CF3E3D" w:rsidRDefault="007B0FBA" w:rsidP="007007AC">
            <w:pPr>
              <w:spacing w:before="85" w:line="288" w:lineRule="auto"/>
              <w:jc w:val="center"/>
              <w:rPr>
                <w:sz w:val="18"/>
                <w:szCs w:val="18"/>
              </w:rPr>
            </w:pPr>
            <w:r w:rsidRPr="00CF3E3D">
              <w:rPr>
                <w:sz w:val="18"/>
                <w:szCs w:val="18"/>
              </w:rPr>
              <w:t>75.7</w:t>
            </w:r>
          </w:p>
        </w:tc>
        <w:tc>
          <w:tcPr>
            <w:cnfStyle w:val="000001000000" w:firstRow="0" w:lastRow="0" w:firstColumn="0" w:lastColumn="0" w:oddVBand="0" w:evenVBand="1" w:oddHBand="0" w:evenHBand="0" w:firstRowFirstColumn="0" w:firstRowLastColumn="0" w:lastRowFirstColumn="0" w:lastRowLastColumn="0"/>
            <w:tcW w:w="763" w:type="pct"/>
          </w:tcPr>
          <w:p w14:paraId="204BB9F7"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81.3</w:t>
            </w:r>
          </w:p>
        </w:tc>
        <w:tc>
          <w:tcPr>
            <w:cnfStyle w:val="000010000000" w:firstRow="0" w:lastRow="0" w:firstColumn="0" w:lastColumn="0" w:oddVBand="1" w:evenVBand="0" w:oddHBand="0" w:evenHBand="0" w:firstRowFirstColumn="0" w:firstRowLastColumn="0" w:lastRowFirstColumn="0" w:lastRowLastColumn="0"/>
            <w:tcW w:w="764" w:type="pct"/>
          </w:tcPr>
          <w:p w14:paraId="1429FC8B" w14:textId="77777777" w:rsidR="007B0FBA" w:rsidRPr="00CF3E3D" w:rsidRDefault="007B0FBA" w:rsidP="007007AC">
            <w:pPr>
              <w:spacing w:before="85" w:line="288" w:lineRule="auto"/>
              <w:jc w:val="center"/>
              <w:rPr>
                <w:sz w:val="18"/>
                <w:szCs w:val="18"/>
              </w:rPr>
            </w:pPr>
            <w:r w:rsidRPr="00CF3E3D">
              <w:rPr>
                <w:sz w:val="18"/>
                <w:szCs w:val="18"/>
              </w:rPr>
              <w:t>81.8</w:t>
            </w:r>
          </w:p>
        </w:tc>
      </w:tr>
      <w:tr w:rsidR="007B0FBA" w:rsidRPr="00CF3E3D" w14:paraId="626493E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4AA34FA7" w14:textId="77777777" w:rsidR="007B0FBA" w:rsidRPr="00A36C51" w:rsidRDefault="007B0FBA" w:rsidP="007007AC">
            <w:pPr>
              <w:spacing w:before="85" w:line="288" w:lineRule="auto"/>
              <w:rPr>
                <w:b/>
                <w:bCs/>
                <w:sz w:val="18"/>
                <w:szCs w:val="18"/>
              </w:rPr>
            </w:pPr>
            <w:r w:rsidRPr="00A36C51">
              <w:rPr>
                <w:b/>
                <w:bCs/>
                <w:sz w:val="18"/>
              </w:rPr>
              <w:t>Humanities, culture and social sciences</w:t>
            </w:r>
          </w:p>
        </w:tc>
        <w:tc>
          <w:tcPr>
            <w:cnfStyle w:val="000001000000" w:firstRow="0" w:lastRow="0" w:firstColumn="0" w:lastColumn="0" w:oddVBand="0" w:evenVBand="1" w:oddHBand="0" w:evenHBand="0" w:firstRowFirstColumn="0" w:firstRowLastColumn="0" w:lastRowFirstColumn="0" w:lastRowLastColumn="0"/>
            <w:tcW w:w="763" w:type="pct"/>
          </w:tcPr>
          <w:p w14:paraId="76338CD6" w14:textId="77777777" w:rsidR="007B0FBA" w:rsidRPr="00CF3E3D" w:rsidRDefault="007B0FBA" w:rsidP="007007AC">
            <w:pPr>
              <w:spacing w:before="85" w:line="288" w:lineRule="auto"/>
              <w:jc w:val="center"/>
              <w:rPr>
                <w:sz w:val="18"/>
                <w:szCs w:val="18"/>
              </w:rPr>
            </w:pPr>
            <w:r w:rsidRPr="00CF3E3D">
              <w:rPr>
                <w:sz w:val="18"/>
                <w:szCs w:val="18"/>
              </w:rPr>
              <w:t>83.7</w:t>
            </w:r>
          </w:p>
        </w:tc>
        <w:tc>
          <w:tcPr>
            <w:cnfStyle w:val="000010000000" w:firstRow="0" w:lastRow="0" w:firstColumn="0" w:lastColumn="0" w:oddVBand="1" w:evenVBand="0" w:oddHBand="0" w:evenHBand="0" w:firstRowFirstColumn="0" w:firstRowLastColumn="0" w:lastRowFirstColumn="0" w:lastRowLastColumn="0"/>
            <w:tcW w:w="764" w:type="pct"/>
          </w:tcPr>
          <w:p w14:paraId="32AEDF69" w14:textId="77777777" w:rsidR="007B0FBA" w:rsidRPr="00CF3E3D" w:rsidRDefault="007B0FBA" w:rsidP="007007AC">
            <w:pPr>
              <w:spacing w:before="85" w:line="288" w:lineRule="auto"/>
              <w:jc w:val="center"/>
              <w:rPr>
                <w:sz w:val="18"/>
                <w:szCs w:val="18"/>
              </w:rPr>
            </w:pPr>
            <w:r w:rsidRPr="00CF3E3D">
              <w:rPr>
                <w:sz w:val="18"/>
                <w:szCs w:val="18"/>
              </w:rPr>
              <w:t>82.6</w:t>
            </w:r>
          </w:p>
        </w:tc>
        <w:tc>
          <w:tcPr>
            <w:cnfStyle w:val="000001000000" w:firstRow="0" w:lastRow="0" w:firstColumn="0" w:lastColumn="0" w:oddVBand="0" w:evenVBand="1" w:oddHBand="0" w:evenHBand="0" w:firstRowFirstColumn="0" w:firstRowLastColumn="0" w:lastRowFirstColumn="0" w:lastRowLastColumn="0"/>
            <w:tcW w:w="763" w:type="pct"/>
          </w:tcPr>
          <w:p w14:paraId="79BD87BF"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86.0</w:t>
            </w:r>
          </w:p>
        </w:tc>
        <w:tc>
          <w:tcPr>
            <w:cnfStyle w:val="000010000000" w:firstRow="0" w:lastRow="0" w:firstColumn="0" w:lastColumn="0" w:oddVBand="1" w:evenVBand="0" w:oddHBand="0" w:evenHBand="0" w:firstRowFirstColumn="0" w:firstRowLastColumn="0" w:lastRowFirstColumn="0" w:lastRowLastColumn="0"/>
            <w:tcW w:w="764" w:type="pct"/>
          </w:tcPr>
          <w:p w14:paraId="770DAAF6" w14:textId="77777777" w:rsidR="007B0FBA" w:rsidRPr="00CF3E3D" w:rsidRDefault="007B0FBA" w:rsidP="007007AC">
            <w:pPr>
              <w:spacing w:before="85" w:line="288" w:lineRule="auto"/>
              <w:jc w:val="center"/>
              <w:rPr>
                <w:sz w:val="18"/>
                <w:szCs w:val="18"/>
              </w:rPr>
            </w:pPr>
            <w:r w:rsidRPr="00CF3E3D">
              <w:rPr>
                <w:sz w:val="18"/>
                <w:szCs w:val="18"/>
              </w:rPr>
              <w:t>86.8</w:t>
            </w:r>
          </w:p>
        </w:tc>
      </w:tr>
      <w:tr w:rsidR="007B0FBA" w:rsidRPr="00CF3E3D" w14:paraId="0FE8685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478A09F6" w14:textId="77777777" w:rsidR="007B0FBA" w:rsidRPr="00A36C51" w:rsidRDefault="007B0FBA" w:rsidP="007007AC">
            <w:pPr>
              <w:spacing w:before="85" w:line="288" w:lineRule="auto"/>
              <w:rPr>
                <w:b/>
                <w:bCs/>
                <w:sz w:val="18"/>
                <w:szCs w:val="18"/>
              </w:rPr>
            </w:pPr>
            <w:r w:rsidRPr="00A36C51">
              <w:rPr>
                <w:b/>
                <w:bCs/>
                <w:sz w:val="18"/>
              </w:rPr>
              <w:t>Social work</w:t>
            </w:r>
          </w:p>
        </w:tc>
        <w:tc>
          <w:tcPr>
            <w:cnfStyle w:val="000001000000" w:firstRow="0" w:lastRow="0" w:firstColumn="0" w:lastColumn="0" w:oddVBand="0" w:evenVBand="1" w:oddHBand="0" w:evenHBand="0" w:firstRowFirstColumn="0" w:firstRowLastColumn="0" w:lastRowFirstColumn="0" w:lastRowLastColumn="0"/>
            <w:tcW w:w="763" w:type="pct"/>
          </w:tcPr>
          <w:p w14:paraId="15ACF970" w14:textId="77777777" w:rsidR="007B0FBA" w:rsidRPr="00CF3E3D" w:rsidRDefault="007B0FBA" w:rsidP="007007AC">
            <w:pPr>
              <w:spacing w:before="85" w:line="288" w:lineRule="auto"/>
              <w:jc w:val="center"/>
              <w:rPr>
                <w:sz w:val="18"/>
                <w:szCs w:val="18"/>
              </w:rPr>
            </w:pPr>
            <w:r w:rsidRPr="00CF3E3D">
              <w:rPr>
                <w:sz w:val="18"/>
                <w:szCs w:val="18"/>
              </w:rPr>
              <w:t>83.8</w:t>
            </w:r>
          </w:p>
        </w:tc>
        <w:tc>
          <w:tcPr>
            <w:cnfStyle w:val="000010000000" w:firstRow="0" w:lastRow="0" w:firstColumn="0" w:lastColumn="0" w:oddVBand="1" w:evenVBand="0" w:oddHBand="0" w:evenHBand="0" w:firstRowFirstColumn="0" w:firstRowLastColumn="0" w:lastRowFirstColumn="0" w:lastRowLastColumn="0"/>
            <w:tcW w:w="764" w:type="pct"/>
          </w:tcPr>
          <w:p w14:paraId="27E9F3B6" w14:textId="77777777" w:rsidR="007B0FBA" w:rsidRPr="00CF3E3D" w:rsidRDefault="007B0FBA" w:rsidP="007007AC">
            <w:pPr>
              <w:spacing w:before="85" w:line="288" w:lineRule="auto"/>
              <w:jc w:val="center"/>
              <w:rPr>
                <w:sz w:val="18"/>
                <w:szCs w:val="18"/>
              </w:rPr>
            </w:pPr>
            <w:r w:rsidRPr="00CF3E3D">
              <w:rPr>
                <w:sz w:val="18"/>
                <w:szCs w:val="18"/>
              </w:rPr>
              <w:t>83.1</w:t>
            </w:r>
          </w:p>
        </w:tc>
        <w:tc>
          <w:tcPr>
            <w:cnfStyle w:val="000001000000" w:firstRow="0" w:lastRow="0" w:firstColumn="0" w:lastColumn="0" w:oddVBand="0" w:evenVBand="1" w:oddHBand="0" w:evenHBand="0" w:firstRowFirstColumn="0" w:firstRowLastColumn="0" w:lastRowFirstColumn="0" w:lastRowLastColumn="0"/>
            <w:tcW w:w="763" w:type="pct"/>
          </w:tcPr>
          <w:p w14:paraId="55376588"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82.2</w:t>
            </w:r>
          </w:p>
        </w:tc>
        <w:tc>
          <w:tcPr>
            <w:cnfStyle w:val="000010000000" w:firstRow="0" w:lastRow="0" w:firstColumn="0" w:lastColumn="0" w:oddVBand="1" w:evenVBand="0" w:oddHBand="0" w:evenHBand="0" w:firstRowFirstColumn="0" w:firstRowLastColumn="0" w:lastRowFirstColumn="0" w:lastRowLastColumn="0"/>
            <w:tcW w:w="764" w:type="pct"/>
          </w:tcPr>
          <w:p w14:paraId="493EF922" w14:textId="77777777" w:rsidR="007B0FBA" w:rsidRPr="00CF3E3D" w:rsidRDefault="007B0FBA" w:rsidP="007007AC">
            <w:pPr>
              <w:spacing w:before="85" w:line="288" w:lineRule="auto"/>
              <w:jc w:val="center"/>
              <w:rPr>
                <w:sz w:val="18"/>
                <w:szCs w:val="18"/>
              </w:rPr>
            </w:pPr>
            <w:r w:rsidRPr="00CF3E3D">
              <w:rPr>
                <w:sz w:val="18"/>
                <w:szCs w:val="18"/>
              </w:rPr>
              <w:t>82.1</w:t>
            </w:r>
          </w:p>
        </w:tc>
      </w:tr>
      <w:tr w:rsidR="007B0FBA" w:rsidRPr="00CF3E3D" w14:paraId="6C092E5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61F6B288" w14:textId="77777777" w:rsidR="007B0FBA" w:rsidRPr="00A36C51" w:rsidRDefault="007B0FBA" w:rsidP="007007AC">
            <w:pPr>
              <w:spacing w:before="85" w:line="288" w:lineRule="auto"/>
              <w:rPr>
                <w:b/>
                <w:bCs/>
                <w:sz w:val="18"/>
                <w:szCs w:val="18"/>
              </w:rPr>
            </w:pPr>
            <w:r w:rsidRPr="00A36C51">
              <w:rPr>
                <w:b/>
                <w:bCs/>
                <w:sz w:val="18"/>
              </w:rPr>
              <w:t>Psychology</w:t>
            </w:r>
          </w:p>
        </w:tc>
        <w:tc>
          <w:tcPr>
            <w:cnfStyle w:val="000001000000" w:firstRow="0" w:lastRow="0" w:firstColumn="0" w:lastColumn="0" w:oddVBand="0" w:evenVBand="1" w:oddHBand="0" w:evenHBand="0" w:firstRowFirstColumn="0" w:firstRowLastColumn="0" w:lastRowFirstColumn="0" w:lastRowLastColumn="0"/>
            <w:tcW w:w="763" w:type="pct"/>
          </w:tcPr>
          <w:p w14:paraId="502BF3B5" w14:textId="77777777" w:rsidR="007B0FBA" w:rsidRPr="00CF3E3D" w:rsidRDefault="007B0FBA" w:rsidP="007007AC">
            <w:pPr>
              <w:spacing w:before="85" w:line="288" w:lineRule="auto"/>
              <w:jc w:val="center"/>
              <w:rPr>
                <w:sz w:val="18"/>
                <w:szCs w:val="18"/>
              </w:rPr>
            </w:pPr>
            <w:r w:rsidRPr="00CF3E3D">
              <w:rPr>
                <w:sz w:val="18"/>
                <w:szCs w:val="18"/>
              </w:rPr>
              <w:t>81.2</w:t>
            </w:r>
          </w:p>
        </w:tc>
        <w:tc>
          <w:tcPr>
            <w:cnfStyle w:val="000010000000" w:firstRow="0" w:lastRow="0" w:firstColumn="0" w:lastColumn="0" w:oddVBand="1" w:evenVBand="0" w:oddHBand="0" w:evenHBand="0" w:firstRowFirstColumn="0" w:firstRowLastColumn="0" w:lastRowFirstColumn="0" w:lastRowLastColumn="0"/>
            <w:tcW w:w="764" w:type="pct"/>
          </w:tcPr>
          <w:p w14:paraId="41313A99" w14:textId="77777777" w:rsidR="007B0FBA" w:rsidRPr="00CF3E3D" w:rsidRDefault="007B0FBA" w:rsidP="007007AC">
            <w:pPr>
              <w:spacing w:before="85" w:line="288" w:lineRule="auto"/>
              <w:jc w:val="center"/>
              <w:rPr>
                <w:sz w:val="18"/>
                <w:szCs w:val="18"/>
              </w:rPr>
            </w:pPr>
            <w:r w:rsidRPr="00CF3E3D">
              <w:rPr>
                <w:sz w:val="18"/>
                <w:szCs w:val="18"/>
              </w:rPr>
              <w:t>80.8</w:t>
            </w:r>
          </w:p>
        </w:tc>
        <w:tc>
          <w:tcPr>
            <w:cnfStyle w:val="000001000000" w:firstRow="0" w:lastRow="0" w:firstColumn="0" w:lastColumn="0" w:oddVBand="0" w:evenVBand="1" w:oddHBand="0" w:evenHBand="0" w:firstRowFirstColumn="0" w:firstRowLastColumn="0" w:lastRowFirstColumn="0" w:lastRowLastColumn="0"/>
            <w:tcW w:w="763" w:type="pct"/>
          </w:tcPr>
          <w:p w14:paraId="18A1E33D"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83.0</w:t>
            </w:r>
          </w:p>
        </w:tc>
        <w:tc>
          <w:tcPr>
            <w:cnfStyle w:val="000010000000" w:firstRow="0" w:lastRow="0" w:firstColumn="0" w:lastColumn="0" w:oddVBand="1" w:evenVBand="0" w:oddHBand="0" w:evenHBand="0" w:firstRowFirstColumn="0" w:firstRowLastColumn="0" w:lastRowFirstColumn="0" w:lastRowLastColumn="0"/>
            <w:tcW w:w="764" w:type="pct"/>
          </w:tcPr>
          <w:p w14:paraId="159764F8" w14:textId="77777777" w:rsidR="007B0FBA" w:rsidRPr="00CF3E3D" w:rsidRDefault="007B0FBA" w:rsidP="007007AC">
            <w:pPr>
              <w:spacing w:before="85" w:line="288" w:lineRule="auto"/>
              <w:jc w:val="center"/>
              <w:rPr>
                <w:sz w:val="18"/>
                <w:szCs w:val="18"/>
              </w:rPr>
            </w:pPr>
            <w:r w:rsidRPr="00CF3E3D">
              <w:rPr>
                <w:sz w:val="18"/>
                <w:szCs w:val="18"/>
              </w:rPr>
              <w:t>82.8</w:t>
            </w:r>
          </w:p>
        </w:tc>
      </w:tr>
      <w:tr w:rsidR="007B0FBA" w:rsidRPr="00CF3E3D" w14:paraId="23FE103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3743E546" w14:textId="77777777" w:rsidR="007B0FBA" w:rsidRPr="00A36C51" w:rsidRDefault="007B0FBA" w:rsidP="007007AC">
            <w:pPr>
              <w:spacing w:before="85" w:line="288" w:lineRule="auto"/>
              <w:rPr>
                <w:b/>
                <w:bCs/>
                <w:sz w:val="18"/>
                <w:szCs w:val="18"/>
              </w:rPr>
            </w:pPr>
            <w:r w:rsidRPr="00A36C51">
              <w:rPr>
                <w:b/>
                <w:bCs/>
                <w:sz w:val="18"/>
              </w:rPr>
              <w:t>Law and paralegal studies</w:t>
            </w:r>
          </w:p>
        </w:tc>
        <w:tc>
          <w:tcPr>
            <w:cnfStyle w:val="000001000000" w:firstRow="0" w:lastRow="0" w:firstColumn="0" w:lastColumn="0" w:oddVBand="0" w:evenVBand="1" w:oddHBand="0" w:evenHBand="0" w:firstRowFirstColumn="0" w:firstRowLastColumn="0" w:lastRowFirstColumn="0" w:lastRowLastColumn="0"/>
            <w:tcW w:w="763" w:type="pct"/>
          </w:tcPr>
          <w:p w14:paraId="42BF7949" w14:textId="77777777" w:rsidR="007B0FBA" w:rsidRPr="00CF3E3D" w:rsidRDefault="007B0FBA" w:rsidP="007007AC">
            <w:pPr>
              <w:spacing w:before="85" w:line="288" w:lineRule="auto"/>
              <w:jc w:val="center"/>
              <w:rPr>
                <w:sz w:val="18"/>
                <w:szCs w:val="18"/>
              </w:rPr>
            </w:pPr>
            <w:r w:rsidRPr="00CF3E3D">
              <w:rPr>
                <w:sz w:val="18"/>
                <w:szCs w:val="18"/>
              </w:rPr>
              <w:t>79.9</w:t>
            </w:r>
          </w:p>
        </w:tc>
        <w:tc>
          <w:tcPr>
            <w:cnfStyle w:val="000010000000" w:firstRow="0" w:lastRow="0" w:firstColumn="0" w:lastColumn="0" w:oddVBand="1" w:evenVBand="0" w:oddHBand="0" w:evenHBand="0" w:firstRowFirstColumn="0" w:firstRowLastColumn="0" w:lastRowFirstColumn="0" w:lastRowLastColumn="0"/>
            <w:tcW w:w="764" w:type="pct"/>
          </w:tcPr>
          <w:p w14:paraId="469CAA9A" w14:textId="77777777" w:rsidR="007B0FBA" w:rsidRPr="00CF3E3D" w:rsidRDefault="007B0FBA" w:rsidP="007007AC">
            <w:pPr>
              <w:spacing w:before="85" w:line="288" w:lineRule="auto"/>
              <w:jc w:val="center"/>
              <w:rPr>
                <w:sz w:val="18"/>
                <w:szCs w:val="18"/>
              </w:rPr>
            </w:pPr>
            <w:r w:rsidRPr="00CF3E3D">
              <w:rPr>
                <w:sz w:val="18"/>
                <w:szCs w:val="18"/>
              </w:rPr>
              <w:t>80.7</w:t>
            </w:r>
          </w:p>
        </w:tc>
        <w:tc>
          <w:tcPr>
            <w:cnfStyle w:val="000001000000" w:firstRow="0" w:lastRow="0" w:firstColumn="0" w:lastColumn="0" w:oddVBand="0" w:evenVBand="1" w:oddHBand="0" w:evenHBand="0" w:firstRowFirstColumn="0" w:firstRowLastColumn="0" w:lastRowFirstColumn="0" w:lastRowLastColumn="0"/>
            <w:tcW w:w="763" w:type="pct"/>
          </w:tcPr>
          <w:p w14:paraId="0349C1EC"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77.6</w:t>
            </w:r>
          </w:p>
        </w:tc>
        <w:tc>
          <w:tcPr>
            <w:cnfStyle w:val="000010000000" w:firstRow="0" w:lastRow="0" w:firstColumn="0" w:lastColumn="0" w:oddVBand="1" w:evenVBand="0" w:oddHBand="0" w:evenHBand="0" w:firstRowFirstColumn="0" w:firstRowLastColumn="0" w:lastRowFirstColumn="0" w:lastRowLastColumn="0"/>
            <w:tcW w:w="764" w:type="pct"/>
          </w:tcPr>
          <w:p w14:paraId="3FA12465" w14:textId="77777777" w:rsidR="007B0FBA" w:rsidRPr="00CF3E3D" w:rsidRDefault="007B0FBA" w:rsidP="007007AC">
            <w:pPr>
              <w:spacing w:before="85" w:line="288" w:lineRule="auto"/>
              <w:jc w:val="center"/>
              <w:rPr>
                <w:sz w:val="18"/>
                <w:szCs w:val="18"/>
              </w:rPr>
            </w:pPr>
            <w:r w:rsidRPr="00CF3E3D">
              <w:rPr>
                <w:sz w:val="18"/>
                <w:szCs w:val="18"/>
              </w:rPr>
              <w:t>77.1</w:t>
            </w:r>
          </w:p>
        </w:tc>
      </w:tr>
      <w:tr w:rsidR="007B0FBA" w:rsidRPr="00CF3E3D" w14:paraId="684ECB1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64C19A99" w14:textId="77777777" w:rsidR="007B0FBA" w:rsidRPr="00A36C51" w:rsidRDefault="007B0FBA" w:rsidP="007007AC">
            <w:pPr>
              <w:spacing w:before="85" w:line="288" w:lineRule="auto"/>
              <w:rPr>
                <w:b/>
                <w:bCs/>
                <w:sz w:val="18"/>
                <w:szCs w:val="18"/>
              </w:rPr>
            </w:pPr>
            <w:r w:rsidRPr="00A36C51">
              <w:rPr>
                <w:b/>
                <w:bCs/>
                <w:sz w:val="18"/>
              </w:rPr>
              <w:t>Creative arts</w:t>
            </w:r>
          </w:p>
        </w:tc>
        <w:tc>
          <w:tcPr>
            <w:cnfStyle w:val="000001000000" w:firstRow="0" w:lastRow="0" w:firstColumn="0" w:lastColumn="0" w:oddVBand="0" w:evenVBand="1" w:oddHBand="0" w:evenHBand="0" w:firstRowFirstColumn="0" w:firstRowLastColumn="0" w:lastRowFirstColumn="0" w:lastRowLastColumn="0"/>
            <w:tcW w:w="763" w:type="pct"/>
          </w:tcPr>
          <w:p w14:paraId="7254C063" w14:textId="77777777" w:rsidR="007B0FBA" w:rsidRPr="00CF3E3D" w:rsidRDefault="007B0FBA" w:rsidP="007007AC">
            <w:pPr>
              <w:spacing w:before="85" w:line="288" w:lineRule="auto"/>
              <w:jc w:val="center"/>
              <w:rPr>
                <w:sz w:val="18"/>
                <w:szCs w:val="18"/>
              </w:rPr>
            </w:pPr>
            <w:r w:rsidRPr="00CF3E3D">
              <w:rPr>
                <w:sz w:val="18"/>
                <w:szCs w:val="18"/>
              </w:rPr>
              <w:t>73.0</w:t>
            </w:r>
          </w:p>
        </w:tc>
        <w:tc>
          <w:tcPr>
            <w:cnfStyle w:val="000010000000" w:firstRow="0" w:lastRow="0" w:firstColumn="0" w:lastColumn="0" w:oddVBand="1" w:evenVBand="0" w:oddHBand="0" w:evenHBand="0" w:firstRowFirstColumn="0" w:firstRowLastColumn="0" w:lastRowFirstColumn="0" w:lastRowLastColumn="0"/>
            <w:tcW w:w="764" w:type="pct"/>
          </w:tcPr>
          <w:p w14:paraId="386589E1" w14:textId="77777777" w:rsidR="007B0FBA" w:rsidRPr="00CF3E3D" w:rsidRDefault="007B0FBA" w:rsidP="007007AC">
            <w:pPr>
              <w:spacing w:before="85" w:line="288" w:lineRule="auto"/>
              <w:jc w:val="center"/>
              <w:rPr>
                <w:sz w:val="18"/>
                <w:szCs w:val="18"/>
              </w:rPr>
            </w:pPr>
            <w:r w:rsidRPr="00CF3E3D">
              <w:rPr>
                <w:sz w:val="18"/>
                <w:szCs w:val="18"/>
              </w:rPr>
              <w:t>71.8</w:t>
            </w:r>
          </w:p>
        </w:tc>
        <w:tc>
          <w:tcPr>
            <w:cnfStyle w:val="000001000000" w:firstRow="0" w:lastRow="0" w:firstColumn="0" w:lastColumn="0" w:oddVBand="0" w:evenVBand="1" w:oddHBand="0" w:evenHBand="0" w:firstRowFirstColumn="0" w:firstRowLastColumn="0" w:lastRowFirstColumn="0" w:lastRowLastColumn="0"/>
            <w:tcW w:w="763" w:type="pct"/>
          </w:tcPr>
          <w:p w14:paraId="2A675694"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74.4</w:t>
            </w:r>
          </w:p>
        </w:tc>
        <w:tc>
          <w:tcPr>
            <w:cnfStyle w:val="000010000000" w:firstRow="0" w:lastRow="0" w:firstColumn="0" w:lastColumn="0" w:oddVBand="1" w:evenVBand="0" w:oddHBand="0" w:evenHBand="0" w:firstRowFirstColumn="0" w:firstRowLastColumn="0" w:lastRowFirstColumn="0" w:lastRowLastColumn="0"/>
            <w:tcW w:w="764" w:type="pct"/>
          </w:tcPr>
          <w:p w14:paraId="59713D70" w14:textId="77777777" w:rsidR="007B0FBA" w:rsidRPr="00CF3E3D" w:rsidRDefault="007B0FBA" w:rsidP="007007AC">
            <w:pPr>
              <w:spacing w:before="85" w:line="288" w:lineRule="auto"/>
              <w:jc w:val="center"/>
              <w:rPr>
                <w:sz w:val="18"/>
                <w:szCs w:val="18"/>
              </w:rPr>
            </w:pPr>
            <w:r w:rsidRPr="00CF3E3D">
              <w:rPr>
                <w:sz w:val="18"/>
                <w:szCs w:val="18"/>
              </w:rPr>
              <w:t>72.0</w:t>
            </w:r>
          </w:p>
        </w:tc>
      </w:tr>
      <w:tr w:rsidR="007B0FBA" w:rsidRPr="00CF3E3D" w14:paraId="4F8BF75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31D18C7E" w14:textId="77777777" w:rsidR="007B0FBA" w:rsidRPr="00A36C51" w:rsidRDefault="007B0FBA" w:rsidP="007007AC">
            <w:pPr>
              <w:spacing w:before="85" w:line="288" w:lineRule="auto"/>
              <w:rPr>
                <w:b/>
                <w:bCs/>
                <w:sz w:val="18"/>
                <w:szCs w:val="18"/>
              </w:rPr>
            </w:pPr>
            <w:r w:rsidRPr="00A36C51">
              <w:rPr>
                <w:b/>
                <w:bCs/>
                <w:sz w:val="18"/>
              </w:rPr>
              <w:t>Communications</w:t>
            </w:r>
          </w:p>
        </w:tc>
        <w:tc>
          <w:tcPr>
            <w:cnfStyle w:val="000001000000" w:firstRow="0" w:lastRow="0" w:firstColumn="0" w:lastColumn="0" w:oddVBand="0" w:evenVBand="1" w:oddHBand="0" w:evenHBand="0" w:firstRowFirstColumn="0" w:firstRowLastColumn="0" w:lastRowFirstColumn="0" w:lastRowLastColumn="0"/>
            <w:tcW w:w="763" w:type="pct"/>
          </w:tcPr>
          <w:p w14:paraId="4F078986" w14:textId="77777777" w:rsidR="007B0FBA" w:rsidRPr="00CF3E3D" w:rsidRDefault="007B0FBA" w:rsidP="007007AC">
            <w:pPr>
              <w:spacing w:before="85" w:line="288" w:lineRule="auto"/>
              <w:jc w:val="center"/>
              <w:rPr>
                <w:sz w:val="18"/>
                <w:szCs w:val="18"/>
              </w:rPr>
            </w:pPr>
            <w:r w:rsidRPr="00CF3E3D">
              <w:rPr>
                <w:sz w:val="18"/>
                <w:szCs w:val="18"/>
              </w:rPr>
              <w:t>77.4</w:t>
            </w:r>
          </w:p>
        </w:tc>
        <w:tc>
          <w:tcPr>
            <w:cnfStyle w:val="000010000000" w:firstRow="0" w:lastRow="0" w:firstColumn="0" w:lastColumn="0" w:oddVBand="1" w:evenVBand="0" w:oddHBand="0" w:evenHBand="0" w:firstRowFirstColumn="0" w:firstRowLastColumn="0" w:lastRowFirstColumn="0" w:lastRowLastColumn="0"/>
            <w:tcW w:w="764" w:type="pct"/>
          </w:tcPr>
          <w:p w14:paraId="6F33CC05" w14:textId="77777777" w:rsidR="007B0FBA" w:rsidRPr="00CF3E3D" w:rsidRDefault="007B0FBA" w:rsidP="007007AC">
            <w:pPr>
              <w:spacing w:before="85" w:line="288" w:lineRule="auto"/>
              <w:jc w:val="center"/>
              <w:rPr>
                <w:sz w:val="18"/>
                <w:szCs w:val="18"/>
              </w:rPr>
            </w:pPr>
            <w:r w:rsidRPr="00CF3E3D">
              <w:rPr>
                <w:sz w:val="18"/>
                <w:szCs w:val="18"/>
              </w:rPr>
              <w:t>77.5</w:t>
            </w:r>
          </w:p>
        </w:tc>
        <w:tc>
          <w:tcPr>
            <w:cnfStyle w:val="000001000000" w:firstRow="0" w:lastRow="0" w:firstColumn="0" w:lastColumn="0" w:oddVBand="0" w:evenVBand="1" w:oddHBand="0" w:evenHBand="0" w:firstRowFirstColumn="0" w:firstRowLastColumn="0" w:lastRowFirstColumn="0" w:lastRowLastColumn="0"/>
            <w:tcW w:w="763" w:type="pct"/>
          </w:tcPr>
          <w:p w14:paraId="3126BCB3"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80.2</w:t>
            </w:r>
          </w:p>
        </w:tc>
        <w:tc>
          <w:tcPr>
            <w:cnfStyle w:val="000010000000" w:firstRow="0" w:lastRow="0" w:firstColumn="0" w:lastColumn="0" w:oddVBand="1" w:evenVBand="0" w:oddHBand="0" w:evenHBand="0" w:firstRowFirstColumn="0" w:firstRowLastColumn="0" w:lastRowFirstColumn="0" w:lastRowLastColumn="0"/>
            <w:tcW w:w="764" w:type="pct"/>
          </w:tcPr>
          <w:p w14:paraId="3621F39F" w14:textId="77777777" w:rsidR="007B0FBA" w:rsidRPr="00CF3E3D" w:rsidRDefault="007B0FBA" w:rsidP="007007AC">
            <w:pPr>
              <w:spacing w:before="85" w:line="288" w:lineRule="auto"/>
              <w:jc w:val="center"/>
              <w:rPr>
                <w:sz w:val="18"/>
                <w:szCs w:val="18"/>
              </w:rPr>
            </w:pPr>
            <w:r w:rsidRPr="00CF3E3D">
              <w:rPr>
                <w:sz w:val="18"/>
                <w:szCs w:val="18"/>
              </w:rPr>
              <w:t>77.8</w:t>
            </w:r>
          </w:p>
        </w:tc>
      </w:tr>
      <w:tr w:rsidR="007B0FBA" w:rsidRPr="00CF3E3D" w14:paraId="3D3CD10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479DE4D5" w14:textId="77777777" w:rsidR="007B0FBA" w:rsidRPr="00A36C51" w:rsidRDefault="007B0FBA" w:rsidP="007007AC">
            <w:pPr>
              <w:spacing w:before="85" w:line="288" w:lineRule="auto"/>
              <w:rPr>
                <w:b/>
                <w:bCs/>
                <w:sz w:val="18"/>
                <w:szCs w:val="18"/>
              </w:rPr>
            </w:pPr>
            <w:r w:rsidRPr="00A36C51">
              <w:rPr>
                <w:b/>
                <w:bCs/>
                <w:sz w:val="18"/>
              </w:rPr>
              <w:t>Tourism, hospitality, personal services, sport and recreation</w:t>
            </w:r>
          </w:p>
        </w:tc>
        <w:tc>
          <w:tcPr>
            <w:cnfStyle w:val="000001000000" w:firstRow="0" w:lastRow="0" w:firstColumn="0" w:lastColumn="0" w:oddVBand="0" w:evenVBand="1" w:oddHBand="0" w:evenHBand="0" w:firstRowFirstColumn="0" w:firstRowLastColumn="0" w:lastRowFirstColumn="0" w:lastRowLastColumn="0"/>
            <w:tcW w:w="763" w:type="pct"/>
          </w:tcPr>
          <w:p w14:paraId="0F6099BF" w14:textId="77777777" w:rsidR="007B0FBA" w:rsidRPr="00CF3E3D" w:rsidRDefault="007B0FBA" w:rsidP="007007AC">
            <w:pPr>
              <w:spacing w:before="85" w:line="288" w:lineRule="auto"/>
              <w:jc w:val="center"/>
              <w:rPr>
                <w:sz w:val="18"/>
                <w:szCs w:val="18"/>
              </w:rPr>
            </w:pPr>
            <w:r w:rsidRPr="00CF3E3D">
              <w:rPr>
                <w:sz w:val="18"/>
                <w:szCs w:val="18"/>
              </w:rPr>
              <w:t>80.3</w:t>
            </w:r>
          </w:p>
        </w:tc>
        <w:tc>
          <w:tcPr>
            <w:cnfStyle w:val="000010000000" w:firstRow="0" w:lastRow="0" w:firstColumn="0" w:lastColumn="0" w:oddVBand="1" w:evenVBand="0" w:oddHBand="0" w:evenHBand="0" w:firstRowFirstColumn="0" w:firstRowLastColumn="0" w:lastRowFirstColumn="0" w:lastRowLastColumn="0"/>
            <w:tcW w:w="764" w:type="pct"/>
          </w:tcPr>
          <w:p w14:paraId="07F6EA1D" w14:textId="77777777" w:rsidR="007B0FBA" w:rsidRPr="00CF3E3D" w:rsidRDefault="007B0FBA" w:rsidP="007007AC">
            <w:pPr>
              <w:spacing w:before="85" w:line="288" w:lineRule="auto"/>
              <w:jc w:val="center"/>
              <w:rPr>
                <w:sz w:val="18"/>
                <w:szCs w:val="18"/>
              </w:rPr>
            </w:pPr>
            <w:r w:rsidRPr="00CF3E3D">
              <w:rPr>
                <w:sz w:val="18"/>
                <w:szCs w:val="18"/>
              </w:rPr>
              <w:t>81.8</w:t>
            </w:r>
          </w:p>
        </w:tc>
        <w:tc>
          <w:tcPr>
            <w:cnfStyle w:val="000001000000" w:firstRow="0" w:lastRow="0" w:firstColumn="0" w:lastColumn="0" w:oddVBand="0" w:evenVBand="1" w:oddHBand="0" w:evenHBand="0" w:firstRowFirstColumn="0" w:firstRowLastColumn="0" w:lastRowFirstColumn="0" w:lastRowLastColumn="0"/>
            <w:tcW w:w="763" w:type="pct"/>
          </w:tcPr>
          <w:p w14:paraId="26801714"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sidRPr="00CF3E3D">
              <w:rPr>
                <w:rFonts w:ascii="Arial" w:hAnsi="Arial" w:cs="Arial"/>
                <w:b w:val="0"/>
                <w:bCs w:val="0"/>
                <w:color w:val="auto"/>
                <w:sz w:val="18"/>
                <w:szCs w:val="18"/>
              </w:rPr>
              <w:t>82.3</w:t>
            </w:r>
          </w:p>
        </w:tc>
        <w:tc>
          <w:tcPr>
            <w:cnfStyle w:val="000010000000" w:firstRow="0" w:lastRow="0" w:firstColumn="0" w:lastColumn="0" w:oddVBand="1" w:evenVBand="0" w:oddHBand="0" w:evenHBand="0" w:firstRowFirstColumn="0" w:firstRowLastColumn="0" w:lastRowFirstColumn="0" w:lastRowLastColumn="0"/>
            <w:tcW w:w="764" w:type="pct"/>
          </w:tcPr>
          <w:p w14:paraId="1B022B1E" w14:textId="77777777" w:rsidR="007B0FBA" w:rsidRPr="00CF3E3D" w:rsidRDefault="007B0FBA" w:rsidP="007007AC">
            <w:pPr>
              <w:spacing w:before="85" w:line="288" w:lineRule="auto"/>
              <w:jc w:val="center"/>
              <w:rPr>
                <w:sz w:val="18"/>
                <w:szCs w:val="18"/>
              </w:rPr>
            </w:pPr>
            <w:r w:rsidRPr="00CF3E3D">
              <w:rPr>
                <w:sz w:val="18"/>
                <w:szCs w:val="18"/>
              </w:rPr>
              <w:t>70.2</w:t>
            </w:r>
          </w:p>
        </w:tc>
      </w:tr>
      <w:tr w:rsidR="007B0FBA" w:rsidRPr="00CF3E3D" w14:paraId="7059B9D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612AC231" w14:textId="77777777" w:rsidR="007B0FBA" w:rsidRPr="00A36C51" w:rsidRDefault="007B0FBA" w:rsidP="007007AC">
            <w:pPr>
              <w:spacing w:before="85" w:line="288" w:lineRule="auto"/>
              <w:rPr>
                <w:b/>
                <w:bCs/>
                <w:sz w:val="18"/>
                <w:szCs w:val="18"/>
              </w:rPr>
            </w:pPr>
            <w:r w:rsidRPr="00A36C51">
              <w:rPr>
                <w:b/>
                <w:bCs/>
                <w:sz w:val="18"/>
              </w:rPr>
              <w:t>All study areas</w:t>
            </w:r>
          </w:p>
        </w:tc>
        <w:tc>
          <w:tcPr>
            <w:cnfStyle w:val="000001000000" w:firstRow="0" w:lastRow="0" w:firstColumn="0" w:lastColumn="0" w:oddVBand="0" w:evenVBand="1" w:oddHBand="0" w:evenHBand="0" w:firstRowFirstColumn="0" w:firstRowLastColumn="0" w:lastRowFirstColumn="0" w:lastRowLastColumn="0"/>
            <w:tcW w:w="763" w:type="pct"/>
          </w:tcPr>
          <w:p w14:paraId="4068BFCC" w14:textId="77777777" w:rsidR="007B0FBA" w:rsidRPr="00CF3E3D" w:rsidRDefault="007B0FBA" w:rsidP="007007AC">
            <w:pPr>
              <w:spacing w:before="85" w:line="288" w:lineRule="auto"/>
              <w:jc w:val="center"/>
              <w:rPr>
                <w:b/>
                <w:bCs/>
                <w:sz w:val="18"/>
                <w:szCs w:val="18"/>
              </w:rPr>
            </w:pPr>
            <w:r w:rsidRPr="00CF3E3D">
              <w:rPr>
                <w:b/>
                <w:bCs/>
                <w:sz w:val="18"/>
                <w:szCs w:val="18"/>
              </w:rPr>
              <w:t>77.9</w:t>
            </w:r>
          </w:p>
        </w:tc>
        <w:tc>
          <w:tcPr>
            <w:cnfStyle w:val="000010000000" w:firstRow="0" w:lastRow="0" w:firstColumn="0" w:lastColumn="0" w:oddVBand="1" w:evenVBand="0" w:oddHBand="0" w:evenHBand="0" w:firstRowFirstColumn="0" w:firstRowLastColumn="0" w:lastRowFirstColumn="0" w:lastRowLastColumn="0"/>
            <w:tcW w:w="764" w:type="pct"/>
          </w:tcPr>
          <w:p w14:paraId="0D92C177" w14:textId="77777777" w:rsidR="007B0FBA" w:rsidRPr="00CF3E3D" w:rsidRDefault="007B0FBA" w:rsidP="007007AC">
            <w:pPr>
              <w:spacing w:before="85" w:line="288" w:lineRule="auto"/>
              <w:jc w:val="center"/>
              <w:rPr>
                <w:b/>
                <w:bCs/>
                <w:sz w:val="18"/>
                <w:szCs w:val="18"/>
              </w:rPr>
            </w:pPr>
            <w:r w:rsidRPr="00CF3E3D">
              <w:rPr>
                <w:b/>
                <w:bCs/>
                <w:sz w:val="18"/>
                <w:szCs w:val="18"/>
              </w:rPr>
              <w:t>77.4</w:t>
            </w:r>
          </w:p>
        </w:tc>
        <w:tc>
          <w:tcPr>
            <w:cnfStyle w:val="000001000000" w:firstRow="0" w:lastRow="0" w:firstColumn="0" w:lastColumn="0" w:oddVBand="0" w:evenVBand="1" w:oddHBand="0" w:evenHBand="0" w:firstRowFirstColumn="0" w:firstRowLastColumn="0" w:lastRowFirstColumn="0" w:lastRowLastColumn="0"/>
            <w:tcW w:w="763" w:type="pct"/>
          </w:tcPr>
          <w:p w14:paraId="5214A93A" w14:textId="77777777" w:rsidR="007B0FBA" w:rsidRPr="00CF3E3D" w:rsidRDefault="007B0FBA" w:rsidP="007007AC">
            <w:pPr>
              <w:pStyle w:val="TablecolumnheadCENTRETABLES"/>
              <w:jc w:val="center"/>
              <w:rPr>
                <w:rFonts w:ascii="Arial" w:hAnsi="Arial" w:cs="Arial"/>
                <w:caps w:val="0"/>
                <w:color w:val="auto"/>
                <w:sz w:val="18"/>
                <w:szCs w:val="18"/>
              </w:rPr>
            </w:pPr>
            <w:r w:rsidRPr="00CF3E3D">
              <w:rPr>
                <w:rFonts w:ascii="Arial" w:hAnsi="Arial" w:cs="Arial"/>
                <w:color w:val="auto"/>
                <w:sz w:val="18"/>
                <w:szCs w:val="18"/>
              </w:rPr>
              <w:t>79.8</w:t>
            </w:r>
          </w:p>
        </w:tc>
        <w:tc>
          <w:tcPr>
            <w:cnfStyle w:val="000010000000" w:firstRow="0" w:lastRow="0" w:firstColumn="0" w:lastColumn="0" w:oddVBand="1" w:evenVBand="0" w:oddHBand="0" w:evenHBand="0" w:firstRowFirstColumn="0" w:firstRowLastColumn="0" w:lastRowFirstColumn="0" w:lastRowLastColumn="0"/>
            <w:tcW w:w="764" w:type="pct"/>
          </w:tcPr>
          <w:p w14:paraId="7DACFC58" w14:textId="77777777" w:rsidR="007B0FBA" w:rsidRPr="00CF3E3D" w:rsidRDefault="007B0FBA" w:rsidP="007007AC">
            <w:pPr>
              <w:spacing w:before="85" w:line="288" w:lineRule="auto"/>
              <w:jc w:val="center"/>
              <w:rPr>
                <w:b/>
                <w:bCs/>
                <w:sz w:val="18"/>
                <w:szCs w:val="18"/>
              </w:rPr>
            </w:pPr>
            <w:r w:rsidRPr="00CF3E3D">
              <w:rPr>
                <w:b/>
                <w:bCs/>
                <w:sz w:val="18"/>
                <w:szCs w:val="18"/>
              </w:rPr>
              <w:t>80.0</w:t>
            </w:r>
          </w:p>
        </w:tc>
      </w:tr>
      <w:tr w:rsidR="007B0FBA" w:rsidRPr="00CF3E3D" w14:paraId="7F73BB1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946" w:type="pct"/>
          </w:tcPr>
          <w:p w14:paraId="3D3B99AA" w14:textId="77777777" w:rsidR="007B0FBA" w:rsidRPr="00A36C51" w:rsidRDefault="007B0FBA" w:rsidP="007007AC">
            <w:pPr>
              <w:spacing w:before="85" w:line="288" w:lineRule="auto"/>
              <w:rPr>
                <w:b/>
                <w:bCs/>
                <w:sz w:val="18"/>
              </w:rPr>
            </w:pPr>
            <w:r w:rsidRPr="00A36C51">
              <w:rPr>
                <w:b/>
                <w:bCs/>
                <w:sz w:val="18"/>
              </w:rPr>
              <w:t>Standard deviation</w:t>
            </w:r>
          </w:p>
        </w:tc>
        <w:tc>
          <w:tcPr>
            <w:cnfStyle w:val="000001000000" w:firstRow="0" w:lastRow="0" w:firstColumn="0" w:lastColumn="0" w:oddVBand="0" w:evenVBand="1" w:oddHBand="0" w:evenHBand="0" w:firstRowFirstColumn="0" w:firstRowLastColumn="0" w:lastRowFirstColumn="0" w:lastRowLastColumn="0"/>
            <w:tcW w:w="763" w:type="pct"/>
          </w:tcPr>
          <w:p w14:paraId="3282F4E3" w14:textId="77777777" w:rsidR="007B0FBA" w:rsidRPr="00CF3E3D" w:rsidRDefault="007B0FBA" w:rsidP="007007AC">
            <w:pPr>
              <w:spacing w:before="85" w:line="288" w:lineRule="auto"/>
              <w:jc w:val="center"/>
              <w:rPr>
                <w:sz w:val="18"/>
                <w:szCs w:val="18"/>
              </w:rPr>
            </w:pPr>
            <w:r w:rsidRPr="00CF3E3D">
              <w:rPr>
                <w:sz w:val="18"/>
                <w:szCs w:val="18"/>
              </w:rPr>
              <w:t>5.0</w:t>
            </w:r>
          </w:p>
        </w:tc>
        <w:tc>
          <w:tcPr>
            <w:cnfStyle w:val="000010000000" w:firstRow="0" w:lastRow="0" w:firstColumn="0" w:lastColumn="0" w:oddVBand="1" w:evenVBand="0" w:oddHBand="0" w:evenHBand="0" w:firstRowFirstColumn="0" w:firstRowLastColumn="0" w:lastRowFirstColumn="0" w:lastRowLastColumn="0"/>
            <w:tcW w:w="764" w:type="pct"/>
          </w:tcPr>
          <w:p w14:paraId="64F9720B" w14:textId="77777777" w:rsidR="007B0FBA" w:rsidRPr="00CF3E3D" w:rsidRDefault="007B0FBA" w:rsidP="007007AC">
            <w:pPr>
              <w:spacing w:before="85" w:line="288" w:lineRule="auto"/>
              <w:jc w:val="center"/>
              <w:rPr>
                <w:sz w:val="18"/>
                <w:szCs w:val="18"/>
              </w:rPr>
            </w:pPr>
            <w:r w:rsidRPr="00CF3E3D">
              <w:rPr>
                <w:sz w:val="18"/>
                <w:szCs w:val="18"/>
              </w:rPr>
              <w:t>6.9</w:t>
            </w:r>
          </w:p>
        </w:tc>
        <w:tc>
          <w:tcPr>
            <w:cnfStyle w:val="000001000000" w:firstRow="0" w:lastRow="0" w:firstColumn="0" w:lastColumn="0" w:oddVBand="0" w:evenVBand="1" w:oddHBand="0" w:evenHBand="0" w:firstRowFirstColumn="0" w:firstRowLastColumn="0" w:lastRowFirstColumn="0" w:lastRowLastColumn="0"/>
            <w:tcW w:w="763" w:type="pct"/>
          </w:tcPr>
          <w:p w14:paraId="5098F812" w14:textId="77777777" w:rsidR="007B0FBA" w:rsidRPr="00CF3E3D" w:rsidRDefault="007B0FBA" w:rsidP="007007AC">
            <w:pPr>
              <w:pStyle w:val="TablecolumnheadCENTRETABLES"/>
              <w:jc w:val="center"/>
              <w:rPr>
                <w:rFonts w:ascii="Arial" w:eastAsiaTheme="minorEastAsia" w:hAnsi="Arial" w:cs="Arial"/>
                <w:b w:val="0"/>
                <w:bCs w:val="0"/>
                <w:caps w:val="0"/>
                <w:color w:val="auto"/>
                <w:sz w:val="18"/>
                <w:szCs w:val="18"/>
              </w:rPr>
            </w:pPr>
            <w:r w:rsidRPr="00CF3E3D">
              <w:rPr>
                <w:rFonts w:ascii="Arial" w:eastAsiaTheme="minorEastAsia" w:hAnsi="Arial" w:cs="Arial"/>
                <w:b w:val="0"/>
                <w:bCs w:val="0"/>
                <w:caps w:val="0"/>
                <w:color w:val="auto"/>
                <w:sz w:val="18"/>
                <w:szCs w:val="18"/>
              </w:rPr>
              <w:t>6.3</w:t>
            </w:r>
          </w:p>
        </w:tc>
        <w:tc>
          <w:tcPr>
            <w:cnfStyle w:val="000010000000" w:firstRow="0" w:lastRow="0" w:firstColumn="0" w:lastColumn="0" w:oddVBand="1" w:evenVBand="0" w:oddHBand="0" w:evenHBand="0" w:firstRowFirstColumn="0" w:firstRowLastColumn="0" w:lastRowFirstColumn="0" w:lastRowLastColumn="0"/>
            <w:tcW w:w="764" w:type="pct"/>
          </w:tcPr>
          <w:p w14:paraId="1771AFD8" w14:textId="77777777" w:rsidR="007B0FBA" w:rsidRPr="00CF3E3D" w:rsidRDefault="007B0FBA" w:rsidP="007007AC">
            <w:pPr>
              <w:pStyle w:val="TablecolumnheadCENTRETABLES"/>
              <w:jc w:val="center"/>
              <w:rPr>
                <w:rFonts w:ascii="Arial" w:eastAsiaTheme="minorEastAsia" w:hAnsi="Arial" w:cs="Arial"/>
                <w:b w:val="0"/>
                <w:bCs w:val="0"/>
                <w:caps w:val="0"/>
                <w:color w:val="auto"/>
                <w:sz w:val="18"/>
                <w:szCs w:val="18"/>
                <w:highlight w:val="yellow"/>
              </w:rPr>
            </w:pPr>
            <w:r w:rsidRPr="00CF3E3D">
              <w:rPr>
                <w:rFonts w:ascii="Arial" w:eastAsiaTheme="minorEastAsia" w:hAnsi="Arial" w:cs="Arial"/>
                <w:b w:val="0"/>
                <w:bCs w:val="0"/>
                <w:caps w:val="0"/>
                <w:color w:val="auto"/>
                <w:sz w:val="18"/>
                <w:szCs w:val="18"/>
              </w:rPr>
              <w:t>9.4</w:t>
            </w:r>
          </w:p>
        </w:tc>
      </w:tr>
    </w:tbl>
    <w:p w14:paraId="15DE834F" w14:textId="77777777" w:rsidR="007B0FBA" w:rsidRPr="00257A9C" w:rsidRDefault="007B0FBA" w:rsidP="00257A9C">
      <w:pPr>
        <w:pStyle w:val="Heading3"/>
        <w:numPr>
          <w:ilvl w:val="0"/>
          <w:numId w:val="0"/>
        </w:numPr>
        <w:ind w:left="851" w:hanging="851"/>
        <w:rPr>
          <w:color w:val="000000" w:themeColor="text1"/>
        </w:rPr>
      </w:pPr>
      <w:bookmarkStart w:id="149" w:name="_Toc22810100"/>
      <w:bookmarkStart w:id="150" w:name="_Toc116035551"/>
      <w:bookmarkStart w:id="151" w:name="_Toc116039906"/>
      <w:r w:rsidRPr="00257A9C">
        <w:rPr>
          <w:color w:val="000000" w:themeColor="text1"/>
        </w:rPr>
        <w:t xml:space="preserve">5.2 </w:t>
      </w:r>
      <w:r w:rsidRPr="00257A9C">
        <w:rPr>
          <w:color w:val="000000" w:themeColor="text1"/>
        </w:rPr>
        <w:tab/>
      </w:r>
      <w:bookmarkEnd w:id="149"/>
      <w:r w:rsidRPr="00257A9C">
        <w:rPr>
          <w:color w:val="000000" w:themeColor="text1"/>
        </w:rPr>
        <w:t>Postgraduate research satisfaction</w:t>
      </w:r>
      <w:bookmarkEnd w:id="150"/>
      <w:bookmarkEnd w:id="151"/>
    </w:p>
    <w:p w14:paraId="146028AC" w14:textId="77777777" w:rsidR="007B0FBA" w:rsidRPr="00CF3E3D" w:rsidRDefault="007B0FBA" w:rsidP="007B0FBA">
      <w:pPr>
        <w:pStyle w:val="Body"/>
      </w:pPr>
      <w:r w:rsidRPr="00CF3E3D">
        <w:t>The PREQ, administered since 1999, invites postgraduate research graduates four months after completing their degree to express agreement or disagreement on a five-point response frame with statements about various aspects of their degree. The PREQ reports on Overall satisfaction and other items are grouped thematically into the following scales: Supervision, Intellectual climate, Skills development, Infrastructure, Thesis examination, Goals and expectations and Industry and external engagement. Please note, PREQ results are based on responses from both domestic and international graduates. Scale scores can be dependent on the number and type of items included in each scale. More important than the absolute level of each scale are trends and changes in relativities over time, as shown by</w:t>
      </w:r>
      <w:r>
        <w:t xml:space="preserve"> </w:t>
      </w:r>
      <w:r>
        <w:fldChar w:fldCharType="begin"/>
      </w:r>
      <w:r>
        <w:instrText xml:space="preserve"> REF _Ref115946783 \h </w:instrText>
      </w:r>
      <w:r>
        <w:fldChar w:fldCharType="separate"/>
      </w:r>
      <w:r>
        <w:t xml:space="preserve">Table </w:t>
      </w:r>
      <w:r>
        <w:rPr>
          <w:noProof/>
        </w:rPr>
        <w:t>21</w:t>
      </w:r>
      <w:r>
        <w:fldChar w:fldCharType="end"/>
      </w:r>
      <w:r>
        <w:t>.</w:t>
      </w:r>
    </w:p>
    <w:p w14:paraId="48050016" w14:textId="77777777" w:rsidR="007B0FBA" w:rsidRPr="00CF3E3D" w:rsidRDefault="007B0FBA" w:rsidP="007B0FBA">
      <w:pPr>
        <w:pStyle w:val="Body"/>
      </w:pPr>
      <w:r w:rsidRPr="00CF3E3D">
        <w:t xml:space="preserve">Overall satisfaction among postgraduate research graduates increased by 1.7 percentage points in 2022, from 84.8 per cent in 2021 to 86.5 per cent in 2022. Satisfaction with most other aspects of the postgraduate research experience as measured by the PREQ scales increased in 2022. In comparison to 2021, postgraduate research graduates’ satisfaction with Supervision increased by 1.1 percentage points, Thesis examination increased by 1.0 percentage points, Goals and expectations increased by 0.6 percentage points, Industry and external engagement by 0.6 percentage points, and Intellectual climate increased by 0.1 percentage points. In comparison to 2021, decreased satisfaction </w:t>
      </w:r>
      <w:r w:rsidRPr="00CF3E3D">
        <w:lastRenderedPageBreak/>
        <w:t xml:space="preserve">was recorded in 2022 for Infrastructure by 0.6 percentage points, and Skills development by 0.3 percentage points. </w:t>
      </w:r>
    </w:p>
    <w:p w14:paraId="02E12F47" w14:textId="77777777" w:rsidR="007B0FBA" w:rsidRPr="00CF3E3D" w:rsidRDefault="007B0FBA" w:rsidP="007B0FBA">
      <w:pPr>
        <w:pStyle w:val="Body"/>
      </w:pPr>
      <w:r w:rsidRPr="00CF3E3D">
        <w:t xml:space="preserve">The PREQ time series shown in </w:t>
      </w:r>
      <w:r>
        <w:fldChar w:fldCharType="begin"/>
      </w:r>
      <w:r>
        <w:instrText xml:space="preserve"> REF _Ref115946783 \h </w:instrText>
      </w:r>
      <w:r>
        <w:fldChar w:fldCharType="separate"/>
      </w:r>
      <w:r>
        <w:t xml:space="preserve">Table </w:t>
      </w:r>
      <w:r>
        <w:rPr>
          <w:noProof/>
        </w:rPr>
        <w:t>21</w:t>
      </w:r>
      <w:r>
        <w:fldChar w:fldCharType="end"/>
      </w:r>
      <w:r w:rsidRPr="00CF3E3D">
        <w:t xml:space="preserve"> indicates there has been a steady improvement in satisfaction among postgraduate research graduates over time from 2007 to 2015 as measured by the AGS. The transition to the GOS resulted in an initial lowering of scores between 2015 and 2016, except for Skills development, which showed a slight increase of 0.5 percentage points. Since 2016, most scale scores have seen a gradual increase. Overall satisfaction with the postgraduate research experience has increased slightly from 85.5 per cent in 2016 to 86.5 per cent in 2022. The largest changes in satisfaction have been recorded in the areas of Thesis examination, rising 5.5 percentage points from 77.9 per cent in 2016 to 83.4 per cent in 2022, and Supervision, rising 3.0 percentage points from 81.2 per cent to 84.2 per cent over the same period. </w:t>
      </w:r>
    </w:p>
    <w:p w14:paraId="13DF5DC2" w14:textId="5C10270F" w:rsidR="007B0FBA" w:rsidRPr="00E45B59" w:rsidRDefault="007B0FBA" w:rsidP="007B0FBA">
      <w:pPr>
        <w:pStyle w:val="Caption"/>
        <w:rPr>
          <w:color w:val="000000" w:themeColor="text1"/>
        </w:rPr>
      </w:pPr>
      <w:bookmarkStart w:id="152" w:name="_Ref115946783"/>
      <w:bookmarkStart w:id="153" w:name="_Toc116035815"/>
      <w:bookmarkStart w:id="154" w:name="_Toc116040370"/>
      <w:r w:rsidRPr="00E45B59">
        <w:rPr>
          <w:color w:val="000000" w:themeColor="text1"/>
        </w:rPr>
        <w:t xml:space="preserve">Table </w:t>
      </w:r>
      <w:r w:rsidRPr="00E45B59">
        <w:rPr>
          <w:color w:val="000000" w:themeColor="text1"/>
        </w:rPr>
        <w:fldChar w:fldCharType="begin"/>
      </w:r>
      <w:r w:rsidRPr="00E45B59">
        <w:rPr>
          <w:color w:val="000000" w:themeColor="text1"/>
        </w:rPr>
        <w:instrText xml:space="preserve"> SEQ Table \* ARABIC </w:instrText>
      </w:r>
      <w:r w:rsidRPr="00E45B59">
        <w:rPr>
          <w:color w:val="000000" w:themeColor="text1"/>
        </w:rPr>
        <w:fldChar w:fldCharType="separate"/>
      </w:r>
      <w:r w:rsidR="0082339F">
        <w:rPr>
          <w:noProof/>
          <w:color w:val="000000" w:themeColor="text1"/>
        </w:rPr>
        <w:t>21</w:t>
      </w:r>
      <w:r w:rsidRPr="00E45B59">
        <w:rPr>
          <w:color w:val="000000" w:themeColor="text1"/>
        </w:rPr>
        <w:fldChar w:fldCharType="end"/>
      </w:r>
      <w:bookmarkEnd w:id="152"/>
      <w:r w:rsidRPr="00E45B59">
        <w:rPr>
          <w:color w:val="000000" w:themeColor="text1"/>
        </w:rPr>
        <w:t xml:space="preserve"> Postgraduate research satisfaction, 2011-2022 (% agreement)</w:t>
      </w:r>
      <w:bookmarkEnd w:id="153"/>
      <w:bookmarkEnd w:id="154"/>
    </w:p>
    <w:tbl>
      <w:tblPr>
        <w:tblStyle w:val="SRC1"/>
        <w:tblW w:w="5444" w:type="pct"/>
        <w:tblLayout w:type="fixed"/>
        <w:tblCellMar>
          <w:left w:w="28" w:type="dxa"/>
          <w:right w:w="28" w:type="dxa"/>
        </w:tblCellMar>
        <w:tblLook w:val="00A0" w:firstRow="1" w:lastRow="0" w:firstColumn="1" w:lastColumn="0" w:noHBand="0" w:noVBand="0"/>
        <w:tblCaption w:val="Table 5  Short- (2014) and medium-term (2017) outcomes for undergraduates by study area "/>
      </w:tblPr>
      <w:tblGrid>
        <w:gridCol w:w="1095"/>
        <w:gridCol w:w="1097"/>
        <w:gridCol w:w="1226"/>
        <w:gridCol w:w="924"/>
        <w:gridCol w:w="1053"/>
        <w:gridCol w:w="918"/>
        <w:gridCol w:w="1061"/>
        <w:gridCol w:w="1055"/>
        <w:gridCol w:w="1446"/>
      </w:tblGrid>
      <w:tr w:rsidR="00E45B59" w:rsidRPr="00CF3E3D" w14:paraId="72D03D0D"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554" w:type="pct"/>
          </w:tcPr>
          <w:p w14:paraId="7B1CA056" w14:textId="38DE588E" w:rsidR="007B0FBA" w:rsidRPr="00CF3E3D" w:rsidRDefault="00F12E52" w:rsidP="007007AC">
            <w:pPr>
              <w:rPr>
                <w:b w:val="0"/>
                <w:sz w:val="18"/>
                <w:szCs w:val="18"/>
              </w:rPr>
            </w:pPr>
            <w:bookmarkStart w:id="155" w:name="Title21"/>
            <w:bookmarkEnd w:id="155"/>
            <w:r w:rsidRPr="0021639B">
              <w:rPr>
                <w:rStyle w:val="TabletextBOLD"/>
                <w:b/>
                <w:bCs w:val="0"/>
                <w:color w:val="1F698E" w:themeColor="accent1"/>
              </w:rPr>
              <w:t>Category</w:t>
            </w:r>
          </w:p>
        </w:tc>
        <w:tc>
          <w:tcPr>
            <w:cnfStyle w:val="000010000000" w:firstRow="0" w:lastRow="0" w:firstColumn="0" w:lastColumn="0" w:oddVBand="1" w:evenVBand="0" w:oddHBand="0" w:evenHBand="0" w:firstRowFirstColumn="0" w:firstRowLastColumn="0" w:lastRowFirstColumn="0" w:lastRowLastColumn="0"/>
            <w:tcW w:w="555" w:type="pct"/>
          </w:tcPr>
          <w:p w14:paraId="143FF151" w14:textId="77777777" w:rsidR="007B0FBA" w:rsidRPr="00E45B59" w:rsidRDefault="007B0FBA" w:rsidP="007007AC">
            <w:pPr>
              <w:pStyle w:val="TablecolumnheadCENTRETABLES"/>
              <w:jc w:val="center"/>
              <w:rPr>
                <w:rFonts w:ascii="Arial" w:hAnsi="Arial" w:cs="Arial"/>
                <w:b/>
                <w:bCs w:val="0"/>
                <w:color w:val="FFFFFF" w:themeColor="background1"/>
                <w:sz w:val="18"/>
              </w:rPr>
            </w:pPr>
            <w:r w:rsidRPr="00E45B59">
              <w:rPr>
                <w:rFonts w:ascii="Arial" w:hAnsi="Arial" w:cs="Arial"/>
                <w:b/>
                <w:bCs w:val="0"/>
                <w:caps w:val="0"/>
                <w:color w:val="FFFFFF" w:themeColor="background1"/>
                <w:sz w:val="18"/>
              </w:rPr>
              <w:t>Overall satisfaction</w:t>
            </w:r>
          </w:p>
        </w:tc>
        <w:tc>
          <w:tcPr>
            <w:cnfStyle w:val="000001000000" w:firstRow="0" w:lastRow="0" w:firstColumn="0" w:lastColumn="0" w:oddVBand="0" w:evenVBand="1" w:oddHBand="0" w:evenHBand="0" w:firstRowFirstColumn="0" w:firstRowLastColumn="0" w:lastRowFirstColumn="0" w:lastRowLastColumn="0"/>
            <w:tcW w:w="621" w:type="pct"/>
          </w:tcPr>
          <w:p w14:paraId="74195D74" w14:textId="77777777" w:rsidR="007B0FBA" w:rsidRPr="00E45B59" w:rsidRDefault="007B0FBA" w:rsidP="007007AC">
            <w:pPr>
              <w:pStyle w:val="TablecolumnheadCENTRETABLES"/>
              <w:jc w:val="center"/>
              <w:rPr>
                <w:rFonts w:ascii="Arial" w:hAnsi="Arial" w:cs="Arial"/>
                <w:b/>
                <w:bCs w:val="0"/>
                <w:color w:val="FFFFFF" w:themeColor="background1"/>
                <w:sz w:val="18"/>
              </w:rPr>
            </w:pPr>
            <w:r w:rsidRPr="00E45B59">
              <w:rPr>
                <w:rFonts w:ascii="Arial" w:hAnsi="Arial" w:cs="Arial"/>
                <w:b/>
                <w:bCs w:val="0"/>
                <w:caps w:val="0"/>
                <w:color w:val="FFFFFF" w:themeColor="background1"/>
                <w:sz w:val="18"/>
              </w:rPr>
              <w:t>Supervision</w:t>
            </w:r>
          </w:p>
        </w:tc>
        <w:tc>
          <w:tcPr>
            <w:cnfStyle w:val="000010000000" w:firstRow="0" w:lastRow="0" w:firstColumn="0" w:lastColumn="0" w:oddVBand="1" w:evenVBand="0" w:oddHBand="0" w:evenHBand="0" w:firstRowFirstColumn="0" w:firstRowLastColumn="0" w:lastRowFirstColumn="0" w:lastRowLastColumn="0"/>
            <w:tcW w:w="468" w:type="pct"/>
          </w:tcPr>
          <w:p w14:paraId="0C2331B7" w14:textId="77777777" w:rsidR="007B0FBA" w:rsidRPr="00E45B59" w:rsidRDefault="007B0FBA" w:rsidP="007007AC">
            <w:pPr>
              <w:pStyle w:val="TablecolumnheadCENTRETABLES"/>
              <w:jc w:val="center"/>
              <w:rPr>
                <w:rFonts w:ascii="Arial" w:hAnsi="Arial" w:cs="Arial"/>
                <w:b/>
                <w:bCs w:val="0"/>
                <w:caps w:val="0"/>
                <w:color w:val="FFFFFF" w:themeColor="background1"/>
                <w:sz w:val="18"/>
              </w:rPr>
            </w:pPr>
            <w:r w:rsidRPr="00E45B59">
              <w:rPr>
                <w:rFonts w:ascii="Arial" w:hAnsi="Arial" w:cs="Arial"/>
                <w:b/>
                <w:bCs w:val="0"/>
                <w:caps w:val="0"/>
                <w:color w:val="FFFFFF" w:themeColor="background1"/>
                <w:sz w:val="18"/>
              </w:rPr>
              <w:t>Intellectual climate</w:t>
            </w:r>
          </w:p>
        </w:tc>
        <w:tc>
          <w:tcPr>
            <w:cnfStyle w:val="000001000000" w:firstRow="0" w:lastRow="0" w:firstColumn="0" w:lastColumn="0" w:oddVBand="0" w:evenVBand="1" w:oddHBand="0" w:evenHBand="0" w:firstRowFirstColumn="0" w:firstRowLastColumn="0" w:lastRowFirstColumn="0" w:lastRowLastColumn="0"/>
            <w:tcW w:w="533" w:type="pct"/>
          </w:tcPr>
          <w:p w14:paraId="3D36F5A6" w14:textId="77777777" w:rsidR="007B0FBA" w:rsidRPr="00E45B59" w:rsidRDefault="007B0FBA" w:rsidP="007007AC">
            <w:pPr>
              <w:pStyle w:val="TablecolumnheadCENTRETABLES"/>
              <w:jc w:val="center"/>
              <w:rPr>
                <w:rFonts w:ascii="Arial" w:hAnsi="Arial" w:cs="Arial"/>
                <w:b/>
                <w:bCs w:val="0"/>
                <w:caps w:val="0"/>
                <w:color w:val="FFFFFF" w:themeColor="background1"/>
                <w:sz w:val="18"/>
              </w:rPr>
            </w:pPr>
            <w:r w:rsidRPr="00E45B59">
              <w:rPr>
                <w:rFonts w:ascii="Arial" w:hAnsi="Arial" w:cs="Arial"/>
                <w:b/>
                <w:bCs w:val="0"/>
                <w:caps w:val="0"/>
                <w:color w:val="FFFFFF" w:themeColor="background1"/>
                <w:sz w:val="18"/>
              </w:rPr>
              <w:t>Skills development</w:t>
            </w:r>
          </w:p>
        </w:tc>
        <w:tc>
          <w:tcPr>
            <w:cnfStyle w:val="000010000000" w:firstRow="0" w:lastRow="0" w:firstColumn="0" w:lastColumn="0" w:oddVBand="1" w:evenVBand="0" w:oddHBand="0" w:evenHBand="0" w:firstRowFirstColumn="0" w:firstRowLastColumn="0" w:lastRowFirstColumn="0" w:lastRowLastColumn="0"/>
            <w:tcW w:w="465" w:type="pct"/>
          </w:tcPr>
          <w:p w14:paraId="007AB5AE" w14:textId="77777777" w:rsidR="007B0FBA" w:rsidRPr="00E45B59" w:rsidRDefault="007B0FBA" w:rsidP="007007AC">
            <w:pPr>
              <w:pStyle w:val="TablecolumnheadCENTRETABLES"/>
              <w:jc w:val="center"/>
              <w:rPr>
                <w:rFonts w:ascii="Arial" w:hAnsi="Arial" w:cs="Arial"/>
                <w:b/>
                <w:bCs w:val="0"/>
                <w:caps w:val="0"/>
                <w:color w:val="FFFFFF" w:themeColor="background1"/>
                <w:sz w:val="18"/>
              </w:rPr>
            </w:pPr>
            <w:r w:rsidRPr="00E45B59">
              <w:rPr>
                <w:rFonts w:ascii="Arial" w:hAnsi="Arial" w:cs="Arial"/>
                <w:b/>
                <w:bCs w:val="0"/>
                <w:caps w:val="0"/>
                <w:color w:val="FFFFFF" w:themeColor="background1"/>
                <w:sz w:val="18"/>
              </w:rPr>
              <w:t>Infrastructure</w:t>
            </w:r>
          </w:p>
        </w:tc>
        <w:tc>
          <w:tcPr>
            <w:cnfStyle w:val="000001000000" w:firstRow="0" w:lastRow="0" w:firstColumn="0" w:lastColumn="0" w:oddVBand="0" w:evenVBand="1" w:oddHBand="0" w:evenHBand="0" w:firstRowFirstColumn="0" w:firstRowLastColumn="0" w:lastRowFirstColumn="0" w:lastRowLastColumn="0"/>
            <w:tcW w:w="537" w:type="pct"/>
          </w:tcPr>
          <w:p w14:paraId="7E98758D" w14:textId="77777777" w:rsidR="007B0FBA" w:rsidRPr="00E45B59" w:rsidRDefault="007B0FBA" w:rsidP="007007AC">
            <w:pPr>
              <w:pStyle w:val="TablecolumnheadCENTRETABLES"/>
              <w:jc w:val="center"/>
              <w:rPr>
                <w:rFonts w:ascii="Arial" w:hAnsi="Arial" w:cs="Arial"/>
                <w:b/>
                <w:bCs w:val="0"/>
                <w:caps w:val="0"/>
                <w:color w:val="FFFFFF" w:themeColor="background1"/>
                <w:sz w:val="18"/>
              </w:rPr>
            </w:pPr>
            <w:r w:rsidRPr="00E45B59">
              <w:rPr>
                <w:rFonts w:ascii="Arial" w:hAnsi="Arial" w:cs="Arial"/>
                <w:b/>
                <w:bCs w:val="0"/>
                <w:caps w:val="0"/>
                <w:color w:val="FFFFFF" w:themeColor="background1"/>
                <w:sz w:val="18"/>
              </w:rPr>
              <w:t>Thesis examination</w:t>
            </w:r>
          </w:p>
        </w:tc>
        <w:tc>
          <w:tcPr>
            <w:cnfStyle w:val="000010000000" w:firstRow="0" w:lastRow="0" w:firstColumn="0" w:lastColumn="0" w:oddVBand="1" w:evenVBand="0" w:oddHBand="0" w:evenHBand="0" w:firstRowFirstColumn="0" w:firstRowLastColumn="0" w:lastRowFirstColumn="0" w:lastRowLastColumn="0"/>
            <w:tcW w:w="534" w:type="pct"/>
          </w:tcPr>
          <w:p w14:paraId="39E29BE8" w14:textId="77777777" w:rsidR="007B0FBA" w:rsidRPr="00E45B59" w:rsidRDefault="007B0FBA" w:rsidP="007007AC">
            <w:pPr>
              <w:pStyle w:val="TablecolumnheadCENTRETABLES"/>
              <w:jc w:val="center"/>
              <w:rPr>
                <w:rFonts w:ascii="Arial" w:hAnsi="Arial" w:cs="Arial"/>
                <w:b/>
                <w:bCs w:val="0"/>
                <w:caps w:val="0"/>
                <w:color w:val="FFFFFF" w:themeColor="background1"/>
                <w:sz w:val="18"/>
              </w:rPr>
            </w:pPr>
            <w:r w:rsidRPr="00E45B59">
              <w:rPr>
                <w:rFonts w:ascii="Arial" w:hAnsi="Arial" w:cs="Arial"/>
                <w:b/>
                <w:bCs w:val="0"/>
                <w:caps w:val="0"/>
                <w:color w:val="FFFFFF" w:themeColor="background1"/>
                <w:sz w:val="18"/>
              </w:rPr>
              <w:t>Goals and expectations</w:t>
            </w:r>
          </w:p>
        </w:tc>
        <w:tc>
          <w:tcPr>
            <w:cnfStyle w:val="000001000000" w:firstRow="0" w:lastRow="0" w:firstColumn="0" w:lastColumn="0" w:oddVBand="0" w:evenVBand="1" w:oddHBand="0" w:evenHBand="0" w:firstRowFirstColumn="0" w:firstRowLastColumn="0" w:lastRowFirstColumn="0" w:lastRowLastColumn="0"/>
            <w:tcW w:w="732" w:type="pct"/>
          </w:tcPr>
          <w:p w14:paraId="4583F80F" w14:textId="77777777" w:rsidR="007B0FBA" w:rsidRPr="00E45B59" w:rsidRDefault="007B0FBA" w:rsidP="007007AC">
            <w:pPr>
              <w:pStyle w:val="TablecolumnheadCENTRETABLES"/>
              <w:jc w:val="center"/>
              <w:rPr>
                <w:rFonts w:ascii="Arial" w:hAnsi="Arial" w:cs="Arial"/>
                <w:b/>
                <w:bCs w:val="0"/>
                <w:caps w:val="0"/>
                <w:color w:val="FFFFFF" w:themeColor="background1"/>
                <w:sz w:val="18"/>
              </w:rPr>
            </w:pPr>
            <w:r w:rsidRPr="00E45B59">
              <w:rPr>
                <w:rFonts w:ascii="Arial" w:hAnsi="Arial" w:cs="Arial"/>
                <w:b/>
                <w:bCs w:val="0"/>
                <w:caps w:val="0"/>
                <w:color w:val="FFFFFF" w:themeColor="background1"/>
                <w:sz w:val="18"/>
              </w:rPr>
              <w:t>Industry and external engagement</w:t>
            </w:r>
          </w:p>
        </w:tc>
      </w:tr>
      <w:tr w:rsidR="00E45B59" w:rsidRPr="00CF3E3D" w14:paraId="5F9B3BF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39C30140" w14:textId="77777777" w:rsidR="007B0FBA" w:rsidRPr="00C1370B" w:rsidRDefault="007B0FBA" w:rsidP="007007AC">
            <w:pPr>
              <w:spacing w:before="85" w:line="288" w:lineRule="auto"/>
              <w:rPr>
                <w:b/>
                <w:bCs/>
                <w:sz w:val="18"/>
                <w:szCs w:val="18"/>
              </w:rPr>
            </w:pPr>
            <w:r w:rsidRPr="00C1370B">
              <w:rPr>
                <w:b/>
                <w:bCs/>
                <w:sz w:val="18"/>
                <w:szCs w:val="18"/>
              </w:rPr>
              <w:t>2011</w:t>
            </w:r>
          </w:p>
        </w:tc>
        <w:tc>
          <w:tcPr>
            <w:cnfStyle w:val="000010000000" w:firstRow="0" w:lastRow="0" w:firstColumn="0" w:lastColumn="0" w:oddVBand="1" w:evenVBand="0" w:oddHBand="0" w:evenHBand="0" w:firstRowFirstColumn="0" w:firstRowLastColumn="0" w:lastRowFirstColumn="0" w:lastRowLastColumn="0"/>
            <w:tcW w:w="555" w:type="pct"/>
          </w:tcPr>
          <w:p w14:paraId="0913D2E3" w14:textId="77777777" w:rsidR="007B0FBA" w:rsidRPr="00CF3E3D" w:rsidRDefault="007B0FBA" w:rsidP="007007AC">
            <w:pPr>
              <w:spacing w:before="85" w:line="288" w:lineRule="auto"/>
              <w:jc w:val="center"/>
              <w:rPr>
                <w:sz w:val="18"/>
                <w:szCs w:val="18"/>
              </w:rPr>
            </w:pPr>
            <w:r>
              <w:rPr>
                <w:sz w:val="18"/>
                <w:szCs w:val="18"/>
              </w:rPr>
              <w:t>86.2</w:t>
            </w:r>
          </w:p>
        </w:tc>
        <w:tc>
          <w:tcPr>
            <w:cnfStyle w:val="000001000000" w:firstRow="0" w:lastRow="0" w:firstColumn="0" w:lastColumn="0" w:oddVBand="0" w:evenVBand="1" w:oddHBand="0" w:evenHBand="0" w:firstRowFirstColumn="0" w:firstRowLastColumn="0" w:lastRowFirstColumn="0" w:lastRowLastColumn="0"/>
            <w:tcW w:w="621" w:type="pct"/>
          </w:tcPr>
          <w:p w14:paraId="588E11C0" w14:textId="77777777" w:rsidR="007B0FBA" w:rsidRPr="00CF3E3D" w:rsidRDefault="007B0FBA" w:rsidP="007007AC">
            <w:pPr>
              <w:spacing w:before="85" w:line="288" w:lineRule="auto"/>
              <w:jc w:val="center"/>
              <w:rPr>
                <w:sz w:val="18"/>
                <w:szCs w:val="18"/>
              </w:rPr>
            </w:pPr>
            <w:r>
              <w:rPr>
                <w:sz w:val="18"/>
                <w:szCs w:val="18"/>
              </w:rPr>
              <w:t>78.5</w:t>
            </w:r>
          </w:p>
        </w:tc>
        <w:tc>
          <w:tcPr>
            <w:cnfStyle w:val="000010000000" w:firstRow="0" w:lastRow="0" w:firstColumn="0" w:lastColumn="0" w:oddVBand="1" w:evenVBand="0" w:oddHBand="0" w:evenHBand="0" w:firstRowFirstColumn="0" w:firstRowLastColumn="0" w:lastRowFirstColumn="0" w:lastRowLastColumn="0"/>
            <w:tcW w:w="468" w:type="pct"/>
          </w:tcPr>
          <w:p w14:paraId="5D4BD0EF"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65.0</w:t>
            </w:r>
          </w:p>
        </w:tc>
        <w:tc>
          <w:tcPr>
            <w:cnfStyle w:val="000001000000" w:firstRow="0" w:lastRow="0" w:firstColumn="0" w:lastColumn="0" w:oddVBand="0" w:evenVBand="1" w:oddHBand="0" w:evenHBand="0" w:firstRowFirstColumn="0" w:firstRowLastColumn="0" w:lastRowFirstColumn="0" w:lastRowLastColumn="0"/>
            <w:tcW w:w="533" w:type="pct"/>
          </w:tcPr>
          <w:p w14:paraId="409B4707" w14:textId="77777777" w:rsidR="007B0FBA" w:rsidRPr="00CF3E3D" w:rsidRDefault="007B0FBA" w:rsidP="007007AC">
            <w:pPr>
              <w:spacing w:before="85" w:line="288" w:lineRule="auto"/>
              <w:jc w:val="center"/>
              <w:rPr>
                <w:sz w:val="18"/>
                <w:szCs w:val="18"/>
              </w:rPr>
            </w:pPr>
            <w:r>
              <w:rPr>
                <w:sz w:val="18"/>
                <w:szCs w:val="18"/>
              </w:rPr>
              <w:t>93.1</w:t>
            </w:r>
          </w:p>
        </w:tc>
        <w:tc>
          <w:tcPr>
            <w:cnfStyle w:val="000010000000" w:firstRow="0" w:lastRow="0" w:firstColumn="0" w:lastColumn="0" w:oddVBand="1" w:evenVBand="0" w:oddHBand="0" w:evenHBand="0" w:firstRowFirstColumn="0" w:firstRowLastColumn="0" w:lastRowFirstColumn="0" w:lastRowLastColumn="0"/>
            <w:tcW w:w="465" w:type="pct"/>
          </w:tcPr>
          <w:p w14:paraId="2000A818" w14:textId="77777777" w:rsidR="007B0FBA" w:rsidRPr="00CF3E3D" w:rsidRDefault="007B0FBA" w:rsidP="007007AC">
            <w:pPr>
              <w:spacing w:before="85" w:line="288" w:lineRule="auto"/>
              <w:jc w:val="center"/>
              <w:rPr>
                <w:sz w:val="18"/>
                <w:szCs w:val="18"/>
              </w:rPr>
            </w:pPr>
            <w:r>
              <w:rPr>
                <w:sz w:val="18"/>
                <w:szCs w:val="18"/>
              </w:rPr>
              <w:t>77.2</w:t>
            </w:r>
          </w:p>
        </w:tc>
        <w:tc>
          <w:tcPr>
            <w:cnfStyle w:val="000001000000" w:firstRow="0" w:lastRow="0" w:firstColumn="0" w:lastColumn="0" w:oddVBand="0" w:evenVBand="1" w:oddHBand="0" w:evenHBand="0" w:firstRowFirstColumn="0" w:firstRowLastColumn="0" w:lastRowFirstColumn="0" w:lastRowLastColumn="0"/>
            <w:tcW w:w="537" w:type="pct"/>
          </w:tcPr>
          <w:p w14:paraId="543D5E4F" w14:textId="77777777" w:rsidR="007B0FBA" w:rsidRPr="00CF3E3D" w:rsidRDefault="007B0FBA" w:rsidP="007007AC">
            <w:pPr>
              <w:spacing w:before="85" w:line="288" w:lineRule="auto"/>
              <w:jc w:val="center"/>
              <w:rPr>
                <w:sz w:val="18"/>
                <w:szCs w:val="18"/>
              </w:rPr>
            </w:pPr>
            <w:r>
              <w:rPr>
                <w:sz w:val="18"/>
                <w:szCs w:val="18"/>
              </w:rPr>
              <w:t>80.4</w:t>
            </w:r>
          </w:p>
        </w:tc>
        <w:tc>
          <w:tcPr>
            <w:cnfStyle w:val="000010000000" w:firstRow="0" w:lastRow="0" w:firstColumn="0" w:lastColumn="0" w:oddVBand="1" w:evenVBand="0" w:oddHBand="0" w:evenHBand="0" w:firstRowFirstColumn="0" w:firstRowLastColumn="0" w:lastRowFirstColumn="0" w:lastRowLastColumn="0"/>
            <w:tcW w:w="534" w:type="pct"/>
          </w:tcPr>
          <w:p w14:paraId="5157E260" w14:textId="77777777" w:rsidR="007B0FBA" w:rsidRPr="00CF3E3D" w:rsidRDefault="007B0FBA" w:rsidP="007007AC">
            <w:pPr>
              <w:spacing w:before="85" w:line="288" w:lineRule="auto"/>
              <w:jc w:val="center"/>
              <w:rPr>
                <w:sz w:val="18"/>
                <w:szCs w:val="18"/>
              </w:rPr>
            </w:pPr>
            <w:r>
              <w:rPr>
                <w:sz w:val="18"/>
                <w:szCs w:val="18"/>
              </w:rPr>
              <w:t>92.3</w:t>
            </w:r>
          </w:p>
        </w:tc>
        <w:tc>
          <w:tcPr>
            <w:cnfStyle w:val="000001000000" w:firstRow="0" w:lastRow="0" w:firstColumn="0" w:lastColumn="0" w:oddVBand="0" w:evenVBand="1" w:oddHBand="0" w:evenHBand="0" w:firstRowFirstColumn="0" w:firstRowLastColumn="0" w:lastRowFirstColumn="0" w:lastRowLastColumn="0"/>
            <w:tcW w:w="732" w:type="pct"/>
          </w:tcPr>
          <w:p w14:paraId="3394695F" w14:textId="77777777" w:rsidR="007B0FBA" w:rsidRPr="009E1BB3" w:rsidRDefault="007B0FBA" w:rsidP="007007AC">
            <w:pPr>
              <w:spacing w:before="85" w:line="288" w:lineRule="auto"/>
              <w:jc w:val="center"/>
              <w:rPr>
                <w:sz w:val="18"/>
                <w:szCs w:val="18"/>
              </w:rPr>
            </w:pPr>
            <w:r w:rsidRPr="009E1BB3">
              <w:rPr>
                <w:sz w:val="18"/>
                <w:szCs w:val="18"/>
              </w:rPr>
              <w:t>-</w:t>
            </w:r>
          </w:p>
        </w:tc>
      </w:tr>
      <w:tr w:rsidR="007B0FBA" w:rsidRPr="00CF3E3D" w14:paraId="39AFD8C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6157BC55" w14:textId="77777777" w:rsidR="007B0FBA" w:rsidRPr="00C1370B" w:rsidRDefault="007B0FBA" w:rsidP="007007AC">
            <w:pPr>
              <w:spacing w:before="85" w:line="288" w:lineRule="auto"/>
              <w:rPr>
                <w:b/>
                <w:bCs/>
                <w:sz w:val="18"/>
                <w:szCs w:val="18"/>
              </w:rPr>
            </w:pPr>
            <w:r w:rsidRPr="00C1370B">
              <w:rPr>
                <w:b/>
                <w:bCs/>
                <w:sz w:val="18"/>
                <w:szCs w:val="18"/>
              </w:rPr>
              <w:t>2012</w:t>
            </w:r>
          </w:p>
        </w:tc>
        <w:tc>
          <w:tcPr>
            <w:cnfStyle w:val="000010000000" w:firstRow="0" w:lastRow="0" w:firstColumn="0" w:lastColumn="0" w:oddVBand="1" w:evenVBand="0" w:oddHBand="0" w:evenHBand="0" w:firstRowFirstColumn="0" w:firstRowLastColumn="0" w:lastRowFirstColumn="0" w:lastRowLastColumn="0"/>
            <w:tcW w:w="555" w:type="pct"/>
          </w:tcPr>
          <w:p w14:paraId="7DE0E7A9" w14:textId="77777777" w:rsidR="007B0FBA" w:rsidRPr="00CF3E3D" w:rsidRDefault="007B0FBA" w:rsidP="007007AC">
            <w:pPr>
              <w:spacing w:before="85" w:line="288" w:lineRule="auto"/>
              <w:jc w:val="center"/>
              <w:rPr>
                <w:sz w:val="18"/>
                <w:szCs w:val="18"/>
              </w:rPr>
            </w:pPr>
            <w:r>
              <w:rPr>
                <w:sz w:val="18"/>
                <w:szCs w:val="18"/>
              </w:rPr>
              <w:t>86.2</w:t>
            </w:r>
          </w:p>
        </w:tc>
        <w:tc>
          <w:tcPr>
            <w:cnfStyle w:val="000001000000" w:firstRow="0" w:lastRow="0" w:firstColumn="0" w:lastColumn="0" w:oddVBand="0" w:evenVBand="1" w:oddHBand="0" w:evenHBand="0" w:firstRowFirstColumn="0" w:firstRowLastColumn="0" w:lastRowFirstColumn="0" w:lastRowLastColumn="0"/>
            <w:tcW w:w="621" w:type="pct"/>
          </w:tcPr>
          <w:p w14:paraId="382435FB" w14:textId="77777777" w:rsidR="007B0FBA" w:rsidRPr="00CF3E3D" w:rsidRDefault="007B0FBA" w:rsidP="007007AC">
            <w:pPr>
              <w:spacing w:before="85" w:line="288" w:lineRule="auto"/>
              <w:jc w:val="center"/>
              <w:rPr>
                <w:sz w:val="18"/>
                <w:szCs w:val="18"/>
              </w:rPr>
            </w:pPr>
            <w:r>
              <w:rPr>
                <w:sz w:val="18"/>
                <w:szCs w:val="18"/>
              </w:rPr>
              <w:t>79.3</w:t>
            </w:r>
          </w:p>
        </w:tc>
        <w:tc>
          <w:tcPr>
            <w:cnfStyle w:val="000010000000" w:firstRow="0" w:lastRow="0" w:firstColumn="0" w:lastColumn="0" w:oddVBand="1" w:evenVBand="0" w:oddHBand="0" w:evenHBand="0" w:firstRowFirstColumn="0" w:firstRowLastColumn="0" w:lastRowFirstColumn="0" w:lastRowLastColumn="0"/>
            <w:tcW w:w="468" w:type="pct"/>
          </w:tcPr>
          <w:p w14:paraId="6037B420"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65.7</w:t>
            </w:r>
          </w:p>
        </w:tc>
        <w:tc>
          <w:tcPr>
            <w:cnfStyle w:val="000001000000" w:firstRow="0" w:lastRow="0" w:firstColumn="0" w:lastColumn="0" w:oddVBand="0" w:evenVBand="1" w:oddHBand="0" w:evenHBand="0" w:firstRowFirstColumn="0" w:firstRowLastColumn="0" w:lastRowFirstColumn="0" w:lastRowLastColumn="0"/>
            <w:tcW w:w="533" w:type="pct"/>
          </w:tcPr>
          <w:p w14:paraId="54061693" w14:textId="77777777" w:rsidR="007B0FBA" w:rsidRPr="00CF3E3D" w:rsidRDefault="007B0FBA" w:rsidP="007007AC">
            <w:pPr>
              <w:spacing w:before="85" w:line="288" w:lineRule="auto"/>
              <w:jc w:val="center"/>
              <w:rPr>
                <w:sz w:val="18"/>
                <w:szCs w:val="18"/>
              </w:rPr>
            </w:pPr>
            <w:r>
              <w:rPr>
                <w:sz w:val="18"/>
                <w:szCs w:val="18"/>
              </w:rPr>
              <w:t>93.9</w:t>
            </w:r>
          </w:p>
        </w:tc>
        <w:tc>
          <w:tcPr>
            <w:cnfStyle w:val="000010000000" w:firstRow="0" w:lastRow="0" w:firstColumn="0" w:lastColumn="0" w:oddVBand="1" w:evenVBand="0" w:oddHBand="0" w:evenHBand="0" w:firstRowFirstColumn="0" w:firstRowLastColumn="0" w:lastRowFirstColumn="0" w:lastRowLastColumn="0"/>
            <w:tcW w:w="465" w:type="pct"/>
          </w:tcPr>
          <w:p w14:paraId="089CF546" w14:textId="77777777" w:rsidR="007B0FBA" w:rsidRPr="00CF3E3D" w:rsidRDefault="007B0FBA" w:rsidP="007007AC">
            <w:pPr>
              <w:spacing w:before="85" w:line="288" w:lineRule="auto"/>
              <w:jc w:val="center"/>
              <w:rPr>
                <w:sz w:val="18"/>
                <w:szCs w:val="18"/>
              </w:rPr>
            </w:pPr>
            <w:r>
              <w:rPr>
                <w:sz w:val="18"/>
                <w:szCs w:val="18"/>
              </w:rPr>
              <w:t>77.8</w:t>
            </w:r>
          </w:p>
        </w:tc>
        <w:tc>
          <w:tcPr>
            <w:cnfStyle w:val="000001000000" w:firstRow="0" w:lastRow="0" w:firstColumn="0" w:lastColumn="0" w:oddVBand="0" w:evenVBand="1" w:oddHBand="0" w:evenHBand="0" w:firstRowFirstColumn="0" w:firstRowLastColumn="0" w:lastRowFirstColumn="0" w:lastRowLastColumn="0"/>
            <w:tcW w:w="537" w:type="pct"/>
          </w:tcPr>
          <w:p w14:paraId="087A392D" w14:textId="77777777" w:rsidR="007B0FBA" w:rsidRPr="00CF3E3D" w:rsidRDefault="007B0FBA" w:rsidP="007007AC">
            <w:pPr>
              <w:spacing w:before="85" w:line="288" w:lineRule="auto"/>
              <w:jc w:val="center"/>
              <w:rPr>
                <w:sz w:val="18"/>
                <w:szCs w:val="18"/>
              </w:rPr>
            </w:pPr>
            <w:r>
              <w:rPr>
                <w:sz w:val="18"/>
                <w:szCs w:val="18"/>
              </w:rPr>
              <w:t>82.0</w:t>
            </w:r>
          </w:p>
        </w:tc>
        <w:tc>
          <w:tcPr>
            <w:cnfStyle w:val="000010000000" w:firstRow="0" w:lastRow="0" w:firstColumn="0" w:lastColumn="0" w:oddVBand="1" w:evenVBand="0" w:oddHBand="0" w:evenHBand="0" w:firstRowFirstColumn="0" w:firstRowLastColumn="0" w:lastRowFirstColumn="0" w:lastRowLastColumn="0"/>
            <w:tcW w:w="534" w:type="pct"/>
          </w:tcPr>
          <w:p w14:paraId="53F03668" w14:textId="77777777" w:rsidR="007B0FBA" w:rsidRPr="00CF3E3D" w:rsidRDefault="007B0FBA" w:rsidP="007007AC">
            <w:pPr>
              <w:spacing w:before="85" w:line="288" w:lineRule="auto"/>
              <w:jc w:val="center"/>
              <w:rPr>
                <w:sz w:val="18"/>
                <w:szCs w:val="18"/>
              </w:rPr>
            </w:pPr>
            <w:r>
              <w:rPr>
                <w:sz w:val="18"/>
                <w:szCs w:val="18"/>
              </w:rPr>
              <w:t>92.9</w:t>
            </w:r>
          </w:p>
        </w:tc>
        <w:tc>
          <w:tcPr>
            <w:cnfStyle w:val="000001000000" w:firstRow="0" w:lastRow="0" w:firstColumn="0" w:lastColumn="0" w:oddVBand="0" w:evenVBand="1" w:oddHBand="0" w:evenHBand="0" w:firstRowFirstColumn="0" w:firstRowLastColumn="0" w:lastRowFirstColumn="0" w:lastRowLastColumn="0"/>
            <w:tcW w:w="732" w:type="pct"/>
          </w:tcPr>
          <w:p w14:paraId="4164236D" w14:textId="77777777" w:rsidR="007B0FBA" w:rsidRPr="009E1BB3" w:rsidRDefault="007B0FBA" w:rsidP="007007AC">
            <w:pPr>
              <w:spacing w:before="85" w:line="288" w:lineRule="auto"/>
              <w:jc w:val="center"/>
              <w:rPr>
                <w:sz w:val="18"/>
                <w:szCs w:val="18"/>
              </w:rPr>
            </w:pPr>
            <w:r w:rsidRPr="009E1BB3">
              <w:rPr>
                <w:sz w:val="18"/>
                <w:szCs w:val="18"/>
              </w:rPr>
              <w:t>-</w:t>
            </w:r>
          </w:p>
        </w:tc>
      </w:tr>
      <w:tr w:rsidR="00E45B59" w:rsidRPr="00CF3E3D" w14:paraId="0183D7A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2A1CFFE6" w14:textId="77777777" w:rsidR="007B0FBA" w:rsidRPr="00C1370B" w:rsidRDefault="007B0FBA" w:rsidP="007007AC">
            <w:pPr>
              <w:spacing w:before="85" w:line="288" w:lineRule="auto"/>
              <w:rPr>
                <w:b/>
                <w:bCs/>
                <w:sz w:val="18"/>
                <w:szCs w:val="18"/>
              </w:rPr>
            </w:pPr>
            <w:r w:rsidRPr="00C1370B">
              <w:rPr>
                <w:b/>
                <w:bCs/>
                <w:sz w:val="18"/>
                <w:szCs w:val="18"/>
              </w:rPr>
              <w:t>2013</w:t>
            </w:r>
          </w:p>
        </w:tc>
        <w:tc>
          <w:tcPr>
            <w:cnfStyle w:val="000010000000" w:firstRow="0" w:lastRow="0" w:firstColumn="0" w:lastColumn="0" w:oddVBand="1" w:evenVBand="0" w:oddHBand="0" w:evenHBand="0" w:firstRowFirstColumn="0" w:firstRowLastColumn="0" w:lastRowFirstColumn="0" w:lastRowLastColumn="0"/>
            <w:tcW w:w="555" w:type="pct"/>
          </w:tcPr>
          <w:p w14:paraId="3591E2B6" w14:textId="77777777" w:rsidR="007B0FBA" w:rsidRPr="00CF3E3D" w:rsidRDefault="007B0FBA" w:rsidP="007007AC">
            <w:pPr>
              <w:spacing w:before="85" w:line="288" w:lineRule="auto"/>
              <w:jc w:val="center"/>
              <w:rPr>
                <w:sz w:val="18"/>
                <w:szCs w:val="18"/>
              </w:rPr>
            </w:pPr>
            <w:r>
              <w:rPr>
                <w:sz w:val="18"/>
                <w:szCs w:val="18"/>
              </w:rPr>
              <w:t>86.7</w:t>
            </w:r>
          </w:p>
        </w:tc>
        <w:tc>
          <w:tcPr>
            <w:cnfStyle w:val="000001000000" w:firstRow="0" w:lastRow="0" w:firstColumn="0" w:lastColumn="0" w:oddVBand="0" w:evenVBand="1" w:oddHBand="0" w:evenHBand="0" w:firstRowFirstColumn="0" w:firstRowLastColumn="0" w:lastRowFirstColumn="0" w:lastRowLastColumn="0"/>
            <w:tcW w:w="621" w:type="pct"/>
          </w:tcPr>
          <w:p w14:paraId="38B336E3" w14:textId="77777777" w:rsidR="007B0FBA" w:rsidRPr="00CF3E3D" w:rsidRDefault="007B0FBA" w:rsidP="007007AC">
            <w:pPr>
              <w:spacing w:before="85" w:line="288" w:lineRule="auto"/>
              <w:jc w:val="center"/>
              <w:rPr>
                <w:sz w:val="18"/>
                <w:szCs w:val="18"/>
              </w:rPr>
            </w:pPr>
            <w:r>
              <w:rPr>
                <w:sz w:val="18"/>
                <w:szCs w:val="18"/>
              </w:rPr>
              <w:t>81.0</w:t>
            </w:r>
          </w:p>
        </w:tc>
        <w:tc>
          <w:tcPr>
            <w:cnfStyle w:val="000010000000" w:firstRow="0" w:lastRow="0" w:firstColumn="0" w:lastColumn="0" w:oddVBand="1" w:evenVBand="0" w:oddHBand="0" w:evenHBand="0" w:firstRowFirstColumn="0" w:firstRowLastColumn="0" w:lastRowFirstColumn="0" w:lastRowLastColumn="0"/>
            <w:tcW w:w="468" w:type="pct"/>
          </w:tcPr>
          <w:p w14:paraId="4E4D62FA"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67.8</w:t>
            </w:r>
          </w:p>
        </w:tc>
        <w:tc>
          <w:tcPr>
            <w:cnfStyle w:val="000001000000" w:firstRow="0" w:lastRow="0" w:firstColumn="0" w:lastColumn="0" w:oddVBand="0" w:evenVBand="1" w:oddHBand="0" w:evenHBand="0" w:firstRowFirstColumn="0" w:firstRowLastColumn="0" w:lastRowFirstColumn="0" w:lastRowLastColumn="0"/>
            <w:tcW w:w="533" w:type="pct"/>
          </w:tcPr>
          <w:p w14:paraId="09DAF9B9" w14:textId="77777777" w:rsidR="007B0FBA" w:rsidRPr="00CF3E3D" w:rsidRDefault="007B0FBA" w:rsidP="007007AC">
            <w:pPr>
              <w:spacing w:before="85" w:line="288" w:lineRule="auto"/>
              <w:jc w:val="center"/>
              <w:rPr>
                <w:sz w:val="18"/>
                <w:szCs w:val="18"/>
              </w:rPr>
            </w:pPr>
            <w:r>
              <w:rPr>
                <w:sz w:val="18"/>
                <w:szCs w:val="18"/>
              </w:rPr>
              <w:t>93.6</w:t>
            </w:r>
          </w:p>
        </w:tc>
        <w:tc>
          <w:tcPr>
            <w:cnfStyle w:val="000010000000" w:firstRow="0" w:lastRow="0" w:firstColumn="0" w:lastColumn="0" w:oddVBand="1" w:evenVBand="0" w:oddHBand="0" w:evenHBand="0" w:firstRowFirstColumn="0" w:firstRowLastColumn="0" w:lastRowFirstColumn="0" w:lastRowLastColumn="0"/>
            <w:tcW w:w="465" w:type="pct"/>
          </w:tcPr>
          <w:p w14:paraId="30AAED13" w14:textId="77777777" w:rsidR="007B0FBA" w:rsidRPr="00CF3E3D" w:rsidRDefault="007B0FBA" w:rsidP="007007AC">
            <w:pPr>
              <w:spacing w:before="85" w:line="288" w:lineRule="auto"/>
              <w:jc w:val="center"/>
              <w:rPr>
                <w:sz w:val="18"/>
                <w:szCs w:val="18"/>
              </w:rPr>
            </w:pPr>
            <w:r>
              <w:rPr>
                <w:sz w:val="18"/>
                <w:szCs w:val="18"/>
              </w:rPr>
              <w:t>79.2</w:t>
            </w:r>
          </w:p>
        </w:tc>
        <w:tc>
          <w:tcPr>
            <w:cnfStyle w:val="000001000000" w:firstRow="0" w:lastRow="0" w:firstColumn="0" w:lastColumn="0" w:oddVBand="0" w:evenVBand="1" w:oddHBand="0" w:evenHBand="0" w:firstRowFirstColumn="0" w:firstRowLastColumn="0" w:lastRowFirstColumn="0" w:lastRowLastColumn="0"/>
            <w:tcW w:w="537" w:type="pct"/>
          </w:tcPr>
          <w:p w14:paraId="2855B497" w14:textId="77777777" w:rsidR="007B0FBA" w:rsidRPr="00CF3E3D" w:rsidRDefault="007B0FBA" w:rsidP="007007AC">
            <w:pPr>
              <w:spacing w:before="85" w:line="288" w:lineRule="auto"/>
              <w:jc w:val="center"/>
              <w:rPr>
                <w:sz w:val="18"/>
                <w:szCs w:val="18"/>
              </w:rPr>
            </w:pPr>
            <w:r>
              <w:rPr>
                <w:sz w:val="18"/>
                <w:szCs w:val="18"/>
              </w:rPr>
              <w:t>82.1</w:t>
            </w:r>
          </w:p>
        </w:tc>
        <w:tc>
          <w:tcPr>
            <w:cnfStyle w:val="000010000000" w:firstRow="0" w:lastRow="0" w:firstColumn="0" w:lastColumn="0" w:oddVBand="1" w:evenVBand="0" w:oddHBand="0" w:evenHBand="0" w:firstRowFirstColumn="0" w:firstRowLastColumn="0" w:lastRowFirstColumn="0" w:lastRowLastColumn="0"/>
            <w:tcW w:w="534" w:type="pct"/>
          </w:tcPr>
          <w:p w14:paraId="7AFDD1A7" w14:textId="77777777" w:rsidR="007B0FBA" w:rsidRPr="00CF3E3D" w:rsidRDefault="007B0FBA" w:rsidP="007007AC">
            <w:pPr>
              <w:spacing w:before="85" w:line="288" w:lineRule="auto"/>
              <w:jc w:val="center"/>
              <w:rPr>
                <w:sz w:val="18"/>
                <w:szCs w:val="18"/>
              </w:rPr>
            </w:pPr>
            <w:r>
              <w:rPr>
                <w:sz w:val="18"/>
                <w:szCs w:val="18"/>
              </w:rPr>
              <w:t>93.3</w:t>
            </w:r>
          </w:p>
        </w:tc>
        <w:tc>
          <w:tcPr>
            <w:cnfStyle w:val="000001000000" w:firstRow="0" w:lastRow="0" w:firstColumn="0" w:lastColumn="0" w:oddVBand="0" w:evenVBand="1" w:oddHBand="0" w:evenHBand="0" w:firstRowFirstColumn="0" w:firstRowLastColumn="0" w:lastRowFirstColumn="0" w:lastRowLastColumn="0"/>
            <w:tcW w:w="732" w:type="pct"/>
          </w:tcPr>
          <w:p w14:paraId="7660FAD6" w14:textId="77777777" w:rsidR="007B0FBA" w:rsidRPr="009E1BB3" w:rsidRDefault="007B0FBA" w:rsidP="007007AC">
            <w:pPr>
              <w:spacing w:before="85" w:line="288" w:lineRule="auto"/>
              <w:jc w:val="center"/>
              <w:rPr>
                <w:sz w:val="18"/>
                <w:szCs w:val="18"/>
              </w:rPr>
            </w:pPr>
            <w:r w:rsidRPr="009E1BB3">
              <w:rPr>
                <w:sz w:val="18"/>
                <w:szCs w:val="18"/>
              </w:rPr>
              <w:t>-</w:t>
            </w:r>
          </w:p>
        </w:tc>
      </w:tr>
      <w:tr w:rsidR="007B0FBA" w:rsidRPr="00CF3E3D" w14:paraId="2E85E2B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39F521DF" w14:textId="77777777" w:rsidR="007B0FBA" w:rsidRPr="00C1370B" w:rsidRDefault="007B0FBA" w:rsidP="007007AC">
            <w:pPr>
              <w:spacing w:before="85" w:line="288" w:lineRule="auto"/>
              <w:rPr>
                <w:b/>
                <w:bCs/>
                <w:sz w:val="18"/>
                <w:szCs w:val="18"/>
              </w:rPr>
            </w:pPr>
            <w:r w:rsidRPr="00C1370B">
              <w:rPr>
                <w:b/>
                <w:bCs/>
                <w:sz w:val="18"/>
                <w:szCs w:val="18"/>
              </w:rPr>
              <w:t>2014</w:t>
            </w:r>
          </w:p>
        </w:tc>
        <w:tc>
          <w:tcPr>
            <w:cnfStyle w:val="000010000000" w:firstRow="0" w:lastRow="0" w:firstColumn="0" w:lastColumn="0" w:oddVBand="1" w:evenVBand="0" w:oddHBand="0" w:evenHBand="0" w:firstRowFirstColumn="0" w:firstRowLastColumn="0" w:lastRowFirstColumn="0" w:lastRowLastColumn="0"/>
            <w:tcW w:w="555" w:type="pct"/>
          </w:tcPr>
          <w:p w14:paraId="0C2139B0" w14:textId="77777777" w:rsidR="007B0FBA" w:rsidRPr="00CF3E3D" w:rsidRDefault="007B0FBA" w:rsidP="007007AC">
            <w:pPr>
              <w:spacing w:before="85" w:line="288" w:lineRule="auto"/>
              <w:jc w:val="center"/>
              <w:rPr>
                <w:sz w:val="18"/>
                <w:szCs w:val="18"/>
              </w:rPr>
            </w:pPr>
            <w:r>
              <w:rPr>
                <w:sz w:val="18"/>
                <w:szCs w:val="18"/>
              </w:rPr>
              <w:t>86.8</w:t>
            </w:r>
          </w:p>
        </w:tc>
        <w:tc>
          <w:tcPr>
            <w:cnfStyle w:val="000001000000" w:firstRow="0" w:lastRow="0" w:firstColumn="0" w:lastColumn="0" w:oddVBand="0" w:evenVBand="1" w:oddHBand="0" w:evenHBand="0" w:firstRowFirstColumn="0" w:firstRowLastColumn="0" w:lastRowFirstColumn="0" w:lastRowLastColumn="0"/>
            <w:tcW w:w="621" w:type="pct"/>
          </w:tcPr>
          <w:p w14:paraId="71AED36D" w14:textId="77777777" w:rsidR="007B0FBA" w:rsidRPr="00CF3E3D" w:rsidRDefault="007B0FBA" w:rsidP="007007AC">
            <w:pPr>
              <w:spacing w:before="85" w:line="288" w:lineRule="auto"/>
              <w:jc w:val="center"/>
              <w:rPr>
                <w:sz w:val="18"/>
                <w:szCs w:val="18"/>
              </w:rPr>
            </w:pPr>
            <w:r>
              <w:rPr>
                <w:sz w:val="18"/>
                <w:szCs w:val="18"/>
              </w:rPr>
              <w:t>81.1</w:t>
            </w:r>
          </w:p>
        </w:tc>
        <w:tc>
          <w:tcPr>
            <w:cnfStyle w:val="000010000000" w:firstRow="0" w:lastRow="0" w:firstColumn="0" w:lastColumn="0" w:oddVBand="1" w:evenVBand="0" w:oddHBand="0" w:evenHBand="0" w:firstRowFirstColumn="0" w:firstRowLastColumn="0" w:lastRowFirstColumn="0" w:lastRowLastColumn="0"/>
            <w:tcW w:w="468" w:type="pct"/>
          </w:tcPr>
          <w:p w14:paraId="5AF1E92B"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67.5</w:t>
            </w:r>
          </w:p>
        </w:tc>
        <w:tc>
          <w:tcPr>
            <w:cnfStyle w:val="000001000000" w:firstRow="0" w:lastRow="0" w:firstColumn="0" w:lastColumn="0" w:oddVBand="0" w:evenVBand="1" w:oddHBand="0" w:evenHBand="0" w:firstRowFirstColumn="0" w:firstRowLastColumn="0" w:lastRowFirstColumn="0" w:lastRowLastColumn="0"/>
            <w:tcW w:w="533" w:type="pct"/>
          </w:tcPr>
          <w:p w14:paraId="0D8AF81B" w14:textId="77777777" w:rsidR="007B0FBA" w:rsidRPr="00CF3E3D" w:rsidRDefault="007B0FBA" w:rsidP="007007AC">
            <w:pPr>
              <w:spacing w:before="85" w:line="288" w:lineRule="auto"/>
              <w:jc w:val="center"/>
              <w:rPr>
                <w:sz w:val="18"/>
                <w:szCs w:val="18"/>
              </w:rPr>
            </w:pPr>
            <w:r>
              <w:rPr>
                <w:sz w:val="18"/>
                <w:szCs w:val="18"/>
              </w:rPr>
              <w:t>93.7</w:t>
            </w:r>
          </w:p>
        </w:tc>
        <w:tc>
          <w:tcPr>
            <w:cnfStyle w:val="000010000000" w:firstRow="0" w:lastRow="0" w:firstColumn="0" w:lastColumn="0" w:oddVBand="1" w:evenVBand="0" w:oddHBand="0" w:evenHBand="0" w:firstRowFirstColumn="0" w:firstRowLastColumn="0" w:lastRowFirstColumn="0" w:lastRowLastColumn="0"/>
            <w:tcW w:w="465" w:type="pct"/>
          </w:tcPr>
          <w:p w14:paraId="275CE35A" w14:textId="77777777" w:rsidR="007B0FBA" w:rsidRPr="00CF3E3D" w:rsidRDefault="007B0FBA" w:rsidP="007007AC">
            <w:pPr>
              <w:spacing w:before="85" w:line="288" w:lineRule="auto"/>
              <w:jc w:val="center"/>
              <w:rPr>
                <w:sz w:val="18"/>
                <w:szCs w:val="18"/>
              </w:rPr>
            </w:pPr>
            <w:r>
              <w:rPr>
                <w:sz w:val="18"/>
                <w:szCs w:val="18"/>
              </w:rPr>
              <w:t>79.7</w:t>
            </w:r>
          </w:p>
        </w:tc>
        <w:tc>
          <w:tcPr>
            <w:cnfStyle w:val="000001000000" w:firstRow="0" w:lastRow="0" w:firstColumn="0" w:lastColumn="0" w:oddVBand="0" w:evenVBand="1" w:oddHBand="0" w:evenHBand="0" w:firstRowFirstColumn="0" w:firstRowLastColumn="0" w:lastRowFirstColumn="0" w:lastRowLastColumn="0"/>
            <w:tcW w:w="537" w:type="pct"/>
          </w:tcPr>
          <w:p w14:paraId="318AA85F" w14:textId="77777777" w:rsidR="007B0FBA" w:rsidRPr="00CF3E3D" w:rsidRDefault="007B0FBA" w:rsidP="007007AC">
            <w:pPr>
              <w:spacing w:before="85" w:line="288" w:lineRule="auto"/>
              <w:jc w:val="center"/>
              <w:rPr>
                <w:sz w:val="18"/>
                <w:szCs w:val="18"/>
              </w:rPr>
            </w:pPr>
            <w:r>
              <w:rPr>
                <w:sz w:val="18"/>
                <w:szCs w:val="18"/>
              </w:rPr>
              <w:t>82.6</w:t>
            </w:r>
          </w:p>
        </w:tc>
        <w:tc>
          <w:tcPr>
            <w:cnfStyle w:val="000010000000" w:firstRow="0" w:lastRow="0" w:firstColumn="0" w:lastColumn="0" w:oddVBand="1" w:evenVBand="0" w:oddHBand="0" w:evenHBand="0" w:firstRowFirstColumn="0" w:firstRowLastColumn="0" w:lastRowFirstColumn="0" w:lastRowLastColumn="0"/>
            <w:tcW w:w="534" w:type="pct"/>
          </w:tcPr>
          <w:p w14:paraId="2F6A1297" w14:textId="77777777" w:rsidR="007B0FBA" w:rsidRPr="00CF3E3D" w:rsidRDefault="007B0FBA" w:rsidP="007007AC">
            <w:pPr>
              <w:spacing w:before="85" w:line="288" w:lineRule="auto"/>
              <w:jc w:val="center"/>
              <w:rPr>
                <w:sz w:val="18"/>
                <w:szCs w:val="18"/>
              </w:rPr>
            </w:pPr>
            <w:r>
              <w:rPr>
                <w:sz w:val="18"/>
                <w:szCs w:val="18"/>
              </w:rPr>
              <w:t>93.7</w:t>
            </w:r>
          </w:p>
        </w:tc>
        <w:tc>
          <w:tcPr>
            <w:cnfStyle w:val="000001000000" w:firstRow="0" w:lastRow="0" w:firstColumn="0" w:lastColumn="0" w:oddVBand="0" w:evenVBand="1" w:oddHBand="0" w:evenHBand="0" w:firstRowFirstColumn="0" w:firstRowLastColumn="0" w:lastRowFirstColumn="0" w:lastRowLastColumn="0"/>
            <w:tcW w:w="732" w:type="pct"/>
          </w:tcPr>
          <w:p w14:paraId="1357E8AD" w14:textId="77777777" w:rsidR="007B0FBA" w:rsidRPr="009E1BB3" w:rsidRDefault="007B0FBA" w:rsidP="007007AC">
            <w:pPr>
              <w:spacing w:before="85" w:line="288" w:lineRule="auto"/>
              <w:jc w:val="center"/>
              <w:rPr>
                <w:sz w:val="18"/>
                <w:szCs w:val="18"/>
              </w:rPr>
            </w:pPr>
            <w:r>
              <w:rPr>
                <w:sz w:val="18"/>
                <w:szCs w:val="18"/>
              </w:rPr>
              <w:t>-</w:t>
            </w:r>
          </w:p>
        </w:tc>
      </w:tr>
      <w:tr w:rsidR="00E45B59" w:rsidRPr="00CF3E3D" w14:paraId="57534A6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6156F386" w14:textId="77777777" w:rsidR="007B0FBA" w:rsidRPr="00C1370B" w:rsidRDefault="007B0FBA" w:rsidP="007007AC">
            <w:pPr>
              <w:spacing w:before="85" w:line="288" w:lineRule="auto"/>
              <w:rPr>
                <w:b/>
                <w:bCs/>
                <w:sz w:val="18"/>
                <w:szCs w:val="18"/>
              </w:rPr>
            </w:pPr>
            <w:r w:rsidRPr="00C1370B">
              <w:rPr>
                <w:b/>
                <w:bCs/>
                <w:sz w:val="18"/>
                <w:szCs w:val="18"/>
              </w:rPr>
              <w:t>2015</w:t>
            </w:r>
          </w:p>
        </w:tc>
        <w:tc>
          <w:tcPr>
            <w:cnfStyle w:val="000010000000" w:firstRow="0" w:lastRow="0" w:firstColumn="0" w:lastColumn="0" w:oddVBand="1" w:evenVBand="0" w:oddHBand="0" w:evenHBand="0" w:firstRowFirstColumn="0" w:firstRowLastColumn="0" w:lastRowFirstColumn="0" w:lastRowLastColumn="0"/>
            <w:tcW w:w="555" w:type="pct"/>
          </w:tcPr>
          <w:p w14:paraId="5FC9373E" w14:textId="77777777" w:rsidR="007B0FBA" w:rsidRPr="00CF3E3D" w:rsidRDefault="007B0FBA" w:rsidP="007007AC">
            <w:pPr>
              <w:spacing w:before="85" w:line="288" w:lineRule="auto"/>
              <w:jc w:val="center"/>
              <w:rPr>
                <w:sz w:val="18"/>
                <w:szCs w:val="18"/>
              </w:rPr>
            </w:pPr>
            <w:r>
              <w:rPr>
                <w:sz w:val="18"/>
                <w:szCs w:val="18"/>
              </w:rPr>
              <w:t>87.7</w:t>
            </w:r>
          </w:p>
        </w:tc>
        <w:tc>
          <w:tcPr>
            <w:cnfStyle w:val="000001000000" w:firstRow="0" w:lastRow="0" w:firstColumn="0" w:lastColumn="0" w:oddVBand="0" w:evenVBand="1" w:oddHBand="0" w:evenHBand="0" w:firstRowFirstColumn="0" w:firstRowLastColumn="0" w:lastRowFirstColumn="0" w:lastRowLastColumn="0"/>
            <w:tcW w:w="621" w:type="pct"/>
          </w:tcPr>
          <w:p w14:paraId="45591E04" w14:textId="77777777" w:rsidR="007B0FBA" w:rsidRPr="00CF3E3D" w:rsidRDefault="007B0FBA" w:rsidP="007007AC">
            <w:pPr>
              <w:spacing w:before="85" w:line="288" w:lineRule="auto"/>
              <w:jc w:val="center"/>
              <w:rPr>
                <w:sz w:val="18"/>
                <w:szCs w:val="18"/>
              </w:rPr>
            </w:pPr>
            <w:r>
              <w:rPr>
                <w:sz w:val="18"/>
                <w:szCs w:val="18"/>
              </w:rPr>
              <w:t>81.7</w:t>
            </w:r>
          </w:p>
        </w:tc>
        <w:tc>
          <w:tcPr>
            <w:cnfStyle w:val="000010000000" w:firstRow="0" w:lastRow="0" w:firstColumn="0" w:lastColumn="0" w:oddVBand="1" w:evenVBand="0" w:oddHBand="0" w:evenHBand="0" w:firstRowFirstColumn="0" w:firstRowLastColumn="0" w:lastRowFirstColumn="0" w:lastRowLastColumn="0"/>
            <w:tcW w:w="468" w:type="pct"/>
          </w:tcPr>
          <w:p w14:paraId="06E146CA"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68.0</w:t>
            </w:r>
          </w:p>
        </w:tc>
        <w:tc>
          <w:tcPr>
            <w:cnfStyle w:val="000001000000" w:firstRow="0" w:lastRow="0" w:firstColumn="0" w:lastColumn="0" w:oddVBand="0" w:evenVBand="1" w:oddHBand="0" w:evenHBand="0" w:firstRowFirstColumn="0" w:firstRowLastColumn="0" w:lastRowFirstColumn="0" w:lastRowLastColumn="0"/>
            <w:tcW w:w="533" w:type="pct"/>
          </w:tcPr>
          <w:p w14:paraId="0B6563DD" w14:textId="77777777" w:rsidR="007B0FBA" w:rsidRPr="00CF3E3D" w:rsidRDefault="007B0FBA" w:rsidP="007007AC">
            <w:pPr>
              <w:spacing w:before="85" w:line="288" w:lineRule="auto"/>
              <w:jc w:val="center"/>
              <w:rPr>
                <w:sz w:val="18"/>
                <w:szCs w:val="18"/>
              </w:rPr>
            </w:pPr>
            <w:r>
              <w:rPr>
                <w:sz w:val="18"/>
                <w:szCs w:val="18"/>
              </w:rPr>
              <w:t>93.6</w:t>
            </w:r>
          </w:p>
        </w:tc>
        <w:tc>
          <w:tcPr>
            <w:cnfStyle w:val="000010000000" w:firstRow="0" w:lastRow="0" w:firstColumn="0" w:lastColumn="0" w:oddVBand="1" w:evenVBand="0" w:oddHBand="0" w:evenHBand="0" w:firstRowFirstColumn="0" w:firstRowLastColumn="0" w:lastRowFirstColumn="0" w:lastRowLastColumn="0"/>
            <w:tcW w:w="465" w:type="pct"/>
          </w:tcPr>
          <w:p w14:paraId="4BB4DCC4" w14:textId="77777777" w:rsidR="007B0FBA" w:rsidRPr="00CF3E3D" w:rsidRDefault="007B0FBA" w:rsidP="007007AC">
            <w:pPr>
              <w:spacing w:before="85" w:line="288" w:lineRule="auto"/>
              <w:jc w:val="center"/>
              <w:rPr>
                <w:sz w:val="18"/>
                <w:szCs w:val="18"/>
              </w:rPr>
            </w:pPr>
            <w:r>
              <w:rPr>
                <w:sz w:val="18"/>
                <w:szCs w:val="18"/>
              </w:rPr>
              <w:t>80.2</w:t>
            </w:r>
          </w:p>
        </w:tc>
        <w:tc>
          <w:tcPr>
            <w:cnfStyle w:val="000001000000" w:firstRow="0" w:lastRow="0" w:firstColumn="0" w:lastColumn="0" w:oddVBand="0" w:evenVBand="1" w:oddHBand="0" w:evenHBand="0" w:firstRowFirstColumn="0" w:firstRowLastColumn="0" w:lastRowFirstColumn="0" w:lastRowLastColumn="0"/>
            <w:tcW w:w="537" w:type="pct"/>
          </w:tcPr>
          <w:p w14:paraId="74862FFB" w14:textId="77777777" w:rsidR="007B0FBA" w:rsidRPr="00CF3E3D" w:rsidRDefault="007B0FBA" w:rsidP="007007AC">
            <w:pPr>
              <w:spacing w:before="85" w:line="288" w:lineRule="auto"/>
              <w:jc w:val="center"/>
              <w:rPr>
                <w:sz w:val="18"/>
                <w:szCs w:val="18"/>
              </w:rPr>
            </w:pPr>
            <w:r>
              <w:rPr>
                <w:sz w:val="18"/>
                <w:szCs w:val="18"/>
              </w:rPr>
              <w:t>83.2</w:t>
            </w:r>
          </w:p>
        </w:tc>
        <w:tc>
          <w:tcPr>
            <w:cnfStyle w:val="000010000000" w:firstRow="0" w:lastRow="0" w:firstColumn="0" w:lastColumn="0" w:oddVBand="1" w:evenVBand="0" w:oddHBand="0" w:evenHBand="0" w:firstRowFirstColumn="0" w:firstRowLastColumn="0" w:lastRowFirstColumn="0" w:lastRowLastColumn="0"/>
            <w:tcW w:w="534" w:type="pct"/>
          </w:tcPr>
          <w:p w14:paraId="5AEB95C9" w14:textId="77777777" w:rsidR="007B0FBA" w:rsidRPr="00CF3E3D" w:rsidRDefault="007B0FBA" w:rsidP="007007AC">
            <w:pPr>
              <w:spacing w:before="85" w:line="288" w:lineRule="auto"/>
              <w:jc w:val="center"/>
              <w:rPr>
                <w:sz w:val="18"/>
                <w:szCs w:val="18"/>
              </w:rPr>
            </w:pPr>
            <w:r>
              <w:rPr>
                <w:sz w:val="18"/>
                <w:szCs w:val="18"/>
              </w:rPr>
              <w:t>93.4</w:t>
            </w:r>
          </w:p>
        </w:tc>
        <w:tc>
          <w:tcPr>
            <w:cnfStyle w:val="000001000000" w:firstRow="0" w:lastRow="0" w:firstColumn="0" w:lastColumn="0" w:oddVBand="0" w:evenVBand="1" w:oddHBand="0" w:evenHBand="0" w:firstRowFirstColumn="0" w:firstRowLastColumn="0" w:lastRowFirstColumn="0" w:lastRowLastColumn="0"/>
            <w:tcW w:w="732" w:type="pct"/>
          </w:tcPr>
          <w:p w14:paraId="1ADE258D" w14:textId="77777777" w:rsidR="007B0FBA" w:rsidRPr="009E1BB3" w:rsidRDefault="007B0FBA" w:rsidP="007007AC">
            <w:pPr>
              <w:spacing w:before="85" w:line="288" w:lineRule="auto"/>
              <w:jc w:val="center"/>
              <w:rPr>
                <w:sz w:val="18"/>
                <w:szCs w:val="18"/>
              </w:rPr>
            </w:pPr>
            <w:r>
              <w:rPr>
                <w:sz w:val="18"/>
                <w:szCs w:val="18"/>
              </w:rPr>
              <w:t>-</w:t>
            </w:r>
          </w:p>
        </w:tc>
      </w:tr>
      <w:tr w:rsidR="007B0FBA" w:rsidRPr="00CF3E3D" w14:paraId="7A80CEB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315ACD8E" w14:textId="77777777" w:rsidR="007B0FBA" w:rsidRPr="00C1370B" w:rsidRDefault="007B0FBA" w:rsidP="007007AC">
            <w:pPr>
              <w:spacing w:before="85" w:line="288" w:lineRule="auto"/>
              <w:rPr>
                <w:b/>
                <w:bCs/>
                <w:sz w:val="18"/>
                <w:szCs w:val="18"/>
              </w:rPr>
            </w:pPr>
            <w:r w:rsidRPr="00C1370B">
              <w:rPr>
                <w:b/>
                <w:bCs/>
                <w:sz w:val="18"/>
                <w:szCs w:val="18"/>
              </w:rPr>
              <w:t>2016</w:t>
            </w:r>
          </w:p>
        </w:tc>
        <w:tc>
          <w:tcPr>
            <w:cnfStyle w:val="000010000000" w:firstRow="0" w:lastRow="0" w:firstColumn="0" w:lastColumn="0" w:oddVBand="1" w:evenVBand="0" w:oddHBand="0" w:evenHBand="0" w:firstRowFirstColumn="0" w:firstRowLastColumn="0" w:lastRowFirstColumn="0" w:lastRowLastColumn="0"/>
            <w:tcW w:w="555" w:type="pct"/>
          </w:tcPr>
          <w:p w14:paraId="038C7C88" w14:textId="77777777" w:rsidR="007B0FBA" w:rsidRPr="00CF3E3D" w:rsidRDefault="007B0FBA" w:rsidP="007007AC">
            <w:pPr>
              <w:spacing w:before="85" w:line="288" w:lineRule="auto"/>
              <w:jc w:val="center"/>
              <w:rPr>
                <w:sz w:val="18"/>
                <w:szCs w:val="18"/>
              </w:rPr>
            </w:pPr>
            <w:r>
              <w:rPr>
                <w:sz w:val="18"/>
                <w:szCs w:val="18"/>
              </w:rPr>
              <w:t>85.5</w:t>
            </w:r>
          </w:p>
        </w:tc>
        <w:tc>
          <w:tcPr>
            <w:cnfStyle w:val="000001000000" w:firstRow="0" w:lastRow="0" w:firstColumn="0" w:lastColumn="0" w:oddVBand="0" w:evenVBand="1" w:oddHBand="0" w:evenHBand="0" w:firstRowFirstColumn="0" w:firstRowLastColumn="0" w:lastRowFirstColumn="0" w:lastRowLastColumn="0"/>
            <w:tcW w:w="621" w:type="pct"/>
          </w:tcPr>
          <w:p w14:paraId="3F922CDF" w14:textId="77777777" w:rsidR="007B0FBA" w:rsidRPr="00CF3E3D" w:rsidRDefault="007B0FBA" w:rsidP="007007AC">
            <w:pPr>
              <w:spacing w:before="85" w:line="288" w:lineRule="auto"/>
              <w:jc w:val="center"/>
              <w:rPr>
                <w:sz w:val="18"/>
                <w:szCs w:val="18"/>
              </w:rPr>
            </w:pPr>
            <w:r>
              <w:rPr>
                <w:sz w:val="18"/>
                <w:szCs w:val="18"/>
              </w:rPr>
              <w:t>81.2</w:t>
            </w:r>
          </w:p>
        </w:tc>
        <w:tc>
          <w:tcPr>
            <w:cnfStyle w:val="000010000000" w:firstRow="0" w:lastRow="0" w:firstColumn="0" w:lastColumn="0" w:oddVBand="1" w:evenVBand="0" w:oddHBand="0" w:evenHBand="0" w:firstRowFirstColumn="0" w:firstRowLastColumn="0" w:lastRowFirstColumn="0" w:lastRowLastColumn="0"/>
            <w:tcW w:w="468" w:type="pct"/>
          </w:tcPr>
          <w:p w14:paraId="65D03B14"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60.7</w:t>
            </w:r>
          </w:p>
        </w:tc>
        <w:tc>
          <w:tcPr>
            <w:cnfStyle w:val="000001000000" w:firstRow="0" w:lastRow="0" w:firstColumn="0" w:lastColumn="0" w:oddVBand="0" w:evenVBand="1" w:oddHBand="0" w:evenHBand="0" w:firstRowFirstColumn="0" w:firstRowLastColumn="0" w:lastRowFirstColumn="0" w:lastRowLastColumn="0"/>
            <w:tcW w:w="533" w:type="pct"/>
          </w:tcPr>
          <w:p w14:paraId="007766D4" w14:textId="77777777" w:rsidR="007B0FBA" w:rsidRPr="00CF3E3D" w:rsidRDefault="007B0FBA" w:rsidP="007007AC">
            <w:pPr>
              <w:spacing w:before="85" w:line="288" w:lineRule="auto"/>
              <w:jc w:val="center"/>
              <w:rPr>
                <w:sz w:val="18"/>
                <w:szCs w:val="18"/>
              </w:rPr>
            </w:pPr>
            <w:r>
              <w:rPr>
                <w:sz w:val="18"/>
                <w:szCs w:val="18"/>
              </w:rPr>
              <w:t>94.1</w:t>
            </w:r>
          </w:p>
        </w:tc>
        <w:tc>
          <w:tcPr>
            <w:cnfStyle w:val="000010000000" w:firstRow="0" w:lastRow="0" w:firstColumn="0" w:lastColumn="0" w:oddVBand="1" w:evenVBand="0" w:oddHBand="0" w:evenHBand="0" w:firstRowFirstColumn="0" w:firstRowLastColumn="0" w:lastRowFirstColumn="0" w:lastRowLastColumn="0"/>
            <w:tcW w:w="465" w:type="pct"/>
          </w:tcPr>
          <w:p w14:paraId="7FB09074" w14:textId="77777777" w:rsidR="007B0FBA" w:rsidRPr="00CF3E3D" w:rsidRDefault="007B0FBA" w:rsidP="007007AC">
            <w:pPr>
              <w:spacing w:before="85" w:line="288" w:lineRule="auto"/>
              <w:jc w:val="center"/>
              <w:rPr>
                <w:sz w:val="18"/>
                <w:szCs w:val="18"/>
              </w:rPr>
            </w:pPr>
            <w:r>
              <w:rPr>
                <w:sz w:val="18"/>
                <w:szCs w:val="18"/>
              </w:rPr>
              <w:t>75.6</w:t>
            </w:r>
          </w:p>
        </w:tc>
        <w:tc>
          <w:tcPr>
            <w:cnfStyle w:val="000001000000" w:firstRow="0" w:lastRow="0" w:firstColumn="0" w:lastColumn="0" w:oddVBand="0" w:evenVBand="1" w:oddHBand="0" w:evenHBand="0" w:firstRowFirstColumn="0" w:firstRowLastColumn="0" w:lastRowFirstColumn="0" w:lastRowLastColumn="0"/>
            <w:tcW w:w="537" w:type="pct"/>
          </w:tcPr>
          <w:p w14:paraId="33A2B03F" w14:textId="77777777" w:rsidR="007B0FBA" w:rsidRPr="00CF3E3D" w:rsidRDefault="007B0FBA" w:rsidP="007007AC">
            <w:pPr>
              <w:spacing w:before="85" w:line="288" w:lineRule="auto"/>
              <w:jc w:val="center"/>
              <w:rPr>
                <w:sz w:val="18"/>
                <w:szCs w:val="18"/>
              </w:rPr>
            </w:pPr>
            <w:r>
              <w:rPr>
                <w:sz w:val="18"/>
                <w:szCs w:val="18"/>
              </w:rPr>
              <w:t>77.9</w:t>
            </w:r>
          </w:p>
        </w:tc>
        <w:tc>
          <w:tcPr>
            <w:cnfStyle w:val="000010000000" w:firstRow="0" w:lastRow="0" w:firstColumn="0" w:lastColumn="0" w:oddVBand="1" w:evenVBand="0" w:oddHBand="0" w:evenHBand="0" w:firstRowFirstColumn="0" w:firstRowLastColumn="0" w:lastRowFirstColumn="0" w:lastRowLastColumn="0"/>
            <w:tcW w:w="534" w:type="pct"/>
          </w:tcPr>
          <w:p w14:paraId="03503AE1" w14:textId="77777777" w:rsidR="007B0FBA" w:rsidRPr="00CF3E3D" w:rsidRDefault="007B0FBA" w:rsidP="007007AC">
            <w:pPr>
              <w:spacing w:before="85" w:line="288" w:lineRule="auto"/>
              <w:jc w:val="center"/>
              <w:rPr>
                <w:sz w:val="18"/>
                <w:szCs w:val="18"/>
              </w:rPr>
            </w:pPr>
            <w:r>
              <w:rPr>
                <w:sz w:val="18"/>
                <w:szCs w:val="18"/>
              </w:rPr>
              <w:t>91.2</w:t>
            </w:r>
          </w:p>
        </w:tc>
        <w:tc>
          <w:tcPr>
            <w:cnfStyle w:val="000001000000" w:firstRow="0" w:lastRow="0" w:firstColumn="0" w:lastColumn="0" w:oddVBand="0" w:evenVBand="1" w:oddHBand="0" w:evenHBand="0" w:firstRowFirstColumn="0" w:firstRowLastColumn="0" w:lastRowFirstColumn="0" w:lastRowLastColumn="0"/>
            <w:tcW w:w="732" w:type="pct"/>
          </w:tcPr>
          <w:p w14:paraId="37EF82FC" w14:textId="77777777" w:rsidR="007B0FBA" w:rsidRPr="009E1BB3" w:rsidRDefault="007B0FBA" w:rsidP="007007AC">
            <w:pPr>
              <w:spacing w:before="85" w:line="288" w:lineRule="auto"/>
              <w:jc w:val="center"/>
              <w:rPr>
                <w:sz w:val="18"/>
                <w:szCs w:val="18"/>
              </w:rPr>
            </w:pPr>
            <w:r>
              <w:rPr>
                <w:sz w:val="18"/>
                <w:szCs w:val="18"/>
              </w:rPr>
              <w:t>-</w:t>
            </w:r>
          </w:p>
        </w:tc>
      </w:tr>
      <w:tr w:rsidR="00E45B59" w:rsidRPr="00CF3E3D" w14:paraId="6565627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3A8668A4" w14:textId="77777777" w:rsidR="007B0FBA" w:rsidRPr="00C1370B" w:rsidRDefault="007B0FBA" w:rsidP="007007AC">
            <w:pPr>
              <w:spacing w:before="85" w:line="288" w:lineRule="auto"/>
              <w:rPr>
                <w:b/>
                <w:bCs/>
                <w:sz w:val="18"/>
                <w:szCs w:val="18"/>
              </w:rPr>
            </w:pPr>
            <w:r w:rsidRPr="00C1370B">
              <w:rPr>
                <w:b/>
                <w:bCs/>
                <w:sz w:val="18"/>
                <w:szCs w:val="18"/>
              </w:rPr>
              <w:t>2017</w:t>
            </w:r>
          </w:p>
        </w:tc>
        <w:tc>
          <w:tcPr>
            <w:cnfStyle w:val="000010000000" w:firstRow="0" w:lastRow="0" w:firstColumn="0" w:lastColumn="0" w:oddVBand="1" w:evenVBand="0" w:oddHBand="0" w:evenHBand="0" w:firstRowFirstColumn="0" w:firstRowLastColumn="0" w:lastRowFirstColumn="0" w:lastRowLastColumn="0"/>
            <w:tcW w:w="555" w:type="pct"/>
          </w:tcPr>
          <w:p w14:paraId="51693DA9" w14:textId="77777777" w:rsidR="007B0FBA" w:rsidRPr="00CF3E3D" w:rsidRDefault="007B0FBA" w:rsidP="007007AC">
            <w:pPr>
              <w:spacing w:before="85" w:line="288" w:lineRule="auto"/>
              <w:jc w:val="center"/>
              <w:rPr>
                <w:sz w:val="18"/>
                <w:szCs w:val="18"/>
              </w:rPr>
            </w:pPr>
            <w:r>
              <w:rPr>
                <w:sz w:val="18"/>
                <w:szCs w:val="18"/>
              </w:rPr>
              <w:t>84.4</w:t>
            </w:r>
          </w:p>
        </w:tc>
        <w:tc>
          <w:tcPr>
            <w:cnfStyle w:val="000001000000" w:firstRow="0" w:lastRow="0" w:firstColumn="0" w:lastColumn="0" w:oddVBand="0" w:evenVBand="1" w:oddHBand="0" w:evenHBand="0" w:firstRowFirstColumn="0" w:firstRowLastColumn="0" w:lastRowFirstColumn="0" w:lastRowLastColumn="0"/>
            <w:tcW w:w="621" w:type="pct"/>
          </w:tcPr>
          <w:p w14:paraId="4D6F4D51" w14:textId="77777777" w:rsidR="007B0FBA" w:rsidRPr="00CF3E3D" w:rsidRDefault="007B0FBA" w:rsidP="007007AC">
            <w:pPr>
              <w:spacing w:before="85" w:line="288" w:lineRule="auto"/>
              <w:jc w:val="center"/>
              <w:rPr>
                <w:sz w:val="18"/>
                <w:szCs w:val="18"/>
              </w:rPr>
            </w:pPr>
            <w:r>
              <w:rPr>
                <w:sz w:val="18"/>
                <w:szCs w:val="18"/>
              </w:rPr>
              <w:t>81.5</w:t>
            </w:r>
          </w:p>
        </w:tc>
        <w:tc>
          <w:tcPr>
            <w:cnfStyle w:val="000010000000" w:firstRow="0" w:lastRow="0" w:firstColumn="0" w:lastColumn="0" w:oddVBand="1" w:evenVBand="0" w:oddHBand="0" w:evenHBand="0" w:firstRowFirstColumn="0" w:firstRowLastColumn="0" w:lastRowFirstColumn="0" w:lastRowLastColumn="0"/>
            <w:tcW w:w="468" w:type="pct"/>
          </w:tcPr>
          <w:p w14:paraId="41F5FCDC"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61.3</w:t>
            </w:r>
          </w:p>
        </w:tc>
        <w:tc>
          <w:tcPr>
            <w:cnfStyle w:val="000001000000" w:firstRow="0" w:lastRow="0" w:firstColumn="0" w:lastColumn="0" w:oddVBand="0" w:evenVBand="1" w:oddHBand="0" w:evenHBand="0" w:firstRowFirstColumn="0" w:firstRowLastColumn="0" w:lastRowFirstColumn="0" w:lastRowLastColumn="0"/>
            <w:tcW w:w="533" w:type="pct"/>
          </w:tcPr>
          <w:p w14:paraId="14F254FF" w14:textId="77777777" w:rsidR="007B0FBA" w:rsidRPr="00CF3E3D" w:rsidRDefault="007B0FBA" w:rsidP="007007AC">
            <w:pPr>
              <w:spacing w:before="85" w:line="288" w:lineRule="auto"/>
              <w:jc w:val="center"/>
              <w:rPr>
                <w:sz w:val="18"/>
                <w:szCs w:val="18"/>
              </w:rPr>
            </w:pPr>
            <w:r>
              <w:rPr>
                <w:sz w:val="18"/>
                <w:szCs w:val="18"/>
              </w:rPr>
              <w:t>94.3</w:t>
            </w:r>
          </w:p>
        </w:tc>
        <w:tc>
          <w:tcPr>
            <w:cnfStyle w:val="000010000000" w:firstRow="0" w:lastRow="0" w:firstColumn="0" w:lastColumn="0" w:oddVBand="1" w:evenVBand="0" w:oddHBand="0" w:evenHBand="0" w:firstRowFirstColumn="0" w:firstRowLastColumn="0" w:lastRowFirstColumn="0" w:lastRowLastColumn="0"/>
            <w:tcW w:w="465" w:type="pct"/>
          </w:tcPr>
          <w:p w14:paraId="2FB382A5" w14:textId="77777777" w:rsidR="007B0FBA" w:rsidRPr="00CF3E3D" w:rsidRDefault="007B0FBA" w:rsidP="007007AC">
            <w:pPr>
              <w:spacing w:before="85" w:line="288" w:lineRule="auto"/>
              <w:jc w:val="center"/>
              <w:rPr>
                <w:sz w:val="18"/>
                <w:szCs w:val="18"/>
              </w:rPr>
            </w:pPr>
            <w:r>
              <w:rPr>
                <w:sz w:val="18"/>
                <w:szCs w:val="18"/>
              </w:rPr>
              <w:t>77.0</w:t>
            </w:r>
          </w:p>
        </w:tc>
        <w:tc>
          <w:tcPr>
            <w:cnfStyle w:val="000001000000" w:firstRow="0" w:lastRow="0" w:firstColumn="0" w:lastColumn="0" w:oddVBand="0" w:evenVBand="1" w:oddHBand="0" w:evenHBand="0" w:firstRowFirstColumn="0" w:firstRowLastColumn="0" w:lastRowFirstColumn="0" w:lastRowLastColumn="0"/>
            <w:tcW w:w="537" w:type="pct"/>
          </w:tcPr>
          <w:p w14:paraId="14A7BCC6" w14:textId="77777777" w:rsidR="007B0FBA" w:rsidRPr="00CF3E3D" w:rsidRDefault="007B0FBA" w:rsidP="007007AC">
            <w:pPr>
              <w:spacing w:before="85" w:line="288" w:lineRule="auto"/>
              <w:jc w:val="center"/>
              <w:rPr>
                <w:sz w:val="18"/>
                <w:szCs w:val="18"/>
              </w:rPr>
            </w:pPr>
            <w:r>
              <w:rPr>
                <w:sz w:val="18"/>
                <w:szCs w:val="18"/>
              </w:rPr>
              <w:t>79.4</w:t>
            </w:r>
          </w:p>
        </w:tc>
        <w:tc>
          <w:tcPr>
            <w:cnfStyle w:val="000010000000" w:firstRow="0" w:lastRow="0" w:firstColumn="0" w:lastColumn="0" w:oddVBand="1" w:evenVBand="0" w:oddHBand="0" w:evenHBand="0" w:firstRowFirstColumn="0" w:firstRowLastColumn="0" w:lastRowFirstColumn="0" w:lastRowLastColumn="0"/>
            <w:tcW w:w="534" w:type="pct"/>
          </w:tcPr>
          <w:p w14:paraId="0201C0B0" w14:textId="77777777" w:rsidR="007B0FBA" w:rsidRPr="00CF3E3D" w:rsidRDefault="007B0FBA" w:rsidP="007007AC">
            <w:pPr>
              <w:spacing w:before="85" w:line="288" w:lineRule="auto"/>
              <w:jc w:val="center"/>
              <w:rPr>
                <w:sz w:val="18"/>
                <w:szCs w:val="18"/>
              </w:rPr>
            </w:pPr>
            <w:r>
              <w:rPr>
                <w:sz w:val="18"/>
                <w:szCs w:val="18"/>
              </w:rPr>
              <w:t>91.5</w:t>
            </w:r>
          </w:p>
        </w:tc>
        <w:tc>
          <w:tcPr>
            <w:cnfStyle w:val="000001000000" w:firstRow="0" w:lastRow="0" w:firstColumn="0" w:lastColumn="0" w:oddVBand="0" w:evenVBand="1" w:oddHBand="0" w:evenHBand="0" w:firstRowFirstColumn="0" w:firstRowLastColumn="0" w:lastRowFirstColumn="0" w:lastRowLastColumn="0"/>
            <w:tcW w:w="732" w:type="pct"/>
          </w:tcPr>
          <w:p w14:paraId="1849E1BA" w14:textId="77777777" w:rsidR="007B0FBA" w:rsidRPr="009E1BB3" w:rsidRDefault="007B0FBA" w:rsidP="007007AC">
            <w:pPr>
              <w:spacing w:before="85" w:line="288" w:lineRule="auto"/>
              <w:jc w:val="center"/>
              <w:rPr>
                <w:sz w:val="18"/>
                <w:szCs w:val="18"/>
              </w:rPr>
            </w:pPr>
            <w:r>
              <w:rPr>
                <w:sz w:val="18"/>
                <w:szCs w:val="18"/>
              </w:rPr>
              <w:t>-</w:t>
            </w:r>
          </w:p>
        </w:tc>
      </w:tr>
      <w:tr w:rsidR="007B0FBA" w:rsidRPr="00CF3E3D" w14:paraId="12BEC15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7D7FE537" w14:textId="77777777" w:rsidR="007B0FBA" w:rsidRPr="00C1370B" w:rsidRDefault="007B0FBA" w:rsidP="007007AC">
            <w:pPr>
              <w:spacing w:before="85" w:line="288" w:lineRule="auto"/>
              <w:rPr>
                <w:b/>
                <w:bCs/>
                <w:sz w:val="18"/>
                <w:szCs w:val="18"/>
              </w:rPr>
            </w:pPr>
            <w:r w:rsidRPr="00C1370B">
              <w:rPr>
                <w:b/>
                <w:bCs/>
                <w:sz w:val="18"/>
                <w:szCs w:val="18"/>
              </w:rPr>
              <w:t>2018</w:t>
            </w:r>
          </w:p>
        </w:tc>
        <w:tc>
          <w:tcPr>
            <w:cnfStyle w:val="000010000000" w:firstRow="0" w:lastRow="0" w:firstColumn="0" w:lastColumn="0" w:oddVBand="1" w:evenVBand="0" w:oddHBand="0" w:evenHBand="0" w:firstRowFirstColumn="0" w:firstRowLastColumn="0" w:lastRowFirstColumn="0" w:lastRowLastColumn="0"/>
            <w:tcW w:w="555" w:type="pct"/>
          </w:tcPr>
          <w:p w14:paraId="2E897BB2" w14:textId="77777777" w:rsidR="007B0FBA" w:rsidRPr="00CF3E3D" w:rsidRDefault="007B0FBA" w:rsidP="007007AC">
            <w:pPr>
              <w:spacing w:before="85" w:line="288" w:lineRule="auto"/>
              <w:jc w:val="center"/>
              <w:rPr>
                <w:sz w:val="18"/>
                <w:szCs w:val="18"/>
              </w:rPr>
            </w:pPr>
            <w:r>
              <w:rPr>
                <w:sz w:val="18"/>
                <w:szCs w:val="18"/>
              </w:rPr>
              <w:t>85.0</w:t>
            </w:r>
          </w:p>
        </w:tc>
        <w:tc>
          <w:tcPr>
            <w:cnfStyle w:val="000001000000" w:firstRow="0" w:lastRow="0" w:firstColumn="0" w:lastColumn="0" w:oddVBand="0" w:evenVBand="1" w:oddHBand="0" w:evenHBand="0" w:firstRowFirstColumn="0" w:firstRowLastColumn="0" w:lastRowFirstColumn="0" w:lastRowLastColumn="0"/>
            <w:tcW w:w="621" w:type="pct"/>
          </w:tcPr>
          <w:p w14:paraId="6B5B3A4C" w14:textId="77777777" w:rsidR="007B0FBA" w:rsidRPr="00CF3E3D" w:rsidRDefault="007B0FBA" w:rsidP="007007AC">
            <w:pPr>
              <w:spacing w:before="85" w:line="288" w:lineRule="auto"/>
              <w:jc w:val="center"/>
              <w:rPr>
                <w:sz w:val="18"/>
                <w:szCs w:val="18"/>
              </w:rPr>
            </w:pPr>
            <w:r>
              <w:rPr>
                <w:sz w:val="18"/>
                <w:szCs w:val="18"/>
              </w:rPr>
              <w:t>82.0</w:t>
            </w:r>
          </w:p>
        </w:tc>
        <w:tc>
          <w:tcPr>
            <w:cnfStyle w:val="000010000000" w:firstRow="0" w:lastRow="0" w:firstColumn="0" w:lastColumn="0" w:oddVBand="1" w:evenVBand="0" w:oddHBand="0" w:evenHBand="0" w:firstRowFirstColumn="0" w:firstRowLastColumn="0" w:lastRowFirstColumn="0" w:lastRowLastColumn="0"/>
            <w:tcW w:w="468" w:type="pct"/>
          </w:tcPr>
          <w:p w14:paraId="25D85F43"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61.1</w:t>
            </w:r>
          </w:p>
        </w:tc>
        <w:tc>
          <w:tcPr>
            <w:cnfStyle w:val="000001000000" w:firstRow="0" w:lastRow="0" w:firstColumn="0" w:lastColumn="0" w:oddVBand="0" w:evenVBand="1" w:oddHBand="0" w:evenHBand="0" w:firstRowFirstColumn="0" w:firstRowLastColumn="0" w:lastRowFirstColumn="0" w:lastRowLastColumn="0"/>
            <w:tcW w:w="533" w:type="pct"/>
          </w:tcPr>
          <w:p w14:paraId="78CB454F" w14:textId="77777777" w:rsidR="007B0FBA" w:rsidRPr="00CF3E3D" w:rsidRDefault="007B0FBA" w:rsidP="007007AC">
            <w:pPr>
              <w:spacing w:before="85" w:line="288" w:lineRule="auto"/>
              <w:jc w:val="center"/>
              <w:rPr>
                <w:sz w:val="18"/>
                <w:szCs w:val="18"/>
              </w:rPr>
            </w:pPr>
            <w:r>
              <w:rPr>
                <w:sz w:val="18"/>
                <w:szCs w:val="18"/>
              </w:rPr>
              <w:t>92.6</w:t>
            </w:r>
          </w:p>
        </w:tc>
        <w:tc>
          <w:tcPr>
            <w:cnfStyle w:val="000010000000" w:firstRow="0" w:lastRow="0" w:firstColumn="0" w:lastColumn="0" w:oddVBand="1" w:evenVBand="0" w:oddHBand="0" w:evenHBand="0" w:firstRowFirstColumn="0" w:firstRowLastColumn="0" w:lastRowFirstColumn="0" w:lastRowLastColumn="0"/>
            <w:tcW w:w="465" w:type="pct"/>
          </w:tcPr>
          <w:p w14:paraId="292EDBD7" w14:textId="77777777" w:rsidR="007B0FBA" w:rsidRPr="00CF3E3D" w:rsidRDefault="007B0FBA" w:rsidP="007007AC">
            <w:pPr>
              <w:spacing w:before="85" w:line="288" w:lineRule="auto"/>
              <w:jc w:val="center"/>
              <w:rPr>
                <w:sz w:val="18"/>
                <w:szCs w:val="18"/>
              </w:rPr>
            </w:pPr>
            <w:r>
              <w:rPr>
                <w:sz w:val="18"/>
                <w:szCs w:val="18"/>
              </w:rPr>
              <w:t>74.6</w:t>
            </w:r>
          </w:p>
        </w:tc>
        <w:tc>
          <w:tcPr>
            <w:cnfStyle w:val="000001000000" w:firstRow="0" w:lastRow="0" w:firstColumn="0" w:lastColumn="0" w:oddVBand="0" w:evenVBand="1" w:oddHBand="0" w:evenHBand="0" w:firstRowFirstColumn="0" w:firstRowLastColumn="0" w:lastRowFirstColumn="0" w:lastRowLastColumn="0"/>
            <w:tcW w:w="537" w:type="pct"/>
          </w:tcPr>
          <w:p w14:paraId="05B48F91" w14:textId="77777777" w:rsidR="007B0FBA" w:rsidRPr="00CF3E3D" w:rsidRDefault="007B0FBA" w:rsidP="007007AC">
            <w:pPr>
              <w:spacing w:before="85" w:line="288" w:lineRule="auto"/>
              <w:jc w:val="center"/>
              <w:rPr>
                <w:sz w:val="18"/>
                <w:szCs w:val="18"/>
              </w:rPr>
            </w:pPr>
            <w:r>
              <w:rPr>
                <w:sz w:val="18"/>
                <w:szCs w:val="18"/>
              </w:rPr>
              <w:t>81.3</w:t>
            </w:r>
          </w:p>
        </w:tc>
        <w:tc>
          <w:tcPr>
            <w:cnfStyle w:val="000010000000" w:firstRow="0" w:lastRow="0" w:firstColumn="0" w:lastColumn="0" w:oddVBand="1" w:evenVBand="0" w:oddHBand="0" w:evenHBand="0" w:firstRowFirstColumn="0" w:firstRowLastColumn="0" w:lastRowFirstColumn="0" w:lastRowLastColumn="0"/>
            <w:tcW w:w="534" w:type="pct"/>
          </w:tcPr>
          <w:p w14:paraId="7AF45396" w14:textId="77777777" w:rsidR="007B0FBA" w:rsidRPr="00CF3E3D" w:rsidRDefault="007B0FBA" w:rsidP="007007AC">
            <w:pPr>
              <w:spacing w:before="85" w:line="288" w:lineRule="auto"/>
              <w:jc w:val="center"/>
              <w:rPr>
                <w:sz w:val="18"/>
                <w:szCs w:val="18"/>
              </w:rPr>
            </w:pPr>
            <w:r>
              <w:rPr>
                <w:sz w:val="18"/>
                <w:szCs w:val="18"/>
              </w:rPr>
              <w:t>91.7</w:t>
            </w:r>
          </w:p>
        </w:tc>
        <w:tc>
          <w:tcPr>
            <w:cnfStyle w:val="000001000000" w:firstRow="0" w:lastRow="0" w:firstColumn="0" w:lastColumn="0" w:oddVBand="0" w:evenVBand="1" w:oddHBand="0" w:evenHBand="0" w:firstRowFirstColumn="0" w:firstRowLastColumn="0" w:lastRowFirstColumn="0" w:lastRowLastColumn="0"/>
            <w:tcW w:w="732" w:type="pct"/>
          </w:tcPr>
          <w:p w14:paraId="0A379E40" w14:textId="77777777" w:rsidR="007B0FBA" w:rsidRPr="009E1BB3" w:rsidRDefault="007B0FBA" w:rsidP="007007AC">
            <w:pPr>
              <w:spacing w:before="85" w:line="288" w:lineRule="auto"/>
              <w:jc w:val="center"/>
              <w:rPr>
                <w:sz w:val="18"/>
                <w:szCs w:val="18"/>
              </w:rPr>
            </w:pPr>
            <w:r>
              <w:rPr>
                <w:sz w:val="18"/>
                <w:szCs w:val="18"/>
              </w:rPr>
              <w:t>-</w:t>
            </w:r>
          </w:p>
        </w:tc>
      </w:tr>
      <w:tr w:rsidR="00E45B59" w:rsidRPr="00CF3E3D" w14:paraId="302147B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3B0CC488" w14:textId="77777777" w:rsidR="007B0FBA" w:rsidRPr="00C1370B" w:rsidRDefault="007B0FBA" w:rsidP="007007AC">
            <w:pPr>
              <w:spacing w:before="85" w:line="288" w:lineRule="auto"/>
              <w:rPr>
                <w:b/>
                <w:bCs/>
                <w:sz w:val="18"/>
                <w:szCs w:val="18"/>
              </w:rPr>
            </w:pPr>
            <w:r w:rsidRPr="00C1370B">
              <w:rPr>
                <w:b/>
                <w:bCs/>
                <w:sz w:val="18"/>
                <w:szCs w:val="18"/>
              </w:rPr>
              <w:t>2019</w:t>
            </w:r>
          </w:p>
        </w:tc>
        <w:tc>
          <w:tcPr>
            <w:cnfStyle w:val="000010000000" w:firstRow="0" w:lastRow="0" w:firstColumn="0" w:lastColumn="0" w:oddVBand="1" w:evenVBand="0" w:oddHBand="0" w:evenHBand="0" w:firstRowFirstColumn="0" w:firstRowLastColumn="0" w:lastRowFirstColumn="0" w:lastRowLastColumn="0"/>
            <w:tcW w:w="555" w:type="pct"/>
          </w:tcPr>
          <w:p w14:paraId="73DC74A3" w14:textId="77777777" w:rsidR="007B0FBA" w:rsidRPr="00CF3E3D" w:rsidRDefault="007B0FBA" w:rsidP="007007AC">
            <w:pPr>
              <w:spacing w:before="85" w:line="288" w:lineRule="auto"/>
              <w:jc w:val="center"/>
              <w:rPr>
                <w:sz w:val="18"/>
                <w:szCs w:val="18"/>
              </w:rPr>
            </w:pPr>
            <w:r>
              <w:rPr>
                <w:sz w:val="18"/>
                <w:szCs w:val="18"/>
              </w:rPr>
              <w:t>85.5</w:t>
            </w:r>
          </w:p>
        </w:tc>
        <w:tc>
          <w:tcPr>
            <w:cnfStyle w:val="000001000000" w:firstRow="0" w:lastRow="0" w:firstColumn="0" w:lastColumn="0" w:oddVBand="0" w:evenVBand="1" w:oddHBand="0" w:evenHBand="0" w:firstRowFirstColumn="0" w:firstRowLastColumn="0" w:lastRowFirstColumn="0" w:lastRowLastColumn="0"/>
            <w:tcW w:w="621" w:type="pct"/>
          </w:tcPr>
          <w:p w14:paraId="6B738C3F" w14:textId="77777777" w:rsidR="007B0FBA" w:rsidRPr="00CF3E3D" w:rsidRDefault="007B0FBA" w:rsidP="007007AC">
            <w:pPr>
              <w:spacing w:before="85" w:line="288" w:lineRule="auto"/>
              <w:jc w:val="center"/>
              <w:rPr>
                <w:sz w:val="18"/>
                <w:szCs w:val="18"/>
              </w:rPr>
            </w:pPr>
            <w:r>
              <w:rPr>
                <w:sz w:val="18"/>
                <w:szCs w:val="18"/>
              </w:rPr>
              <w:t>83.1</w:t>
            </w:r>
          </w:p>
        </w:tc>
        <w:tc>
          <w:tcPr>
            <w:cnfStyle w:val="000010000000" w:firstRow="0" w:lastRow="0" w:firstColumn="0" w:lastColumn="0" w:oddVBand="1" w:evenVBand="0" w:oddHBand="0" w:evenHBand="0" w:firstRowFirstColumn="0" w:firstRowLastColumn="0" w:lastRowFirstColumn="0" w:lastRowLastColumn="0"/>
            <w:tcW w:w="468" w:type="pct"/>
          </w:tcPr>
          <w:p w14:paraId="4AD8309E"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62.7</w:t>
            </w:r>
          </w:p>
        </w:tc>
        <w:tc>
          <w:tcPr>
            <w:cnfStyle w:val="000001000000" w:firstRow="0" w:lastRow="0" w:firstColumn="0" w:lastColumn="0" w:oddVBand="0" w:evenVBand="1" w:oddHBand="0" w:evenHBand="0" w:firstRowFirstColumn="0" w:firstRowLastColumn="0" w:lastRowFirstColumn="0" w:lastRowLastColumn="0"/>
            <w:tcW w:w="533" w:type="pct"/>
          </w:tcPr>
          <w:p w14:paraId="62CDEE3F" w14:textId="77777777" w:rsidR="007B0FBA" w:rsidRPr="00CF3E3D" w:rsidRDefault="007B0FBA" w:rsidP="007007AC">
            <w:pPr>
              <w:spacing w:before="85" w:line="288" w:lineRule="auto"/>
              <w:jc w:val="center"/>
              <w:rPr>
                <w:sz w:val="18"/>
                <w:szCs w:val="18"/>
              </w:rPr>
            </w:pPr>
            <w:r>
              <w:rPr>
                <w:sz w:val="18"/>
                <w:szCs w:val="18"/>
              </w:rPr>
              <w:t>92.5</w:t>
            </w:r>
          </w:p>
        </w:tc>
        <w:tc>
          <w:tcPr>
            <w:cnfStyle w:val="000010000000" w:firstRow="0" w:lastRow="0" w:firstColumn="0" w:lastColumn="0" w:oddVBand="1" w:evenVBand="0" w:oddHBand="0" w:evenHBand="0" w:firstRowFirstColumn="0" w:firstRowLastColumn="0" w:lastRowFirstColumn="0" w:lastRowLastColumn="0"/>
            <w:tcW w:w="465" w:type="pct"/>
          </w:tcPr>
          <w:p w14:paraId="1139C05B" w14:textId="77777777" w:rsidR="007B0FBA" w:rsidRPr="00CF3E3D" w:rsidRDefault="007B0FBA" w:rsidP="007007AC">
            <w:pPr>
              <w:spacing w:before="85" w:line="288" w:lineRule="auto"/>
              <w:jc w:val="center"/>
              <w:rPr>
                <w:sz w:val="18"/>
                <w:szCs w:val="18"/>
              </w:rPr>
            </w:pPr>
            <w:r>
              <w:rPr>
                <w:sz w:val="18"/>
                <w:szCs w:val="18"/>
              </w:rPr>
              <w:t>75.8</w:t>
            </w:r>
          </w:p>
        </w:tc>
        <w:tc>
          <w:tcPr>
            <w:cnfStyle w:val="000001000000" w:firstRow="0" w:lastRow="0" w:firstColumn="0" w:lastColumn="0" w:oddVBand="0" w:evenVBand="1" w:oddHBand="0" w:evenHBand="0" w:firstRowFirstColumn="0" w:firstRowLastColumn="0" w:lastRowFirstColumn="0" w:lastRowLastColumn="0"/>
            <w:tcW w:w="537" w:type="pct"/>
          </w:tcPr>
          <w:p w14:paraId="6F9511E3" w14:textId="77777777" w:rsidR="007B0FBA" w:rsidRPr="00CF3E3D" w:rsidRDefault="007B0FBA" w:rsidP="007007AC">
            <w:pPr>
              <w:spacing w:before="85" w:line="288" w:lineRule="auto"/>
              <w:jc w:val="center"/>
              <w:rPr>
                <w:sz w:val="18"/>
                <w:szCs w:val="18"/>
              </w:rPr>
            </w:pPr>
            <w:r>
              <w:rPr>
                <w:sz w:val="18"/>
                <w:szCs w:val="18"/>
              </w:rPr>
              <w:t>80.6</w:t>
            </w:r>
          </w:p>
        </w:tc>
        <w:tc>
          <w:tcPr>
            <w:cnfStyle w:val="000010000000" w:firstRow="0" w:lastRow="0" w:firstColumn="0" w:lastColumn="0" w:oddVBand="1" w:evenVBand="0" w:oddHBand="0" w:evenHBand="0" w:firstRowFirstColumn="0" w:firstRowLastColumn="0" w:lastRowFirstColumn="0" w:lastRowLastColumn="0"/>
            <w:tcW w:w="534" w:type="pct"/>
          </w:tcPr>
          <w:p w14:paraId="44DC1F76" w14:textId="77777777" w:rsidR="007B0FBA" w:rsidRPr="00CF3E3D" w:rsidRDefault="007B0FBA" w:rsidP="007007AC">
            <w:pPr>
              <w:spacing w:before="85" w:line="288" w:lineRule="auto"/>
              <w:jc w:val="center"/>
              <w:rPr>
                <w:sz w:val="18"/>
                <w:szCs w:val="18"/>
              </w:rPr>
            </w:pPr>
            <w:r>
              <w:rPr>
                <w:sz w:val="18"/>
                <w:szCs w:val="18"/>
              </w:rPr>
              <w:t>91.9</w:t>
            </w:r>
          </w:p>
        </w:tc>
        <w:tc>
          <w:tcPr>
            <w:cnfStyle w:val="000001000000" w:firstRow="0" w:lastRow="0" w:firstColumn="0" w:lastColumn="0" w:oddVBand="0" w:evenVBand="1" w:oddHBand="0" w:evenHBand="0" w:firstRowFirstColumn="0" w:firstRowLastColumn="0" w:lastRowFirstColumn="0" w:lastRowLastColumn="0"/>
            <w:tcW w:w="732" w:type="pct"/>
          </w:tcPr>
          <w:p w14:paraId="4BAFBE38" w14:textId="77777777" w:rsidR="007B0FBA" w:rsidRPr="00CF3E3D" w:rsidRDefault="007B0FBA" w:rsidP="007007AC">
            <w:pPr>
              <w:spacing w:before="85" w:line="288" w:lineRule="auto"/>
              <w:jc w:val="center"/>
              <w:rPr>
                <w:sz w:val="18"/>
                <w:szCs w:val="18"/>
              </w:rPr>
            </w:pPr>
            <w:r>
              <w:rPr>
                <w:sz w:val="18"/>
                <w:szCs w:val="18"/>
              </w:rPr>
              <w:t>56.4</w:t>
            </w:r>
          </w:p>
        </w:tc>
      </w:tr>
      <w:tr w:rsidR="007B0FBA" w:rsidRPr="00CF3E3D" w14:paraId="755BF62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07C8AAAC" w14:textId="77777777" w:rsidR="007B0FBA" w:rsidRPr="00C1370B" w:rsidRDefault="007B0FBA" w:rsidP="007007AC">
            <w:pPr>
              <w:spacing w:before="85" w:line="288" w:lineRule="auto"/>
              <w:rPr>
                <w:b/>
                <w:bCs/>
                <w:sz w:val="18"/>
                <w:szCs w:val="18"/>
              </w:rPr>
            </w:pPr>
            <w:r w:rsidRPr="00C1370B">
              <w:rPr>
                <w:b/>
                <w:bCs/>
                <w:sz w:val="18"/>
                <w:szCs w:val="18"/>
              </w:rPr>
              <w:t>2020</w:t>
            </w:r>
          </w:p>
        </w:tc>
        <w:tc>
          <w:tcPr>
            <w:cnfStyle w:val="000010000000" w:firstRow="0" w:lastRow="0" w:firstColumn="0" w:lastColumn="0" w:oddVBand="1" w:evenVBand="0" w:oddHBand="0" w:evenHBand="0" w:firstRowFirstColumn="0" w:firstRowLastColumn="0" w:lastRowFirstColumn="0" w:lastRowLastColumn="0"/>
            <w:tcW w:w="555" w:type="pct"/>
          </w:tcPr>
          <w:p w14:paraId="384839A3" w14:textId="77777777" w:rsidR="007B0FBA" w:rsidRPr="00CF3E3D" w:rsidRDefault="007B0FBA" w:rsidP="007007AC">
            <w:pPr>
              <w:spacing w:before="85" w:line="288" w:lineRule="auto"/>
              <w:jc w:val="center"/>
              <w:rPr>
                <w:sz w:val="18"/>
                <w:szCs w:val="18"/>
              </w:rPr>
            </w:pPr>
            <w:r>
              <w:rPr>
                <w:sz w:val="18"/>
                <w:szCs w:val="18"/>
              </w:rPr>
              <w:t>85.8</w:t>
            </w:r>
          </w:p>
        </w:tc>
        <w:tc>
          <w:tcPr>
            <w:cnfStyle w:val="000001000000" w:firstRow="0" w:lastRow="0" w:firstColumn="0" w:lastColumn="0" w:oddVBand="0" w:evenVBand="1" w:oddHBand="0" w:evenHBand="0" w:firstRowFirstColumn="0" w:firstRowLastColumn="0" w:lastRowFirstColumn="0" w:lastRowLastColumn="0"/>
            <w:tcW w:w="621" w:type="pct"/>
          </w:tcPr>
          <w:p w14:paraId="45D8020C" w14:textId="77777777" w:rsidR="007B0FBA" w:rsidRPr="00CF3E3D" w:rsidRDefault="007B0FBA" w:rsidP="007007AC">
            <w:pPr>
              <w:spacing w:before="85" w:line="288" w:lineRule="auto"/>
              <w:jc w:val="center"/>
              <w:rPr>
                <w:sz w:val="18"/>
                <w:szCs w:val="18"/>
              </w:rPr>
            </w:pPr>
            <w:r>
              <w:rPr>
                <w:sz w:val="18"/>
                <w:szCs w:val="18"/>
              </w:rPr>
              <w:t>82.3</w:t>
            </w:r>
          </w:p>
        </w:tc>
        <w:tc>
          <w:tcPr>
            <w:cnfStyle w:val="000010000000" w:firstRow="0" w:lastRow="0" w:firstColumn="0" w:lastColumn="0" w:oddVBand="1" w:evenVBand="0" w:oddHBand="0" w:evenHBand="0" w:firstRowFirstColumn="0" w:firstRowLastColumn="0" w:lastRowFirstColumn="0" w:lastRowLastColumn="0"/>
            <w:tcW w:w="468" w:type="pct"/>
          </w:tcPr>
          <w:p w14:paraId="0AD36C6A"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64.4</w:t>
            </w:r>
          </w:p>
        </w:tc>
        <w:tc>
          <w:tcPr>
            <w:cnfStyle w:val="000001000000" w:firstRow="0" w:lastRow="0" w:firstColumn="0" w:lastColumn="0" w:oddVBand="0" w:evenVBand="1" w:oddHBand="0" w:evenHBand="0" w:firstRowFirstColumn="0" w:firstRowLastColumn="0" w:lastRowFirstColumn="0" w:lastRowLastColumn="0"/>
            <w:tcW w:w="533" w:type="pct"/>
          </w:tcPr>
          <w:p w14:paraId="6BF2E11E" w14:textId="77777777" w:rsidR="007B0FBA" w:rsidRPr="00CF3E3D" w:rsidRDefault="007B0FBA" w:rsidP="007007AC">
            <w:pPr>
              <w:spacing w:before="85" w:line="288" w:lineRule="auto"/>
              <w:jc w:val="center"/>
              <w:rPr>
                <w:sz w:val="18"/>
                <w:szCs w:val="18"/>
              </w:rPr>
            </w:pPr>
            <w:r>
              <w:rPr>
                <w:sz w:val="18"/>
                <w:szCs w:val="18"/>
              </w:rPr>
              <w:t>92.5</w:t>
            </w:r>
          </w:p>
        </w:tc>
        <w:tc>
          <w:tcPr>
            <w:cnfStyle w:val="000010000000" w:firstRow="0" w:lastRow="0" w:firstColumn="0" w:lastColumn="0" w:oddVBand="1" w:evenVBand="0" w:oddHBand="0" w:evenHBand="0" w:firstRowFirstColumn="0" w:firstRowLastColumn="0" w:lastRowFirstColumn="0" w:lastRowLastColumn="0"/>
            <w:tcW w:w="465" w:type="pct"/>
          </w:tcPr>
          <w:p w14:paraId="5FB32818" w14:textId="77777777" w:rsidR="007B0FBA" w:rsidRPr="00CF3E3D" w:rsidRDefault="007B0FBA" w:rsidP="007007AC">
            <w:pPr>
              <w:spacing w:before="85" w:line="288" w:lineRule="auto"/>
              <w:jc w:val="center"/>
              <w:rPr>
                <w:sz w:val="18"/>
                <w:szCs w:val="18"/>
              </w:rPr>
            </w:pPr>
            <w:r>
              <w:rPr>
                <w:sz w:val="18"/>
                <w:szCs w:val="18"/>
              </w:rPr>
              <w:t>76.8</w:t>
            </w:r>
          </w:p>
        </w:tc>
        <w:tc>
          <w:tcPr>
            <w:cnfStyle w:val="000001000000" w:firstRow="0" w:lastRow="0" w:firstColumn="0" w:lastColumn="0" w:oddVBand="0" w:evenVBand="1" w:oddHBand="0" w:evenHBand="0" w:firstRowFirstColumn="0" w:firstRowLastColumn="0" w:lastRowFirstColumn="0" w:lastRowLastColumn="0"/>
            <w:tcW w:w="537" w:type="pct"/>
          </w:tcPr>
          <w:p w14:paraId="771605A5" w14:textId="77777777" w:rsidR="007B0FBA" w:rsidRPr="00CF3E3D" w:rsidRDefault="007B0FBA" w:rsidP="007007AC">
            <w:pPr>
              <w:spacing w:before="85" w:line="288" w:lineRule="auto"/>
              <w:jc w:val="center"/>
              <w:rPr>
                <w:sz w:val="18"/>
                <w:szCs w:val="18"/>
              </w:rPr>
            </w:pPr>
            <w:r>
              <w:rPr>
                <w:sz w:val="18"/>
                <w:szCs w:val="18"/>
              </w:rPr>
              <w:t>81.5</w:t>
            </w:r>
          </w:p>
        </w:tc>
        <w:tc>
          <w:tcPr>
            <w:cnfStyle w:val="000010000000" w:firstRow="0" w:lastRow="0" w:firstColumn="0" w:lastColumn="0" w:oddVBand="1" w:evenVBand="0" w:oddHBand="0" w:evenHBand="0" w:firstRowFirstColumn="0" w:firstRowLastColumn="0" w:lastRowFirstColumn="0" w:lastRowLastColumn="0"/>
            <w:tcW w:w="534" w:type="pct"/>
          </w:tcPr>
          <w:p w14:paraId="22E37E7C" w14:textId="77777777" w:rsidR="007B0FBA" w:rsidRPr="00CF3E3D" w:rsidRDefault="007B0FBA" w:rsidP="007007AC">
            <w:pPr>
              <w:spacing w:before="85" w:line="288" w:lineRule="auto"/>
              <w:jc w:val="center"/>
              <w:rPr>
                <w:sz w:val="18"/>
                <w:szCs w:val="18"/>
              </w:rPr>
            </w:pPr>
            <w:r>
              <w:rPr>
                <w:sz w:val="18"/>
                <w:szCs w:val="18"/>
              </w:rPr>
              <w:t>91.3</w:t>
            </w:r>
          </w:p>
        </w:tc>
        <w:tc>
          <w:tcPr>
            <w:cnfStyle w:val="000001000000" w:firstRow="0" w:lastRow="0" w:firstColumn="0" w:lastColumn="0" w:oddVBand="0" w:evenVBand="1" w:oddHBand="0" w:evenHBand="0" w:firstRowFirstColumn="0" w:firstRowLastColumn="0" w:lastRowFirstColumn="0" w:lastRowLastColumn="0"/>
            <w:tcW w:w="732" w:type="pct"/>
          </w:tcPr>
          <w:p w14:paraId="0C78121F" w14:textId="77777777" w:rsidR="007B0FBA" w:rsidRPr="00CF3E3D" w:rsidRDefault="007B0FBA" w:rsidP="007007AC">
            <w:pPr>
              <w:spacing w:before="85" w:line="288" w:lineRule="auto"/>
              <w:jc w:val="center"/>
              <w:rPr>
                <w:sz w:val="18"/>
                <w:szCs w:val="18"/>
              </w:rPr>
            </w:pPr>
            <w:r>
              <w:rPr>
                <w:sz w:val="18"/>
                <w:szCs w:val="18"/>
              </w:rPr>
              <w:t>57.9</w:t>
            </w:r>
          </w:p>
        </w:tc>
      </w:tr>
      <w:tr w:rsidR="00E45B59" w:rsidRPr="00CF3E3D" w14:paraId="031BBE0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63FEBCD6" w14:textId="77777777" w:rsidR="007B0FBA" w:rsidRPr="00C1370B" w:rsidRDefault="007B0FBA" w:rsidP="007007AC">
            <w:pPr>
              <w:spacing w:before="85" w:line="288" w:lineRule="auto"/>
              <w:rPr>
                <w:b/>
                <w:bCs/>
                <w:sz w:val="18"/>
                <w:szCs w:val="18"/>
              </w:rPr>
            </w:pPr>
            <w:r w:rsidRPr="00C1370B">
              <w:rPr>
                <w:b/>
                <w:bCs/>
                <w:sz w:val="18"/>
                <w:szCs w:val="18"/>
              </w:rPr>
              <w:t>2021</w:t>
            </w:r>
          </w:p>
        </w:tc>
        <w:tc>
          <w:tcPr>
            <w:cnfStyle w:val="000010000000" w:firstRow="0" w:lastRow="0" w:firstColumn="0" w:lastColumn="0" w:oddVBand="1" w:evenVBand="0" w:oddHBand="0" w:evenHBand="0" w:firstRowFirstColumn="0" w:firstRowLastColumn="0" w:lastRowFirstColumn="0" w:lastRowLastColumn="0"/>
            <w:tcW w:w="555" w:type="pct"/>
          </w:tcPr>
          <w:p w14:paraId="3E9F3E07" w14:textId="77777777" w:rsidR="007B0FBA" w:rsidRPr="00CF3E3D" w:rsidRDefault="007B0FBA" w:rsidP="007007AC">
            <w:pPr>
              <w:spacing w:before="85" w:line="288" w:lineRule="auto"/>
              <w:jc w:val="center"/>
              <w:rPr>
                <w:sz w:val="18"/>
                <w:szCs w:val="18"/>
              </w:rPr>
            </w:pPr>
            <w:r>
              <w:rPr>
                <w:sz w:val="18"/>
                <w:szCs w:val="18"/>
              </w:rPr>
              <w:t>84.8</w:t>
            </w:r>
          </w:p>
        </w:tc>
        <w:tc>
          <w:tcPr>
            <w:cnfStyle w:val="000001000000" w:firstRow="0" w:lastRow="0" w:firstColumn="0" w:lastColumn="0" w:oddVBand="0" w:evenVBand="1" w:oddHBand="0" w:evenHBand="0" w:firstRowFirstColumn="0" w:firstRowLastColumn="0" w:lastRowFirstColumn="0" w:lastRowLastColumn="0"/>
            <w:tcW w:w="621" w:type="pct"/>
          </w:tcPr>
          <w:p w14:paraId="7E1B55AD" w14:textId="77777777" w:rsidR="007B0FBA" w:rsidRPr="00CF3E3D" w:rsidRDefault="007B0FBA" w:rsidP="007007AC">
            <w:pPr>
              <w:spacing w:before="85" w:line="288" w:lineRule="auto"/>
              <w:jc w:val="center"/>
              <w:rPr>
                <w:sz w:val="18"/>
                <w:szCs w:val="18"/>
              </w:rPr>
            </w:pPr>
            <w:r>
              <w:rPr>
                <w:sz w:val="18"/>
                <w:szCs w:val="18"/>
              </w:rPr>
              <w:t>93.1</w:t>
            </w:r>
          </w:p>
        </w:tc>
        <w:tc>
          <w:tcPr>
            <w:cnfStyle w:val="000010000000" w:firstRow="0" w:lastRow="0" w:firstColumn="0" w:lastColumn="0" w:oddVBand="1" w:evenVBand="0" w:oddHBand="0" w:evenHBand="0" w:firstRowFirstColumn="0" w:firstRowLastColumn="0" w:lastRowFirstColumn="0" w:lastRowLastColumn="0"/>
            <w:tcW w:w="468" w:type="pct"/>
          </w:tcPr>
          <w:p w14:paraId="79B2C475"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63.4</w:t>
            </w:r>
          </w:p>
        </w:tc>
        <w:tc>
          <w:tcPr>
            <w:cnfStyle w:val="000001000000" w:firstRow="0" w:lastRow="0" w:firstColumn="0" w:lastColumn="0" w:oddVBand="0" w:evenVBand="1" w:oddHBand="0" w:evenHBand="0" w:firstRowFirstColumn="0" w:firstRowLastColumn="0" w:lastRowFirstColumn="0" w:lastRowLastColumn="0"/>
            <w:tcW w:w="533" w:type="pct"/>
          </w:tcPr>
          <w:p w14:paraId="5A27AB06" w14:textId="77777777" w:rsidR="007B0FBA" w:rsidRPr="00CF3E3D" w:rsidRDefault="007B0FBA" w:rsidP="007007AC">
            <w:pPr>
              <w:spacing w:before="85" w:line="288" w:lineRule="auto"/>
              <w:jc w:val="center"/>
              <w:rPr>
                <w:sz w:val="18"/>
                <w:szCs w:val="18"/>
              </w:rPr>
            </w:pPr>
            <w:r>
              <w:rPr>
                <w:sz w:val="18"/>
                <w:szCs w:val="18"/>
              </w:rPr>
              <w:t>94.5</w:t>
            </w:r>
          </w:p>
        </w:tc>
        <w:tc>
          <w:tcPr>
            <w:cnfStyle w:val="000010000000" w:firstRow="0" w:lastRow="0" w:firstColumn="0" w:lastColumn="0" w:oddVBand="1" w:evenVBand="0" w:oddHBand="0" w:evenHBand="0" w:firstRowFirstColumn="0" w:firstRowLastColumn="0" w:lastRowFirstColumn="0" w:lastRowLastColumn="0"/>
            <w:tcW w:w="465" w:type="pct"/>
          </w:tcPr>
          <w:p w14:paraId="3ED8DC06" w14:textId="77777777" w:rsidR="007B0FBA" w:rsidRPr="00CF3E3D" w:rsidRDefault="007B0FBA" w:rsidP="007007AC">
            <w:pPr>
              <w:spacing w:before="85" w:line="288" w:lineRule="auto"/>
              <w:jc w:val="center"/>
              <w:rPr>
                <w:sz w:val="18"/>
                <w:szCs w:val="18"/>
              </w:rPr>
            </w:pPr>
            <w:r>
              <w:rPr>
                <w:sz w:val="18"/>
                <w:szCs w:val="18"/>
              </w:rPr>
              <w:t>78.8</w:t>
            </w:r>
          </w:p>
        </w:tc>
        <w:tc>
          <w:tcPr>
            <w:cnfStyle w:val="000001000000" w:firstRow="0" w:lastRow="0" w:firstColumn="0" w:lastColumn="0" w:oddVBand="0" w:evenVBand="1" w:oddHBand="0" w:evenHBand="0" w:firstRowFirstColumn="0" w:firstRowLastColumn="0" w:lastRowFirstColumn="0" w:lastRowLastColumn="0"/>
            <w:tcW w:w="537" w:type="pct"/>
          </w:tcPr>
          <w:p w14:paraId="207D99AA" w14:textId="77777777" w:rsidR="007B0FBA" w:rsidRPr="00CF3E3D" w:rsidRDefault="007B0FBA" w:rsidP="007007AC">
            <w:pPr>
              <w:spacing w:before="85" w:line="288" w:lineRule="auto"/>
              <w:jc w:val="center"/>
              <w:rPr>
                <w:sz w:val="18"/>
                <w:szCs w:val="18"/>
              </w:rPr>
            </w:pPr>
            <w:r>
              <w:rPr>
                <w:sz w:val="18"/>
                <w:szCs w:val="18"/>
              </w:rPr>
              <w:t>82.4</w:t>
            </w:r>
          </w:p>
        </w:tc>
        <w:tc>
          <w:tcPr>
            <w:cnfStyle w:val="000010000000" w:firstRow="0" w:lastRow="0" w:firstColumn="0" w:lastColumn="0" w:oddVBand="1" w:evenVBand="0" w:oddHBand="0" w:evenHBand="0" w:firstRowFirstColumn="0" w:firstRowLastColumn="0" w:lastRowFirstColumn="0" w:lastRowLastColumn="0"/>
            <w:tcW w:w="534" w:type="pct"/>
          </w:tcPr>
          <w:p w14:paraId="0D7CCD2D" w14:textId="77777777" w:rsidR="007B0FBA" w:rsidRPr="00CF3E3D" w:rsidRDefault="007B0FBA" w:rsidP="007007AC">
            <w:pPr>
              <w:spacing w:before="85" w:line="288" w:lineRule="auto"/>
              <w:jc w:val="center"/>
              <w:rPr>
                <w:sz w:val="18"/>
                <w:szCs w:val="18"/>
              </w:rPr>
            </w:pPr>
            <w:r>
              <w:rPr>
                <w:sz w:val="18"/>
                <w:szCs w:val="18"/>
              </w:rPr>
              <w:t>93.0</w:t>
            </w:r>
          </w:p>
        </w:tc>
        <w:tc>
          <w:tcPr>
            <w:cnfStyle w:val="000001000000" w:firstRow="0" w:lastRow="0" w:firstColumn="0" w:lastColumn="0" w:oddVBand="0" w:evenVBand="1" w:oddHBand="0" w:evenHBand="0" w:firstRowFirstColumn="0" w:firstRowLastColumn="0" w:lastRowFirstColumn="0" w:lastRowLastColumn="0"/>
            <w:tcW w:w="732" w:type="pct"/>
          </w:tcPr>
          <w:p w14:paraId="07D7F697" w14:textId="77777777" w:rsidR="007B0FBA" w:rsidRPr="00CF3E3D" w:rsidRDefault="007B0FBA" w:rsidP="007007AC">
            <w:pPr>
              <w:spacing w:before="85" w:line="288" w:lineRule="auto"/>
              <w:jc w:val="center"/>
              <w:rPr>
                <w:sz w:val="18"/>
                <w:szCs w:val="18"/>
              </w:rPr>
            </w:pPr>
            <w:r>
              <w:rPr>
                <w:sz w:val="18"/>
                <w:szCs w:val="18"/>
              </w:rPr>
              <w:t>57.1</w:t>
            </w:r>
          </w:p>
        </w:tc>
      </w:tr>
      <w:tr w:rsidR="007B0FBA" w:rsidRPr="00CF3E3D" w14:paraId="79D4BB0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4" w:type="pct"/>
          </w:tcPr>
          <w:p w14:paraId="5A55A460" w14:textId="77777777" w:rsidR="007B0FBA" w:rsidRPr="00C1370B" w:rsidRDefault="007B0FBA" w:rsidP="007007AC">
            <w:pPr>
              <w:spacing w:before="85" w:line="288" w:lineRule="auto"/>
              <w:rPr>
                <w:b/>
                <w:bCs/>
                <w:sz w:val="18"/>
                <w:szCs w:val="18"/>
              </w:rPr>
            </w:pPr>
            <w:r w:rsidRPr="00C1370B">
              <w:rPr>
                <w:b/>
                <w:bCs/>
                <w:sz w:val="18"/>
                <w:szCs w:val="18"/>
              </w:rPr>
              <w:t>2022</w:t>
            </w:r>
          </w:p>
        </w:tc>
        <w:tc>
          <w:tcPr>
            <w:cnfStyle w:val="000010000000" w:firstRow="0" w:lastRow="0" w:firstColumn="0" w:lastColumn="0" w:oddVBand="1" w:evenVBand="0" w:oddHBand="0" w:evenHBand="0" w:firstRowFirstColumn="0" w:firstRowLastColumn="0" w:lastRowFirstColumn="0" w:lastRowLastColumn="0"/>
            <w:tcW w:w="555" w:type="pct"/>
          </w:tcPr>
          <w:p w14:paraId="228FD98F" w14:textId="77777777" w:rsidR="007B0FBA" w:rsidRPr="00CF3E3D" w:rsidRDefault="007B0FBA" w:rsidP="007007AC">
            <w:pPr>
              <w:spacing w:before="85" w:line="288" w:lineRule="auto"/>
              <w:jc w:val="center"/>
              <w:rPr>
                <w:sz w:val="18"/>
                <w:szCs w:val="18"/>
              </w:rPr>
            </w:pPr>
            <w:r>
              <w:rPr>
                <w:sz w:val="18"/>
                <w:szCs w:val="18"/>
              </w:rPr>
              <w:t>86.5</w:t>
            </w:r>
          </w:p>
        </w:tc>
        <w:tc>
          <w:tcPr>
            <w:cnfStyle w:val="000001000000" w:firstRow="0" w:lastRow="0" w:firstColumn="0" w:lastColumn="0" w:oddVBand="0" w:evenVBand="1" w:oddHBand="0" w:evenHBand="0" w:firstRowFirstColumn="0" w:firstRowLastColumn="0" w:lastRowFirstColumn="0" w:lastRowLastColumn="0"/>
            <w:tcW w:w="621" w:type="pct"/>
          </w:tcPr>
          <w:p w14:paraId="039A15E6" w14:textId="77777777" w:rsidR="007B0FBA" w:rsidRPr="00CF3E3D" w:rsidRDefault="007B0FBA" w:rsidP="007007AC">
            <w:pPr>
              <w:spacing w:before="85" w:line="288" w:lineRule="auto"/>
              <w:jc w:val="center"/>
              <w:rPr>
                <w:sz w:val="18"/>
                <w:szCs w:val="18"/>
              </w:rPr>
            </w:pPr>
            <w:r>
              <w:rPr>
                <w:sz w:val="18"/>
                <w:szCs w:val="18"/>
              </w:rPr>
              <w:t>84.2</w:t>
            </w:r>
          </w:p>
        </w:tc>
        <w:tc>
          <w:tcPr>
            <w:cnfStyle w:val="000010000000" w:firstRow="0" w:lastRow="0" w:firstColumn="0" w:lastColumn="0" w:oddVBand="1" w:evenVBand="0" w:oddHBand="0" w:evenHBand="0" w:firstRowFirstColumn="0" w:firstRowLastColumn="0" w:lastRowFirstColumn="0" w:lastRowLastColumn="0"/>
            <w:tcW w:w="468" w:type="pct"/>
          </w:tcPr>
          <w:p w14:paraId="4946CEF4" w14:textId="77777777" w:rsidR="007B0FBA" w:rsidRPr="00CF3E3D" w:rsidRDefault="007B0FBA" w:rsidP="007007AC">
            <w:pPr>
              <w:pStyle w:val="TablecolumnheadCENTRETABLES"/>
              <w:jc w:val="center"/>
              <w:rPr>
                <w:rFonts w:ascii="Arial" w:hAnsi="Arial" w:cs="Arial"/>
                <w:b w:val="0"/>
                <w:bCs w:val="0"/>
                <w:caps w:val="0"/>
                <w:color w:val="auto"/>
                <w:sz w:val="18"/>
                <w:szCs w:val="18"/>
              </w:rPr>
            </w:pPr>
            <w:r>
              <w:rPr>
                <w:rFonts w:ascii="Arial" w:hAnsi="Arial" w:cs="Arial"/>
                <w:b w:val="0"/>
                <w:bCs w:val="0"/>
                <w:caps w:val="0"/>
                <w:color w:val="auto"/>
                <w:sz w:val="18"/>
                <w:szCs w:val="18"/>
              </w:rPr>
              <w:t>63.5</w:t>
            </w:r>
          </w:p>
        </w:tc>
        <w:tc>
          <w:tcPr>
            <w:cnfStyle w:val="000001000000" w:firstRow="0" w:lastRow="0" w:firstColumn="0" w:lastColumn="0" w:oddVBand="0" w:evenVBand="1" w:oddHBand="0" w:evenHBand="0" w:firstRowFirstColumn="0" w:firstRowLastColumn="0" w:lastRowFirstColumn="0" w:lastRowLastColumn="0"/>
            <w:tcW w:w="533" w:type="pct"/>
          </w:tcPr>
          <w:p w14:paraId="3C7E3B89" w14:textId="77777777" w:rsidR="007B0FBA" w:rsidRPr="00CF3E3D" w:rsidRDefault="007B0FBA" w:rsidP="007007AC">
            <w:pPr>
              <w:spacing w:before="85" w:line="288" w:lineRule="auto"/>
              <w:jc w:val="center"/>
              <w:rPr>
                <w:sz w:val="18"/>
                <w:szCs w:val="18"/>
              </w:rPr>
            </w:pPr>
            <w:r>
              <w:rPr>
                <w:sz w:val="18"/>
                <w:szCs w:val="18"/>
              </w:rPr>
              <w:t>94.2</w:t>
            </w:r>
          </w:p>
        </w:tc>
        <w:tc>
          <w:tcPr>
            <w:cnfStyle w:val="000010000000" w:firstRow="0" w:lastRow="0" w:firstColumn="0" w:lastColumn="0" w:oddVBand="1" w:evenVBand="0" w:oddHBand="0" w:evenHBand="0" w:firstRowFirstColumn="0" w:firstRowLastColumn="0" w:lastRowFirstColumn="0" w:lastRowLastColumn="0"/>
            <w:tcW w:w="465" w:type="pct"/>
          </w:tcPr>
          <w:p w14:paraId="51BEC8E4" w14:textId="77777777" w:rsidR="007B0FBA" w:rsidRPr="00CF3E3D" w:rsidRDefault="007B0FBA" w:rsidP="007007AC">
            <w:pPr>
              <w:spacing w:before="85" w:line="288" w:lineRule="auto"/>
              <w:jc w:val="center"/>
              <w:rPr>
                <w:sz w:val="18"/>
                <w:szCs w:val="18"/>
              </w:rPr>
            </w:pPr>
            <w:r>
              <w:rPr>
                <w:sz w:val="18"/>
                <w:szCs w:val="18"/>
              </w:rPr>
              <w:t>78.2</w:t>
            </w:r>
          </w:p>
        </w:tc>
        <w:tc>
          <w:tcPr>
            <w:cnfStyle w:val="000001000000" w:firstRow="0" w:lastRow="0" w:firstColumn="0" w:lastColumn="0" w:oddVBand="0" w:evenVBand="1" w:oddHBand="0" w:evenHBand="0" w:firstRowFirstColumn="0" w:firstRowLastColumn="0" w:lastRowFirstColumn="0" w:lastRowLastColumn="0"/>
            <w:tcW w:w="537" w:type="pct"/>
          </w:tcPr>
          <w:p w14:paraId="1F2DAFAB" w14:textId="77777777" w:rsidR="007B0FBA" w:rsidRPr="00CF3E3D" w:rsidRDefault="007B0FBA" w:rsidP="007007AC">
            <w:pPr>
              <w:spacing w:before="85" w:line="288" w:lineRule="auto"/>
              <w:jc w:val="center"/>
              <w:rPr>
                <w:sz w:val="18"/>
                <w:szCs w:val="18"/>
              </w:rPr>
            </w:pPr>
            <w:r>
              <w:rPr>
                <w:sz w:val="18"/>
                <w:szCs w:val="18"/>
              </w:rPr>
              <w:t>83.4</w:t>
            </w:r>
          </w:p>
        </w:tc>
        <w:tc>
          <w:tcPr>
            <w:cnfStyle w:val="000010000000" w:firstRow="0" w:lastRow="0" w:firstColumn="0" w:lastColumn="0" w:oddVBand="1" w:evenVBand="0" w:oddHBand="0" w:evenHBand="0" w:firstRowFirstColumn="0" w:firstRowLastColumn="0" w:lastRowFirstColumn="0" w:lastRowLastColumn="0"/>
            <w:tcW w:w="534" w:type="pct"/>
          </w:tcPr>
          <w:p w14:paraId="36B8E89F" w14:textId="77777777" w:rsidR="007B0FBA" w:rsidRPr="00CF3E3D" w:rsidRDefault="007B0FBA" w:rsidP="007007AC">
            <w:pPr>
              <w:spacing w:before="85" w:line="288" w:lineRule="auto"/>
              <w:jc w:val="center"/>
              <w:rPr>
                <w:sz w:val="18"/>
                <w:szCs w:val="18"/>
              </w:rPr>
            </w:pPr>
            <w:r>
              <w:rPr>
                <w:sz w:val="18"/>
                <w:szCs w:val="18"/>
              </w:rPr>
              <w:t>93.6</w:t>
            </w:r>
          </w:p>
        </w:tc>
        <w:tc>
          <w:tcPr>
            <w:cnfStyle w:val="000001000000" w:firstRow="0" w:lastRow="0" w:firstColumn="0" w:lastColumn="0" w:oddVBand="0" w:evenVBand="1" w:oddHBand="0" w:evenHBand="0" w:firstRowFirstColumn="0" w:firstRowLastColumn="0" w:lastRowFirstColumn="0" w:lastRowLastColumn="0"/>
            <w:tcW w:w="732" w:type="pct"/>
          </w:tcPr>
          <w:p w14:paraId="6EC0E9C2" w14:textId="77777777" w:rsidR="007B0FBA" w:rsidRPr="00CF3E3D" w:rsidRDefault="007B0FBA" w:rsidP="007007AC">
            <w:pPr>
              <w:spacing w:before="85" w:line="288" w:lineRule="auto"/>
              <w:jc w:val="center"/>
              <w:rPr>
                <w:sz w:val="18"/>
                <w:szCs w:val="18"/>
              </w:rPr>
            </w:pPr>
            <w:r>
              <w:rPr>
                <w:sz w:val="18"/>
                <w:szCs w:val="18"/>
              </w:rPr>
              <w:t>57.7</w:t>
            </w:r>
          </w:p>
        </w:tc>
      </w:tr>
    </w:tbl>
    <w:p w14:paraId="7118BA0F" w14:textId="77777777" w:rsidR="007B0FBA" w:rsidRPr="00CF3E3D" w:rsidRDefault="007B0FBA" w:rsidP="007B0FBA">
      <w:pPr>
        <w:pStyle w:val="Note"/>
      </w:pPr>
      <w:r w:rsidRPr="00CF3E3D">
        <w:t xml:space="preserve">Note: Note: A </w:t>
      </w:r>
      <w:r>
        <w:t xml:space="preserve">‘-‘ </w:t>
      </w:r>
      <w:r w:rsidRPr="00CF3E3D">
        <w:t>indicates there is no data for that cell</w:t>
      </w:r>
      <w:r>
        <w:t xml:space="preserve">. </w:t>
      </w:r>
    </w:p>
    <w:p w14:paraId="5CA6D7A5" w14:textId="77777777" w:rsidR="007B0FBA" w:rsidRPr="003B23D5" w:rsidRDefault="007B0FBA" w:rsidP="003B23D5">
      <w:pPr>
        <w:pStyle w:val="Heading3"/>
        <w:numPr>
          <w:ilvl w:val="0"/>
          <w:numId w:val="0"/>
        </w:numPr>
        <w:ind w:left="851" w:hanging="851"/>
        <w:rPr>
          <w:color w:val="000000" w:themeColor="text1"/>
        </w:rPr>
      </w:pPr>
      <w:bookmarkStart w:id="156" w:name="_Toc116035552"/>
      <w:bookmarkStart w:id="157" w:name="_Toc116039907"/>
      <w:r w:rsidRPr="003B23D5">
        <w:rPr>
          <w:color w:val="000000" w:themeColor="text1"/>
        </w:rPr>
        <w:t xml:space="preserve">5.3 </w:t>
      </w:r>
      <w:r w:rsidRPr="003B23D5">
        <w:rPr>
          <w:color w:val="000000" w:themeColor="text1"/>
        </w:rPr>
        <w:tab/>
        <w:t>International benchmarking</w:t>
      </w:r>
      <w:bookmarkEnd w:id="156"/>
      <w:bookmarkEnd w:id="157"/>
    </w:p>
    <w:p w14:paraId="07ABBB13" w14:textId="77777777" w:rsidR="007B0FBA" w:rsidRPr="00CF3E3D" w:rsidRDefault="007B0FBA" w:rsidP="007B0FBA">
      <w:pPr>
        <w:pStyle w:val="Body"/>
      </w:pPr>
      <w:bookmarkStart w:id="158" w:name="_Ref77868052"/>
      <w:r w:rsidRPr="00CF3E3D">
        <w:t xml:space="preserve">International benchmarking of results from the CEQ with the United Kingdom’s National Student Survey (NSS) shows that, historically, Australian students have been less satisfied with their higher education experience than their counterparts in the United Kingdom (UK), as shown in </w:t>
      </w:r>
      <w:r>
        <w:fldChar w:fldCharType="begin"/>
      </w:r>
      <w:r>
        <w:instrText xml:space="preserve"> REF _Ref115947157 \h </w:instrText>
      </w:r>
      <w:r>
        <w:fldChar w:fldCharType="separate"/>
      </w:r>
      <w:r w:rsidRPr="00CF3E3D">
        <w:t xml:space="preserve">Table </w:t>
      </w:r>
      <w:r>
        <w:rPr>
          <w:noProof/>
        </w:rPr>
        <w:t>22</w:t>
      </w:r>
      <w:r>
        <w:fldChar w:fldCharType="end"/>
      </w:r>
      <w:r>
        <w:fldChar w:fldCharType="begin"/>
      </w:r>
      <w:r>
        <w:instrText xml:space="preserve"> REF _Ref77868052 \h  \* MERGEFORMAT </w:instrText>
      </w:r>
      <w:r w:rsidR="0067537F">
        <w:fldChar w:fldCharType="separate"/>
      </w:r>
      <w:r>
        <w:fldChar w:fldCharType="end"/>
      </w:r>
      <w:r w:rsidRPr="00CF3E3D">
        <w:t xml:space="preserve">. However, that trend reversed in 2021 as a result of the COVID-19 pandemic with overall satisfaction in </w:t>
      </w:r>
      <w:r w:rsidRPr="00CF3E3D">
        <w:lastRenderedPageBreak/>
        <w:t>Australia at 77.9 per cent in comparison with 75.4 per cent in the UK. In 2022 overall satisfaction reported in Australia, 77.4 per cent, remains higher than that reported in the UK, 76.3 per cent.</w:t>
      </w:r>
    </w:p>
    <w:p w14:paraId="62346B1E" w14:textId="77777777" w:rsidR="007B0FBA" w:rsidRPr="00CF3E3D" w:rsidRDefault="007B0FBA" w:rsidP="007B0FBA">
      <w:pPr>
        <w:pStyle w:val="Body"/>
      </w:pPr>
      <w:r w:rsidRPr="00CF3E3D">
        <w:t xml:space="preserve">It is important to be aware that differences in results across international surveys and across time may stem from methodological differences and different student populations rather than genuine differences in student experience and satisfaction. The NSS is administered among final year students in January to April of each UK academic year. Hence, the full impact of the COVID-19 pandemic on the UK student experience only became apparent in the 2021 NSS with overall satisfaction declining by around 8 percentage points. By way of comparison, overall satisfaction in Australia is only measured among graduates four months after they have completed their course. Hence, as noted above, the COVID-19 experience of Australian graduates whose final year of study was in 2020 is reflected in the 2021 GOS results. These differences notwithstanding, comparisons between time series data from the two surveys can help gauge progress in recovering from the impact of the pandemic on teaching and learning experience. </w:t>
      </w:r>
    </w:p>
    <w:p w14:paraId="0FFE45FA" w14:textId="17BF80D9" w:rsidR="007B0FBA" w:rsidRPr="003B23D5" w:rsidRDefault="007B0FBA" w:rsidP="00E925B9">
      <w:pPr>
        <w:pStyle w:val="Caption"/>
        <w:ind w:left="851" w:right="-1136" w:hanging="851"/>
        <w:rPr>
          <w:noProof/>
          <w:color w:val="000000" w:themeColor="text1"/>
        </w:rPr>
      </w:pPr>
      <w:bookmarkStart w:id="159" w:name="_Ref115947157"/>
      <w:bookmarkStart w:id="160" w:name="_Toc116035816"/>
      <w:bookmarkStart w:id="161" w:name="_Toc116040371"/>
      <w:r w:rsidRPr="003B23D5">
        <w:rPr>
          <w:color w:val="000000" w:themeColor="text1"/>
        </w:rPr>
        <w:t xml:space="preserve">Table </w:t>
      </w:r>
      <w:r w:rsidRPr="003B23D5">
        <w:rPr>
          <w:color w:val="000000" w:themeColor="text1"/>
        </w:rPr>
        <w:fldChar w:fldCharType="begin"/>
      </w:r>
      <w:r w:rsidRPr="003B23D5">
        <w:rPr>
          <w:color w:val="000000" w:themeColor="text1"/>
        </w:rPr>
        <w:instrText xml:space="preserve"> SEQ Table \* ARABIC </w:instrText>
      </w:r>
      <w:r w:rsidRPr="003B23D5">
        <w:rPr>
          <w:color w:val="000000" w:themeColor="text1"/>
        </w:rPr>
        <w:fldChar w:fldCharType="separate"/>
      </w:r>
      <w:r w:rsidR="0082339F">
        <w:rPr>
          <w:noProof/>
          <w:color w:val="000000" w:themeColor="text1"/>
        </w:rPr>
        <w:t>22</w:t>
      </w:r>
      <w:r w:rsidRPr="003B23D5">
        <w:rPr>
          <w:color w:val="000000" w:themeColor="text1"/>
        </w:rPr>
        <w:fldChar w:fldCharType="end"/>
      </w:r>
      <w:bookmarkEnd w:id="158"/>
      <w:bookmarkEnd w:id="159"/>
      <w:r w:rsidRPr="003B23D5">
        <w:rPr>
          <w:color w:val="000000" w:themeColor="text1"/>
        </w:rPr>
        <w:t xml:space="preserve"> </w:t>
      </w:r>
      <w:r w:rsidRPr="003B23D5">
        <w:rPr>
          <w:noProof/>
          <w:color w:val="000000" w:themeColor="text1"/>
        </w:rPr>
        <w:t>Overall satisfaction of undergraduates, UK (NSS) and Australia (CEQ), 2008–2022, % agreement</w:t>
      </w:r>
      <w:bookmarkEnd w:id="160"/>
      <w:bookmarkEnd w:id="161"/>
    </w:p>
    <w:tbl>
      <w:tblPr>
        <w:tblStyle w:val="SRC1"/>
        <w:tblW w:w="2017" w:type="pct"/>
        <w:tblLayout w:type="fixed"/>
        <w:tblLook w:val="0020" w:firstRow="1" w:lastRow="0" w:firstColumn="0" w:lastColumn="0" w:noHBand="0" w:noVBand="0"/>
        <w:tblCaption w:val="Table 5  Short- (2014) and medium-term (2017) outcomes for undergraduates by study area "/>
      </w:tblPr>
      <w:tblGrid>
        <w:gridCol w:w="1207"/>
        <w:gridCol w:w="1226"/>
        <w:gridCol w:w="1226"/>
      </w:tblGrid>
      <w:tr w:rsidR="007B0FBA" w:rsidRPr="00CF3E3D" w14:paraId="70CCB31B"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649" w:type="pct"/>
          </w:tcPr>
          <w:p w14:paraId="28CF46C3" w14:textId="30652BEE" w:rsidR="007B0FBA" w:rsidRPr="00CF3E3D" w:rsidRDefault="00960B1F" w:rsidP="007007AC">
            <w:pPr>
              <w:rPr>
                <w:b w:val="0"/>
                <w:sz w:val="18"/>
                <w:szCs w:val="18"/>
              </w:rPr>
            </w:pPr>
            <w:bookmarkStart w:id="162" w:name="Title22"/>
            <w:bookmarkEnd w:id="162"/>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1675" w:type="pct"/>
          </w:tcPr>
          <w:p w14:paraId="32DA707F" w14:textId="77777777" w:rsidR="007B0FBA" w:rsidRPr="003B23D5" w:rsidRDefault="007B0FBA" w:rsidP="007007AC">
            <w:pPr>
              <w:pStyle w:val="TablecolumnheadCENTRETABLES"/>
              <w:jc w:val="center"/>
              <w:rPr>
                <w:rFonts w:ascii="Arial" w:hAnsi="Arial" w:cs="Arial"/>
                <w:b/>
                <w:bCs w:val="0"/>
                <w:caps w:val="0"/>
                <w:color w:val="FFFFFF" w:themeColor="background1"/>
                <w:sz w:val="18"/>
                <w:szCs w:val="18"/>
              </w:rPr>
            </w:pPr>
            <w:r w:rsidRPr="003B23D5">
              <w:rPr>
                <w:rFonts w:ascii="Arial" w:hAnsi="Arial" w:cs="Arial"/>
                <w:b/>
                <w:bCs w:val="0"/>
                <w:caps w:val="0"/>
                <w:color w:val="FFFFFF" w:themeColor="background1"/>
                <w:sz w:val="18"/>
                <w:szCs w:val="18"/>
              </w:rPr>
              <w:t>CEQ</w:t>
            </w:r>
          </w:p>
        </w:tc>
        <w:tc>
          <w:tcPr>
            <w:cnfStyle w:val="000010000000" w:firstRow="0" w:lastRow="0" w:firstColumn="0" w:lastColumn="0" w:oddVBand="1" w:evenVBand="0" w:oddHBand="0" w:evenHBand="0" w:firstRowFirstColumn="0" w:firstRowLastColumn="0" w:lastRowFirstColumn="0" w:lastRowLastColumn="0"/>
            <w:tcW w:w="1676" w:type="pct"/>
          </w:tcPr>
          <w:p w14:paraId="011A80D2" w14:textId="77777777" w:rsidR="007B0FBA" w:rsidRPr="003B23D5" w:rsidRDefault="007B0FBA" w:rsidP="007007AC">
            <w:pPr>
              <w:pStyle w:val="TablecolumnheadCENTRETABLES"/>
              <w:jc w:val="center"/>
              <w:rPr>
                <w:rFonts w:ascii="Arial" w:hAnsi="Arial" w:cs="Arial"/>
                <w:b/>
                <w:bCs w:val="0"/>
                <w:caps w:val="0"/>
                <w:color w:val="FFFFFF" w:themeColor="background1"/>
                <w:sz w:val="18"/>
                <w:szCs w:val="18"/>
              </w:rPr>
            </w:pPr>
            <w:r w:rsidRPr="003B23D5">
              <w:rPr>
                <w:rFonts w:ascii="Arial" w:hAnsi="Arial" w:cs="Arial"/>
                <w:b/>
                <w:bCs w:val="0"/>
                <w:caps w:val="0"/>
                <w:color w:val="FFFFFF" w:themeColor="background1"/>
                <w:sz w:val="18"/>
                <w:szCs w:val="18"/>
              </w:rPr>
              <w:t>NSS</w:t>
            </w:r>
          </w:p>
        </w:tc>
      </w:tr>
      <w:tr w:rsidR="007B0FBA" w:rsidRPr="00CF3E3D" w14:paraId="2AF96AE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78000333" w14:textId="77777777" w:rsidR="007B0FBA" w:rsidRPr="00CF3E3D" w:rsidRDefault="007B0FBA" w:rsidP="007007AC">
            <w:pPr>
              <w:spacing w:before="85" w:line="288" w:lineRule="auto"/>
              <w:rPr>
                <w:b/>
                <w:bCs/>
                <w:sz w:val="18"/>
                <w:szCs w:val="18"/>
              </w:rPr>
            </w:pPr>
            <w:r w:rsidRPr="00CF3E3D">
              <w:rPr>
                <w:b/>
                <w:bCs/>
                <w:sz w:val="18"/>
                <w:szCs w:val="18"/>
                <w:lang w:eastAsia="en-AU"/>
              </w:rPr>
              <w:t>2008</w:t>
            </w:r>
          </w:p>
        </w:tc>
        <w:tc>
          <w:tcPr>
            <w:cnfStyle w:val="000001000000" w:firstRow="0" w:lastRow="0" w:firstColumn="0" w:lastColumn="0" w:oddVBand="0" w:evenVBand="1" w:oddHBand="0" w:evenHBand="0" w:firstRowFirstColumn="0" w:firstRowLastColumn="0" w:lastRowFirstColumn="0" w:lastRowLastColumn="0"/>
            <w:tcW w:w="1675" w:type="pct"/>
          </w:tcPr>
          <w:p w14:paraId="3387B297" w14:textId="77777777" w:rsidR="007B0FBA" w:rsidRPr="001C3D89" w:rsidRDefault="007B0FBA" w:rsidP="007007AC">
            <w:pPr>
              <w:spacing w:before="85" w:line="288" w:lineRule="auto"/>
              <w:jc w:val="center"/>
              <w:rPr>
                <w:sz w:val="18"/>
                <w:szCs w:val="18"/>
              </w:rPr>
            </w:pPr>
            <w:r w:rsidRPr="001C3D89">
              <w:rPr>
                <w:sz w:val="18"/>
                <w:szCs w:val="18"/>
              </w:rPr>
              <w:t>-</w:t>
            </w:r>
          </w:p>
        </w:tc>
        <w:tc>
          <w:tcPr>
            <w:cnfStyle w:val="000010000000" w:firstRow="0" w:lastRow="0" w:firstColumn="0" w:lastColumn="0" w:oddVBand="1" w:evenVBand="0" w:oddHBand="0" w:evenHBand="0" w:firstRowFirstColumn="0" w:firstRowLastColumn="0" w:lastRowFirstColumn="0" w:lastRowLastColumn="0"/>
            <w:tcW w:w="1676" w:type="pct"/>
          </w:tcPr>
          <w:p w14:paraId="77DB1674" w14:textId="77777777" w:rsidR="007B0FBA" w:rsidRPr="00CF3E3D" w:rsidRDefault="007B0FBA" w:rsidP="007007AC">
            <w:pPr>
              <w:spacing w:before="85" w:line="288" w:lineRule="auto"/>
              <w:jc w:val="center"/>
              <w:rPr>
                <w:sz w:val="18"/>
                <w:szCs w:val="18"/>
              </w:rPr>
            </w:pPr>
            <w:r w:rsidRPr="00CF3E3D">
              <w:rPr>
                <w:sz w:val="18"/>
                <w:szCs w:val="18"/>
                <w:lang w:eastAsia="en-AU"/>
              </w:rPr>
              <w:t>82</w:t>
            </w:r>
          </w:p>
        </w:tc>
      </w:tr>
      <w:tr w:rsidR="007B0FBA" w:rsidRPr="00CF3E3D" w14:paraId="2945FD9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3D872F68" w14:textId="77777777" w:rsidR="007B0FBA" w:rsidRPr="00CF3E3D" w:rsidRDefault="007B0FBA" w:rsidP="007007AC">
            <w:pPr>
              <w:spacing w:before="85" w:line="288" w:lineRule="auto"/>
              <w:rPr>
                <w:b/>
                <w:bCs/>
                <w:sz w:val="18"/>
                <w:szCs w:val="18"/>
              </w:rPr>
            </w:pPr>
            <w:r w:rsidRPr="00CF3E3D">
              <w:rPr>
                <w:b/>
                <w:bCs/>
                <w:sz w:val="18"/>
                <w:szCs w:val="18"/>
                <w:lang w:eastAsia="en-AU"/>
              </w:rPr>
              <w:t>2009</w:t>
            </w:r>
          </w:p>
        </w:tc>
        <w:tc>
          <w:tcPr>
            <w:cnfStyle w:val="000001000000" w:firstRow="0" w:lastRow="0" w:firstColumn="0" w:lastColumn="0" w:oddVBand="0" w:evenVBand="1" w:oddHBand="0" w:evenHBand="0" w:firstRowFirstColumn="0" w:firstRowLastColumn="0" w:lastRowFirstColumn="0" w:lastRowLastColumn="0"/>
            <w:tcW w:w="1675" w:type="pct"/>
          </w:tcPr>
          <w:p w14:paraId="06327C8E" w14:textId="77777777" w:rsidR="007B0FBA" w:rsidRPr="001C3D89" w:rsidRDefault="007B0FBA" w:rsidP="007007AC">
            <w:pPr>
              <w:spacing w:before="85" w:line="288" w:lineRule="auto"/>
              <w:jc w:val="center"/>
              <w:rPr>
                <w:sz w:val="18"/>
                <w:szCs w:val="18"/>
              </w:rPr>
            </w:pPr>
            <w:r w:rsidRPr="001C3D89">
              <w:rPr>
                <w:sz w:val="18"/>
                <w:szCs w:val="18"/>
              </w:rPr>
              <w:t>-</w:t>
            </w:r>
          </w:p>
        </w:tc>
        <w:tc>
          <w:tcPr>
            <w:cnfStyle w:val="000010000000" w:firstRow="0" w:lastRow="0" w:firstColumn="0" w:lastColumn="0" w:oddVBand="1" w:evenVBand="0" w:oddHBand="0" w:evenHBand="0" w:firstRowFirstColumn="0" w:firstRowLastColumn="0" w:lastRowFirstColumn="0" w:lastRowLastColumn="0"/>
            <w:tcW w:w="1676" w:type="pct"/>
          </w:tcPr>
          <w:p w14:paraId="59E109E8" w14:textId="77777777" w:rsidR="007B0FBA" w:rsidRPr="00CF3E3D" w:rsidRDefault="007B0FBA" w:rsidP="007007AC">
            <w:pPr>
              <w:spacing w:before="85" w:line="288" w:lineRule="auto"/>
              <w:jc w:val="center"/>
              <w:rPr>
                <w:sz w:val="18"/>
                <w:szCs w:val="18"/>
              </w:rPr>
            </w:pPr>
            <w:r w:rsidRPr="00CF3E3D">
              <w:rPr>
                <w:sz w:val="18"/>
                <w:szCs w:val="18"/>
                <w:lang w:eastAsia="en-AU"/>
              </w:rPr>
              <w:t>82</w:t>
            </w:r>
          </w:p>
        </w:tc>
      </w:tr>
      <w:tr w:rsidR="007B0FBA" w:rsidRPr="00CF3E3D" w14:paraId="6FF2ED1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7D1DA047" w14:textId="77777777" w:rsidR="007B0FBA" w:rsidRPr="00CF3E3D" w:rsidRDefault="007B0FBA" w:rsidP="007007AC">
            <w:pPr>
              <w:spacing w:before="85" w:line="288" w:lineRule="auto"/>
              <w:rPr>
                <w:b/>
                <w:bCs/>
                <w:sz w:val="18"/>
                <w:szCs w:val="18"/>
              </w:rPr>
            </w:pPr>
            <w:r w:rsidRPr="00CF3E3D">
              <w:rPr>
                <w:b/>
                <w:bCs/>
                <w:sz w:val="18"/>
                <w:szCs w:val="18"/>
                <w:lang w:eastAsia="en-AU"/>
              </w:rPr>
              <w:t>2010</w:t>
            </w:r>
          </w:p>
        </w:tc>
        <w:tc>
          <w:tcPr>
            <w:cnfStyle w:val="000001000000" w:firstRow="0" w:lastRow="0" w:firstColumn="0" w:lastColumn="0" w:oddVBand="0" w:evenVBand="1" w:oddHBand="0" w:evenHBand="0" w:firstRowFirstColumn="0" w:firstRowLastColumn="0" w:lastRowFirstColumn="0" w:lastRowLastColumn="0"/>
            <w:tcW w:w="1675" w:type="pct"/>
          </w:tcPr>
          <w:p w14:paraId="749AC69D" w14:textId="77777777" w:rsidR="007B0FBA" w:rsidRPr="00CF3E3D" w:rsidRDefault="007B0FBA" w:rsidP="007007AC">
            <w:pPr>
              <w:spacing w:before="85" w:line="288" w:lineRule="auto"/>
              <w:jc w:val="center"/>
              <w:rPr>
                <w:sz w:val="18"/>
                <w:szCs w:val="18"/>
              </w:rPr>
            </w:pPr>
            <w:r w:rsidRPr="00CF3E3D">
              <w:rPr>
                <w:sz w:val="18"/>
                <w:szCs w:val="18"/>
                <w:lang w:eastAsia="en-AU"/>
              </w:rPr>
              <w:t>81</w:t>
            </w:r>
          </w:p>
        </w:tc>
        <w:tc>
          <w:tcPr>
            <w:cnfStyle w:val="000010000000" w:firstRow="0" w:lastRow="0" w:firstColumn="0" w:lastColumn="0" w:oddVBand="1" w:evenVBand="0" w:oddHBand="0" w:evenHBand="0" w:firstRowFirstColumn="0" w:firstRowLastColumn="0" w:lastRowFirstColumn="0" w:lastRowLastColumn="0"/>
            <w:tcW w:w="1676" w:type="pct"/>
          </w:tcPr>
          <w:p w14:paraId="70C27AEE" w14:textId="77777777" w:rsidR="007B0FBA" w:rsidRPr="00CF3E3D" w:rsidRDefault="007B0FBA" w:rsidP="007007AC">
            <w:pPr>
              <w:spacing w:before="85" w:line="288" w:lineRule="auto"/>
              <w:jc w:val="center"/>
              <w:rPr>
                <w:sz w:val="18"/>
                <w:szCs w:val="18"/>
              </w:rPr>
            </w:pPr>
            <w:r w:rsidRPr="00CF3E3D">
              <w:rPr>
                <w:sz w:val="18"/>
                <w:szCs w:val="18"/>
                <w:lang w:eastAsia="en-AU"/>
              </w:rPr>
              <w:t>82</w:t>
            </w:r>
          </w:p>
        </w:tc>
      </w:tr>
      <w:tr w:rsidR="007B0FBA" w:rsidRPr="00CF3E3D" w14:paraId="3280B8D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557DF267" w14:textId="77777777" w:rsidR="007B0FBA" w:rsidRPr="00CF3E3D" w:rsidRDefault="007B0FBA" w:rsidP="007007AC">
            <w:pPr>
              <w:spacing w:before="85" w:line="288" w:lineRule="auto"/>
              <w:rPr>
                <w:b/>
                <w:bCs/>
                <w:sz w:val="18"/>
                <w:szCs w:val="18"/>
              </w:rPr>
            </w:pPr>
            <w:r w:rsidRPr="00CF3E3D">
              <w:rPr>
                <w:b/>
                <w:bCs/>
                <w:sz w:val="18"/>
                <w:szCs w:val="18"/>
                <w:lang w:eastAsia="en-AU"/>
              </w:rPr>
              <w:t>2011</w:t>
            </w:r>
          </w:p>
        </w:tc>
        <w:tc>
          <w:tcPr>
            <w:cnfStyle w:val="000001000000" w:firstRow="0" w:lastRow="0" w:firstColumn="0" w:lastColumn="0" w:oddVBand="0" w:evenVBand="1" w:oddHBand="0" w:evenHBand="0" w:firstRowFirstColumn="0" w:firstRowLastColumn="0" w:lastRowFirstColumn="0" w:lastRowLastColumn="0"/>
            <w:tcW w:w="1675" w:type="pct"/>
          </w:tcPr>
          <w:p w14:paraId="5BC94709" w14:textId="77777777" w:rsidR="007B0FBA" w:rsidRPr="00CF3E3D" w:rsidRDefault="007B0FBA" w:rsidP="007007AC">
            <w:pPr>
              <w:spacing w:before="85" w:line="288" w:lineRule="auto"/>
              <w:jc w:val="center"/>
              <w:rPr>
                <w:sz w:val="18"/>
                <w:szCs w:val="18"/>
              </w:rPr>
            </w:pPr>
            <w:r w:rsidRPr="00CF3E3D">
              <w:rPr>
                <w:sz w:val="18"/>
                <w:szCs w:val="18"/>
                <w:lang w:eastAsia="en-AU"/>
              </w:rPr>
              <w:t>82</w:t>
            </w:r>
          </w:p>
        </w:tc>
        <w:tc>
          <w:tcPr>
            <w:cnfStyle w:val="000010000000" w:firstRow="0" w:lastRow="0" w:firstColumn="0" w:lastColumn="0" w:oddVBand="1" w:evenVBand="0" w:oddHBand="0" w:evenHBand="0" w:firstRowFirstColumn="0" w:firstRowLastColumn="0" w:lastRowFirstColumn="0" w:lastRowLastColumn="0"/>
            <w:tcW w:w="1676" w:type="pct"/>
          </w:tcPr>
          <w:p w14:paraId="53B71A81" w14:textId="77777777" w:rsidR="007B0FBA" w:rsidRPr="00CF3E3D" w:rsidRDefault="007B0FBA" w:rsidP="007007AC">
            <w:pPr>
              <w:spacing w:before="85" w:line="288" w:lineRule="auto"/>
              <w:jc w:val="center"/>
              <w:rPr>
                <w:sz w:val="18"/>
                <w:szCs w:val="18"/>
              </w:rPr>
            </w:pPr>
            <w:r w:rsidRPr="00CF3E3D">
              <w:rPr>
                <w:sz w:val="18"/>
                <w:szCs w:val="18"/>
                <w:lang w:eastAsia="en-AU"/>
              </w:rPr>
              <w:t>83</w:t>
            </w:r>
          </w:p>
        </w:tc>
      </w:tr>
      <w:tr w:rsidR="007B0FBA" w:rsidRPr="00CF3E3D" w14:paraId="42CED27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0F3F816C" w14:textId="77777777" w:rsidR="007B0FBA" w:rsidRPr="00CF3E3D" w:rsidRDefault="007B0FBA" w:rsidP="007007AC">
            <w:pPr>
              <w:spacing w:before="85" w:line="288" w:lineRule="auto"/>
              <w:rPr>
                <w:b/>
                <w:bCs/>
                <w:sz w:val="18"/>
                <w:szCs w:val="18"/>
              </w:rPr>
            </w:pPr>
            <w:r w:rsidRPr="00CF3E3D">
              <w:rPr>
                <w:b/>
                <w:bCs/>
                <w:sz w:val="18"/>
                <w:szCs w:val="18"/>
                <w:lang w:eastAsia="en-AU"/>
              </w:rPr>
              <w:t>2012</w:t>
            </w:r>
          </w:p>
        </w:tc>
        <w:tc>
          <w:tcPr>
            <w:cnfStyle w:val="000001000000" w:firstRow="0" w:lastRow="0" w:firstColumn="0" w:lastColumn="0" w:oddVBand="0" w:evenVBand="1" w:oddHBand="0" w:evenHBand="0" w:firstRowFirstColumn="0" w:firstRowLastColumn="0" w:lastRowFirstColumn="0" w:lastRowLastColumn="0"/>
            <w:tcW w:w="1675" w:type="pct"/>
          </w:tcPr>
          <w:p w14:paraId="1254CF00" w14:textId="77777777" w:rsidR="007B0FBA" w:rsidRPr="00CF3E3D" w:rsidRDefault="007B0FBA" w:rsidP="007007AC">
            <w:pPr>
              <w:spacing w:before="85" w:line="288" w:lineRule="auto"/>
              <w:jc w:val="center"/>
              <w:rPr>
                <w:sz w:val="18"/>
                <w:szCs w:val="18"/>
              </w:rPr>
            </w:pPr>
            <w:r w:rsidRPr="00CF3E3D">
              <w:rPr>
                <w:sz w:val="18"/>
                <w:szCs w:val="18"/>
                <w:lang w:eastAsia="en-AU"/>
              </w:rPr>
              <w:t>83</w:t>
            </w:r>
          </w:p>
        </w:tc>
        <w:tc>
          <w:tcPr>
            <w:cnfStyle w:val="000010000000" w:firstRow="0" w:lastRow="0" w:firstColumn="0" w:lastColumn="0" w:oddVBand="1" w:evenVBand="0" w:oddHBand="0" w:evenHBand="0" w:firstRowFirstColumn="0" w:firstRowLastColumn="0" w:lastRowFirstColumn="0" w:lastRowLastColumn="0"/>
            <w:tcW w:w="1676" w:type="pct"/>
          </w:tcPr>
          <w:p w14:paraId="5A95E068" w14:textId="77777777" w:rsidR="007B0FBA" w:rsidRPr="00CF3E3D" w:rsidRDefault="007B0FBA" w:rsidP="007007AC">
            <w:pPr>
              <w:spacing w:before="85" w:line="288" w:lineRule="auto"/>
              <w:jc w:val="center"/>
              <w:rPr>
                <w:sz w:val="18"/>
                <w:szCs w:val="18"/>
              </w:rPr>
            </w:pPr>
            <w:r w:rsidRPr="00CF3E3D">
              <w:rPr>
                <w:sz w:val="18"/>
                <w:szCs w:val="18"/>
                <w:lang w:eastAsia="en-AU"/>
              </w:rPr>
              <w:t>85</w:t>
            </w:r>
          </w:p>
        </w:tc>
      </w:tr>
      <w:tr w:rsidR="007B0FBA" w:rsidRPr="00CF3E3D" w14:paraId="07F4C08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136D1386" w14:textId="77777777" w:rsidR="007B0FBA" w:rsidRPr="00CF3E3D" w:rsidRDefault="007B0FBA" w:rsidP="007007AC">
            <w:pPr>
              <w:spacing w:before="85" w:line="288" w:lineRule="auto"/>
              <w:rPr>
                <w:b/>
                <w:bCs/>
                <w:sz w:val="18"/>
                <w:szCs w:val="18"/>
              </w:rPr>
            </w:pPr>
            <w:r w:rsidRPr="00CF3E3D">
              <w:rPr>
                <w:b/>
                <w:bCs/>
                <w:sz w:val="18"/>
                <w:szCs w:val="18"/>
                <w:lang w:eastAsia="en-AU"/>
              </w:rPr>
              <w:t>2013</w:t>
            </w:r>
          </w:p>
        </w:tc>
        <w:tc>
          <w:tcPr>
            <w:cnfStyle w:val="000001000000" w:firstRow="0" w:lastRow="0" w:firstColumn="0" w:lastColumn="0" w:oddVBand="0" w:evenVBand="1" w:oddHBand="0" w:evenHBand="0" w:firstRowFirstColumn="0" w:firstRowLastColumn="0" w:lastRowFirstColumn="0" w:lastRowLastColumn="0"/>
            <w:tcW w:w="1675" w:type="pct"/>
          </w:tcPr>
          <w:p w14:paraId="5A92AB8F" w14:textId="77777777" w:rsidR="007B0FBA" w:rsidRPr="00CF3E3D" w:rsidRDefault="007B0FBA" w:rsidP="007007AC">
            <w:pPr>
              <w:spacing w:before="85" w:line="288" w:lineRule="auto"/>
              <w:jc w:val="center"/>
              <w:rPr>
                <w:sz w:val="18"/>
                <w:szCs w:val="18"/>
              </w:rPr>
            </w:pPr>
            <w:r w:rsidRPr="00CF3E3D">
              <w:rPr>
                <w:sz w:val="18"/>
                <w:szCs w:val="18"/>
                <w:lang w:eastAsia="en-AU"/>
              </w:rPr>
              <w:t>83</w:t>
            </w:r>
          </w:p>
        </w:tc>
        <w:tc>
          <w:tcPr>
            <w:cnfStyle w:val="000010000000" w:firstRow="0" w:lastRow="0" w:firstColumn="0" w:lastColumn="0" w:oddVBand="1" w:evenVBand="0" w:oddHBand="0" w:evenHBand="0" w:firstRowFirstColumn="0" w:firstRowLastColumn="0" w:lastRowFirstColumn="0" w:lastRowLastColumn="0"/>
            <w:tcW w:w="1676" w:type="pct"/>
          </w:tcPr>
          <w:p w14:paraId="47CC6969" w14:textId="77777777" w:rsidR="007B0FBA" w:rsidRPr="00CF3E3D" w:rsidRDefault="007B0FBA" w:rsidP="007007AC">
            <w:pPr>
              <w:spacing w:before="85" w:line="288" w:lineRule="auto"/>
              <w:jc w:val="center"/>
              <w:rPr>
                <w:sz w:val="18"/>
                <w:szCs w:val="18"/>
              </w:rPr>
            </w:pPr>
            <w:r w:rsidRPr="00CF3E3D">
              <w:rPr>
                <w:sz w:val="18"/>
                <w:szCs w:val="18"/>
                <w:lang w:eastAsia="en-AU"/>
              </w:rPr>
              <w:t>85</w:t>
            </w:r>
          </w:p>
        </w:tc>
      </w:tr>
      <w:tr w:rsidR="007B0FBA" w:rsidRPr="00CF3E3D" w14:paraId="7E5A9BB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538ADDA6" w14:textId="77777777" w:rsidR="007B0FBA" w:rsidRPr="00CF3E3D" w:rsidRDefault="007B0FBA" w:rsidP="007007AC">
            <w:pPr>
              <w:spacing w:before="85" w:line="288" w:lineRule="auto"/>
              <w:rPr>
                <w:b/>
                <w:bCs/>
                <w:sz w:val="18"/>
                <w:szCs w:val="18"/>
              </w:rPr>
            </w:pPr>
            <w:r w:rsidRPr="00CF3E3D">
              <w:rPr>
                <w:b/>
                <w:bCs/>
                <w:sz w:val="18"/>
                <w:szCs w:val="18"/>
                <w:lang w:eastAsia="en-AU"/>
              </w:rPr>
              <w:t>2014</w:t>
            </w:r>
          </w:p>
        </w:tc>
        <w:tc>
          <w:tcPr>
            <w:cnfStyle w:val="000001000000" w:firstRow="0" w:lastRow="0" w:firstColumn="0" w:lastColumn="0" w:oddVBand="0" w:evenVBand="1" w:oddHBand="0" w:evenHBand="0" w:firstRowFirstColumn="0" w:firstRowLastColumn="0" w:lastRowFirstColumn="0" w:lastRowLastColumn="0"/>
            <w:tcW w:w="1675" w:type="pct"/>
          </w:tcPr>
          <w:p w14:paraId="116604A5" w14:textId="77777777" w:rsidR="007B0FBA" w:rsidRPr="00CF3E3D" w:rsidRDefault="007B0FBA" w:rsidP="007007AC">
            <w:pPr>
              <w:spacing w:before="85" w:line="288" w:lineRule="auto"/>
              <w:jc w:val="center"/>
              <w:rPr>
                <w:sz w:val="18"/>
                <w:szCs w:val="18"/>
              </w:rPr>
            </w:pPr>
            <w:r w:rsidRPr="00CF3E3D">
              <w:rPr>
                <w:sz w:val="18"/>
                <w:szCs w:val="18"/>
                <w:lang w:eastAsia="en-AU"/>
              </w:rPr>
              <w:t>82.8</w:t>
            </w:r>
          </w:p>
        </w:tc>
        <w:tc>
          <w:tcPr>
            <w:cnfStyle w:val="000010000000" w:firstRow="0" w:lastRow="0" w:firstColumn="0" w:lastColumn="0" w:oddVBand="1" w:evenVBand="0" w:oddHBand="0" w:evenHBand="0" w:firstRowFirstColumn="0" w:firstRowLastColumn="0" w:lastRowFirstColumn="0" w:lastRowLastColumn="0"/>
            <w:tcW w:w="1676" w:type="pct"/>
          </w:tcPr>
          <w:p w14:paraId="11CCF188" w14:textId="77777777" w:rsidR="007B0FBA" w:rsidRPr="00CF3E3D" w:rsidRDefault="007B0FBA" w:rsidP="007007AC">
            <w:pPr>
              <w:spacing w:before="85" w:line="288" w:lineRule="auto"/>
              <w:jc w:val="center"/>
              <w:rPr>
                <w:sz w:val="18"/>
                <w:szCs w:val="18"/>
              </w:rPr>
            </w:pPr>
            <w:r w:rsidRPr="00CF3E3D">
              <w:rPr>
                <w:sz w:val="18"/>
                <w:szCs w:val="18"/>
                <w:lang w:eastAsia="en-AU"/>
              </w:rPr>
              <w:t>86</w:t>
            </w:r>
          </w:p>
        </w:tc>
      </w:tr>
      <w:tr w:rsidR="007B0FBA" w:rsidRPr="00CF3E3D" w14:paraId="7D3249D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75157760" w14:textId="77777777" w:rsidR="007B0FBA" w:rsidRPr="00CF3E3D" w:rsidRDefault="007B0FBA" w:rsidP="007007AC">
            <w:pPr>
              <w:spacing w:before="85" w:line="288" w:lineRule="auto"/>
              <w:rPr>
                <w:b/>
                <w:bCs/>
                <w:sz w:val="18"/>
                <w:szCs w:val="18"/>
              </w:rPr>
            </w:pPr>
            <w:r w:rsidRPr="00CF3E3D">
              <w:rPr>
                <w:b/>
                <w:bCs/>
                <w:sz w:val="18"/>
                <w:szCs w:val="18"/>
                <w:lang w:eastAsia="en-AU"/>
              </w:rPr>
              <w:t>2015</w:t>
            </w:r>
          </w:p>
        </w:tc>
        <w:tc>
          <w:tcPr>
            <w:cnfStyle w:val="000001000000" w:firstRow="0" w:lastRow="0" w:firstColumn="0" w:lastColumn="0" w:oddVBand="0" w:evenVBand="1" w:oddHBand="0" w:evenHBand="0" w:firstRowFirstColumn="0" w:firstRowLastColumn="0" w:lastRowFirstColumn="0" w:lastRowLastColumn="0"/>
            <w:tcW w:w="1675" w:type="pct"/>
          </w:tcPr>
          <w:p w14:paraId="53919649" w14:textId="77777777" w:rsidR="007B0FBA" w:rsidRPr="00CF3E3D" w:rsidRDefault="007B0FBA" w:rsidP="007007AC">
            <w:pPr>
              <w:spacing w:before="85" w:line="288" w:lineRule="auto"/>
              <w:jc w:val="center"/>
              <w:rPr>
                <w:sz w:val="18"/>
                <w:szCs w:val="18"/>
              </w:rPr>
            </w:pPr>
            <w:r w:rsidRPr="00CF3E3D">
              <w:rPr>
                <w:sz w:val="18"/>
                <w:szCs w:val="18"/>
                <w:lang w:eastAsia="en-AU"/>
              </w:rPr>
              <w:t>83.6</w:t>
            </w:r>
          </w:p>
        </w:tc>
        <w:tc>
          <w:tcPr>
            <w:cnfStyle w:val="000010000000" w:firstRow="0" w:lastRow="0" w:firstColumn="0" w:lastColumn="0" w:oddVBand="1" w:evenVBand="0" w:oddHBand="0" w:evenHBand="0" w:firstRowFirstColumn="0" w:firstRowLastColumn="0" w:lastRowFirstColumn="0" w:lastRowLastColumn="0"/>
            <w:tcW w:w="1676" w:type="pct"/>
          </w:tcPr>
          <w:p w14:paraId="133F4477" w14:textId="77777777" w:rsidR="007B0FBA" w:rsidRPr="00CF3E3D" w:rsidRDefault="007B0FBA" w:rsidP="007007AC">
            <w:pPr>
              <w:spacing w:before="85" w:line="288" w:lineRule="auto"/>
              <w:jc w:val="center"/>
              <w:rPr>
                <w:sz w:val="18"/>
                <w:szCs w:val="18"/>
              </w:rPr>
            </w:pPr>
            <w:r w:rsidRPr="00CF3E3D">
              <w:rPr>
                <w:sz w:val="18"/>
                <w:szCs w:val="18"/>
                <w:lang w:eastAsia="en-AU"/>
              </w:rPr>
              <w:t>86</w:t>
            </w:r>
          </w:p>
        </w:tc>
      </w:tr>
      <w:tr w:rsidR="007B0FBA" w:rsidRPr="00CF3E3D" w14:paraId="6C1E54E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0D46C6CC" w14:textId="77777777" w:rsidR="007B0FBA" w:rsidRPr="00CF3E3D" w:rsidRDefault="007B0FBA" w:rsidP="007007AC">
            <w:pPr>
              <w:spacing w:before="85" w:line="288" w:lineRule="auto"/>
              <w:rPr>
                <w:b/>
                <w:bCs/>
                <w:sz w:val="18"/>
                <w:szCs w:val="18"/>
                <w:lang w:eastAsia="en-AU"/>
              </w:rPr>
            </w:pPr>
            <w:r w:rsidRPr="00CF3E3D">
              <w:rPr>
                <w:b/>
                <w:bCs/>
                <w:sz w:val="18"/>
                <w:szCs w:val="18"/>
                <w:lang w:eastAsia="en-AU"/>
              </w:rPr>
              <w:t>2016</w:t>
            </w:r>
          </w:p>
        </w:tc>
        <w:tc>
          <w:tcPr>
            <w:cnfStyle w:val="000001000000" w:firstRow="0" w:lastRow="0" w:firstColumn="0" w:lastColumn="0" w:oddVBand="0" w:evenVBand="1" w:oddHBand="0" w:evenHBand="0" w:firstRowFirstColumn="0" w:firstRowLastColumn="0" w:lastRowFirstColumn="0" w:lastRowLastColumn="0"/>
            <w:tcW w:w="1675" w:type="pct"/>
          </w:tcPr>
          <w:p w14:paraId="6F453AED" w14:textId="77777777" w:rsidR="007B0FBA" w:rsidRPr="00CF3E3D" w:rsidRDefault="007B0FBA" w:rsidP="007007AC">
            <w:pPr>
              <w:spacing w:before="85" w:line="288" w:lineRule="auto"/>
              <w:jc w:val="center"/>
              <w:rPr>
                <w:sz w:val="18"/>
                <w:szCs w:val="18"/>
              </w:rPr>
            </w:pPr>
            <w:r w:rsidRPr="00CF3E3D">
              <w:rPr>
                <w:sz w:val="18"/>
                <w:szCs w:val="18"/>
                <w:lang w:eastAsia="en-AU"/>
              </w:rPr>
              <w:t>80.6</w:t>
            </w:r>
          </w:p>
        </w:tc>
        <w:tc>
          <w:tcPr>
            <w:cnfStyle w:val="000010000000" w:firstRow="0" w:lastRow="0" w:firstColumn="0" w:lastColumn="0" w:oddVBand="1" w:evenVBand="0" w:oddHBand="0" w:evenHBand="0" w:firstRowFirstColumn="0" w:firstRowLastColumn="0" w:lastRowFirstColumn="0" w:lastRowLastColumn="0"/>
            <w:tcW w:w="1676" w:type="pct"/>
          </w:tcPr>
          <w:p w14:paraId="4DF2867D" w14:textId="77777777" w:rsidR="007B0FBA" w:rsidRPr="00CF3E3D" w:rsidRDefault="007B0FBA" w:rsidP="007007AC">
            <w:pPr>
              <w:spacing w:before="85" w:line="288" w:lineRule="auto"/>
              <w:jc w:val="center"/>
              <w:rPr>
                <w:sz w:val="18"/>
                <w:szCs w:val="18"/>
              </w:rPr>
            </w:pPr>
            <w:r w:rsidRPr="00CF3E3D">
              <w:rPr>
                <w:sz w:val="18"/>
                <w:szCs w:val="18"/>
                <w:lang w:eastAsia="en-AU"/>
              </w:rPr>
              <w:t>86</w:t>
            </w:r>
          </w:p>
        </w:tc>
      </w:tr>
      <w:tr w:rsidR="007B0FBA" w:rsidRPr="00CF3E3D" w14:paraId="12EB54D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62AD2166" w14:textId="77777777" w:rsidR="007B0FBA" w:rsidRPr="00CF3E3D" w:rsidRDefault="007B0FBA" w:rsidP="007007AC">
            <w:pPr>
              <w:spacing w:before="85" w:line="288" w:lineRule="auto"/>
              <w:rPr>
                <w:b/>
                <w:bCs/>
                <w:sz w:val="18"/>
                <w:szCs w:val="18"/>
                <w:lang w:eastAsia="en-AU"/>
              </w:rPr>
            </w:pPr>
            <w:r w:rsidRPr="00CF3E3D">
              <w:rPr>
                <w:b/>
                <w:bCs/>
                <w:sz w:val="18"/>
                <w:szCs w:val="18"/>
                <w:lang w:eastAsia="en-AU"/>
              </w:rPr>
              <w:t>2017</w:t>
            </w:r>
          </w:p>
        </w:tc>
        <w:tc>
          <w:tcPr>
            <w:cnfStyle w:val="000001000000" w:firstRow="0" w:lastRow="0" w:firstColumn="0" w:lastColumn="0" w:oddVBand="0" w:evenVBand="1" w:oddHBand="0" w:evenHBand="0" w:firstRowFirstColumn="0" w:firstRowLastColumn="0" w:lastRowFirstColumn="0" w:lastRowLastColumn="0"/>
            <w:tcW w:w="1675" w:type="pct"/>
          </w:tcPr>
          <w:p w14:paraId="26E73879" w14:textId="77777777" w:rsidR="007B0FBA" w:rsidRPr="00CF3E3D" w:rsidRDefault="007B0FBA" w:rsidP="007007AC">
            <w:pPr>
              <w:spacing w:before="85" w:line="288" w:lineRule="auto"/>
              <w:jc w:val="center"/>
              <w:rPr>
                <w:sz w:val="18"/>
                <w:szCs w:val="18"/>
              </w:rPr>
            </w:pPr>
            <w:r w:rsidRPr="00CF3E3D">
              <w:rPr>
                <w:sz w:val="18"/>
                <w:szCs w:val="18"/>
                <w:lang w:eastAsia="en-AU"/>
              </w:rPr>
              <w:t>79.4</w:t>
            </w:r>
          </w:p>
        </w:tc>
        <w:tc>
          <w:tcPr>
            <w:cnfStyle w:val="000010000000" w:firstRow="0" w:lastRow="0" w:firstColumn="0" w:lastColumn="0" w:oddVBand="1" w:evenVBand="0" w:oddHBand="0" w:evenHBand="0" w:firstRowFirstColumn="0" w:firstRowLastColumn="0" w:lastRowFirstColumn="0" w:lastRowLastColumn="0"/>
            <w:tcW w:w="1676" w:type="pct"/>
          </w:tcPr>
          <w:p w14:paraId="0F6E3B73" w14:textId="77777777" w:rsidR="007B0FBA" w:rsidRPr="00CF3E3D" w:rsidRDefault="007B0FBA" w:rsidP="007007AC">
            <w:pPr>
              <w:spacing w:before="85" w:line="288" w:lineRule="auto"/>
              <w:jc w:val="center"/>
              <w:rPr>
                <w:sz w:val="18"/>
                <w:szCs w:val="18"/>
              </w:rPr>
            </w:pPr>
            <w:r w:rsidRPr="00CF3E3D">
              <w:rPr>
                <w:sz w:val="18"/>
                <w:szCs w:val="18"/>
                <w:lang w:eastAsia="en-AU"/>
              </w:rPr>
              <w:t>84</w:t>
            </w:r>
          </w:p>
        </w:tc>
      </w:tr>
      <w:tr w:rsidR="007B0FBA" w:rsidRPr="00CF3E3D" w14:paraId="02DE684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69218594" w14:textId="77777777" w:rsidR="007B0FBA" w:rsidRPr="00CF3E3D" w:rsidRDefault="007B0FBA" w:rsidP="007007AC">
            <w:pPr>
              <w:spacing w:before="85" w:line="288" w:lineRule="auto"/>
              <w:rPr>
                <w:b/>
                <w:bCs/>
                <w:sz w:val="18"/>
                <w:szCs w:val="18"/>
                <w:lang w:eastAsia="en-AU"/>
              </w:rPr>
            </w:pPr>
            <w:r w:rsidRPr="00CF3E3D">
              <w:rPr>
                <w:b/>
                <w:bCs/>
                <w:sz w:val="18"/>
                <w:szCs w:val="18"/>
                <w:lang w:eastAsia="en-AU"/>
              </w:rPr>
              <w:t>2018</w:t>
            </w:r>
          </w:p>
        </w:tc>
        <w:tc>
          <w:tcPr>
            <w:cnfStyle w:val="000001000000" w:firstRow="0" w:lastRow="0" w:firstColumn="0" w:lastColumn="0" w:oddVBand="0" w:evenVBand="1" w:oddHBand="0" w:evenHBand="0" w:firstRowFirstColumn="0" w:firstRowLastColumn="0" w:lastRowFirstColumn="0" w:lastRowLastColumn="0"/>
            <w:tcW w:w="1675" w:type="pct"/>
          </w:tcPr>
          <w:p w14:paraId="460E6CAF" w14:textId="77777777" w:rsidR="007B0FBA" w:rsidRPr="00CF3E3D" w:rsidRDefault="007B0FBA" w:rsidP="007007AC">
            <w:pPr>
              <w:spacing w:before="85" w:line="288" w:lineRule="auto"/>
              <w:jc w:val="center"/>
              <w:rPr>
                <w:sz w:val="18"/>
                <w:szCs w:val="18"/>
              </w:rPr>
            </w:pPr>
            <w:r w:rsidRPr="00CF3E3D">
              <w:rPr>
                <w:sz w:val="18"/>
                <w:szCs w:val="18"/>
                <w:lang w:eastAsia="en-AU"/>
              </w:rPr>
              <w:t>79.7</w:t>
            </w:r>
          </w:p>
        </w:tc>
        <w:tc>
          <w:tcPr>
            <w:cnfStyle w:val="000010000000" w:firstRow="0" w:lastRow="0" w:firstColumn="0" w:lastColumn="0" w:oddVBand="1" w:evenVBand="0" w:oddHBand="0" w:evenHBand="0" w:firstRowFirstColumn="0" w:firstRowLastColumn="0" w:lastRowFirstColumn="0" w:lastRowLastColumn="0"/>
            <w:tcW w:w="1676" w:type="pct"/>
          </w:tcPr>
          <w:p w14:paraId="326C6152" w14:textId="77777777" w:rsidR="007B0FBA" w:rsidRPr="00CF3E3D" w:rsidRDefault="007B0FBA" w:rsidP="007007AC">
            <w:pPr>
              <w:spacing w:before="85" w:line="288" w:lineRule="auto"/>
              <w:jc w:val="center"/>
              <w:rPr>
                <w:sz w:val="18"/>
                <w:szCs w:val="18"/>
              </w:rPr>
            </w:pPr>
            <w:r w:rsidRPr="00CF3E3D">
              <w:rPr>
                <w:sz w:val="18"/>
                <w:szCs w:val="18"/>
                <w:lang w:eastAsia="en-AU"/>
              </w:rPr>
              <w:t>83</w:t>
            </w:r>
          </w:p>
        </w:tc>
      </w:tr>
      <w:tr w:rsidR="007B0FBA" w:rsidRPr="00CF3E3D" w14:paraId="14EA412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295304F8" w14:textId="77777777" w:rsidR="007B0FBA" w:rsidRPr="00CF3E3D" w:rsidRDefault="007B0FBA" w:rsidP="007007AC">
            <w:pPr>
              <w:spacing w:before="85" w:line="288" w:lineRule="auto"/>
              <w:rPr>
                <w:b/>
                <w:bCs/>
                <w:sz w:val="18"/>
                <w:szCs w:val="18"/>
                <w:lang w:eastAsia="en-AU"/>
              </w:rPr>
            </w:pPr>
            <w:r w:rsidRPr="00CF3E3D">
              <w:rPr>
                <w:b/>
                <w:bCs/>
                <w:sz w:val="18"/>
                <w:szCs w:val="18"/>
                <w:lang w:eastAsia="en-AU"/>
              </w:rPr>
              <w:t>2019</w:t>
            </w:r>
          </w:p>
        </w:tc>
        <w:tc>
          <w:tcPr>
            <w:cnfStyle w:val="000001000000" w:firstRow="0" w:lastRow="0" w:firstColumn="0" w:lastColumn="0" w:oddVBand="0" w:evenVBand="1" w:oddHBand="0" w:evenHBand="0" w:firstRowFirstColumn="0" w:firstRowLastColumn="0" w:lastRowFirstColumn="0" w:lastRowLastColumn="0"/>
            <w:tcW w:w="1675" w:type="pct"/>
          </w:tcPr>
          <w:p w14:paraId="70F27922" w14:textId="77777777" w:rsidR="007B0FBA" w:rsidRPr="00CF3E3D" w:rsidRDefault="007B0FBA" w:rsidP="007007AC">
            <w:pPr>
              <w:spacing w:before="85" w:line="288" w:lineRule="auto"/>
              <w:jc w:val="center"/>
              <w:rPr>
                <w:sz w:val="18"/>
                <w:szCs w:val="18"/>
              </w:rPr>
            </w:pPr>
            <w:r w:rsidRPr="00CF3E3D">
              <w:rPr>
                <w:sz w:val="18"/>
                <w:szCs w:val="18"/>
                <w:lang w:eastAsia="en-AU"/>
              </w:rPr>
              <w:t>80.1</w:t>
            </w:r>
          </w:p>
        </w:tc>
        <w:tc>
          <w:tcPr>
            <w:cnfStyle w:val="000010000000" w:firstRow="0" w:lastRow="0" w:firstColumn="0" w:lastColumn="0" w:oddVBand="1" w:evenVBand="0" w:oddHBand="0" w:evenHBand="0" w:firstRowFirstColumn="0" w:firstRowLastColumn="0" w:lastRowFirstColumn="0" w:lastRowLastColumn="0"/>
            <w:tcW w:w="1676" w:type="pct"/>
          </w:tcPr>
          <w:p w14:paraId="211DF26F" w14:textId="77777777" w:rsidR="007B0FBA" w:rsidRPr="00CF3E3D" w:rsidRDefault="007B0FBA" w:rsidP="007007AC">
            <w:pPr>
              <w:spacing w:before="85" w:line="288" w:lineRule="auto"/>
              <w:jc w:val="center"/>
              <w:rPr>
                <w:sz w:val="18"/>
                <w:szCs w:val="18"/>
              </w:rPr>
            </w:pPr>
            <w:r w:rsidRPr="00CF3E3D">
              <w:rPr>
                <w:sz w:val="18"/>
                <w:szCs w:val="18"/>
                <w:lang w:eastAsia="en-AU"/>
              </w:rPr>
              <w:t>84</w:t>
            </w:r>
          </w:p>
        </w:tc>
      </w:tr>
      <w:tr w:rsidR="007B0FBA" w:rsidRPr="00CF3E3D" w14:paraId="02AFE49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79D22AD0" w14:textId="77777777" w:rsidR="007B0FBA" w:rsidRPr="00CF3E3D" w:rsidRDefault="007B0FBA" w:rsidP="007007AC">
            <w:pPr>
              <w:spacing w:before="85" w:line="288" w:lineRule="auto"/>
              <w:rPr>
                <w:b/>
                <w:bCs/>
                <w:sz w:val="18"/>
                <w:szCs w:val="18"/>
                <w:lang w:eastAsia="en-AU"/>
              </w:rPr>
            </w:pPr>
            <w:r w:rsidRPr="00CF3E3D">
              <w:rPr>
                <w:b/>
                <w:bCs/>
                <w:sz w:val="18"/>
                <w:szCs w:val="18"/>
                <w:lang w:eastAsia="en-AU"/>
              </w:rPr>
              <w:t>2020</w:t>
            </w:r>
          </w:p>
        </w:tc>
        <w:tc>
          <w:tcPr>
            <w:cnfStyle w:val="000001000000" w:firstRow="0" w:lastRow="0" w:firstColumn="0" w:lastColumn="0" w:oddVBand="0" w:evenVBand="1" w:oddHBand="0" w:evenHBand="0" w:firstRowFirstColumn="0" w:firstRowLastColumn="0" w:lastRowFirstColumn="0" w:lastRowLastColumn="0"/>
            <w:tcW w:w="1675" w:type="pct"/>
          </w:tcPr>
          <w:p w14:paraId="0EC16FDE" w14:textId="77777777" w:rsidR="007B0FBA" w:rsidRPr="00CF3E3D" w:rsidRDefault="007B0FBA" w:rsidP="007007AC">
            <w:pPr>
              <w:spacing w:before="85" w:line="288" w:lineRule="auto"/>
              <w:jc w:val="center"/>
              <w:rPr>
                <w:sz w:val="18"/>
                <w:szCs w:val="18"/>
              </w:rPr>
            </w:pPr>
            <w:r w:rsidRPr="00CF3E3D">
              <w:rPr>
                <w:sz w:val="18"/>
                <w:szCs w:val="18"/>
                <w:lang w:eastAsia="en-AU"/>
              </w:rPr>
              <w:t>80.7</w:t>
            </w:r>
          </w:p>
        </w:tc>
        <w:tc>
          <w:tcPr>
            <w:cnfStyle w:val="000010000000" w:firstRow="0" w:lastRow="0" w:firstColumn="0" w:lastColumn="0" w:oddVBand="1" w:evenVBand="0" w:oddHBand="0" w:evenHBand="0" w:firstRowFirstColumn="0" w:firstRowLastColumn="0" w:lastRowFirstColumn="0" w:lastRowLastColumn="0"/>
            <w:tcW w:w="1676" w:type="pct"/>
          </w:tcPr>
          <w:p w14:paraId="2DED4655" w14:textId="77777777" w:rsidR="007B0FBA" w:rsidRPr="00CF3E3D" w:rsidRDefault="007B0FBA" w:rsidP="007007AC">
            <w:pPr>
              <w:spacing w:before="85" w:line="288" w:lineRule="auto"/>
              <w:jc w:val="center"/>
              <w:rPr>
                <w:sz w:val="18"/>
                <w:szCs w:val="18"/>
              </w:rPr>
            </w:pPr>
            <w:r w:rsidRPr="00CF3E3D">
              <w:rPr>
                <w:sz w:val="18"/>
                <w:szCs w:val="18"/>
                <w:lang w:eastAsia="en-AU"/>
              </w:rPr>
              <w:t>83</w:t>
            </w:r>
          </w:p>
        </w:tc>
      </w:tr>
      <w:tr w:rsidR="007B0FBA" w:rsidRPr="00CF3E3D" w14:paraId="3ED7BFE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30E0AFFF" w14:textId="77777777" w:rsidR="007B0FBA" w:rsidRPr="00CF3E3D" w:rsidRDefault="007B0FBA" w:rsidP="007007AC">
            <w:pPr>
              <w:spacing w:before="85" w:line="288" w:lineRule="auto"/>
              <w:rPr>
                <w:b/>
                <w:bCs/>
                <w:sz w:val="18"/>
                <w:szCs w:val="18"/>
                <w:lang w:eastAsia="en-AU"/>
              </w:rPr>
            </w:pPr>
            <w:r w:rsidRPr="00CF3E3D">
              <w:rPr>
                <w:b/>
                <w:bCs/>
                <w:sz w:val="18"/>
                <w:szCs w:val="18"/>
                <w:lang w:eastAsia="en-AU"/>
              </w:rPr>
              <w:t>2021</w:t>
            </w:r>
          </w:p>
        </w:tc>
        <w:tc>
          <w:tcPr>
            <w:cnfStyle w:val="000001000000" w:firstRow="0" w:lastRow="0" w:firstColumn="0" w:lastColumn="0" w:oddVBand="0" w:evenVBand="1" w:oddHBand="0" w:evenHBand="0" w:firstRowFirstColumn="0" w:firstRowLastColumn="0" w:lastRowFirstColumn="0" w:lastRowLastColumn="0"/>
            <w:tcW w:w="1675" w:type="pct"/>
          </w:tcPr>
          <w:p w14:paraId="36CCA640" w14:textId="77777777" w:rsidR="007B0FBA" w:rsidRPr="00CF3E3D" w:rsidRDefault="007B0FBA" w:rsidP="007007AC">
            <w:pPr>
              <w:spacing w:before="85" w:line="288" w:lineRule="auto"/>
              <w:jc w:val="center"/>
              <w:rPr>
                <w:sz w:val="18"/>
                <w:szCs w:val="18"/>
              </w:rPr>
            </w:pPr>
            <w:r w:rsidRPr="00CF3E3D">
              <w:rPr>
                <w:sz w:val="18"/>
                <w:szCs w:val="18"/>
              </w:rPr>
              <w:t>77.9</w:t>
            </w:r>
          </w:p>
        </w:tc>
        <w:tc>
          <w:tcPr>
            <w:cnfStyle w:val="000010000000" w:firstRow="0" w:lastRow="0" w:firstColumn="0" w:lastColumn="0" w:oddVBand="1" w:evenVBand="0" w:oddHBand="0" w:evenHBand="0" w:firstRowFirstColumn="0" w:firstRowLastColumn="0" w:lastRowFirstColumn="0" w:lastRowLastColumn="0"/>
            <w:tcW w:w="1676" w:type="pct"/>
          </w:tcPr>
          <w:p w14:paraId="6412C335" w14:textId="77777777" w:rsidR="007B0FBA" w:rsidRPr="00CF3E3D" w:rsidRDefault="007B0FBA" w:rsidP="007007AC">
            <w:pPr>
              <w:spacing w:before="85" w:line="288" w:lineRule="auto"/>
              <w:jc w:val="center"/>
              <w:rPr>
                <w:sz w:val="18"/>
                <w:szCs w:val="18"/>
              </w:rPr>
            </w:pPr>
            <w:r w:rsidRPr="00CF3E3D">
              <w:rPr>
                <w:sz w:val="18"/>
                <w:szCs w:val="18"/>
              </w:rPr>
              <w:t>75.4</w:t>
            </w:r>
          </w:p>
        </w:tc>
      </w:tr>
      <w:tr w:rsidR="007B0FBA" w:rsidRPr="00CF3E3D" w14:paraId="0DA9010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49" w:type="pct"/>
          </w:tcPr>
          <w:p w14:paraId="75EA50EA" w14:textId="77777777" w:rsidR="007B0FBA" w:rsidRPr="00CF3E3D" w:rsidRDefault="007B0FBA" w:rsidP="007007AC">
            <w:pPr>
              <w:spacing w:before="85" w:line="288" w:lineRule="auto"/>
              <w:rPr>
                <w:b/>
                <w:bCs/>
                <w:sz w:val="18"/>
                <w:szCs w:val="18"/>
                <w:lang w:eastAsia="en-AU"/>
              </w:rPr>
            </w:pPr>
            <w:r w:rsidRPr="00CF3E3D">
              <w:rPr>
                <w:b/>
                <w:bCs/>
                <w:sz w:val="18"/>
                <w:szCs w:val="18"/>
                <w:lang w:eastAsia="en-AU"/>
              </w:rPr>
              <w:t>2022</w:t>
            </w:r>
          </w:p>
        </w:tc>
        <w:tc>
          <w:tcPr>
            <w:cnfStyle w:val="000001000000" w:firstRow="0" w:lastRow="0" w:firstColumn="0" w:lastColumn="0" w:oddVBand="0" w:evenVBand="1" w:oddHBand="0" w:evenHBand="0" w:firstRowFirstColumn="0" w:firstRowLastColumn="0" w:lastRowFirstColumn="0" w:lastRowLastColumn="0"/>
            <w:tcW w:w="1675" w:type="pct"/>
          </w:tcPr>
          <w:p w14:paraId="392F2A34" w14:textId="77777777" w:rsidR="007B0FBA" w:rsidRPr="00CF3E3D" w:rsidRDefault="007B0FBA" w:rsidP="007007AC">
            <w:pPr>
              <w:spacing w:before="85" w:line="288" w:lineRule="auto"/>
              <w:jc w:val="center"/>
              <w:rPr>
                <w:sz w:val="18"/>
                <w:szCs w:val="18"/>
              </w:rPr>
            </w:pPr>
            <w:r w:rsidRPr="00CF3E3D">
              <w:rPr>
                <w:sz w:val="18"/>
                <w:szCs w:val="18"/>
              </w:rPr>
              <w:t>77.4</w:t>
            </w:r>
          </w:p>
        </w:tc>
        <w:tc>
          <w:tcPr>
            <w:cnfStyle w:val="000010000000" w:firstRow="0" w:lastRow="0" w:firstColumn="0" w:lastColumn="0" w:oddVBand="1" w:evenVBand="0" w:oddHBand="0" w:evenHBand="0" w:firstRowFirstColumn="0" w:firstRowLastColumn="0" w:lastRowFirstColumn="0" w:lastRowLastColumn="0"/>
            <w:tcW w:w="1676" w:type="pct"/>
          </w:tcPr>
          <w:p w14:paraId="6172D6D8" w14:textId="77777777" w:rsidR="007B0FBA" w:rsidRPr="00CF3E3D" w:rsidRDefault="007B0FBA" w:rsidP="007007AC">
            <w:pPr>
              <w:spacing w:before="85" w:line="288" w:lineRule="auto"/>
              <w:jc w:val="center"/>
              <w:rPr>
                <w:sz w:val="18"/>
                <w:szCs w:val="18"/>
              </w:rPr>
            </w:pPr>
            <w:r w:rsidRPr="00CF3E3D">
              <w:rPr>
                <w:sz w:val="18"/>
                <w:szCs w:val="18"/>
              </w:rPr>
              <w:t>76.3</w:t>
            </w:r>
          </w:p>
        </w:tc>
      </w:tr>
    </w:tbl>
    <w:p w14:paraId="329FD533" w14:textId="4C4402D1" w:rsidR="00CE0F1F" w:rsidRDefault="007B0FBA" w:rsidP="002476E7">
      <w:pPr>
        <w:pStyle w:val="Note"/>
        <w:spacing w:before="0"/>
      </w:pPr>
      <w:r w:rsidRPr="00CF3E3D">
        <w:t xml:space="preserve">Note: A </w:t>
      </w:r>
      <w:r>
        <w:t xml:space="preserve">‘-‘ </w:t>
      </w:r>
      <w:r w:rsidRPr="00CF3E3D">
        <w:t>indicates there is no data for that cell</w:t>
      </w:r>
      <w:r>
        <w:t>.</w:t>
      </w:r>
    </w:p>
    <w:p w14:paraId="2C2191EA" w14:textId="1EE7832B" w:rsidR="00CE0F1F" w:rsidRDefault="00CE0F1F" w:rsidP="007B0FBA">
      <w:pPr>
        <w:pStyle w:val="Note"/>
        <w:sectPr w:rsidR="00CE0F1F" w:rsidSect="00BF1008">
          <w:footerReference w:type="default" r:id="rId22"/>
          <w:pgSz w:w="11906" w:h="16838" w:code="9"/>
          <w:pgMar w:top="1418" w:right="1418" w:bottom="1418" w:left="1418" w:header="567" w:footer="567" w:gutter="0"/>
          <w:cols w:space="708"/>
          <w:docGrid w:linePitch="360"/>
        </w:sectPr>
      </w:pPr>
    </w:p>
    <w:p w14:paraId="4B0D4FF5" w14:textId="77777777" w:rsidR="00A30E61" w:rsidRPr="00A30E61" w:rsidRDefault="00A30E61" w:rsidP="006A79B6">
      <w:pPr>
        <w:pStyle w:val="Heading1"/>
        <w:numPr>
          <w:ilvl w:val="0"/>
          <w:numId w:val="0"/>
        </w:numPr>
        <w:ind w:left="851" w:hanging="851"/>
        <w:rPr>
          <w:color w:val="000000" w:themeColor="text1"/>
        </w:rPr>
      </w:pPr>
      <w:bookmarkStart w:id="163" w:name="_Toc528315521"/>
      <w:bookmarkStart w:id="164" w:name="_Toc22810103"/>
      <w:bookmarkStart w:id="165" w:name="_Toc116035553"/>
      <w:bookmarkStart w:id="166" w:name="_Toc116039908"/>
      <w:r w:rsidRPr="00A30E61">
        <w:rPr>
          <w:color w:val="000000" w:themeColor="text1"/>
        </w:rPr>
        <w:lastRenderedPageBreak/>
        <w:t>Appendix 1 Methodology</w:t>
      </w:r>
      <w:bookmarkStart w:id="167" w:name="_Toc75794930"/>
      <w:bookmarkStart w:id="168" w:name="_Toc76446385"/>
      <w:bookmarkEnd w:id="163"/>
      <w:bookmarkEnd w:id="164"/>
      <w:bookmarkEnd w:id="165"/>
      <w:bookmarkEnd w:id="166"/>
    </w:p>
    <w:p w14:paraId="58C14FFB" w14:textId="77777777" w:rsidR="00A30E61" w:rsidRPr="00A30E61" w:rsidRDefault="00A30E61" w:rsidP="00A30E61">
      <w:pPr>
        <w:pStyle w:val="Heading2"/>
        <w:numPr>
          <w:ilvl w:val="0"/>
          <w:numId w:val="0"/>
        </w:numPr>
        <w:rPr>
          <w:color w:val="000000" w:themeColor="text1"/>
        </w:rPr>
      </w:pPr>
      <w:bookmarkStart w:id="169" w:name="_Toc116035554"/>
      <w:bookmarkStart w:id="170" w:name="_Toc116039909"/>
      <w:r w:rsidRPr="00A30E61">
        <w:rPr>
          <w:color w:val="000000" w:themeColor="text1"/>
        </w:rPr>
        <w:t>1.1 Methodological summary</w:t>
      </w:r>
      <w:bookmarkEnd w:id="167"/>
      <w:bookmarkEnd w:id="168"/>
      <w:bookmarkEnd w:id="169"/>
      <w:bookmarkEnd w:id="170"/>
    </w:p>
    <w:p w14:paraId="0B263231" w14:textId="77777777" w:rsidR="00A30E61" w:rsidRPr="00A30E61" w:rsidRDefault="00A30E61" w:rsidP="00A30E61">
      <w:pPr>
        <w:pStyle w:val="Heading3"/>
        <w:numPr>
          <w:ilvl w:val="0"/>
          <w:numId w:val="0"/>
        </w:numPr>
        <w:ind w:left="851" w:hanging="851"/>
        <w:rPr>
          <w:color w:val="000000" w:themeColor="text1"/>
        </w:rPr>
      </w:pPr>
      <w:bookmarkStart w:id="171" w:name="_Toc66806704"/>
      <w:bookmarkStart w:id="172" w:name="_Toc76446386"/>
      <w:bookmarkStart w:id="173" w:name="_Toc116035555"/>
      <w:bookmarkStart w:id="174" w:name="_Toc116039910"/>
      <w:r w:rsidRPr="00A30E61">
        <w:rPr>
          <w:color w:val="000000" w:themeColor="text1"/>
        </w:rPr>
        <w:t>1.1.1 Overview</w:t>
      </w:r>
      <w:bookmarkEnd w:id="171"/>
      <w:bookmarkEnd w:id="172"/>
      <w:bookmarkEnd w:id="173"/>
      <w:bookmarkEnd w:id="174"/>
    </w:p>
    <w:p w14:paraId="53604BC1" w14:textId="77777777" w:rsidR="00A30E61" w:rsidRPr="00CF3E3D" w:rsidRDefault="00A30E61" w:rsidP="00A30E61">
      <w:pPr>
        <w:pStyle w:val="Body"/>
      </w:pPr>
      <w:r w:rsidRPr="00CF3E3D">
        <w:t xml:space="preserve">The in-scope population consisted of all graduates who completed the requirements of an undergraduate or postgraduate award at a participating Australian higher education institution between March 2021 and February 2022. This included domestic and international graduates living outside Australia who studied at an Australian campus. Offshore graduates who studied at a campus outside Australia were excluded from the core survey. For the 2022 GOS, due to COVID-19 restrictions, an allowance was made to include international graduates who had originally intended to complete their study onshore but completed their studies online while residing in their home country. </w:t>
      </w:r>
    </w:p>
    <w:p w14:paraId="30470FAB" w14:textId="77777777" w:rsidR="00A30E61" w:rsidRPr="00CF3E3D" w:rsidRDefault="00A30E61" w:rsidP="00A30E61">
      <w:pPr>
        <w:pStyle w:val="Body"/>
      </w:pPr>
      <w:r w:rsidRPr="00CF3E3D">
        <w:rPr>
          <w:highlight w:val="yellow"/>
        </w:rPr>
        <w:fldChar w:fldCharType="begin"/>
      </w:r>
      <w:r w:rsidRPr="00CF3E3D">
        <w:instrText xml:space="preserve"> REF _Ref77924581 \h </w:instrText>
      </w:r>
      <w:r w:rsidRPr="00CF3E3D">
        <w:rPr>
          <w:highlight w:val="yellow"/>
        </w:rPr>
        <w:instrText xml:space="preserve"> \* MERGEFORMAT </w:instrText>
      </w:r>
      <w:r w:rsidRPr="00CF3E3D">
        <w:rPr>
          <w:highlight w:val="yellow"/>
        </w:rPr>
      </w:r>
      <w:r w:rsidRPr="00CF3E3D">
        <w:rPr>
          <w:highlight w:val="yellow"/>
        </w:rPr>
        <w:fldChar w:fldCharType="separate"/>
      </w:r>
      <w:r w:rsidRPr="00CF3E3D">
        <w:t xml:space="preserve">Table </w:t>
      </w:r>
      <w:r>
        <w:t>23</w:t>
      </w:r>
      <w:r w:rsidRPr="00CF3E3D">
        <w:rPr>
          <w:highlight w:val="yellow"/>
        </w:rPr>
        <w:fldChar w:fldCharType="end"/>
      </w:r>
      <w:r w:rsidRPr="00CF3E3D">
        <w:t xml:space="preserve"> provides a summary of the 2022 GOS. A total of 363,248 graduates from 130 institutions, including all 42 universities and 88 NUHEIs, were approached to participate. From a final in-scope sample of 333,300 graduates, responses were received from a total of 131,311 graduates. This represents an overall response rate for the 2022 GOS of 39.4 per cent, lower than previous years (40.4 per cent in 2021, 42.3 per cent in 2020, 44.2 per cent in 2019, 43.0 per cent in 2018, and 45.0 per cent in 2017). For the QILT suite of surveys, ‘response rate’ is defined as completed surveys as a proportion of final sample, where final sample excludes unusable sample (e.g., no contact details), out-of-scope and opted-out. This definition of response rates differs from industry standards by treating certain non-contacts and refusals as being ineligible for the response rate calculation.</w:t>
      </w:r>
    </w:p>
    <w:p w14:paraId="3130E3D2" w14:textId="281E2FA3" w:rsidR="00A30E61" w:rsidRPr="00A30E61" w:rsidRDefault="00A30E61" w:rsidP="00A30E61">
      <w:pPr>
        <w:pStyle w:val="Caption"/>
        <w:rPr>
          <w:color w:val="000000" w:themeColor="text1"/>
        </w:rPr>
      </w:pPr>
      <w:bookmarkStart w:id="175" w:name="_Ref77924581"/>
      <w:bookmarkStart w:id="176" w:name="_Toc116035817"/>
      <w:bookmarkStart w:id="177" w:name="_Toc116040372"/>
      <w:r w:rsidRPr="00A30E61">
        <w:rPr>
          <w:color w:val="000000" w:themeColor="text1"/>
        </w:rPr>
        <w:t xml:space="preserve">Table </w:t>
      </w:r>
      <w:r w:rsidRPr="00A30E61">
        <w:rPr>
          <w:color w:val="000000" w:themeColor="text1"/>
        </w:rPr>
        <w:fldChar w:fldCharType="begin"/>
      </w:r>
      <w:r w:rsidRPr="00A30E61">
        <w:rPr>
          <w:color w:val="000000" w:themeColor="text1"/>
        </w:rPr>
        <w:instrText xml:space="preserve"> SEQ Table \* ARABIC </w:instrText>
      </w:r>
      <w:r w:rsidRPr="00A30E61">
        <w:rPr>
          <w:color w:val="000000" w:themeColor="text1"/>
        </w:rPr>
        <w:fldChar w:fldCharType="separate"/>
      </w:r>
      <w:r>
        <w:rPr>
          <w:noProof/>
          <w:color w:val="000000" w:themeColor="text1"/>
        </w:rPr>
        <w:t>23</w:t>
      </w:r>
      <w:r w:rsidRPr="00A30E61">
        <w:rPr>
          <w:color w:val="000000" w:themeColor="text1"/>
        </w:rPr>
        <w:fldChar w:fldCharType="end"/>
      </w:r>
      <w:bookmarkEnd w:id="175"/>
      <w:r w:rsidRPr="00A30E61">
        <w:rPr>
          <w:color w:val="000000" w:themeColor="text1"/>
        </w:rPr>
        <w:t xml:space="preserve"> 2022 GOS operational overview</w:t>
      </w:r>
      <w:bookmarkEnd w:id="176"/>
      <w:bookmarkEnd w:id="177"/>
    </w:p>
    <w:tbl>
      <w:tblPr>
        <w:tblStyle w:val="SRC1"/>
        <w:tblW w:w="15163" w:type="dxa"/>
        <w:tblLayout w:type="fixed"/>
        <w:tblLook w:val="04A0" w:firstRow="1" w:lastRow="0" w:firstColumn="1" w:lastColumn="0" w:noHBand="0" w:noVBand="1"/>
      </w:tblPr>
      <w:tblGrid>
        <w:gridCol w:w="2263"/>
        <w:gridCol w:w="1276"/>
        <w:gridCol w:w="992"/>
        <w:gridCol w:w="993"/>
        <w:gridCol w:w="1275"/>
        <w:gridCol w:w="993"/>
        <w:gridCol w:w="850"/>
        <w:gridCol w:w="1276"/>
        <w:gridCol w:w="992"/>
        <w:gridCol w:w="992"/>
        <w:gridCol w:w="1276"/>
        <w:gridCol w:w="992"/>
        <w:gridCol w:w="993"/>
      </w:tblGrid>
      <w:tr w:rsidR="00A30E61" w:rsidRPr="00CF3E3D" w14:paraId="6A706B34"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2263" w:type="dxa"/>
          </w:tcPr>
          <w:p w14:paraId="3BA0BAD1" w14:textId="34531FEE" w:rsidR="00A30E61" w:rsidRPr="00CF3E3D" w:rsidRDefault="00960B1F" w:rsidP="007007AC">
            <w:bookmarkStart w:id="178" w:name="Title23"/>
            <w:bookmarkEnd w:id="178"/>
            <w:r w:rsidRPr="0021639B">
              <w:rPr>
                <w:rStyle w:val="TabletextBOLD"/>
                <w:b/>
                <w:bCs w:val="0"/>
                <w:color w:val="1F698E" w:themeColor="accent1"/>
              </w:rPr>
              <w:t>Category</w:t>
            </w:r>
          </w:p>
        </w:tc>
        <w:tc>
          <w:tcPr>
            <w:tcW w:w="1276" w:type="dxa"/>
          </w:tcPr>
          <w:p w14:paraId="202BC15D"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2021 November Universities</w:t>
            </w:r>
          </w:p>
        </w:tc>
        <w:tc>
          <w:tcPr>
            <w:tcW w:w="992" w:type="dxa"/>
          </w:tcPr>
          <w:p w14:paraId="49A5D3AB"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2021 November NUHEIs</w:t>
            </w:r>
          </w:p>
        </w:tc>
        <w:tc>
          <w:tcPr>
            <w:tcW w:w="993" w:type="dxa"/>
          </w:tcPr>
          <w:p w14:paraId="79B61A83"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2021 November Total</w:t>
            </w:r>
          </w:p>
        </w:tc>
        <w:tc>
          <w:tcPr>
            <w:tcW w:w="1275" w:type="dxa"/>
          </w:tcPr>
          <w:p w14:paraId="5A241A29"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February Universities</w:t>
            </w:r>
          </w:p>
        </w:tc>
        <w:tc>
          <w:tcPr>
            <w:tcW w:w="993" w:type="dxa"/>
          </w:tcPr>
          <w:p w14:paraId="360C796D"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February NUHEIs</w:t>
            </w:r>
          </w:p>
        </w:tc>
        <w:tc>
          <w:tcPr>
            <w:tcW w:w="850" w:type="dxa"/>
          </w:tcPr>
          <w:p w14:paraId="179B1EF8"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February Total</w:t>
            </w:r>
          </w:p>
        </w:tc>
        <w:tc>
          <w:tcPr>
            <w:tcW w:w="1276" w:type="dxa"/>
          </w:tcPr>
          <w:p w14:paraId="34FFD7CD"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May Universities</w:t>
            </w:r>
          </w:p>
        </w:tc>
        <w:tc>
          <w:tcPr>
            <w:tcW w:w="992" w:type="dxa"/>
          </w:tcPr>
          <w:p w14:paraId="5606A6CB"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May NUHEIs</w:t>
            </w:r>
          </w:p>
        </w:tc>
        <w:tc>
          <w:tcPr>
            <w:tcW w:w="992" w:type="dxa"/>
          </w:tcPr>
          <w:p w14:paraId="583992FC"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May Total</w:t>
            </w:r>
          </w:p>
        </w:tc>
        <w:tc>
          <w:tcPr>
            <w:tcW w:w="1276" w:type="dxa"/>
          </w:tcPr>
          <w:p w14:paraId="33C8B433"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Total collection Universities</w:t>
            </w:r>
          </w:p>
        </w:tc>
        <w:tc>
          <w:tcPr>
            <w:tcW w:w="992" w:type="dxa"/>
          </w:tcPr>
          <w:p w14:paraId="35B5DC86"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Total collection NUHEIs</w:t>
            </w:r>
          </w:p>
        </w:tc>
        <w:tc>
          <w:tcPr>
            <w:tcW w:w="993" w:type="dxa"/>
          </w:tcPr>
          <w:p w14:paraId="1CD9CBE9" w14:textId="77777777" w:rsidR="00A30E61" w:rsidRPr="009E2706" w:rsidRDefault="00A30E61" w:rsidP="007007AC">
            <w:pPr>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E2706">
              <w:rPr>
                <w:bCs/>
                <w:color w:val="FFFFFF" w:themeColor="background1"/>
                <w:sz w:val="18"/>
                <w:szCs w:val="18"/>
              </w:rPr>
              <w:t>2022 Total collection Total</w:t>
            </w:r>
          </w:p>
        </w:tc>
      </w:tr>
      <w:tr w:rsidR="00A30E61" w:rsidRPr="00CF3E3D" w14:paraId="4C9ED27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75CDA79E" w14:textId="77777777" w:rsidR="00A30E61" w:rsidRPr="00CF3E3D" w:rsidRDefault="00A30E61" w:rsidP="007007AC">
            <w:pPr>
              <w:rPr>
                <w:b/>
                <w:bCs/>
                <w:sz w:val="18"/>
                <w:szCs w:val="18"/>
              </w:rPr>
            </w:pPr>
            <w:r w:rsidRPr="00CF3E3D">
              <w:rPr>
                <w:b/>
                <w:bCs/>
                <w:sz w:val="18"/>
                <w:szCs w:val="18"/>
              </w:rPr>
              <w:t>Number of participating institutions</w:t>
            </w:r>
          </w:p>
        </w:tc>
        <w:tc>
          <w:tcPr>
            <w:tcW w:w="1276" w:type="dxa"/>
          </w:tcPr>
          <w:p w14:paraId="6DA450A8"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42</w:t>
            </w:r>
          </w:p>
        </w:tc>
        <w:tc>
          <w:tcPr>
            <w:tcW w:w="992" w:type="dxa"/>
          </w:tcPr>
          <w:p w14:paraId="53B72B66"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66</w:t>
            </w:r>
          </w:p>
        </w:tc>
        <w:tc>
          <w:tcPr>
            <w:tcW w:w="993" w:type="dxa"/>
          </w:tcPr>
          <w:p w14:paraId="3508D753"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108</w:t>
            </w:r>
          </w:p>
        </w:tc>
        <w:tc>
          <w:tcPr>
            <w:tcW w:w="1275" w:type="dxa"/>
          </w:tcPr>
          <w:p w14:paraId="2F395AE1"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32</w:t>
            </w:r>
          </w:p>
        </w:tc>
        <w:tc>
          <w:tcPr>
            <w:tcW w:w="993" w:type="dxa"/>
          </w:tcPr>
          <w:p w14:paraId="46602767"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43</w:t>
            </w:r>
          </w:p>
        </w:tc>
        <w:tc>
          <w:tcPr>
            <w:tcW w:w="850" w:type="dxa"/>
          </w:tcPr>
          <w:p w14:paraId="71D48710"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75</w:t>
            </w:r>
          </w:p>
        </w:tc>
        <w:tc>
          <w:tcPr>
            <w:tcW w:w="1276" w:type="dxa"/>
          </w:tcPr>
          <w:p w14:paraId="014E5931"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42</w:t>
            </w:r>
          </w:p>
        </w:tc>
        <w:tc>
          <w:tcPr>
            <w:tcW w:w="992" w:type="dxa"/>
          </w:tcPr>
          <w:p w14:paraId="35C06154"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77</w:t>
            </w:r>
          </w:p>
        </w:tc>
        <w:tc>
          <w:tcPr>
            <w:tcW w:w="992" w:type="dxa"/>
          </w:tcPr>
          <w:p w14:paraId="306293A8"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119</w:t>
            </w:r>
          </w:p>
        </w:tc>
        <w:tc>
          <w:tcPr>
            <w:tcW w:w="1276" w:type="dxa"/>
          </w:tcPr>
          <w:p w14:paraId="50C7658D"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42</w:t>
            </w:r>
          </w:p>
        </w:tc>
        <w:tc>
          <w:tcPr>
            <w:tcW w:w="992" w:type="dxa"/>
          </w:tcPr>
          <w:p w14:paraId="0C8FC40B"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88</w:t>
            </w:r>
          </w:p>
        </w:tc>
        <w:tc>
          <w:tcPr>
            <w:tcW w:w="993" w:type="dxa"/>
          </w:tcPr>
          <w:p w14:paraId="02608A1B"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130</w:t>
            </w:r>
          </w:p>
        </w:tc>
      </w:tr>
      <w:tr w:rsidR="00A30E61" w:rsidRPr="00CF3E3D" w14:paraId="77855C0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03FC58CE" w14:textId="77777777" w:rsidR="00A30E61" w:rsidRPr="00CF3E3D" w:rsidRDefault="00A30E61" w:rsidP="007007AC">
            <w:pPr>
              <w:rPr>
                <w:b/>
                <w:bCs/>
                <w:sz w:val="18"/>
                <w:szCs w:val="18"/>
              </w:rPr>
            </w:pPr>
            <w:r w:rsidRPr="00CF3E3D">
              <w:rPr>
                <w:b/>
                <w:bCs/>
                <w:sz w:val="18"/>
                <w:szCs w:val="18"/>
              </w:rPr>
              <w:t>Number of graduates approached</w:t>
            </w:r>
          </w:p>
        </w:tc>
        <w:tc>
          <w:tcPr>
            <w:tcW w:w="1276" w:type="dxa"/>
          </w:tcPr>
          <w:p w14:paraId="02E784D9"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105,482</w:t>
            </w:r>
          </w:p>
        </w:tc>
        <w:tc>
          <w:tcPr>
            <w:tcW w:w="992" w:type="dxa"/>
          </w:tcPr>
          <w:p w14:paraId="06E01A2E"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13,688</w:t>
            </w:r>
          </w:p>
        </w:tc>
        <w:tc>
          <w:tcPr>
            <w:tcW w:w="993" w:type="dxa"/>
          </w:tcPr>
          <w:p w14:paraId="5E5903AB"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119,170</w:t>
            </w:r>
          </w:p>
        </w:tc>
        <w:tc>
          <w:tcPr>
            <w:tcW w:w="1275" w:type="dxa"/>
          </w:tcPr>
          <w:p w14:paraId="17EEA75B"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22,660</w:t>
            </w:r>
          </w:p>
        </w:tc>
        <w:tc>
          <w:tcPr>
            <w:tcW w:w="993" w:type="dxa"/>
          </w:tcPr>
          <w:p w14:paraId="39971C5C"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4,456</w:t>
            </w:r>
          </w:p>
        </w:tc>
        <w:tc>
          <w:tcPr>
            <w:tcW w:w="850" w:type="dxa"/>
          </w:tcPr>
          <w:p w14:paraId="7527C824"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27,116</w:t>
            </w:r>
          </w:p>
        </w:tc>
        <w:tc>
          <w:tcPr>
            <w:tcW w:w="1276" w:type="dxa"/>
          </w:tcPr>
          <w:p w14:paraId="1235FB4D"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202,840</w:t>
            </w:r>
          </w:p>
        </w:tc>
        <w:tc>
          <w:tcPr>
            <w:tcW w:w="992" w:type="dxa"/>
          </w:tcPr>
          <w:p w14:paraId="3BF673F1"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14,122</w:t>
            </w:r>
          </w:p>
        </w:tc>
        <w:tc>
          <w:tcPr>
            <w:tcW w:w="992" w:type="dxa"/>
          </w:tcPr>
          <w:p w14:paraId="78CABC83"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216,962</w:t>
            </w:r>
          </w:p>
        </w:tc>
        <w:tc>
          <w:tcPr>
            <w:tcW w:w="1276" w:type="dxa"/>
          </w:tcPr>
          <w:p w14:paraId="14AEF73C"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330,982</w:t>
            </w:r>
          </w:p>
        </w:tc>
        <w:tc>
          <w:tcPr>
            <w:tcW w:w="992" w:type="dxa"/>
          </w:tcPr>
          <w:p w14:paraId="174F8633"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32,266</w:t>
            </w:r>
          </w:p>
        </w:tc>
        <w:tc>
          <w:tcPr>
            <w:tcW w:w="993" w:type="dxa"/>
          </w:tcPr>
          <w:p w14:paraId="60DC1E5A"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363,248</w:t>
            </w:r>
          </w:p>
        </w:tc>
      </w:tr>
      <w:tr w:rsidR="00A30E61" w:rsidRPr="00CF3E3D" w14:paraId="2B6582B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52276F20" w14:textId="77777777" w:rsidR="00A30E61" w:rsidRPr="00CF3E3D" w:rsidRDefault="00A30E61" w:rsidP="007007AC">
            <w:pPr>
              <w:rPr>
                <w:b/>
                <w:bCs/>
                <w:sz w:val="18"/>
                <w:szCs w:val="18"/>
              </w:rPr>
            </w:pPr>
            <w:r w:rsidRPr="00CF3E3D">
              <w:rPr>
                <w:b/>
                <w:bCs/>
                <w:sz w:val="18"/>
                <w:szCs w:val="18"/>
              </w:rPr>
              <w:t>Final 'in-scope' sample</w:t>
            </w:r>
          </w:p>
        </w:tc>
        <w:tc>
          <w:tcPr>
            <w:tcW w:w="1276" w:type="dxa"/>
          </w:tcPr>
          <w:p w14:paraId="4DDEF3AB"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97,334</w:t>
            </w:r>
          </w:p>
        </w:tc>
        <w:tc>
          <w:tcPr>
            <w:tcW w:w="992" w:type="dxa"/>
          </w:tcPr>
          <w:p w14:paraId="7D36C72D"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12,409</w:t>
            </w:r>
          </w:p>
        </w:tc>
        <w:tc>
          <w:tcPr>
            <w:tcW w:w="993" w:type="dxa"/>
          </w:tcPr>
          <w:p w14:paraId="3984044E"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109,743</w:t>
            </w:r>
          </w:p>
        </w:tc>
        <w:tc>
          <w:tcPr>
            <w:tcW w:w="1275" w:type="dxa"/>
          </w:tcPr>
          <w:p w14:paraId="18A60106"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20,772</w:t>
            </w:r>
          </w:p>
        </w:tc>
        <w:tc>
          <w:tcPr>
            <w:tcW w:w="993" w:type="dxa"/>
          </w:tcPr>
          <w:p w14:paraId="3382111B"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3,913</w:t>
            </w:r>
          </w:p>
        </w:tc>
        <w:tc>
          <w:tcPr>
            <w:tcW w:w="850" w:type="dxa"/>
          </w:tcPr>
          <w:p w14:paraId="1FD70F0E"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24,685</w:t>
            </w:r>
          </w:p>
        </w:tc>
        <w:tc>
          <w:tcPr>
            <w:tcW w:w="1276" w:type="dxa"/>
          </w:tcPr>
          <w:p w14:paraId="18694230"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186,101</w:t>
            </w:r>
          </w:p>
        </w:tc>
        <w:tc>
          <w:tcPr>
            <w:tcW w:w="992" w:type="dxa"/>
          </w:tcPr>
          <w:p w14:paraId="191CE476"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12,771</w:t>
            </w:r>
          </w:p>
        </w:tc>
        <w:tc>
          <w:tcPr>
            <w:tcW w:w="992" w:type="dxa"/>
          </w:tcPr>
          <w:p w14:paraId="04753F1D"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198,872</w:t>
            </w:r>
          </w:p>
        </w:tc>
        <w:tc>
          <w:tcPr>
            <w:tcW w:w="1276" w:type="dxa"/>
          </w:tcPr>
          <w:p w14:paraId="2102F083"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304,207</w:t>
            </w:r>
          </w:p>
        </w:tc>
        <w:tc>
          <w:tcPr>
            <w:tcW w:w="992" w:type="dxa"/>
          </w:tcPr>
          <w:p w14:paraId="08D1952E"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29,093</w:t>
            </w:r>
          </w:p>
        </w:tc>
        <w:tc>
          <w:tcPr>
            <w:tcW w:w="993" w:type="dxa"/>
          </w:tcPr>
          <w:p w14:paraId="6B54B30A"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333,300</w:t>
            </w:r>
          </w:p>
        </w:tc>
      </w:tr>
      <w:tr w:rsidR="00A30E61" w:rsidRPr="00CF3E3D" w14:paraId="228648D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70547886" w14:textId="77777777" w:rsidR="00A30E61" w:rsidRPr="00CF3E3D" w:rsidRDefault="00A30E61" w:rsidP="007007AC">
            <w:pPr>
              <w:rPr>
                <w:b/>
                <w:bCs/>
                <w:sz w:val="18"/>
                <w:szCs w:val="18"/>
              </w:rPr>
            </w:pPr>
            <w:r w:rsidRPr="00CF3E3D">
              <w:rPr>
                <w:b/>
                <w:bCs/>
                <w:sz w:val="18"/>
                <w:szCs w:val="18"/>
              </w:rPr>
              <w:lastRenderedPageBreak/>
              <w:t>Number of completed surveys</w:t>
            </w:r>
          </w:p>
        </w:tc>
        <w:tc>
          <w:tcPr>
            <w:tcW w:w="1276" w:type="dxa"/>
          </w:tcPr>
          <w:p w14:paraId="73A0A8E8"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37,311</w:t>
            </w:r>
          </w:p>
        </w:tc>
        <w:tc>
          <w:tcPr>
            <w:tcW w:w="992" w:type="dxa"/>
          </w:tcPr>
          <w:p w14:paraId="757CD2C6"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4,635</w:t>
            </w:r>
          </w:p>
        </w:tc>
        <w:tc>
          <w:tcPr>
            <w:tcW w:w="993" w:type="dxa"/>
          </w:tcPr>
          <w:p w14:paraId="50AEF7EE"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41,946</w:t>
            </w:r>
          </w:p>
        </w:tc>
        <w:tc>
          <w:tcPr>
            <w:tcW w:w="1275" w:type="dxa"/>
          </w:tcPr>
          <w:p w14:paraId="636A44FE"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8,063</w:t>
            </w:r>
          </w:p>
        </w:tc>
        <w:tc>
          <w:tcPr>
            <w:tcW w:w="993" w:type="dxa"/>
          </w:tcPr>
          <w:p w14:paraId="7EE5B4D0"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1,398</w:t>
            </w:r>
          </w:p>
        </w:tc>
        <w:tc>
          <w:tcPr>
            <w:tcW w:w="850" w:type="dxa"/>
          </w:tcPr>
          <w:p w14:paraId="4D568905"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9,461</w:t>
            </w:r>
          </w:p>
        </w:tc>
        <w:tc>
          <w:tcPr>
            <w:tcW w:w="1276" w:type="dxa"/>
          </w:tcPr>
          <w:p w14:paraId="0BD36F98"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74,615</w:t>
            </w:r>
          </w:p>
        </w:tc>
        <w:tc>
          <w:tcPr>
            <w:tcW w:w="992" w:type="dxa"/>
          </w:tcPr>
          <w:p w14:paraId="496CC77A"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5,289</w:t>
            </w:r>
          </w:p>
        </w:tc>
        <w:tc>
          <w:tcPr>
            <w:tcW w:w="992" w:type="dxa"/>
          </w:tcPr>
          <w:p w14:paraId="6D2D6211"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79,904</w:t>
            </w:r>
          </w:p>
        </w:tc>
        <w:tc>
          <w:tcPr>
            <w:tcW w:w="1276" w:type="dxa"/>
          </w:tcPr>
          <w:p w14:paraId="011822B6"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119,989</w:t>
            </w:r>
          </w:p>
        </w:tc>
        <w:tc>
          <w:tcPr>
            <w:tcW w:w="992" w:type="dxa"/>
          </w:tcPr>
          <w:p w14:paraId="15F84F66"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11,322</w:t>
            </w:r>
          </w:p>
        </w:tc>
        <w:tc>
          <w:tcPr>
            <w:tcW w:w="993" w:type="dxa"/>
          </w:tcPr>
          <w:p w14:paraId="720AC722"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131,311</w:t>
            </w:r>
          </w:p>
        </w:tc>
      </w:tr>
      <w:tr w:rsidR="00A30E61" w:rsidRPr="00CF3E3D" w14:paraId="08DB310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14A54E7A" w14:textId="77777777" w:rsidR="00A30E61" w:rsidRPr="00CF3E3D" w:rsidRDefault="00A30E61" w:rsidP="007007AC">
            <w:pPr>
              <w:rPr>
                <w:b/>
                <w:bCs/>
                <w:sz w:val="18"/>
                <w:szCs w:val="18"/>
              </w:rPr>
            </w:pPr>
            <w:r w:rsidRPr="00CF3E3D">
              <w:rPr>
                <w:b/>
                <w:bCs/>
                <w:sz w:val="18"/>
                <w:szCs w:val="18"/>
              </w:rPr>
              <w:t>Overall response rate</w:t>
            </w:r>
          </w:p>
        </w:tc>
        <w:tc>
          <w:tcPr>
            <w:tcW w:w="1276" w:type="dxa"/>
          </w:tcPr>
          <w:p w14:paraId="24C06727"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38.3%</w:t>
            </w:r>
          </w:p>
        </w:tc>
        <w:tc>
          <w:tcPr>
            <w:tcW w:w="992" w:type="dxa"/>
          </w:tcPr>
          <w:p w14:paraId="04420BED"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37.4%</w:t>
            </w:r>
          </w:p>
        </w:tc>
        <w:tc>
          <w:tcPr>
            <w:tcW w:w="993" w:type="dxa"/>
          </w:tcPr>
          <w:p w14:paraId="74D044E2"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38.2%</w:t>
            </w:r>
          </w:p>
        </w:tc>
        <w:tc>
          <w:tcPr>
            <w:tcW w:w="1275" w:type="dxa"/>
          </w:tcPr>
          <w:p w14:paraId="74EF7E5F"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38.8%</w:t>
            </w:r>
          </w:p>
        </w:tc>
        <w:tc>
          <w:tcPr>
            <w:tcW w:w="993" w:type="dxa"/>
          </w:tcPr>
          <w:p w14:paraId="22CFEE7C"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35.7%</w:t>
            </w:r>
          </w:p>
        </w:tc>
        <w:tc>
          <w:tcPr>
            <w:tcW w:w="850" w:type="dxa"/>
          </w:tcPr>
          <w:p w14:paraId="1DFCDB26"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38.3%</w:t>
            </w:r>
          </w:p>
        </w:tc>
        <w:tc>
          <w:tcPr>
            <w:tcW w:w="1276" w:type="dxa"/>
          </w:tcPr>
          <w:p w14:paraId="086FFAF4"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40.1%</w:t>
            </w:r>
          </w:p>
        </w:tc>
        <w:tc>
          <w:tcPr>
            <w:tcW w:w="992" w:type="dxa"/>
          </w:tcPr>
          <w:p w14:paraId="4AFB1451"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41.4%</w:t>
            </w:r>
          </w:p>
        </w:tc>
        <w:tc>
          <w:tcPr>
            <w:tcW w:w="992" w:type="dxa"/>
          </w:tcPr>
          <w:p w14:paraId="1D4751AD"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40.2%</w:t>
            </w:r>
          </w:p>
        </w:tc>
        <w:tc>
          <w:tcPr>
            <w:tcW w:w="1276" w:type="dxa"/>
          </w:tcPr>
          <w:p w14:paraId="5415230D"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39.4%</w:t>
            </w:r>
          </w:p>
        </w:tc>
        <w:tc>
          <w:tcPr>
            <w:tcW w:w="992" w:type="dxa"/>
          </w:tcPr>
          <w:p w14:paraId="49EE9552"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38.9%</w:t>
            </w:r>
          </w:p>
        </w:tc>
        <w:tc>
          <w:tcPr>
            <w:tcW w:w="993" w:type="dxa"/>
          </w:tcPr>
          <w:p w14:paraId="60E33E55"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39.4%</w:t>
            </w:r>
          </w:p>
        </w:tc>
      </w:tr>
      <w:tr w:rsidR="00A30E61" w:rsidRPr="00CF3E3D" w14:paraId="2507A1E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5BF48D78" w14:textId="77777777" w:rsidR="00A30E61" w:rsidRPr="00CF3E3D" w:rsidRDefault="00A30E61" w:rsidP="007007AC">
            <w:pPr>
              <w:rPr>
                <w:b/>
                <w:bCs/>
                <w:sz w:val="18"/>
                <w:szCs w:val="18"/>
              </w:rPr>
            </w:pPr>
            <w:r w:rsidRPr="00CF3E3D">
              <w:rPr>
                <w:b/>
                <w:bCs/>
                <w:sz w:val="18"/>
                <w:szCs w:val="18"/>
              </w:rPr>
              <w:t>Analytic unit</w:t>
            </w:r>
          </w:p>
        </w:tc>
        <w:tc>
          <w:tcPr>
            <w:tcW w:w="1276" w:type="dxa"/>
          </w:tcPr>
          <w:p w14:paraId="4FE409B6"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992" w:type="dxa"/>
          </w:tcPr>
          <w:p w14:paraId="7A557224"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993" w:type="dxa"/>
          </w:tcPr>
          <w:p w14:paraId="3B08C5EA"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1275" w:type="dxa"/>
          </w:tcPr>
          <w:p w14:paraId="5A9D7F24"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993" w:type="dxa"/>
          </w:tcPr>
          <w:p w14:paraId="67237FD0"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850" w:type="dxa"/>
          </w:tcPr>
          <w:p w14:paraId="57EB3271"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1276" w:type="dxa"/>
          </w:tcPr>
          <w:p w14:paraId="74FAF7C2"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992" w:type="dxa"/>
          </w:tcPr>
          <w:p w14:paraId="5AFFBE18"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992" w:type="dxa"/>
          </w:tcPr>
          <w:p w14:paraId="202C78DC"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1276" w:type="dxa"/>
          </w:tcPr>
          <w:p w14:paraId="6525571A"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992" w:type="dxa"/>
          </w:tcPr>
          <w:p w14:paraId="648B6FB6"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c>
          <w:tcPr>
            <w:tcW w:w="993" w:type="dxa"/>
          </w:tcPr>
          <w:p w14:paraId="54498F34" w14:textId="77777777" w:rsidR="00A30E61" w:rsidRPr="00CF3E3D" w:rsidRDefault="00A30E61" w:rsidP="007007AC">
            <w:pPr>
              <w:jc w:val="center"/>
              <w:cnfStyle w:val="000000010000" w:firstRow="0" w:lastRow="0" w:firstColumn="0" w:lastColumn="0" w:oddVBand="0" w:evenVBand="0" w:oddHBand="0" w:evenHBand="1" w:firstRowFirstColumn="0" w:firstRowLastColumn="0" w:lastRowFirstColumn="0" w:lastRowLastColumn="0"/>
              <w:rPr>
                <w:sz w:val="18"/>
                <w:szCs w:val="18"/>
              </w:rPr>
            </w:pPr>
            <w:r w:rsidRPr="008129A9">
              <w:rPr>
                <w:sz w:val="18"/>
                <w:szCs w:val="18"/>
              </w:rPr>
              <w:t>Graduate</w:t>
            </w:r>
          </w:p>
        </w:tc>
      </w:tr>
      <w:tr w:rsidR="00A30E61" w:rsidRPr="00CF3E3D" w14:paraId="0B7FF36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30DBA105" w14:textId="77777777" w:rsidR="00A30E61" w:rsidRPr="00CF3E3D" w:rsidRDefault="00A30E61" w:rsidP="007007AC">
            <w:pPr>
              <w:rPr>
                <w:b/>
                <w:bCs/>
                <w:sz w:val="18"/>
                <w:szCs w:val="18"/>
              </w:rPr>
            </w:pPr>
            <w:r w:rsidRPr="00CF3E3D">
              <w:rPr>
                <w:b/>
                <w:bCs/>
                <w:sz w:val="18"/>
                <w:szCs w:val="18"/>
              </w:rPr>
              <w:t>Mode of data collection</w:t>
            </w:r>
          </w:p>
        </w:tc>
        <w:tc>
          <w:tcPr>
            <w:tcW w:w="1276" w:type="dxa"/>
          </w:tcPr>
          <w:p w14:paraId="74BCFED3"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992" w:type="dxa"/>
          </w:tcPr>
          <w:p w14:paraId="1188E5D5"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993" w:type="dxa"/>
          </w:tcPr>
          <w:p w14:paraId="4BE5D58C"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1275" w:type="dxa"/>
          </w:tcPr>
          <w:p w14:paraId="4B3E4C67"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993" w:type="dxa"/>
          </w:tcPr>
          <w:p w14:paraId="3005DE84"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850" w:type="dxa"/>
          </w:tcPr>
          <w:p w14:paraId="6C363249"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1276" w:type="dxa"/>
          </w:tcPr>
          <w:p w14:paraId="76340D88"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992" w:type="dxa"/>
          </w:tcPr>
          <w:p w14:paraId="45F813B7"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992" w:type="dxa"/>
          </w:tcPr>
          <w:p w14:paraId="59193051"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1276" w:type="dxa"/>
          </w:tcPr>
          <w:p w14:paraId="365F6F4A"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992" w:type="dxa"/>
          </w:tcPr>
          <w:p w14:paraId="063D37E3"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c>
          <w:tcPr>
            <w:tcW w:w="993" w:type="dxa"/>
          </w:tcPr>
          <w:p w14:paraId="7595B64F" w14:textId="77777777" w:rsidR="00A30E61" w:rsidRPr="00CF3E3D" w:rsidRDefault="00A30E61" w:rsidP="007007A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16C19">
              <w:rPr>
                <w:sz w:val="18"/>
                <w:szCs w:val="18"/>
              </w:rPr>
              <w:t>Online</w:t>
            </w:r>
          </w:p>
        </w:tc>
      </w:tr>
    </w:tbl>
    <w:p w14:paraId="46A99640" w14:textId="77777777" w:rsidR="00A30E61" w:rsidRPr="00CF3E3D" w:rsidRDefault="00A30E61" w:rsidP="00A30E61">
      <w:pPr>
        <w:pStyle w:val="Note"/>
      </w:pPr>
      <w:r w:rsidRPr="00CF3E3D">
        <w:t>Note: In-scope sample excludes any approached graduates who unsubscribed, refused, had unusable contact information, or were identified as out of scope during fieldwork.</w:t>
      </w:r>
    </w:p>
    <w:p w14:paraId="72F5FB4D" w14:textId="77777777" w:rsidR="00A30E61" w:rsidRPr="009E2706" w:rsidRDefault="00A30E61" w:rsidP="009E2706">
      <w:pPr>
        <w:pStyle w:val="Heading3"/>
        <w:numPr>
          <w:ilvl w:val="0"/>
          <w:numId w:val="0"/>
        </w:numPr>
        <w:ind w:left="851" w:hanging="851"/>
        <w:rPr>
          <w:color w:val="000000" w:themeColor="text1"/>
        </w:rPr>
      </w:pPr>
      <w:bookmarkStart w:id="179" w:name="_Toc116035556"/>
      <w:bookmarkStart w:id="180" w:name="_Toc116039911"/>
      <w:r w:rsidRPr="009E2706">
        <w:rPr>
          <w:color w:val="000000" w:themeColor="text1"/>
        </w:rPr>
        <w:t>1.1.2 Data collection</w:t>
      </w:r>
      <w:bookmarkEnd w:id="179"/>
      <w:bookmarkEnd w:id="180"/>
    </w:p>
    <w:p w14:paraId="61B6A1F2" w14:textId="77777777" w:rsidR="00A30E61" w:rsidRPr="00CF3E3D" w:rsidRDefault="00A30E61" w:rsidP="00A30E61">
      <w:pPr>
        <w:pStyle w:val="Body"/>
      </w:pPr>
      <w:r w:rsidRPr="00CF3E3D">
        <w:t xml:space="preserve">The main collection periods were November, February, and May. The February collection is undertaken to accommodate institutions with August to October 2021 completions. The survey was fielded primarily online, in English only. </w:t>
      </w:r>
    </w:p>
    <w:p w14:paraId="366FAD30" w14:textId="77777777" w:rsidR="00A30E61" w:rsidRPr="00CF3E3D" w:rsidRDefault="00A30E61" w:rsidP="00A30E61">
      <w:pPr>
        <w:pStyle w:val="Body"/>
      </w:pPr>
      <w:r w:rsidRPr="00CF3E3D">
        <w:t xml:space="preserve">All completing respondents were entered into a four-week rolling prize draw in each period of the 2022 GOS collection cycle. The prize pool totalled $27,000 in the November period, $6,000 in February, and $37,000 in May. The total prize pools for each collection period aimed to reflect the proportion of sample in each. </w:t>
      </w:r>
    </w:p>
    <w:p w14:paraId="7553CFF8" w14:textId="77777777" w:rsidR="00A30E61" w:rsidRPr="00CF3E3D" w:rsidRDefault="00A30E61" w:rsidP="00A30E61">
      <w:pPr>
        <w:pStyle w:val="Body"/>
      </w:pPr>
      <w:r w:rsidRPr="00CF3E3D">
        <w:t>A broad range of promotional materials were provided to institutions to raise awareness of the GOS and encourage participation amongst the target population. The contact strategy for the 2022 GOS featured an email invitation to complete the survey, followed by nine reminder emails, up to three SMS reminders, as well as in field telephone reminder calls. Several institutions also commissioned post-fieldwork telephone reminder calls to boost participation, which extended data collection for these institutions approximately two weeks post main collection.</w:t>
      </w:r>
    </w:p>
    <w:p w14:paraId="2B5E4C84" w14:textId="3833DBD6" w:rsidR="00A30E61" w:rsidRPr="00CF3E3D" w:rsidRDefault="00A30E61" w:rsidP="00A30E61">
      <w:pPr>
        <w:pStyle w:val="Body"/>
      </w:pPr>
      <w:r w:rsidRPr="00CF3E3D">
        <w:t xml:space="preserve">Refer to the </w:t>
      </w:r>
      <w:hyperlink r:id="rId23" w:tooltip="Go to 2022 GOS Methodological Report" w:history="1">
        <w:r w:rsidRPr="008B00D1">
          <w:rPr>
            <w:rStyle w:val="Hyperlink"/>
          </w:rPr>
          <w:t>2022 GOS Methodological Report</w:t>
        </w:r>
      </w:hyperlink>
      <w:r w:rsidRPr="00CF3E3D">
        <w:t xml:space="preserve"> for further information on target population definition, sample design and preparation, survey design and procedures, response maximisation strategies, data preparation processes, final field outcomes and response analysis.</w:t>
      </w:r>
    </w:p>
    <w:p w14:paraId="5BAA1B53" w14:textId="1CC78B69" w:rsidR="00A30E61" w:rsidRPr="00CF3E3D" w:rsidRDefault="00A30E61" w:rsidP="00A30E61">
      <w:pPr>
        <w:pStyle w:val="Body"/>
      </w:pPr>
      <w:bookmarkStart w:id="181" w:name="_Toc500947611"/>
      <w:bookmarkStart w:id="182" w:name="_Toc500949065"/>
      <w:bookmarkStart w:id="183" w:name="_Toc500949335"/>
      <w:bookmarkStart w:id="184" w:name="_Toc528315528"/>
      <w:bookmarkStart w:id="185" w:name="_Toc22810104"/>
      <w:bookmarkStart w:id="186" w:name="_Toc22810193"/>
      <w:bookmarkStart w:id="187" w:name="_Toc22825142"/>
      <w:r w:rsidRPr="00CF3E3D">
        <w:t>A copy of the generic survey instrument (i.e., excluding any institution specific items) and screenshots of the survey are included in the 2022 GOS Methodological Report</w:t>
      </w:r>
      <w:r w:rsidR="008B00D1">
        <w:t>.</w:t>
      </w:r>
    </w:p>
    <w:p w14:paraId="27E721E9" w14:textId="77777777" w:rsidR="00A30E61" w:rsidRPr="005F3161" w:rsidRDefault="00A30E61" w:rsidP="005F3161">
      <w:pPr>
        <w:pStyle w:val="Heading2"/>
        <w:numPr>
          <w:ilvl w:val="0"/>
          <w:numId w:val="0"/>
        </w:numPr>
        <w:ind w:left="851" w:hanging="851"/>
        <w:rPr>
          <w:color w:val="000000" w:themeColor="text1"/>
        </w:rPr>
      </w:pPr>
      <w:bookmarkStart w:id="188" w:name="_Toc116035557"/>
      <w:bookmarkStart w:id="189" w:name="_Toc116039912"/>
      <w:r w:rsidRPr="005F3161">
        <w:rPr>
          <w:color w:val="000000" w:themeColor="text1"/>
        </w:rPr>
        <w:lastRenderedPageBreak/>
        <w:t>1.2 Response rate by course level</w:t>
      </w:r>
      <w:bookmarkEnd w:id="188"/>
      <w:bookmarkEnd w:id="189"/>
    </w:p>
    <w:bookmarkStart w:id="190" w:name="_Ref78539564"/>
    <w:p w14:paraId="690CAA8E" w14:textId="77777777" w:rsidR="00A30E61" w:rsidRPr="00CF3E3D" w:rsidRDefault="00A30E61" w:rsidP="00A30E61">
      <w:pPr>
        <w:pStyle w:val="Body"/>
      </w:pPr>
      <w:r w:rsidRPr="00CF3E3D">
        <w:fldChar w:fldCharType="begin"/>
      </w:r>
      <w:r w:rsidRPr="00CF3E3D">
        <w:instrText xml:space="preserve"> REF _Ref78963581 \h  \* MERGEFORMAT </w:instrText>
      </w:r>
      <w:r w:rsidRPr="00CF3E3D">
        <w:fldChar w:fldCharType="separate"/>
      </w:r>
      <w:r w:rsidRPr="00CF3E3D">
        <w:t xml:space="preserve">Table </w:t>
      </w:r>
      <w:r>
        <w:rPr>
          <w:noProof/>
        </w:rPr>
        <w:t>24</w:t>
      </w:r>
      <w:r w:rsidRPr="00CF3E3D">
        <w:fldChar w:fldCharType="end"/>
      </w:r>
      <w:r w:rsidRPr="00CF3E3D">
        <w:t xml:space="preserve"> provides the final response rate by course level and institution for each period of the 2022 GOS collection cycle. Postgraduate research graduates had the highest overall response rate of 65.4 per cent, followed by undergraduates with 38.7 per cent and postgraduate coursework graduates with 38.6 per cent. Some variation by institution type for each course level can be seen, with the largest differences noted for postgraduate research graduates. </w:t>
      </w:r>
    </w:p>
    <w:p w14:paraId="25F7EB4B" w14:textId="547CEB30" w:rsidR="00A30E61" w:rsidRPr="005F3161" w:rsidRDefault="00A30E61" w:rsidP="00A30E61">
      <w:pPr>
        <w:pStyle w:val="Caption"/>
        <w:rPr>
          <w:color w:val="000000" w:themeColor="text1"/>
        </w:rPr>
      </w:pPr>
      <w:bookmarkStart w:id="191" w:name="_Ref78963581"/>
      <w:bookmarkStart w:id="192" w:name="_Toc116035818"/>
      <w:bookmarkStart w:id="193" w:name="_Toc116040373"/>
      <w:r w:rsidRPr="005F3161">
        <w:rPr>
          <w:color w:val="000000" w:themeColor="text1"/>
        </w:rPr>
        <w:t xml:space="preserve">Table </w:t>
      </w:r>
      <w:r w:rsidRPr="005F3161">
        <w:rPr>
          <w:color w:val="000000" w:themeColor="text1"/>
        </w:rPr>
        <w:fldChar w:fldCharType="begin"/>
      </w:r>
      <w:r w:rsidRPr="005F3161">
        <w:rPr>
          <w:color w:val="000000" w:themeColor="text1"/>
        </w:rPr>
        <w:instrText xml:space="preserve"> SEQ Table \* ARABIC </w:instrText>
      </w:r>
      <w:r w:rsidRPr="005F3161">
        <w:rPr>
          <w:color w:val="000000" w:themeColor="text1"/>
        </w:rPr>
        <w:fldChar w:fldCharType="separate"/>
      </w:r>
      <w:r w:rsidR="005F3161" w:rsidRPr="005F3161">
        <w:rPr>
          <w:noProof/>
          <w:color w:val="000000" w:themeColor="text1"/>
        </w:rPr>
        <w:t>24</w:t>
      </w:r>
      <w:r w:rsidRPr="005F3161">
        <w:rPr>
          <w:color w:val="000000" w:themeColor="text1"/>
        </w:rPr>
        <w:fldChar w:fldCharType="end"/>
      </w:r>
      <w:bookmarkEnd w:id="190"/>
      <w:bookmarkEnd w:id="191"/>
      <w:r w:rsidRPr="005F3161">
        <w:rPr>
          <w:color w:val="000000" w:themeColor="text1"/>
        </w:rPr>
        <w:t xml:space="preserve"> 2022 GOS response rate by course level (%)</w:t>
      </w:r>
      <w:bookmarkEnd w:id="192"/>
      <w:bookmarkEnd w:id="193"/>
      <w:r w:rsidRPr="005F3161">
        <w:rPr>
          <w:color w:val="000000" w:themeColor="text1"/>
        </w:rPr>
        <w:t xml:space="preserve"> </w:t>
      </w:r>
    </w:p>
    <w:tbl>
      <w:tblPr>
        <w:tblStyle w:val="SRC1"/>
        <w:tblW w:w="5000" w:type="pct"/>
        <w:tblLayout w:type="fixed"/>
        <w:tblCellMar>
          <w:left w:w="28" w:type="dxa"/>
          <w:right w:w="28" w:type="dxa"/>
        </w:tblCellMar>
        <w:tblLook w:val="0020" w:firstRow="1" w:lastRow="0" w:firstColumn="0" w:lastColumn="0" w:noHBand="0" w:noVBand="0"/>
        <w:tblCaption w:val="Table 5  Short- (2014) and medium-term (2017) outcomes for undergraduates by study area "/>
      </w:tblPr>
      <w:tblGrid>
        <w:gridCol w:w="1805"/>
        <w:gridCol w:w="1209"/>
        <w:gridCol w:w="905"/>
        <w:gridCol w:w="907"/>
        <w:gridCol w:w="1210"/>
        <w:gridCol w:w="905"/>
        <w:gridCol w:w="907"/>
        <w:gridCol w:w="1210"/>
        <w:gridCol w:w="905"/>
        <w:gridCol w:w="907"/>
        <w:gridCol w:w="1210"/>
        <w:gridCol w:w="905"/>
        <w:gridCol w:w="1017"/>
      </w:tblGrid>
      <w:tr w:rsidR="005F3161" w:rsidRPr="00CF3E3D" w14:paraId="6088F4F0"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645" w:type="pct"/>
          </w:tcPr>
          <w:p w14:paraId="330A70B1" w14:textId="413D8040" w:rsidR="00A30E61" w:rsidRPr="00CF3E3D" w:rsidRDefault="002E40BA" w:rsidP="00E27635">
            <w:pPr>
              <w:spacing w:before="85" w:line="288" w:lineRule="auto"/>
              <w:rPr>
                <w:b w:val="0"/>
                <w:bCs/>
                <w:sz w:val="18"/>
                <w:szCs w:val="18"/>
              </w:rPr>
            </w:pPr>
            <w:bookmarkStart w:id="194" w:name="Title24"/>
            <w:bookmarkEnd w:id="194"/>
            <w:r>
              <w:rPr>
                <w:rStyle w:val="TabletextBOLD"/>
                <w:b/>
                <w:bCs w:val="0"/>
                <w:color w:val="1F698E" w:themeColor="accent1"/>
              </w:rPr>
              <w:t>1</w:t>
            </w:r>
            <w:r w:rsidR="00960B1F" w:rsidRPr="0021639B">
              <w:rPr>
                <w:rStyle w:val="TabletextBOLD"/>
                <w:b/>
                <w:bCs w:val="0"/>
                <w:color w:val="1F698E" w:themeColor="accent1"/>
              </w:rPr>
              <w:t xml:space="preserve"> Category</w:t>
            </w:r>
          </w:p>
        </w:tc>
        <w:tc>
          <w:tcPr>
            <w:cnfStyle w:val="000001000000" w:firstRow="0" w:lastRow="0" w:firstColumn="0" w:lastColumn="0" w:oddVBand="0" w:evenVBand="1" w:oddHBand="0" w:evenHBand="0" w:firstRowFirstColumn="0" w:firstRowLastColumn="0" w:lastRowFirstColumn="0" w:lastRowLastColumn="0"/>
            <w:tcW w:w="432" w:type="pct"/>
          </w:tcPr>
          <w:p w14:paraId="329204FA"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2021 November Universities</w:t>
            </w:r>
          </w:p>
        </w:tc>
        <w:tc>
          <w:tcPr>
            <w:cnfStyle w:val="000010000000" w:firstRow="0" w:lastRow="0" w:firstColumn="0" w:lastColumn="0" w:oddVBand="1" w:evenVBand="0" w:oddHBand="0" w:evenHBand="0" w:firstRowFirstColumn="0" w:firstRowLastColumn="0" w:lastRowFirstColumn="0" w:lastRowLastColumn="0"/>
            <w:tcW w:w="323" w:type="pct"/>
          </w:tcPr>
          <w:p w14:paraId="26D5BA05"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2021 November NUHEIs</w:t>
            </w:r>
          </w:p>
        </w:tc>
        <w:tc>
          <w:tcPr>
            <w:cnfStyle w:val="000001000000" w:firstRow="0" w:lastRow="0" w:firstColumn="0" w:lastColumn="0" w:oddVBand="0" w:evenVBand="1" w:oddHBand="0" w:evenHBand="0" w:firstRowFirstColumn="0" w:firstRowLastColumn="0" w:lastRowFirstColumn="0" w:lastRowLastColumn="0"/>
            <w:tcW w:w="324" w:type="pct"/>
          </w:tcPr>
          <w:p w14:paraId="704E2B6E"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2021 November Total</w:t>
            </w:r>
          </w:p>
        </w:tc>
        <w:tc>
          <w:tcPr>
            <w:cnfStyle w:val="000010000000" w:firstRow="0" w:lastRow="0" w:firstColumn="0" w:lastColumn="0" w:oddVBand="1" w:evenVBand="0" w:oddHBand="0" w:evenHBand="0" w:firstRowFirstColumn="0" w:firstRowLastColumn="0" w:lastRowFirstColumn="0" w:lastRowLastColumn="0"/>
            <w:tcW w:w="432" w:type="pct"/>
          </w:tcPr>
          <w:p w14:paraId="01E4FE18"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February Universities</w:t>
            </w:r>
          </w:p>
        </w:tc>
        <w:tc>
          <w:tcPr>
            <w:cnfStyle w:val="000001000000" w:firstRow="0" w:lastRow="0" w:firstColumn="0" w:lastColumn="0" w:oddVBand="0" w:evenVBand="1" w:oddHBand="0" w:evenHBand="0" w:firstRowFirstColumn="0" w:firstRowLastColumn="0" w:lastRowFirstColumn="0" w:lastRowLastColumn="0"/>
            <w:tcW w:w="323" w:type="pct"/>
          </w:tcPr>
          <w:p w14:paraId="48F49E2F"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February NUHEIs</w:t>
            </w:r>
          </w:p>
        </w:tc>
        <w:tc>
          <w:tcPr>
            <w:cnfStyle w:val="000010000000" w:firstRow="0" w:lastRow="0" w:firstColumn="0" w:lastColumn="0" w:oddVBand="1" w:evenVBand="0" w:oddHBand="0" w:evenHBand="0" w:firstRowFirstColumn="0" w:firstRowLastColumn="0" w:lastRowFirstColumn="0" w:lastRowLastColumn="0"/>
            <w:tcW w:w="324" w:type="pct"/>
          </w:tcPr>
          <w:p w14:paraId="6B654525"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February Total</w:t>
            </w:r>
          </w:p>
        </w:tc>
        <w:tc>
          <w:tcPr>
            <w:cnfStyle w:val="000001000000" w:firstRow="0" w:lastRow="0" w:firstColumn="0" w:lastColumn="0" w:oddVBand="0" w:evenVBand="1" w:oddHBand="0" w:evenHBand="0" w:firstRowFirstColumn="0" w:firstRowLastColumn="0" w:lastRowFirstColumn="0" w:lastRowLastColumn="0"/>
            <w:tcW w:w="432" w:type="pct"/>
          </w:tcPr>
          <w:p w14:paraId="271A85A4"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May Universities</w:t>
            </w:r>
          </w:p>
        </w:tc>
        <w:tc>
          <w:tcPr>
            <w:cnfStyle w:val="000010000000" w:firstRow="0" w:lastRow="0" w:firstColumn="0" w:lastColumn="0" w:oddVBand="1" w:evenVBand="0" w:oddHBand="0" w:evenHBand="0" w:firstRowFirstColumn="0" w:firstRowLastColumn="0" w:lastRowFirstColumn="0" w:lastRowLastColumn="0"/>
            <w:tcW w:w="323" w:type="pct"/>
          </w:tcPr>
          <w:p w14:paraId="3F85BF51"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May NUHEIs</w:t>
            </w:r>
          </w:p>
        </w:tc>
        <w:tc>
          <w:tcPr>
            <w:cnfStyle w:val="000001000000" w:firstRow="0" w:lastRow="0" w:firstColumn="0" w:lastColumn="0" w:oddVBand="0" w:evenVBand="1" w:oddHBand="0" w:evenHBand="0" w:firstRowFirstColumn="0" w:firstRowLastColumn="0" w:lastRowFirstColumn="0" w:lastRowLastColumn="0"/>
            <w:tcW w:w="324" w:type="pct"/>
          </w:tcPr>
          <w:p w14:paraId="09095EFF"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May Total</w:t>
            </w:r>
          </w:p>
        </w:tc>
        <w:tc>
          <w:tcPr>
            <w:cnfStyle w:val="000010000000" w:firstRow="0" w:lastRow="0" w:firstColumn="0" w:lastColumn="0" w:oddVBand="1" w:evenVBand="0" w:oddHBand="0" w:evenHBand="0" w:firstRowFirstColumn="0" w:firstRowLastColumn="0" w:lastRowFirstColumn="0" w:lastRowLastColumn="0"/>
            <w:tcW w:w="432" w:type="pct"/>
          </w:tcPr>
          <w:p w14:paraId="478E0493"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Total Collection Universities</w:t>
            </w:r>
          </w:p>
        </w:tc>
        <w:tc>
          <w:tcPr>
            <w:cnfStyle w:val="000001000000" w:firstRow="0" w:lastRow="0" w:firstColumn="0" w:lastColumn="0" w:oddVBand="0" w:evenVBand="1" w:oddHBand="0" w:evenHBand="0" w:firstRowFirstColumn="0" w:firstRowLastColumn="0" w:lastRowFirstColumn="0" w:lastRowLastColumn="0"/>
            <w:tcW w:w="323" w:type="pct"/>
          </w:tcPr>
          <w:p w14:paraId="2E524E20"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Total Collection NUHEIs</w:t>
            </w:r>
          </w:p>
        </w:tc>
        <w:tc>
          <w:tcPr>
            <w:cnfStyle w:val="000010000000" w:firstRow="0" w:lastRow="0" w:firstColumn="0" w:lastColumn="0" w:oddVBand="1" w:evenVBand="0" w:oddHBand="0" w:evenHBand="0" w:firstRowFirstColumn="0" w:firstRowLastColumn="0" w:lastRowFirstColumn="0" w:lastRowLastColumn="0"/>
            <w:tcW w:w="363" w:type="pct"/>
          </w:tcPr>
          <w:p w14:paraId="268BE97C" w14:textId="77777777" w:rsidR="00A30E61" w:rsidRPr="005F3161" w:rsidRDefault="00A30E61" w:rsidP="007007AC">
            <w:pPr>
              <w:spacing w:before="85" w:line="288" w:lineRule="auto"/>
              <w:jc w:val="center"/>
              <w:rPr>
                <w:b w:val="0"/>
                <w:bCs/>
                <w:color w:val="FFFFFF" w:themeColor="background1"/>
                <w:sz w:val="18"/>
                <w:szCs w:val="18"/>
              </w:rPr>
            </w:pPr>
            <w:r w:rsidRPr="005F3161">
              <w:rPr>
                <w:bCs/>
                <w:color w:val="FFFFFF" w:themeColor="background1"/>
                <w:sz w:val="18"/>
                <w:szCs w:val="18"/>
              </w:rPr>
              <w:t>2022 Total Collection Total</w:t>
            </w:r>
          </w:p>
        </w:tc>
      </w:tr>
      <w:tr w:rsidR="005F3161" w:rsidRPr="00CF3E3D" w14:paraId="59750AC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45" w:type="pct"/>
          </w:tcPr>
          <w:p w14:paraId="0129928D" w14:textId="77777777" w:rsidR="00A30E61" w:rsidRPr="00CF3E3D" w:rsidRDefault="00A30E61" w:rsidP="007007AC">
            <w:pPr>
              <w:spacing w:before="85" w:line="288" w:lineRule="auto"/>
              <w:rPr>
                <w:b/>
                <w:bCs/>
                <w:sz w:val="18"/>
                <w:szCs w:val="18"/>
              </w:rPr>
            </w:pPr>
            <w:r w:rsidRPr="00CF3E3D">
              <w:rPr>
                <w:b/>
                <w:bCs/>
                <w:sz w:val="18"/>
                <w:szCs w:val="18"/>
              </w:rPr>
              <w:t>Undergraduate</w:t>
            </w:r>
          </w:p>
        </w:tc>
        <w:tc>
          <w:tcPr>
            <w:cnfStyle w:val="000001000000" w:firstRow="0" w:lastRow="0" w:firstColumn="0" w:lastColumn="0" w:oddVBand="0" w:evenVBand="1" w:oddHBand="0" w:evenHBand="0" w:firstRowFirstColumn="0" w:firstRowLastColumn="0" w:lastRowFirstColumn="0" w:lastRowLastColumn="0"/>
            <w:tcW w:w="432" w:type="pct"/>
          </w:tcPr>
          <w:p w14:paraId="32E7EC43" w14:textId="77777777" w:rsidR="00A30E61" w:rsidRPr="00CF3E3D" w:rsidRDefault="00A30E61" w:rsidP="007007AC">
            <w:pPr>
              <w:spacing w:before="85" w:line="288" w:lineRule="auto"/>
              <w:jc w:val="center"/>
              <w:rPr>
                <w:sz w:val="18"/>
                <w:szCs w:val="18"/>
              </w:rPr>
            </w:pPr>
            <w:r w:rsidRPr="00CF3E3D">
              <w:rPr>
                <w:sz w:val="18"/>
                <w:szCs w:val="18"/>
              </w:rPr>
              <w:t>36.7</w:t>
            </w:r>
          </w:p>
        </w:tc>
        <w:tc>
          <w:tcPr>
            <w:cnfStyle w:val="000010000000" w:firstRow="0" w:lastRow="0" w:firstColumn="0" w:lastColumn="0" w:oddVBand="1" w:evenVBand="0" w:oddHBand="0" w:evenHBand="0" w:firstRowFirstColumn="0" w:firstRowLastColumn="0" w:lastRowFirstColumn="0" w:lastRowLastColumn="0"/>
            <w:tcW w:w="323" w:type="pct"/>
          </w:tcPr>
          <w:p w14:paraId="065F934C" w14:textId="77777777" w:rsidR="00A30E61" w:rsidRPr="00CF3E3D" w:rsidRDefault="00A30E61" w:rsidP="007007AC">
            <w:pPr>
              <w:spacing w:before="85" w:line="288" w:lineRule="auto"/>
              <w:jc w:val="center"/>
              <w:rPr>
                <w:sz w:val="18"/>
                <w:szCs w:val="18"/>
              </w:rPr>
            </w:pPr>
            <w:r w:rsidRPr="00CF3E3D">
              <w:rPr>
                <w:sz w:val="18"/>
                <w:szCs w:val="18"/>
              </w:rPr>
              <w:t>34.9</w:t>
            </w:r>
          </w:p>
        </w:tc>
        <w:tc>
          <w:tcPr>
            <w:cnfStyle w:val="000001000000" w:firstRow="0" w:lastRow="0" w:firstColumn="0" w:lastColumn="0" w:oddVBand="0" w:evenVBand="1" w:oddHBand="0" w:evenHBand="0" w:firstRowFirstColumn="0" w:firstRowLastColumn="0" w:lastRowFirstColumn="0" w:lastRowLastColumn="0"/>
            <w:tcW w:w="324" w:type="pct"/>
          </w:tcPr>
          <w:p w14:paraId="1BA27822" w14:textId="77777777" w:rsidR="00A30E61" w:rsidRPr="00CF3E3D" w:rsidRDefault="00A30E61" w:rsidP="007007AC">
            <w:pPr>
              <w:spacing w:before="85" w:line="288" w:lineRule="auto"/>
              <w:jc w:val="center"/>
              <w:rPr>
                <w:sz w:val="18"/>
                <w:szCs w:val="18"/>
              </w:rPr>
            </w:pPr>
            <w:r w:rsidRPr="00CF3E3D">
              <w:rPr>
                <w:sz w:val="18"/>
                <w:szCs w:val="18"/>
              </w:rPr>
              <w:t>36.5</w:t>
            </w:r>
          </w:p>
        </w:tc>
        <w:tc>
          <w:tcPr>
            <w:cnfStyle w:val="000010000000" w:firstRow="0" w:lastRow="0" w:firstColumn="0" w:lastColumn="0" w:oddVBand="1" w:evenVBand="0" w:oddHBand="0" w:evenHBand="0" w:firstRowFirstColumn="0" w:firstRowLastColumn="0" w:lastRowFirstColumn="0" w:lastRowLastColumn="0"/>
            <w:tcW w:w="432" w:type="pct"/>
          </w:tcPr>
          <w:p w14:paraId="42E75DF2" w14:textId="77777777" w:rsidR="00A30E61" w:rsidRPr="00CF3E3D" w:rsidRDefault="00A30E61" w:rsidP="007007AC">
            <w:pPr>
              <w:spacing w:before="85" w:line="288" w:lineRule="auto"/>
              <w:jc w:val="center"/>
              <w:rPr>
                <w:sz w:val="18"/>
                <w:szCs w:val="18"/>
              </w:rPr>
            </w:pPr>
            <w:r w:rsidRPr="00CF3E3D">
              <w:rPr>
                <w:sz w:val="18"/>
                <w:szCs w:val="18"/>
              </w:rPr>
              <w:t>35.8</w:t>
            </w:r>
          </w:p>
        </w:tc>
        <w:tc>
          <w:tcPr>
            <w:cnfStyle w:val="000001000000" w:firstRow="0" w:lastRow="0" w:firstColumn="0" w:lastColumn="0" w:oddVBand="0" w:evenVBand="1" w:oddHBand="0" w:evenHBand="0" w:firstRowFirstColumn="0" w:firstRowLastColumn="0" w:lastRowFirstColumn="0" w:lastRowLastColumn="0"/>
            <w:tcW w:w="323" w:type="pct"/>
          </w:tcPr>
          <w:p w14:paraId="410BE7D7" w14:textId="77777777" w:rsidR="00A30E61" w:rsidRPr="00CF3E3D" w:rsidRDefault="00A30E61" w:rsidP="007007AC">
            <w:pPr>
              <w:spacing w:before="85" w:line="288" w:lineRule="auto"/>
              <w:jc w:val="center"/>
              <w:rPr>
                <w:sz w:val="18"/>
                <w:szCs w:val="18"/>
              </w:rPr>
            </w:pPr>
            <w:r w:rsidRPr="00CF3E3D">
              <w:rPr>
                <w:sz w:val="18"/>
                <w:szCs w:val="18"/>
              </w:rPr>
              <w:t>35.6</w:t>
            </w:r>
          </w:p>
        </w:tc>
        <w:tc>
          <w:tcPr>
            <w:cnfStyle w:val="000010000000" w:firstRow="0" w:lastRow="0" w:firstColumn="0" w:lastColumn="0" w:oddVBand="1" w:evenVBand="0" w:oddHBand="0" w:evenHBand="0" w:firstRowFirstColumn="0" w:firstRowLastColumn="0" w:lastRowFirstColumn="0" w:lastRowLastColumn="0"/>
            <w:tcW w:w="324" w:type="pct"/>
          </w:tcPr>
          <w:p w14:paraId="00C9F9E0" w14:textId="77777777" w:rsidR="00A30E61" w:rsidRPr="00CF3E3D" w:rsidRDefault="00A30E61" w:rsidP="007007AC">
            <w:pPr>
              <w:spacing w:before="85" w:line="288" w:lineRule="auto"/>
              <w:jc w:val="center"/>
              <w:rPr>
                <w:sz w:val="18"/>
                <w:szCs w:val="18"/>
              </w:rPr>
            </w:pPr>
            <w:r w:rsidRPr="00CF3E3D">
              <w:rPr>
                <w:sz w:val="18"/>
                <w:szCs w:val="18"/>
              </w:rPr>
              <w:t>35.8</w:t>
            </w:r>
          </w:p>
        </w:tc>
        <w:tc>
          <w:tcPr>
            <w:cnfStyle w:val="000001000000" w:firstRow="0" w:lastRow="0" w:firstColumn="0" w:lastColumn="0" w:oddVBand="0" w:evenVBand="1" w:oddHBand="0" w:evenHBand="0" w:firstRowFirstColumn="0" w:firstRowLastColumn="0" w:lastRowFirstColumn="0" w:lastRowLastColumn="0"/>
            <w:tcW w:w="432" w:type="pct"/>
          </w:tcPr>
          <w:p w14:paraId="5F83C6E3" w14:textId="77777777" w:rsidR="00A30E61" w:rsidRPr="00CF3E3D" w:rsidRDefault="00A30E61" w:rsidP="007007AC">
            <w:pPr>
              <w:spacing w:before="85" w:line="288" w:lineRule="auto"/>
              <w:jc w:val="center"/>
              <w:rPr>
                <w:sz w:val="18"/>
                <w:szCs w:val="18"/>
              </w:rPr>
            </w:pPr>
            <w:r w:rsidRPr="00CF3E3D">
              <w:rPr>
                <w:sz w:val="18"/>
                <w:szCs w:val="18"/>
              </w:rPr>
              <w:t>39.8</w:t>
            </w:r>
          </w:p>
        </w:tc>
        <w:tc>
          <w:tcPr>
            <w:cnfStyle w:val="000010000000" w:firstRow="0" w:lastRow="0" w:firstColumn="0" w:lastColumn="0" w:oddVBand="1" w:evenVBand="0" w:oddHBand="0" w:evenHBand="0" w:firstRowFirstColumn="0" w:firstRowLastColumn="0" w:lastRowFirstColumn="0" w:lastRowLastColumn="0"/>
            <w:tcW w:w="323" w:type="pct"/>
          </w:tcPr>
          <w:p w14:paraId="5D71DB5D" w14:textId="77777777" w:rsidR="00A30E61" w:rsidRPr="00CF3E3D" w:rsidRDefault="00A30E61" w:rsidP="007007AC">
            <w:pPr>
              <w:spacing w:before="85" w:line="288" w:lineRule="auto"/>
              <w:jc w:val="center"/>
              <w:rPr>
                <w:sz w:val="18"/>
                <w:szCs w:val="18"/>
              </w:rPr>
            </w:pPr>
            <w:r w:rsidRPr="00CF3E3D">
              <w:rPr>
                <w:sz w:val="18"/>
                <w:szCs w:val="18"/>
              </w:rPr>
              <w:t>39.7</w:t>
            </w:r>
          </w:p>
        </w:tc>
        <w:tc>
          <w:tcPr>
            <w:cnfStyle w:val="000001000000" w:firstRow="0" w:lastRow="0" w:firstColumn="0" w:lastColumn="0" w:oddVBand="0" w:evenVBand="1" w:oddHBand="0" w:evenHBand="0" w:firstRowFirstColumn="0" w:firstRowLastColumn="0" w:lastRowFirstColumn="0" w:lastRowLastColumn="0"/>
            <w:tcW w:w="324" w:type="pct"/>
          </w:tcPr>
          <w:p w14:paraId="73F96F79" w14:textId="77777777" w:rsidR="00A30E61" w:rsidRPr="00CF3E3D" w:rsidRDefault="00A30E61" w:rsidP="007007AC">
            <w:pPr>
              <w:spacing w:before="85" w:line="288" w:lineRule="auto"/>
              <w:jc w:val="center"/>
              <w:rPr>
                <w:sz w:val="18"/>
                <w:szCs w:val="18"/>
              </w:rPr>
            </w:pPr>
            <w:r w:rsidRPr="00CF3E3D">
              <w:rPr>
                <w:sz w:val="18"/>
                <w:szCs w:val="18"/>
              </w:rPr>
              <w:t>39.8</w:t>
            </w:r>
          </w:p>
        </w:tc>
        <w:tc>
          <w:tcPr>
            <w:cnfStyle w:val="000010000000" w:firstRow="0" w:lastRow="0" w:firstColumn="0" w:lastColumn="0" w:oddVBand="1" w:evenVBand="0" w:oddHBand="0" w:evenHBand="0" w:firstRowFirstColumn="0" w:firstRowLastColumn="0" w:lastRowFirstColumn="0" w:lastRowLastColumn="0"/>
            <w:tcW w:w="432" w:type="pct"/>
          </w:tcPr>
          <w:p w14:paraId="43367C5A" w14:textId="77777777" w:rsidR="00A30E61" w:rsidRPr="00CF3E3D" w:rsidRDefault="00A30E61" w:rsidP="007007AC">
            <w:pPr>
              <w:spacing w:before="85" w:line="288" w:lineRule="auto"/>
              <w:jc w:val="center"/>
              <w:rPr>
                <w:sz w:val="18"/>
                <w:szCs w:val="18"/>
              </w:rPr>
            </w:pPr>
            <w:r w:rsidRPr="00CF3E3D">
              <w:rPr>
                <w:sz w:val="18"/>
                <w:szCs w:val="18"/>
              </w:rPr>
              <w:t>38.8</w:t>
            </w:r>
          </w:p>
        </w:tc>
        <w:tc>
          <w:tcPr>
            <w:cnfStyle w:val="000001000000" w:firstRow="0" w:lastRow="0" w:firstColumn="0" w:lastColumn="0" w:oddVBand="0" w:evenVBand="1" w:oddHBand="0" w:evenHBand="0" w:firstRowFirstColumn="0" w:firstRowLastColumn="0" w:lastRowFirstColumn="0" w:lastRowLastColumn="0"/>
            <w:tcW w:w="323" w:type="pct"/>
          </w:tcPr>
          <w:p w14:paraId="1C4D6B3B" w14:textId="77777777" w:rsidR="00A30E61" w:rsidRPr="00CF3E3D" w:rsidRDefault="00A30E61" w:rsidP="007007AC">
            <w:pPr>
              <w:spacing w:before="85" w:line="288" w:lineRule="auto"/>
              <w:jc w:val="center"/>
              <w:rPr>
                <w:sz w:val="18"/>
                <w:szCs w:val="18"/>
              </w:rPr>
            </w:pPr>
            <w:r w:rsidRPr="00CF3E3D">
              <w:rPr>
                <w:sz w:val="18"/>
                <w:szCs w:val="18"/>
              </w:rPr>
              <w:t>37.3</w:t>
            </w:r>
          </w:p>
        </w:tc>
        <w:tc>
          <w:tcPr>
            <w:cnfStyle w:val="000010000000" w:firstRow="0" w:lastRow="0" w:firstColumn="0" w:lastColumn="0" w:oddVBand="1" w:evenVBand="0" w:oddHBand="0" w:evenHBand="0" w:firstRowFirstColumn="0" w:firstRowLastColumn="0" w:lastRowFirstColumn="0" w:lastRowLastColumn="0"/>
            <w:tcW w:w="363" w:type="pct"/>
          </w:tcPr>
          <w:p w14:paraId="61176470" w14:textId="77777777" w:rsidR="00A30E61" w:rsidRPr="00CF3E3D" w:rsidRDefault="00A30E61" w:rsidP="007007AC">
            <w:pPr>
              <w:spacing w:before="85" w:line="288" w:lineRule="auto"/>
              <w:jc w:val="center"/>
              <w:rPr>
                <w:sz w:val="18"/>
                <w:szCs w:val="18"/>
              </w:rPr>
            </w:pPr>
            <w:r w:rsidRPr="00CF3E3D">
              <w:rPr>
                <w:sz w:val="18"/>
                <w:szCs w:val="18"/>
              </w:rPr>
              <w:t>38.7</w:t>
            </w:r>
          </w:p>
        </w:tc>
      </w:tr>
      <w:tr w:rsidR="00A30E61" w:rsidRPr="00CF3E3D" w14:paraId="1790055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45" w:type="pct"/>
          </w:tcPr>
          <w:p w14:paraId="7A2A87CB" w14:textId="77777777" w:rsidR="00A30E61" w:rsidRPr="00CF3E3D" w:rsidRDefault="00A30E61" w:rsidP="007007AC">
            <w:pPr>
              <w:spacing w:before="85" w:line="288" w:lineRule="auto"/>
              <w:rPr>
                <w:b/>
                <w:bCs/>
                <w:sz w:val="18"/>
                <w:szCs w:val="18"/>
              </w:rPr>
            </w:pPr>
            <w:r w:rsidRPr="00CF3E3D">
              <w:rPr>
                <w:b/>
                <w:bCs/>
                <w:sz w:val="18"/>
                <w:szCs w:val="18"/>
              </w:rPr>
              <w:t>Postgraduate coursework</w:t>
            </w:r>
          </w:p>
        </w:tc>
        <w:tc>
          <w:tcPr>
            <w:cnfStyle w:val="000001000000" w:firstRow="0" w:lastRow="0" w:firstColumn="0" w:lastColumn="0" w:oddVBand="0" w:evenVBand="1" w:oddHBand="0" w:evenHBand="0" w:firstRowFirstColumn="0" w:firstRowLastColumn="0" w:lastRowFirstColumn="0" w:lastRowLastColumn="0"/>
            <w:tcW w:w="432" w:type="pct"/>
          </w:tcPr>
          <w:p w14:paraId="4CA87659" w14:textId="77777777" w:rsidR="00A30E61" w:rsidRPr="00CF3E3D" w:rsidRDefault="00A30E61" w:rsidP="007007AC">
            <w:pPr>
              <w:spacing w:before="85" w:line="288" w:lineRule="auto"/>
              <w:jc w:val="center"/>
              <w:rPr>
                <w:sz w:val="18"/>
                <w:szCs w:val="18"/>
              </w:rPr>
            </w:pPr>
            <w:r w:rsidRPr="00CF3E3D">
              <w:rPr>
                <w:sz w:val="18"/>
                <w:szCs w:val="18"/>
              </w:rPr>
              <w:t>37.7</w:t>
            </w:r>
          </w:p>
        </w:tc>
        <w:tc>
          <w:tcPr>
            <w:cnfStyle w:val="000010000000" w:firstRow="0" w:lastRow="0" w:firstColumn="0" w:lastColumn="0" w:oddVBand="1" w:evenVBand="0" w:oddHBand="0" w:evenHBand="0" w:firstRowFirstColumn="0" w:firstRowLastColumn="0" w:lastRowFirstColumn="0" w:lastRowLastColumn="0"/>
            <w:tcW w:w="323" w:type="pct"/>
          </w:tcPr>
          <w:p w14:paraId="75D11B0E" w14:textId="77777777" w:rsidR="00A30E61" w:rsidRPr="00CF3E3D" w:rsidRDefault="00A30E61" w:rsidP="007007AC">
            <w:pPr>
              <w:spacing w:before="85" w:line="288" w:lineRule="auto"/>
              <w:jc w:val="center"/>
              <w:rPr>
                <w:sz w:val="18"/>
                <w:szCs w:val="18"/>
              </w:rPr>
            </w:pPr>
            <w:r w:rsidRPr="00CF3E3D">
              <w:rPr>
                <w:sz w:val="18"/>
                <w:szCs w:val="18"/>
              </w:rPr>
              <w:t>38.7</w:t>
            </w:r>
          </w:p>
        </w:tc>
        <w:tc>
          <w:tcPr>
            <w:cnfStyle w:val="000001000000" w:firstRow="0" w:lastRow="0" w:firstColumn="0" w:lastColumn="0" w:oddVBand="0" w:evenVBand="1" w:oddHBand="0" w:evenHBand="0" w:firstRowFirstColumn="0" w:firstRowLastColumn="0" w:lastRowFirstColumn="0" w:lastRowLastColumn="0"/>
            <w:tcW w:w="324" w:type="pct"/>
          </w:tcPr>
          <w:p w14:paraId="7207E969" w14:textId="77777777" w:rsidR="00A30E61" w:rsidRPr="00CF3E3D" w:rsidRDefault="00A30E61" w:rsidP="007007AC">
            <w:pPr>
              <w:spacing w:before="85" w:line="288" w:lineRule="auto"/>
              <w:jc w:val="center"/>
              <w:rPr>
                <w:sz w:val="18"/>
                <w:szCs w:val="18"/>
              </w:rPr>
            </w:pPr>
            <w:r w:rsidRPr="00CF3E3D">
              <w:rPr>
                <w:sz w:val="18"/>
                <w:szCs w:val="18"/>
              </w:rPr>
              <w:t>37.9</w:t>
            </w:r>
          </w:p>
        </w:tc>
        <w:tc>
          <w:tcPr>
            <w:cnfStyle w:val="000010000000" w:firstRow="0" w:lastRow="0" w:firstColumn="0" w:lastColumn="0" w:oddVBand="1" w:evenVBand="0" w:oddHBand="0" w:evenHBand="0" w:firstRowFirstColumn="0" w:firstRowLastColumn="0" w:lastRowFirstColumn="0" w:lastRowLastColumn="0"/>
            <w:tcW w:w="432" w:type="pct"/>
          </w:tcPr>
          <w:p w14:paraId="34924EC4" w14:textId="77777777" w:rsidR="00A30E61" w:rsidRPr="00CF3E3D" w:rsidRDefault="00A30E61" w:rsidP="007007AC">
            <w:pPr>
              <w:spacing w:before="85" w:line="288" w:lineRule="auto"/>
              <w:jc w:val="center"/>
              <w:rPr>
                <w:sz w:val="18"/>
                <w:szCs w:val="18"/>
              </w:rPr>
            </w:pPr>
            <w:r w:rsidRPr="00CF3E3D">
              <w:rPr>
                <w:sz w:val="18"/>
                <w:szCs w:val="18"/>
              </w:rPr>
              <w:t>36.8</w:t>
            </w:r>
          </w:p>
        </w:tc>
        <w:tc>
          <w:tcPr>
            <w:cnfStyle w:val="000001000000" w:firstRow="0" w:lastRow="0" w:firstColumn="0" w:lastColumn="0" w:oddVBand="0" w:evenVBand="1" w:oddHBand="0" w:evenHBand="0" w:firstRowFirstColumn="0" w:firstRowLastColumn="0" w:lastRowFirstColumn="0" w:lastRowLastColumn="0"/>
            <w:tcW w:w="323" w:type="pct"/>
          </w:tcPr>
          <w:p w14:paraId="6BE48526" w14:textId="77777777" w:rsidR="00A30E61" w:rsidRPr="00CF3E3D" w:rsidRDefault="00A30E61" w:rsidP="007007AC">
            <w:pPr>
              <w:spacing w:before="85" w:line="288" w:lineRule="auto"/>
              <w:jc w:val="center"/>
              <w:rPr>
                <w:sz w:val="18"/>
                <w:szCs w:val="18"/>
              </w:rPr>
            </w:pPr>
            <w:r w:rsidRPr="00CF3E3D">
              <w:rPr>
                <w:sz w:val="18"/>
                <w:szCs w:val="18"/>
              </w:rPr>
              <w:t>35.6</w:t>
            </w:r>
          </w:p>
        </w:tc>
        <w:tc>
          <w:tcPr>
            <w:cnfStyle w:val="000010000000" w:firstRow="0" w:lastRow="0" w:firstColumn="0" w:lastColumn="0" w:oddVBand="1" w:evenVBand="0" w:oddHBand="0" w:evenHBand="0" w:firstRowFirstColumn="0" w:firstRowLastColumn="0" w:lastRowFirstColumn="0" w:lastRowLastColumn="0"/>
            <w:tcW w:w="324" w:type="pct"/>
          </w:tcPr>
          <w:p w14:paraId="38D4FBBD" w14:textId="77777777" w:rsidR="00A30E61" w:rsidRPr="00CF3E3D" w:rsidRDefault="00A30E61" w:rsidP="007007AC">
            <w:pPr>
              <w:spacing w:before="85" w:line="288" w:lineRule="auto"/>
              <w:jc w:val="center"/>
              <w:rPr>
                <w:sz w:val="18"/>
                <w:szCs w:val="18"/>
              </w:rPr>
            </w:pPr>
            <w:r w:rsidRPr="00CF3E3D">
              <w:rPr>
                <w:sz w:val="18"/>
                <w:szCs w:val="18"/>
              </w:rPr>
              <w:t>36.6</w:t>
            </w:r>
          </w:p>
        </w:tc>
        <w:tc>
          <w:tcPr>
            <w:cnfStyle w:val="000001000000" w:firstRow="0" w:lastRow="0" w:firstColumn="0" w:lastColumn="0" w:oddVBand="0" w:evenVBand="1" w:oddHBand="0" w:evenHBand="0" w:firstRowFirstColumn="0" w:firstRowLastColumn="0" w:lastRowFirstColumn="0" w:lastRowLastColumn="0"/>
            <w:tcW w:w="432" w:type="pct"/>
          </w:tcPr>
          <w:p w14:paraId="5DCA6217" w14:textId="77777777" w:rsidR="00A30E61" w:rsidRPr="00CF3E3D" w:rsidRDefault="00A30E61" w:rsidP="007007AC">
            <w:pPr>
              <w:spacing w:before="85" w:line="288" w:lineRule="auto"/>
              <w:jc w:val="center"/>
              <w:rPr>
                <w:sz w:val="18"/>
                <w:szCs w:val="18"/>
              </w:rPr>
            </w:pPr>
            <w:r w:rsidRPr="00CF3E3D">
              <w:rPr>
                <w:sz w:val="18"/>
                <w:szCs w:val="18"/>
              </w:rPr>
              <w:t>39.2</w:t>
            </w:r>
          </w:p>
        </w:tc>
        <w:tc>
          <w:tcPr>
            <w:cnfStyle w:val="000010000000" w:firstRow="0" w:lastRow="0" w:firstColumn="0" w:lastColumn="0" w:oddVBand="1" w:evenVBand="0" w:oddHBand="0" w:evenHBand="0" w:firstRowFirstColumn="0" w:firstRowLastColumn="0" w:lastRowFirstColumn="0" w:lastRowLastColumn="0"/>
            <w:tcW w:w="323" w:type="pct"/>
          </w:tcPr>
          <w:p w14:paraId="382203CB" w14:textId="77777777" w:rsidR="00A30E61" w:rsidRPr="00CF3E3D" w:rsidRDefault="00A30E61" w:rsidP="007007AC">
            <w:pPr>
              <w:spacing w:before="85" w:line="288" w:lineRule="auto"/>
              <w:jc w:val="center"/>
              <w:rPr>
                <w:sz w:val="18"/>
                <w:szCs w:val="18"/>
              </w:rPr>
            </w:pPr>
            <w:r w:rsidRPr="00CF3E3D">
              <w:rPr>
                <w:sz w:val="18"/>
                <w:szCs w:val="18"/>
              </w:rPr>
              <w:t>42.7</w:t>
            </w:r>
          </w:p>
        </w:tc>
        <w:tc>
          <w:tcPr>
            <w:cnfStyle w:val="000001000000" w:firstRow="0" w:lastRow="0" w:firstColumn="0" w:lastColumn="0" w:oddVBand="0" w:evenVBand="1" w:oddHBand="0" w:evenHBand="0" w:firstRowFirstColumn="0" w:firstRowLastColumn="0" w:lastRowFirstColumn="0" w:lastRowLastColumn="0"/>
            <w:tcW w:w="324" w:type="pct"/>
          </w:tcPr>
          <w:p w14:paraId="0BF84AC1" w14:textId="77777777" w:rsidR="00A30E61" w:rsidRPr="00CF3E3D" w:rsidRDefault="00A30E61" w:rsidP="007007AC">
            <w:pPr>
              <w:spacing w:before="85" w:line="288" w:lineRule="auto"/>
              <w:jc w:val="center"/>
              <w:rPr>
                <w:sz w:val="18"/>
                <w:szCs w:val="18"/>
              </w:rPr>
            </w:pPr>
            <w:r w:rsidRPr="00CF3E3D">
              <w:rPr>
                <w:sz w:val="18"/>
                <w:szCs w:val="18"/>
              </w:rPr>
              <w:t>39.5</w:t>
            </w:r>
          </w:p>
        </w:tc>
        <w:tc>
          <w:tcPr>
            <w:cnfStyle w:val="000010000000" w:firstRow="0" w:lastRow="0" w:firstColumn="0" w:lastColumn="0" w:oddVBand="1" w:evenVBand="0" w:oddHBand="0" w:evenHBand="0" w:firstRowFirstColumn="0" w:firstRowLastColumn="0" w:lastRowFirstColumn="0" w:lastRowLastColumn="0"/>
            <w:tcW w:w="432" w:type="pct"/>
          </w:tcPr>
          <w:p w14:paraId="4F5896F1" w14:textId="77777777" w:rsidR="00A30E61" w:rsidRPr="00CF3E3D" w:rsidRDefault="00A30E61" w:rsidP="007007AC">
            <w:pPr>
              <w:spacing w:before="85" w:line="288" w:lineRule="auto"/>
              <w:jc w:val="center"/>
              <w:rPr>
                <w:sz w:val="18"/>
                <w:szCs w:val="18"/>
              </w:rPr>
            </w:pPr>
            <w:r w:rsidRPr="00CF3E3D">
              <w:rPr>
                <w:sz w:val="18"/>
                <w:szCs w:val="18"/>
              </w:rPr>
              <w:t>38.5</w:t>
            </w:r>
          </w:p>
        </w:tc>
        <w:tc>
          <w:tcPr>
            <w:cnfStyle w:val="000001000000" w:firstRow="0" w:lastRow="0" w:firstColumn="0" w:lastColumn="0" w:oddVBand="0" w:evenVBand="1" w:oddHBand="0" w:evenHBand="0" w:firstRowFirstColumn="0" w:firstRowLastColumn="0" w:lastRowFirstColumn="0" w:lastRowLastColumn="0"/>
            <w:tcW w:w="323" w:type="pct"/>
          </w:tcPr>
          <w:p w14:paraId="14A38AAC" w14:textId="77777777" w:rsidR="00A30E61" w:rsidRPr="00CF3E3D" w:rsidRDefault="00A30E61" w:rsidP="007007AC">
            <w:pPr>
              <w:spacing w:before="85" w:line="288" w:lineRule="auto"/>
              <w:jc w:val="center"/>
              <w:rPr>
                <w:sz w:val="18"/>
                <w:szCs w:val="18"/>
              </w:rPr>
            </w:pPr>
            <w:r w:rsidRPr="00CF3E3D">
              <w:rPr>
                <w:sz w:val="18"/>
                <w:szCs w:val="18"/>
              </w:rPr>
              <w:t>39.9</w:t>
            </w:r>
          </w:p>
        </w:tc>
        <w:tc>
          <w:tcPr>
            <w:cnfStyle w:val="000010000000" w:firstRow="0" w:lastRow="0" w:firstColumn="0" w:lastColumn="0" w:oddVBand="1" w:evenVBand="0" w:oddHBand="0" w:evenHBand="0" w:firstRowFirstColumn="0" w:firstRowLastColumn="0" w:lastRowFirstColumn="0" w:lastRowLastColumn="0"/>
            <w:tcW w:w="363" w:type="pct"/>
          </w:tcPr>
          <w:p w14:paraId="610BAA45" w14:textId="77777777" w:rsidR="00A30E61" w:rsidRPr="00CF3E3D" w:rsidRDefault="00A30E61" w:rsidP="007007AC">
            <w:pPr>
              <w:spacing w:before="85" w:line="288" w:lineRule="auto"/>
              <w:jc w:val="center"/>
              <w:rPr>
                <w:sz w:val="18"/>
                <w:szCs w:val="18"/>
              </w:rPr>
            </w:pPr>
            <w:r w:rsidRPr="00CF3E3D">
              <w:rPr>
                <w:sz w:val="18"/>
                <w:szCs w:val="18"/>
              </w:rPr>
              <w:t>38.6</w:t>
            </w:r>
          </w:p>
        </w:tc>
      </w:tr>
      <w:tr w:rsidR="005F3161" w:rsidRPr="00CF3E3D" w14:paraId="59523C3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45" w:type="pct"/>
          </w:tcPr>
          <w:p w14:paraId="0B29A024" w14:textId="77777777" w:rsidR="00A30E61" w:rsidRPr="00CF3E3D" w:rsidRDefault="00A30E61" w:rsidP="007007AC">
            <w:pPr>
              <w:spacing w:before="85" w:line="288" w:lineRule="auto"/>
              <w:rPr>
                <w:b/>
                <w:bCs/>
                <w:sz w:val="18"/>
                <w:szCs w:val="18"/>
              </w:rPr>
            </w:pPr>
            <w:r w:rsidRPr="00CF3E3D">
              <w:rPr>
                <w:b/>
                <w:bCs/>
                <w:sz w:val="18"/>
                <w:szCs w:val="18"/>
              </w:rPr>
              <w:t>Postgraduate research</w:t>
            </w:r>
          </w:p>
        </w:tc>
        <w:tc>
          <w:tcPr>
            <w:cnfStyle w:val="000001000000" w:firstRow="0" w:lastRow="0" w:firstColumn="0" w:lastColumn="0" w:oddVBand="0" w:evenVBand="1" w:oddHBand="0" w:evenHBand="0" w:firstRowFirstColumn="0" w:firstRowLastColumn="0" w:lastRowFirstColumn="0" w:lastRowLastColumn="0"/>
            <w:tcW w:w="432" w:type="pct"/>
          </w:tcPr>
          <w:p w14:paraId="56F14E22" w14:textId="77777777" w:rsidR="00A30E61" w:rsidRPr="00CF3E3D" w:rsidRDefault="00A30E61" w:rsidP="007007AC">
            <w:pPr>
              <w:spacing w:before="85" w:line="288" w:lineRule="auto"/>
              <w:jc w:val="center"/>
              <w:rPr>
                <w:sz w:val="18"/>
                <w:szCs w:val="18"/>
              </w:rPr>
            </w:pPr>
            <w:r w:rsidRPr="00CF3E3D">
              <w:rPr>
                <w:sz w:val="18"/>
                <w:szCs w:val="18"/>
              </w:rPr>
              <w:t>64.6</w:t>
            </w:r>
          </w:p>
        </w:tc>
        <w:tc>
          <w:tcPr>
            <w:cnfStyle w:val="000010000000" w:firstRow="0" w:lastRow="0" w:firstColumn="0" w:lastColumn="0" w:oddVBand="1" w:evenVBand="0" w:oddHBand="0" w:evenHBand="0" w:firstRowFirstColumn="0" w:firstRowLastColumn="0" w:lastRowFirstColumn="0" w:lastRowLastColumn="0"/>
            <w:tcW w:w="323" w:type="pct"/>
          </w:tcPr>
          <w:p w14:paraId="024F4C04" w14:textId="77777777" w:rsidR="00A30E61" w:rsidRPr="00CF3E3D" w:rsidRDefault="00A30E61" w:rsidP="007007AC">
            <w:pPr>
              <w:spacing w:before="85" w:line="288" w:lineRule="auto"/>
              <w:jc w:val="center"/>
              <w:rPr>
                <w:sz w:val="18"/>
                <w:szCs w:val="18"/>
              </w:rPr>
            </w:pPr>
            <w:r w:rsidRPr="00CF3E3D">
              <w:rPr>
                <w:sz w:val="18"/>
                <w:szCs w:val="18"/>
              </w:rPr>
              <w:t>71.4</w:t>
            </w:r>
          </w:p>
        </w:tc>
        <w:tc>
          <w:tcPr>
            <w:cnfStyle w:val="000001000000" w:firstRow="0" w:lastRow="0" w:firstColumn="0" w:lastColumn="0" w:oddVBand="0" w:evenVBand="1" w:oddHBand="0" w:evenHBand="0" w:firstRowFirstColumn="0" w:firstRowLastColumn="0" w:lastRowFirstColumn="0" w:lastRowLastColumn="0"/>
            <w:tcW w:w="324" w:type="pct"/>
          </w:tcPr>
          <w:p w14:paraId="3723EAE1" w14:textId="77777777" w:rsidR="00A30E61" w:rsidRPr="00CF3E3D" w:rsidRDefault="00A30E61" w:rsidP="007007AC">
            <w:pPr>
              <w:spacing w:before="85" w:line="288" w:lineRule="auto"/>
              <w:jc w:val="center"/>
              <w:rPr>
                <w:sz w:val="18"/>
                <w:szCs w:val="18"/>
              </w:rPr>
            </w:pPr>
            <w:r w:rsidRPr="00CF3E3D">
              <w:rPr>
                <w:sz w:val="18"/>
                <w:szCs w:val="18"/>
              </w:rPr>
              <w:t>64.6</w:t>
            </w:r>
          </w:p>
        </w:tc>
        <w:tc>
          <w:tcPr>
            <w:cnfStyle w:val="000010000000" w:firstRow="0" w:lastRow="0" w:firstColumn="0" w:lastColumn="0" w:oddVBand="1" w:evenVBand="0" w:oddHBand="0" w:evenHBand="0" w:firstRowFirstColumn="0" w:firstRowLastColumn="0" w:lastRowFirstColumn="0" w:lastRowLastColumn="0"/>
            <w:tcW w:w="432" w:type="pct"/>
          </w:tcPr>
          <w:p w14:paraId="77F680C5" w14:textId="77777777" w:rsidR="00A30E61" w:rsidRPr="00CF3E3D" w:rsidRDefault="00A30E61" w:rsidP="007007AC">
            <w:pPr>
              <w:spacing w:before="85" w:line="288" w:lineRule="auto"/>
              <w:jc w:val="center"/>
              <w:rPr>
                <w:sz w:val="18"/>
                <w:szCs w:val="18"/>
              </w:rPr>
            </w:pPr>
            <w:r w:rsidRPr="00CF3E3D">
              <w:rPr>
                <w:sz w:val="18"/>
                <w:szCs w:val="18"/>
              </w:rPr>
              <w:t>64.3</w:t>
            </w:r>
          </w:p>
        </w:tc>
        <w:tc>
          <w:tcPr>
            <w:cnfStyle w:val="000001000000" w:firstRow="0" w:lastRow="0" w:firstColumn="0" w:lastColumn="0" w:oddVBand="0" w:evenVBand="1" w:oddHBand="0" w:evenHBand="0" w:firstRowFirstColumn="0" w:firstRowLastColumn="0" w:lastRowFirstColumn="0" w:lastRowLastColumn="0"/>
            <w:tcW w:w="323" w:type="pct"/>
          </w:tcPr>
          <w:p w14:paraId="46B6FDE7" w14:textId="77777777" w:rsidR="00A30E61" w:rsidRPr="00CF3E3D" w:rsidRDefault="00A30E61" w:rsidP="007007AC">
            <w:pPr>
              <w:spacing w:before="85" w:line="288" w:lineRule="auto"/>
              <w:jc w:val="center"/>
              <w:rPr>
                <w:sz w:val="18"/>
                <w:szCs w:val="18"/>
              </w:rPr>
            </w:pPr>
            <w:r w:rsidRPr="00CF3E3D">
              <w:rPr>
                <w:sz w:val="18"/>
                <w:szCs w:val="18"/>
              </w:rPr>
              <w:t>76.9</w:t>
            </w:r>
          </w:p>
        </w:tc>
        <w:tc>
          <w:tcPr>
            <w:cnfStyle w:val="000010000000" w:firstRow="0" w:lastRow="0" w:firstColumn="0" w:lastColumn="0" w:oddVBand="1" w:evenVBand="0" w:oddHBand="0" w:evenHBand="0" w:firstRowFirstColumn="0" w:firstRowLastColumn="0" w:lastRowFirstColumn="0" w:lastRowLastColumn="0"/>
            <w:tcW w:w="324" w:type="pct"/>
          </w:tcPr>
          <w:p w14:paraId="753755F7" w14:textId="77777777" w:rsidR="00A30E61" w:rsidRPr="00CF3E3D" w:rsidRDefault="00A30E61" w:rsidP="007007AC">
            <w:pPr>
              <w:spacing w:before="85" w:line="288" w:lineRule="auto"/>
              <w:jc w:val="center"/>
              <w:rPr>
                <w:sz w:val="18"/>
                <w:szCs w:val="18"/>
              </w:rPr>
            </w:pPr>
            <w:r w:rsidRPr="00CF3E3D">
              <w:rPr>
                <w:sz w:val="18"/>
                <w:szCs w:val="18"/>
              </w:rPr>
              <w:t>64.4</w:t>
            </w:r>
          </w:p>
        </w:tc>
        <w:tc>
          <w:tcPr>
            <w:cnfStyle w:val="000001000000" w:firstRow="0" w:lastRow="0" w:firstColumn="0" w:lastColumn="0" w:oddVBand="0" w:evenVBand="1" w:oddHBand="0" w:evenHBand="0" w:firstRowFirstColumn="0" w:firstRowLastColumn="0" w:lastRowFirstColumn="0" w:lastRowLastColumn="0"/>
            <w:tcW w:w="432" w:type="pct"/>
          </w:tcPr>
          <w:p w14:paraId="66E9D6C5" w14:textId="77777777" w:rsidR="00A30E61" w:rsidRPr="00CF3E3D" w:rsidRDefault="00A30E61" w:rsidP="007007AC">
            <w:pPr>
              <w:spacing w:before="85" w:line="288" w:lineRule="auto"/>
              <w:jc w:val="center"/>
              <w:rPr>
                <w:sz w:val="18"/>
                <w:szCs w:val="18"/>
              </w:rPr>
            </w:pPr>
            <w:r w:rsidRPr="00CF3E3D">
              <w:rPr>
                <w:sz w:val="18"/>
                <w:szCs w:val="18"/>
              </w:rPr>
              <w:t>66.8</w:t>
            </w:r>
          </w:p>
        </w:tc>
        <w:tc>
          <w:tcPr>
            <w:cnfStyle w:val="000010000000" w:firstRow="0" w:lastRow="0" w:firstColumn="0" w:lastColumn="0" w:oddVBand="1" w:evenVBand="0" w:oddHBand="0" w:evenHBand="0" w:firstRowFirstColumn="0" w:firstRowLastColumn="0" w:lastRowFirstColumn="0" w:lastRowLastColumn="0"/>
            <w:tcW w:w="323" w:type="pct"/>
          </w:tcPr>
          <w:p w14:paraId="33E12F17" w14:textId="77777777" w:rsidR="00A30E61" w:rsidRPr="00CF3E3D" w:rsidRDefault="00A30E61" w:rsidP="007007AC">
            <w:pPr>
              <w:spacing w:before="85" w:line="288" w:lineRule="auto"/>
              <w:jc w:val="center"/>
              <w:rPr>
                <w:sz w:val="18"/>
                <w:szCs w:val="18"/>
              </w:rPr>
            </w:pPr>
            <w:r w:rsidRPr="00CF3E3D">
              <w:rPr>
                <w:sz w:val="18"/>
                <w:szCs w:val="18"/>
              </w:rPr>
              <w:t>61.5</w:t>
            </w:r>
          </w:p>
        </w:tc>
        <w:tc>
          <w:tcPr>
            <w:cnfStyle w:val="000001000000" w:firstRow="0" w:lastRow="0" w:firstColumn="0" w:lastColumn="0" w:oddVBand="0" w:evenVBand="1" w:oddHBand="0" w:evenHBand="0" w:firstRowFirstColumn="0" w:firstRowLastColumn="0" w:lastRowFirstColumn="0" w:lastRowLastColumn="0"/>
            <w:tcW w:w="324" w:type="pct"/>
          </w:tcPr>
          <w:p w14:paraId="60D851EE" w14:textId="77777777" w:rsidR="00A30E61" w:rsidRPr="00CF3E3D" w:rsidRDefault="00A30E61" w:rsidP="007007AC">
            <w:pPr>
              <w:spacing w:before="85" w:line="288" w:lineRule="auto"/>
              <w:jc w:val="center"/>
              <w:rPr>
                <w:sz w:val="18"/>
                <w:szCs w:val="18"/>
              </w:rPr>
            </w:pPr>
            <w:r w:rsidRPr="00CF3E3D">
              <w:rPr>
                <w:sz w:val="18"/>
                <w:szCs w:val="18"/>
              </w:rPr>
              <w:t>66.8</w:t>
            </w:r>
          </w:p>
        </w:tc>
        <w:tc>
          <w:tcPr>
            <w:cnfStyle w:val="000010000000" w:firstRow="0" w:lastRow="0" w:firstColumn="0" w:lastColumn="0" w:oddVBand="1" w:evenVBand="0" w:oddHBand="0" w:evenHBand="0" w:firstRowFirstColumn="0" w:firstRowLastColumn="0" w:lastRowFirstColumn="0" w:lastRowLastColumn="0"/>
            <w:tcW w:w="432" w:type="pct"/>
          </w:tcPr>
          <w:p w14:paraId="65CC09B9" w14:textId="77777777" w:rsidR="00A30E61" w:rsidRPr="00CF3E3D" w:rsidRDefault="00A30E61" w:rsidP="007007AC">
            <w:pPr>
              <w:spacing w:before="85" w:line="288" w:lineRule="auto"/>
              <w:jc w:val="center"/>
              <w:rPr>
                <w:sz w:val="18"/>
                <w:szCs w:val="18"/>
              </w:rPr>
            </w:pPr>
            <w:r w:rsidRPr="00CF3E3D">
              <w:rPr>
                <w:sz w:val="18"/>
                <w:szCs w:val="18"/>
              </w:rPr>
              <w:t>65.3</w:t>
            </w:r>
          </w:p>
        </w:tc>
        <w:tc>
          <w:tcPr>
            <w:cnfStyle w:val="000001000000" w:firstRow="0" w:lastRow="0" w:firstColumn="0" w:lastColumn="0" w:oddVBand="0" w:evenVBand="1" w:oddHBand="0" w:evenHBand="0" w:firstRowFirstColumn="0" w:firstRowLastColumn="0" w:lastRowFirstColumn="0" w:lastRowLastColumn="0"/>
            <w:tcW w:w="323" w:type="pct"/>
          </w:tcPr>
          <w:p w14:paraId="5F9DFE7C" w14:textId="77777777" w:rsidR="00A30E61" w:rsidRPr="00CF3E3D" w:rsidRDefault="00A30E61" w:rsidP="007007AC">
            <w:pPr>
              <w:spacing w:before="85" w:line="288" w:lineRule="auto"/>
              <w:jc w:val="center"/>
              <w:rPr>
                <w:sz w:val="18"/>
                <w:szCs w:val="18"/>
              </w:rPr>
            </w:pPr>
            <w:r w:rsidRPr="00CF3E3D">
              <w:rPr>
                <w:sz w:val="18"/>
                <w:szCs w:val="18"/>
              </w:rPr>
              <w:t>70.0</w:t>
            </w:r>
          </w:p>
        </w:tc>
        <w:tc>
          <w:tcPr>
            <w:cnfStyle w:val="000010000000" w:firstRow="0" w:lastRow="0" w:firstColumn="0" w:lastColumn="0" w:oddVBand="1" w:evenVBand="0" w:oddHBand="0" w:evenHBand="0" w:firstRowFirstColumn="0" w:firstRowLastColumn="0" w:lastRowFirstColumn="0" w:lastRowLastColumn="0"/>
            <w:tcW w:w="363" w:type="pct"/>
          </w:tcPr>
          <w:p w14:paraId="4B38B3B0" w14:textId="77777777" w:rsidR="00A30E61" w:rsidRPr="00CF3E3D" w:rsidRDefault="00A30E61" w:rsidP="007007AC">
            <w:pPr>
              <w:spacing w:before="85" w:line="288" w:lineRule="auto"/>
              <w:jc w:val="center"/>
              <w:rPr>
                <w:sz w:val="18"/>
                <w:szCs w:val="18"/>
              </w:rPr>
            </w:pPr>
            <w:r w:rsidRPr="00CF3E3D">
              <w:rPr>
                <w:sz w:val="18"/>
                <w:szCs w:val="18"/>
              </w:rPr>
              <w:t>65.4</w:t>
            </w:r>
          </w:p>
        </w:tc>
      </w:tr>
    </w:tbl>
    <w:p w14:paraId="42DC8BDB" w14:textId="77777777" w:rsidR="00A30E61" w:rsidRPr="006E36F7" w:rsidRDefault="00A30E61" w:rsidP="006E36F7">
      <w:pPr>
        <w:pStyle w:val="Heading2"/>
        <w:numPr>
          <w:ilvl w:val="0"/>
          <w:numId w:val="0"/>
        </w:numPr>
        <w:ind w:left="851" w:hanging="851"/>
        <w:rPr>
          <w:color w:val="000000" w:themeColor="text1"/>
        </w:rPr>
      </w:pPr>
      <w:bookmarkStart w:id="195" w:name="_Toc116035558"/>
      <w:bookmarkStart w:id="196" w:name="_Toc116039913"/>
      <w:r w:rsidRPr="006E36F7">
        <w:rPr>
          <w:color w:val="000000" w:themeColor="text1"/>
        </w:rPr>
        <w:t>1.3 Response rate by institution</w:t>
      </w:r>
      <w:bookmarkEnd w:id="195"/>
      <w:bookmarkEnd w:id="196"/>
    </w:p>
    <w:bookmarkEnd w:id="181"/>
    <w:bookmarkEnd w:id="182"/>
    <w:bookmarkEnd w:id="183"/>
    <w:bookmarkEnd w:id="184"/>
    <w:bookmarkEnd w:id="185"/>
    <w:bookmarkEnd w:id="186"/>
    <w:bookmarkEnd w:id="187"/>
    <w:p w14:paraId="21EE18CB" w14:textId="77777777" w:rsidR="00A30E61" w:rsidRPr="00CF3E3D" w:rsidRDefault="00A30E61" w:rsidP="00A30E61">
      <w:pPr>
        <w:pStyle w:val="Body"/>
      </w:pPr>
      <w:r w:rsidRPr="00CF3E3D">
        <w:fldChar w:fldCharType="begin"/>
      </w:r>
      <w:r w:rsidRPr="00CF3E3D">
        <w:instrText xml:space="preserve"> REF _Ref77926137 \h  \* MERGEFORMAT </w:instrText>
      </w:r>
      <w:r w:rsidRPr="00CF3E3D">
        <w:fldChar w:fldCharType="separate"/>
      </w:r>
      <w:r w:rsidRPr="00CF3E3D">
        <w:t xml:space="preserve">Table </w:t>
      </w:r>
      <w:r>
        <w:rPr>
          <w:noProof/>
        </w:rPr>
        <w:t>25</w:t>
      </w:r>
      <w:r w:rsidRPr="00CF3E3D">
        <w:fldChar w:fldCharType="end"/>
      </w:r>
      <w:r w:rsidRPr="00CF3E3D">
        <w:t xml:space="preserve"> and </w:t>
      </w:r>
      <w:r w:rsidRPr="00CF3E3D">
        <w:fldChar w:fldCharType="begin"/>
      </w:r>
      <w:r w:rsidRPr="00CF3E3D">
        <w:instrText xml:space="preserve"> REF _Ref78963605 \h </w:instrText>
      </w:r>
      <w:r w:rsidRPr="00CF3E3D">
        <w:fldChar w:fldCharType="separate"/>
      </w:r>
      <w:r w:rsidRPr="00CF3E3D">
        <w:t xml:space="preserve">Table </w:t>
      </w:r>
      <w:r>
        <w:rPr>
          <w:noProof/>
        </w:rPr>
        <w:t>26</w:t>
      </w:r>
      <w:r w:rsidRPr="00CF3E3D">
        <w:fldChar w:fldCharType="end"/>
      </w:r>
      <w:r w:rsidRPr="00CF3E3D">
        <w:t xml:space="preserve"> show the final response rate by institution for each period of the 2022 GOS collection cycle. There was a minor variation in response rate by provider type, with an overall response rate of 39.4 per cent for universities and 38.9 per cent for NUHEIs. At an individual institution level within provider type, the total collection response rate ranged from 61.4 per cent to 25.7 per cent for universities, and 100.0 per cent to 9.1 per cent for NUHEIs. </w:t>
      </w:r>
    </w:p>
    <w:p w14:paraId="4639DB1E" w14:textId="1391183F" w:rsidR="00A30E61" w:rsidRPr="006E36F7" w:rsidRDefault="00A30E61" w:rsidP="00A30E61">
      <w:pPr>
        <w:pStyle w:val="Caption"/>
        <w:rPr>
          <w:color w:val="000000" w:themeColor="text1"/>
        </w:rPr>
      </w:pPr>
      <w:bookmarkStart w:id="197" w:name="_Toc22200719"/>
      <w:bookmarkStart w:id="198" w:name="_Ref77926137"/>
      <w:bookmarkStart w:id="199" w:name="_Toc116035819"/>
      <w:bookmarkStart w:id="200" w:name="_Toc116040374"/>
      <w:r w:rsidRPr="006E36F7">
        <w:rPr>
          <w:color w:val="000000" w:themeColor="text1"/>
        </w:rPr>
        <w:t xml:space="preserve">Table </w:t>
      </w:r>
      <w:r w:rsidRPr="006E36F7">
        <w:rPr>
          <w:color w:val="000000" w:themeColor="text1"/>
        </w:rPr>
        <w:fldChar w:fldCharType="begin"/>
      </w:r>
      <w:r w:rsidRPr="006E36F7">
        <w:rPr>
          <w:color w:val="000000" w:themeColor="text1"/>
        </w:rPr>
        <w:instrText xml:space="preserve"> SEQ Table \* ARABIC </w:instrText>
      </w:r>
      <w:r w:rsidRPr="006E36F7">
        <w:rPr>
          <w:color w:val="000000" w:themeColor="text1"/>
        </w:rPr>
        <w:fldChar w:fldCharType="separate"/>
      </w:r>
      <w:r w:rsidR="006E36F7">
        <w:rPr>
          <w:noProof/>
          <w:color w:val="000000" w:themeColor="text1"/>
        </w:rPr>
        <w:t>25</w:t>
      </w:r>
      <w:r w:rsidRPr="006E36F7">
        <w:rPr>
          <w:color w:val="000000" w:themeColor="text1"/>
        </w:rPr>
        <w:fldChar w:fldCharType="end"/>
      </w:r>
      <w:bookmarkEnd w:id="197"/>
      <w:bookmarkEnd w:id="198"/>
      <w:r w:rsidRPr="006E36F7">
        <w:rPr>
          <w:color w:val="000000" w:themeColor="text1"/>
        </w:rPr>
        <w:t xml:space="preserve"> 2022 GOS university response rates, all study levels (%)</w:t>
      </w:r>
      <w:bookmarkEnd w:id="199"/>
      <w:bookmarkEnd w:id="200"/>
    </w:p>
    <w:tbl>
      <w:tblPr>
        <w:tblStyle w:val="SRC1"/>
        <w:tblW w:w="5000" w:type="pct"/>
        <w:tblLook w:val="0020" w:firstRow="1" w:lastRow="0" w:firstColumn="0" w:lastColumn="0" w:noHBand="0" w:noVBand="0"/>
      </w:tblPr>
      <w:tblGrid>
        <w:gridCol w:w="5675"/>
        <w:gridCol w:w="1985"/>
        <w:gridCol w:w="2114"/>
        <w:gridCol w:w="2114"/>
        <w:gridCol w:w="2114"/>
      </w:tblGrid>
      <w:tr w:rsidR="00A30E61" w:rsidRPr="00CF3E3D" w14:paraId="1E324F39"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2026" w:type="pct"/>
          </w:tcPr>
          <w:p w14:paraId="3497F0A8" w14:textId="524350D6" w:rsidR="00A30E61" w:rsidRPr="00CF3E3D" w:rsidRDefault="00E27635" w:rsidP="007007AC">
            <w:pPr>
              <w:rPr>
                <w:b w:val="0"/>
                <w:sz w:val="18"/>
                <w:szCs w:val="18"/>
              </w:rPr>
            </w:pPr>
            <w:bookmarkStart w:id="201" w:name="Title25"/>
            <w:bookmarkEnd w:id="201"/>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709" w:type="pct"/>
          </w:tcPr>
          <w:p w14:paraId="20EE4242" w14:textId="6ABCBCF4" w:rsidR="00A30E61" w:rsidRPr="00960B1F" w:rsidRDefault="00960B1F" w:rsidP="007007AC">
            <w:pPr>
              <w:pStyle w:val="TablecolumnheadCENTRETABLES"/>
              <w:jc w:val="center"/>
              <w:rPr>
                <w:rFonts w:ascii="Arial" w:hAnsi="Arial" w:cs="Arial"/>
                <w:b/>
                <w:bCs w:val="0"/>
                <w:color w:val="FFFFFF" w:themeColor="background1"/>
                <w:sz w:val="18"/>
                <w:szCs w:val="18"/>
              </w:rPr>
            </w:pPr>
            <w:r w:rsidRPr="00960B1F">
              <w:rPr>
                <w:rFonts w:ascii="Arial" w:hAnsi="Arial" w:cs="Arial"/>
                <w:b/>
                <w:bCs w:val="0"/>
                <w:caps w:val="0"/>
                <w:color w:val="FFFFFF" w:themeColor="background1"/>
                <w:sz w:val="18"/>
                <w:szCs w:val="18"/>
              </w:rPr>
              <w:t xml:space="preserve">2021 </w:t>
            </w:r>
            <w:r>
              <w:rPr>
                <w:rFonts w:ascii="Arial" w:hAnsi="Arial" w:cs="Arial"/>
                <w:b/>
                <w:bCs w:val="0"/>
                <w:caps w:val="0"/>
                <w:color w:val="FFFFFF" w:themeColor="background1"/>
                <w:sz w:val="18"/>
                <w:szCs w:val="18"/>
              </w:rPr>
              <w:t>N</w:t>
            </w:r>
            <w:r w:rsidRPr="00960B1F">
              <w:rPr>
                <w:rFonts w:ascii="Arial" w:hAnsi="Arial" w:cs="Arial"/>
                <w:b/>
                <w:bCs w:val="0"/>
                <w:caps w:val="0"/>
                <w:color w:val="FFFFFF" w:themeColor="background1"/>
                <w:sz w:val="18"/>
                <w:szCs w:val="18"/>
              </w:rPr>
              <w:t>ovember</w:t>
            </w:r>
          </w:p>
        </w:tc>
        <w:tc>
          <w:tcPr>
            <w:cnfStyle w:val="000010000000" w:firstRow="0" w:lastRow="0" w:firstColumn="0" w:lastColumn="0" w:oddVBand="1" w:evenVBand="0" w:oddHBand="0" w:evenHBand="0" w:firstRowFirstColumn="0" w:firstRowLastColumn="0" w:lastRowFirstColumn="0" w:lastRowLastColumn="0"/>
            <w:tcW w:w="755" w:type="pct"/>
          </w:tcPr>
          <w:p w14:paraId="5179A7E9" w14:textId="3DAA3D40" w:rsidR="00A30E61" w:rsidRPr="006E36F7" w:rsidRDefault="00A30E61" w:rsidP="00960B1F">
            <w:pPr>
              <w:pStyle w:val="TablecolumnheadCENTRETABLES"/>
              <w:jc w:val="center"/>
              <w:rPr>
                <w:rFonts w:ascii="Arial" w:hAnsi="Arial" w:cs="Arial"/>
                <w:b/>
                <w:bCs w:val="0"/>
                <w:caps w:val="0"/>
                <w:color w:val="FFFFFF" w:themeColor="background1"/>
                <w:sz w:val="18"/>
                <w:szCs w:val="18"/>
                <w:lang w:eastAsia="en-AU"/>
              </w:rPr>
            </w:pPr>
            <w:r w:rsidRPr="006E36F7">
              <w:rPr>
                <w:rFonts w:ascii="Arial" w:hAnsi="Arial" w:cs="Arial"/>
                <w:b/>
                <w:bCs w:val="0"/>
                <w:caps w:val="0"/>
                <w:color w:val="FFFFFF" w:themeColor="background1"/>
                <w:sz w:val="18"/>
                <w:szCs w:val="18"/>
                <w:lang w:eastAsia="en-AU"/>
              </w:rPr>
              <w:t>2022</w:t>
            </w:r>
            <w:r w:rsidR="00960B1F">
              <w:rPr>
                <w:rFonts w:ascii="Arial" w:hAnsi="Arial" w:cs="Arial"/>
                <w:b/>
                <w:bCs w:val="0"/>
                <w:caps w:val="0"/>
                <w:color w:val="FFFFFF" w:themeColor="background1"/>
                <w:sz w:val="18"/>
                <w:szCs w:val="18"/>
                <w:lang w:eastAsia="en-AU"/>
              </w:rPr>
              <w:t xml:space="preserve"> </w:t>
            </w:r>
            <w:r w:rsidRPr="006E36F7">
              <w:rPr>
                <w:rFonts w:ascii="Arial" w:hAnsi="Arial" w:cs="Arial"/>
                <w:b/>
                <w:bCs w:val="0"/>
                <w:caps w:val="0"/>
                <w:color w:val="FFFFFF" w:themeColor="background1"/>
                <w:sz w:val="18"/>
                <w:szCs w:val="18"/>
                <w:lang w:eastAsia="en-AU"/>
              </w:rPr>
              <w:t>February</w:t>
            </w:r>
          </w:p>
        </w:tc>
        <w:tc>
          <w:tcPr>
            <w:cnfStyle w:val="000001000000" w:firstRow="0" w:lastRow="0" w:firstColumn="0" w:lastColumn="0" w:oddVBand="0" w:evenVBand="1" w:oddHBand="0" w:evenHBand="0" w:firstRowFirstColumn="0" w:firstRowLastColumn="0" w:lastRowFirstColumn="0" w:lastRowLastColumn="0"/>
            <w:tcW w:w="755" w:type="pct"/>
          </w:tcPr>
          <w:p w14:paraId="72CE4BD2" w14:textId="46FC8675" w:rsidR="00A30E61" w:rsidRPr="006E36F7" w:rsidRDefault="00A30E61" w:rsidP="00960B1F">
            <w:pPr>
              <w:pStyle w:val="TablecolumnheadCENTRETABLES"/>
              <w:jc w:val="center"/>
              <w:rPr>
                <w:rFonts w:ascii="Arial" w:hAnsi="Arial" w:cs="Arial"/>
                <w:b/>
                <w:bCs w:val="0"/>
                <w:color w:val="FFFFFF" w:themeColor="background1"/>
                <w:sz w:val="18"/>
                <w:szCs w:val="18"/>
              </w:rPr>
            </w:pPr>
            <w:r w:rsidRPr="006E36F7">
              <w:rPr>
                <w:rFonts w:ascii="Arial" w:hAnsi="Arial" w:cs="Arial"/>
                <w:b/>
                <w:bCs w:val="0"/>
                <w:caps w:val="0"/>
                <w:color w:val="FFFFFF" w:themeColor="background1"/>
                <w:sz w:val="18"/>
                <w:szCs w:val="18"/>
                <w:lang w:eastAsia="en-AU"/>
              </w:rPr>
              <w:t>2022 May</w:t>
            </w:r>
          </w:p>
        </w:tc>
        <w:tc>
          <w:tcPr>
            <w:cnfStyle w:val="000010000000" w:firstRow="0" w:lastRow="0" w:firstColumn="0" w:lastColumn="0" w:oddVBand="1" w:evenVBand="0" w:oddHBand="0" w:evenHBand="0" w:firstRowFirstColumn="0" w:firstRowLastColumn="0" w:lastRowFirstColumn="0" w:lastRowLastColumn="0"/>
            <w:tcW w:w="755" w:type="pct"/>
          </w:tcPr>
          <w:p w14:paraId="7A976CB5" w14:textId="60BF17E9" w:rsidR="00A30E61" w:rsidRPr="006E36F7" w:rsidRDefault="00A30E61" w:rsidP="00960B1F">
            <w:pPr>
              <w:pStyle w:val="TablecolumnheadCENTRETABLES"/>
              <w:jc w:val="center"/>
              <w:rPr>
                <w:rFonts w:ascii="Arial" w:hAnsi="Arial" w:cs="Arial"/>
                <w:b/>
                <w:bCs w:val="0"/>
                <w:color w:val="FFFFFF" w:themeColor="background1"/>
                <w:sz w:val="18"/>
                <w:szCs w:val="18"/>
              </w:rPr>
            </w:pPr>
            <w:r w:rsidRPr="006E36F7">
              <w:rPr>
                <w:rFonts w:ascii="Arial" w:hAnsi="Arial" w:cs="Arial"/>
                <w:b/>
                <w:bCs w:val="0"/>
                <w:color w:val="FFFFFF" w:themeColor="background1"/>
                <w:sz w:val="18"/>
                <w:szCs w:val="18"/>
                <w:lang w:eastAsia="en-AU"/>
              </w:rPr>
              <w:t xml:space="preserve">2022 </w:t>
            </w:r>
            <w:r w:rsidRPr="006E36F7">
              <w:rPr>
                <w:rFonts w:ascii="Arial" w:hAnsi="Arial" w:cs="Arial"/>
                <w:b/>
                <w:bCs w:val="0"/>
                <w:caps w:val="0"/>
                <w:color w:val="FFFFFF" w:themeColor="background1"/>
                <w:sz w:val="18"/>
                <w:szCs w:val="18"/>
                <w:lang w:eastAsia="en-AU"/>
              </w:rPr>
              <w:t>Total collection</w:t>
            </w:r>
          </w:p>
        </w:tc>
      </w:tr>
      <w:tr w:rsidR="00A30E61" w:rsidRPr="00CF3E3D" w14:paraId="185CBBD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B15EDBD" w14:textId="77777777" w:rsidR="00A30E61" w:rsidRPr="005F1DB4" w:rsidRDefault="00A30E61" w:rsidP="007007AC">
            <w:pPr>
              <w:spacing w:before="85" w:line="288" w:lineRule="auto"/>
              <w:rPr>
                <w:b/>
                <w:bCs/>
                <w:sz w:val="18"/>
                <w:szCs w:val="18"/>
              </w:rPr>
            </w:pPr>
            <w:r w:rsidRPr="005F1DB4">
              <w:rPr>
                <w:b/>
                <w:bCs/>
                <w:sz w:val="18"/>
                <w:szCs w:val="18"/>
              </w:rPr>
              <w:t>Australian Catholic University</w:t>
            </w:r>
          </w:p>
        </w:tc>
        <w:tc>
          <w:tcPr>
            <w:cnfStyle w:val="000001000000" w:firstRow="0" w:lastRow="0" w:firstColumn="0" w:lastColumn="0" w:oddVBand="0" w:evenVBand="1" w:oddHBand="0" w:evenHBand="0" w:firstRowFirstColumn="0" w:firstRowLastColumn="0" w:lastRowFirstColumn="0" w:lastRowLastColumn="0"/>
            <w:tcW w:w="709" w:type="pct"/>
          </w:tcPr>
          <w:p w14:paraId="634E2FB1" w14:textId="77777777" w:rsidR="00A30E61" w:rsidRPr="00CF3E3D" w:rsidRDefault="00A30E61" w:rsidP="007007AC">
            <w:pPr>
              <w:spacing w:before="85" w:line="288" w:lineRule="auto"/>
              <w:jc w:val="center"/>
              <w:rPr>
                <w:sz w:val="18"/>
                <w:szCs w:val="18"/>
              </w:rPr>
            </w:pPr>
            <w:r w:rsidRPr="00CF3E3D">
              <w:rPr>
                <w:sz w:val="18"/>
                <w:szCs w:val="18"/>
              </w:rPr>
              <w:t>42.8</w:t>
            </w:r>
          </w:p>
        </w:tc>
        <w:tc>
          <w:tcPr>
            <w:cnfStyle w:val="000010000000" w:firstRow="0" w:lastRow="0" w:firstColumn="0" w:lastColumn="0" w:oddVBand="1" w:evenVBand="0" w:oddHBand="0" w:evenHBand="0" w:firstRowFirstColumn="0" w:firstRowLastColumn="0" w:lastRowFirstColumn="0" w:lastRowLastColumn="0"/>
            <w:tcW w:w="755" w:type="pct"/>
          </w:tcPr>
          <w:p w14:paraId="498896CE" w14:textId="77777777" w:rsidR="00A30E61" w:rsidRPr="00CF3E3D" w:rsidRDefault="00A30E61" w:rsidP="007007AC">
            <w:pPr>
              <w:spacing w:before="85" w:line="288" w:lineRule="auto"/>
              <w:jc w:val="center"/>
              <w:rPr>
                <w:sz w:val="18"/>
                <w:szCs w:val="18"/>
              </w:rPr>
            </w:pPr>
            <w:r w:rsidRPr="00CF3E3D">
              <w:rPr>
                <w:sz w:val="18"/>
                <w:szCs w:val="18"/>
              </w:rPr>
              <w:t>31.0</w:t>
            </w:r>
          </w:p>
        </w:tc>
        <w:tc>
          <w:tcPr>
            <w:cnfStyle w:val="000001000000" w:firstRow="0" w:lastRow="0" w:firstColumn="0" w:lastColumn="0" w:oddVBand="0" w:evenVBand="1" w:oddHBand="0" w:evenHBand="0" w:firstRowFirstColumn="0" w:firstRowLastColumn="0" w:lastRowFirstColumn="0" w:lastRowLastColumn="0"/>
            <w:tcW w:w="755" w:type="pct"/>
          </w:tcPr>
          <w:p w14:paraId="180E4032" w14:textId="77777777" w:rsidR="00A30E61" w:rsidRPr="00CF3E3D" w:rsidRDefault="00A30E61" w:rsidP="007007AC">
            <w:pPr>
              <w:spacing w:before="85" w:line="288" w:lineRule="auto"/>
              <w:jc w:val="center"/>
              <w:rPr>
                <w:sz w:val="18"/>
                <w:szCs w:val="18"/>
              </w:rPr>
            </w:pPr>
            <w:r w:rsidRPr="00CF3E3D">
              <w:rPr>
                <w:sz w:val="18"/>
                <w:szCs w:val="18"/>
              </w:rPr>
              <w:t>40.5</w:t>
            </w:r>
          </w:p>
        </w:tc>
        <w:tc>
          <w:tcPr>
            <w:cnfStyle w:val="000010000000" w:firstRow="0" w:lastRow="0" w:firstColumn="0" w:lastColumn="0" w:oddVBand="1" w:evenVBand="0" w:oddHBand="0" w:evenHBand="0" w:firstRowFirstColumn="0" w:firstRowLastColumn="0" w:lastRowFirstColumn="0" w:lastRowLastColumn="0"/>
            <w:tcW w:w="755" w:type="pct"/>
          </w:tcPr>
          <w:p w14:paraId="75C16C18" w14:textId="77777777" w:rsidR="00A30E61" w:rsidRPr="00CF3E3D" w:rsidRDefault="00A30E61" w:rsidP="007007AC">
            <w:pPr>
              <w:spacing w:before="85" w:line="288" w:lineRule="auto"/>
              <w:jc w:val="center"/>
              <w:rPr>
                <w:sz w:val="18"/>
                <w:szCs w:val="18"/>
              </w:rPr>
            </w:pPr>
            <w:r w:rsidRPr="00CF3E3D">
              <w:rPr>
                <w:sz w:val="18"/>
                <w:szCs w:val="18"/>
              </w:rPr>
              <w:t>40.4</w:t>
            </w:r>
          </w:p>
        </w:tc>
      </w:tr>
      <w:tr w:rsidR="00A30E61" w:rsidRPr="00CF3E3D" w14:paraId="18581F8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89E3EBB" w14:textId="77777777" w:rsidR="00A30E61" w:rsidRPr="005F1DB4" w:rsidRDefault="00A30E61" w:rsidP="007007AC">
            <w:pPr>
              <w:spacing w:before="85" w:line="288" w:lineRule="auto"/>
              <w:rPr>
                <w:b/>
                <w:bCs/>
                <w:sz w:val="18"/>
                <w:szCs w:val="18"/>
              </w:rPr>
            </w:pPr>
            <w:r w:rsidRPr="005F1DB4">
              <w:rPr>
                <w:b/>
                <w:bCs/>
                <w:sz w:val="18"/>
                <w:szCs w:val="18"/>
              </w:rPr>
              <w:lastRenderedPageBreak/>
              <w:t>Avondale University</w:t>
            </w:r>
          </w:p>
        </w:tc>
        <w:tc>
          <w:tcPr>
            <w:cnfStyle w:val="000001000000" w:firstRow="0" w:lastRow="0" w:firstColumn="0" w:lastColumn="0" w:oddVBand="0" w:evenVBand="1" w:oddHBand="0" w:evenHBand="0" w:firstRowFirstColumn="0" w:firstRowLastColumn="0" w:lastRowFirstColumn="0" w:lastRowLastColumn="0"/>
            <w:tcW w:w="709" w:type="pct"/>
          </w:tcPr>
          <w:p w14:paraId="29D964CD" w14:textId="77777777" w:rsidR="00A30E61" w:rsidRPr="00CF3E3D" w:rsidRDefault="00A30E61" w:rsidP="007007AC">
            <w:pPr>
              <w:spacing w:before="85" w:line="288" w:lineRule="auto"/>
              <w:jc w:val="center"/>
              <w:rPr>
                <w:sz w:val="18"/>
                <w:szCs w:val="18"/>
              </w:rPr>
            </w:pPr>
            <w:r w:rsidRPr="00CF3E3D">
              <w:rPr>
                <w:sz w:val="18"/>
                <w:szCs w:val="18"/>
              </w:rPr>
              <w:t>57.1</w:t>
            </w:r>
          </w:p>
        </w:tc>
        <w:tc>
          <w:tcPr>
            <w:cnfStyle w:val="000010000000" w:firstRow="0" w:lastRow="0" w:firstColumn="0" w:lastColumn="0" w:oddVBand="1" w:evenVBand="0" w:oddHBand="0" w:evenHBand="0" w:firstRowFirstColumn="0" w:firstRowLastColumn="0" w:lastRowFirstColumn="0" w:lastRowLastColumn="0"/>
            <w:tcW w:w="755" w:type="pct"/>
          </w:tcPr>
          <w:p w14:paraId="13FCD049" w14:textId="77777777" w:rsidR="00A30E61" w:rsidRPr="00CF3E3D" w:rsidRDefault="00A30E61" w:rsidP="007007AC">
            <w:pPr>
              <w:spacing w:before="85" w:line="288" w:lineRule="auto"/>
              <w:jc w:val="center"/>
              <w:rPr>
                <w:sz w:val="18"/>
                <w:szCs w:val="18"/>
              </w:rPr>
            </w:pPr>
            <w:r w:rsidRPr="00CF3E3D">
              <w:rPr>
                <w:sz w:val="18"/>
                <w:szCs w:val="18"/>
              </w:rPr>
              <w:t>50.0</w:t>
            </w:r>
          </w:p>
        </w:tc>
        <w:tc>
          <w:tcPr>
            <w:cnfStyle w:val="000001000000" w:firstRow="0" w:lastRow="0" w:firstColumn="0" w:lastColumn="0" w:oddVBand="0" w:evenVBand="1" w:oddHBand="0" w:evenHBand="0" w:firstRowFirstColumn="0" w:firstRowLastColumn="0" w:lastRowFirstColumn="0" w:lastRowLastColumn="0"/>
            <w:tcW w:w="755" w:type="pct"/>
          </w:tcPr>
          <w:p w14:paraId="64CF42C1" w14:textId="77777777" w:rsidR="00A30E61" w:rsidRPr="00CF3E3D" w:rsidRDefault="00A30E61" w:rsidP="007007AC">
            <w:pPr>
              <w:spacing w:before="85" w:line="288" w:lineRule="auto"/>
              <w:jc w:val="center"/>
              <w:rPr>
                <w:sz w:val="18"/>
                <w:szCs w:val="18"/>
              </w:rPr>
            </w:pPr>
            <w:r w:rsidRPr="00CF3E3D">
              <w:rPr>
                <w:sz w:val="18"/>
                <w:szCs w:val="18"/>
              </w:rPr>
              <w:t>36.2</w:t>
            </w:r>
          </w:p>
        </w:tc>
        <w:tc>
          <w:tcPr>
            <w:cnfStyle w:val="000010000000" w:firstRow="0" w:lastRow="0" w:firstColumn="0" w:lastColumn="0" w:oddVBand="1" w:evenVBand="0" w:oddHBand="0" w:evenHBand="0" w:firstRowFirstColumn="0" w:firstRowLastColumn="0" w:lastRowFirstColumn="0" w:lastRowLastColumn="0"/>
            <w:tcW w:w="755" w:type="pct"/>
          </w:tcPr>
          <w:p w14:paraId="7E40D5D4" w14:textId="77777777" w:rsidR="00A30E61" w:rsidRPr="00CF3E3D" w:rsidRDefault="00A30E61" w:rsidP="007007AC">
            <w:pPr>
              <w:spacing w:before="85" w:line="288" w:lineRule="auto"/>
              <w:jc w:val="center"/>
              <w:rPr>
                <w:sz w:val="18"/>
                <w:szCs w:val="18"/>
              </w:rPr>
            </w:pPr>
            <w:r w:rsidRPr="00CF3E3D">
              <w:rPr>
                <w:sz w:val="18"/>
                <w:szCs w:val="18"/>
              </w:rPr>
              <w:t>37.1</w:t>
            </w:r>
          </w:p>
        </w:tc>
      </w:tr>
      <w:tr w:rsidR="00A30E61" w:rsidRPr="00CF3E3D" w14:paraId="6D29FBC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7BF2FAE" w14:textId="77777777" w:rsidR="00A30E61" w:rsidRPr="005F1DB4" w:rsidRDefault="00A30E61" w:rsidP="007007AC">
            <w:pPr>
              <w:spacing w:before="85" w:line="288" w:lineRule="auto"/>
              <w:rPr>
                <w:b/>
                <w:bCs/>
                <w:sz w:val="18"/>
                <w:szCs w:val="18"/>
              </w:rPr>
            </w:pPr>
            <w:r w:rsidRPr="005F1DB4">
              <w:rPr>
                <w:b/>
                <w:bCs/>
                <w:sz w:val="18"/>
                <w:szCs w:val="18"/>
              </w:rPr>
              <w:t>Bond University</w:t>
            </w:r>
          </w:p>
        </w:tc>
        <w:tc>
          <w:tcPr>
            <w:cnfStyle w:val="000001000000" w:firstRow="0" w:lastRow="0" w:firstColumn="0" w:lastColumn="0" w:oddVBand="0" w:evenVBand="1" w:oddHBand="0" w:evenHBand="0" w:firstRowFirstColumn="0" w:firstRowLastColumn="0" w:lastRowFirstColumn="0" w:lastRowLastColumn="0"/>
            <w:tcW w:w="709" w:type="pct"/>
          </w:tcPr>
          <w:p w14:paraId="4C94D651" w14:textId="77777777" w:rsidR="00A30E61" w:rsidRPr="00CF3E3D" w:rsidRDefault="00A30E61" w:rsidP="007007AC">
            <w:pPr>
              <w:spacing w:before="85" w:line="288" w:lineRule="auto"/>
              <w:jc w:val="center"/>
              <w:rPr>
                <w:sz w:val="18"/>
                <w:szCs w:val="18"/>
              </w:rPr>
            </w:pPr>
            <w:r w:rsidRPr="00CF3E3D">
              <w:rPr>
                <w:sz w:val="18"/>
                <w:szCs w:val="18"/>
              </w:rPr>
              <w:t>35.2</w:t>
            </w:r>
          </w:p>
        </w:tc>
        <w:tc>
          <w:tcPr>
            <w:cnfStyle w:val="000010000000" w:firstRow="0" w:lastRow="0" w:firstColumn="0" w:lastColumn="0" w:oddVBand="1" w:evenVBand="0" w:oddHBand="0" w:evenHBand="0" w:firstRowFirstColumn="0" w:firstRowLastColumn="0" w:lastRowFirstColumn="0" w:lastRowLastColumn="0"/>
            <w:tcW w:w="755" w:type="pct"/>
          </w:tcPr>
          <w:p w14:paraId="04EEAC6F" w14:textId="77777777" w:rsidR="00A30E61" w:rsidRPr="00CF3E3D" w:rsidRDefault="00A30E61" w:rsidP="007007AC">
            <w:pPr>
              <w:spacing w:before="85" w:line="288" w:lineRule="auto"/>
              <w:jc w:val="center"/>
              <w:rPr>
                <w:sz w:val="18"/>
                <w:szCs w:val="18"/>
              </w:rPr>
            </w:pPr>
            <w:r w:rsidRPr="00CF3E3D">
              <w:rPr>
                <w:sz w:val="18"/>
                <w:szCs w:val="18"/>
              </w:rPr>
              <w:t>30.5</w:t>
            </w:r>
          </w:p>
        </w:tc>
        <w:tc>
          <w:tcPr>
            <w:cnfStyle w:val="000001000000" w:firstRow="0" w:lastRow="0" w:firstColumn="0" w:lastColumn="0" w:oddVBand="0" w:evenVBand="1" w:oddHBand="0" w:evenHBand="0" w:firstRowFirstColumn="0" w:firstRowLastColumn="0" w:lastRowFirstColumn="0" w:lastRowLastColumn="0"/>
            <w:tcW w:w="755" w:type="pct"/>
          </w:tcPr>
          <w:p w14:paraId="5359CAFB" w14:textId="77777777" w:rsidR="00A30E61" w:rsidRPr="00CF3E3D" w:rsidRDefault="00A30E61" w:rsidP="007007AC">
            <w:pPr>
              <w:spacing w:before="85" w:line="288" w:lineRule="auto"/>
              <w:jc w:val="center"/>
              <w:rPr>
                <w:sz w:val="18"/>
                <w:szCs w:val="18"/>
              </w:rPr>
            </w:pPr>
            <w:r w:rsidRPr="00CF3E3D">
              <w:rPr>
                <w:sz w:val="18"/>
                <w:szCs w:val="18"/>
              </w:rPr>
              <w:t>29.9</w:t>
            </w:r>
          </w:p>
        </w:tc>
        <w:tc>
          <w:tcPr>
            <w:cnfStyle w:val="000010000000" w:firstRow="0" w:lastRow="0" w:firstColumn="0" w:lastColumn="0" w:oddVBand="1" w:evenVBand="0" w:oddHBand="0" w:evenHBand="0" w:firstRowFirstColumn="0" w:firstRowLastColumn="0" w:lastRowFirstColumn="0" w:lastRowLastColumn="0"/>
            <w:tcW w:w="755" w:type="pct"/>
          </w:tcPr>
          <w:p w14:paraId="36CCE2EA" w14:textId="77777777" w:rsidR="00A30E61" w:rsidRPr="00CF3E3D" w:rsidRDefault="00A30E61" w:rsidP="007007AC">
            <w:pPr>
              <w:spacing w:before="85" w:line="288" w:lineRule="auto"/>
              <w:jc w:val="center"/>
              <w:rPr>
                <w:sz w:val="18"/>
                <w:szCs w:val="18"/>
              </w:rPr>
            </w:pPr>
            <w:r w:rsidRPr="00CF3E3D">
              <w:rPr>
                <w:sz w:val="18"/>
                <w:szCs w:val="18"/>
              </w:rPr>
              <w:t>31.7</w:t>
            </w:r>
          </w:p>
        </w:tc>
      </w:tr>
      <w:tr w:rsidR="00A30E61" w:rsidRPr="00CF3E3D" w14:paraId="46B9265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EACFA26" w14:textId="77777777" w:rsidR="00A30E61" w:rsidRPr="005F1DB4" w:rsidRDefault="00A30E61" w:rsidP="007007AC">
            <w:pPr>
              <w:spacing w:before="85" w:line="288" w:lineRule="auto"/>
              <w:rPr>
                <w:b/>
                <w:bCs/>
                <w:sz w:val="18"/>
                <w:szCs w:val="18"/>
              </w:rPr>
            </w:pPr>
            <w:r w:rsidRPr="005F1DB4">
              <w:rPr>
                <w:b/>
                <w:bCs/>
                <w:sz w:val="18"/>
                <w:szCs w:val="18"/>
              </w:rPr>
              <w:t>Central Queensland University</w:t>
            </w:r>
          </w:p>
        </w:tc>
        <w:tc>
          <w:tcPr>
            <w:cnfStyle w:val="000001000000" w:firstRow="0" w:lastRow="0" w:firstColumn="0" w:lastColumn="0" w:oddVBand="0" w:evenVBand="1" w:oddHBand="0" w:evenHBand="0" w:firstRowFirstColumn="0" w:firstRowLastColumn="0" w:lastRowFirstColumn="0" w:lastRowLastColumn="0"/>
            <w:tcW w:w="709" w:type="pct"/>
          </w:tcPr>
          <w:p w14:paraId="4D05838F" w14:textId="77777777" w:rsidR="00A30E61" w:rsidRPr="00CF3E3D" w:rsidRDefault="00A30E61" w:rsidP="007007AC">
            <w:pPr>
              <w:spacing w:before="85" w:line="288" w:lineRule="auto"/>
              <w:jc w:val="center"/>
              <w:rPr>
                <w:sz w:val="18"/>
                <w:szCs w:val="18"/>
              </w:rPr>
            </w:pPr>
            <w:r w:rsidRPr="00CF3E3D">
              <w:rPr>
                <w:sz w:val="18"/>
                <w:szCs w:val="18"/>
              </w:rPr>
              <w:t>38.2</w:t>
            </w:r>
          </w:p>
        </w:tc>
        <w:tc>
          <w:tcPr>
            <w:cnfStyle w:val="000010000000" w:firstRow="0" w:lastRow="0" w:firstColumn="0" w:lastColumn="0" w:oddVBand="1" w:evenVBand="0" w:oddHBand="0" w:evenHBand="0" w:firstRowFirstColumn="0" w:firstRowLastColumn="0" w:lastRowFirstColumn="0" w:lastRowLastColumn="0"/>
            <w:tcW w:w="755" w:type="pct"/>
          </w:tcPr>
          <w:p w14:paraId="6794D33F" w14:textId="77777777" w:rsidR="00A30E61" w:rsidRPr="00CF3E3D" w:rsidRDefault="00A30E61" w:rsidP="007007AC">
            <w:pPr>
              <w:spacing w:before="85" w:line="288" w:lineRule="auto"/>
              <w:jc w:val="center"/>
              <w:rPr>
                <w:sz w:val="18"/>
                <w:szCs w:val="18"/>
              </w:rPr>
            </w:pPr>
            <w:r w:rsidRPr="00CF3E3D">
              <w:rPr>
                <w:sz w:val="18"/>
                <w:szCs w:val="18"/>
              </w:rPr>
              <w:t>47.0</w:t>
            </w:r>
          </w:p>
        </w:tc>
        <w:tc>
          <w:tcPr>
            <w:cnfStyle w:val="000001000000" w:firstRow="0" w:lastRow="0" w:firstColumn="0" w:lastColumn="0" w:oddVBand="0" w:evenVBand="1" w:oddHBand="0" w:evenHBand="0" w:firstRowFirstColumn="0" w:firstRowLastColumn="0" w:lastRowFirstColumn="0" w:lastRowLastColumn="0"/>
            <w:tcW w:w="755" w:type="pct"/>
          </w:tcPr>
          <w:p w14:paraId="537910F8" w14:textId="77777777" w:rsidR="00A30E61" w:rsidRPr="00CF3E3D" w:rsidRDefault="00A30E61" w:rsidP="007007AC">
            <w:pPr>
              <w:spacing w:before="85" w:line="288" w:lineRule="auto"/>
              <w:jc w:val="center"/>
              <w:rPr>
                <w:sz w:val="18"/>
                <w:szCs w:val="18"/>
              </w:rPr>
            </w:pPr>
            <w:r w:rsidRPr="00CF3E3D">
              <w:rPr>
                <w:sz w:val="18"/>
                <w:szCs w:val="18"/>
              </w:rPr>
              <w:t>46.5</w:t>
            </w:r>
          </w:p>
        </w:tc>
        <w:tc>
          <w:tcPr>
            <w:cnfStyle w:val="000010000000" w:firstRow="0" w:lastRow="0" w:firstColumn="0" w:lastColumn="0" w:oddVBand="1" w:evenVBand="0" w:oddHBand="0" w:evenHBand="0" w:firstRowFirstColumn="0" w:firstRowLastColumn="0" w:lastRowFirstColumn="0" w:lastRowLastColumn="0"/>
            <w:tcW w:w="755" w:type="pct"/>
          </w:tcPr>
          <w:p w14:paraId="668CE850" w14:textId="77777777" w:rsidR="00A30E61" w:rsidRPr="00CF3E3D" w:rsidRDefault="00A30E61" w:rsidP="007007AC">
            <w:pPr>
              <w:spacing w:before="85" w:line="288" w:lineRule="auto"/>
              <w:jc w:val="center"/>
              <w:rPr>
                <w:sz w:val="18"/>
                <w:szCs w:val="18"/>
              </w:rPr>
            </w:pPr>
            <w:r w:rsidRPr="00CF3E3D">
              <w:rPr>
                <w:sz w:val="18"/>
                <w:szCs w:val="18"/>
              </w:rPr>
              <w:t>43.3</w:t>
            </w:r>
          </w:p>
        </w:tc>
      </w:tr>
      <w:tr w:rsidR="00A30E61" w:rsidRPr="00CF3E3D" w14:paraId="3811CBD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7FFE8C9" w14:textId="77777777" w:rsidR="00A30E61" w:rsidRPr="005F1DB4" w:rsidRDefault="00A30E61" w:rsidP="007007AC">
            <w:pPr>
              <w:spacing w:before="85" w:line="288" w:lineRule="auto"/>
              <w:rPr>
                <w:b/>
                <w:bCs/>
                <w:sz w:val="18"/>
                <w:szCs w:val="18"/>
              </w:rPr>
            </w:pPr>
            <w:r w:rsidRPr="005F1DB4">
              <w:rPr>
                <w:b/>
                <w:bCs/>
                <w:sz w:val="18"/>
                <w:szCs w:val="18"/>
              </w:rPr>
              <w:t>Charles Darwin University</w:t>
            </w:r>
          </w:p>
        </w:tc>
        <w:tc>
          <w:tcPr>
            <w:cnfStyle w:val="000001000000" w:firstRow="0" w:lastRow="0" w:firstColumn="0" w:lastColumn="0" w:oddVBand="0" w:evenVBand="1" w:oddHBand="0" w:evenHBand="0" w:firstRowFirstColumn="0" w:firstRowLastColumn="0" w:lastRowFirstColumn="0" w:lastRowLastColumn="0"/>
            <w:tcW w:w="709" w:type="pct"/>
          </w:tcPr>
          <w:p w14:paraId="3F924E6C" w14:textId="77777777" w:rsidR="00A30E61" w:rsidRPr="00CF3E3D" w:rsidRDefault="00A30E61" w:rsidP="007007AC">
            <w:pPr>
              <w:spacing w:before="85" w:line="288" w:lineRule="auto"/>
              <w:jc w:val="center"/>
              <w:rPr>
                <w:sz w:val="18"/>
                <w:szCs w:val="18"/>
              </w:rPr>
            </w:pPr>
            <w:r w:rsidRPr="00CF3E3D">
              <w:rPr>
                <w:sz w:val="18"/>
                <w:szCs w:val="18"/>
              </w:rPr>
              <w:t>47.6</w:t>
            </w:r>
          </w:p>
        </w:tc>
        <w:tc>
          <w:tcPr>
            <w:cnfStyle w:val="000010000000" w:firstRow="0" w:lastRow="0" w:firstColumn="0" w:lastColumn="0" w:oddVBand="1" w:evenVBand="0" w:oddHBand="0" w:evenHBand="0" w:firstRowFirstColumn="0" w:firstRowLastColumn="0" w:lastRowFirstColumn="0" w:lastRowLastColumn="0"/>
            <w:tcW w:w="755" w:type="pct"/>
          </w:tcPr>
          <w:p w14:paraId="6AD7522F" w14:textId="77777777" w:rsidR="00A30E61" w:rsidRPr="00CF3E3D" w:rsidRDefault="00A30E61" w:rsidP="007007AC">
            <w:pPr>
              <w:spacing w:before="85" w:line="288" w:lineRule="auto"/>
              <w:jc w:val="center"/>
              <w:rPr>
                <w:sz w:val="18"/>
                <w:szCs w:val="18"/>
              </w:rPr>
            </w:pPr>
            <w:r w:rsidRPr="00CF3E3D">
              <w:rPr>
                <w:sz w:val="18"/>
                <w:szCs w:val="18"/>
              </w:rPr>
              <w:t>52.3</w:t>
            </w:r>
          </w:p>
        </w:tc>
        <w:tc>
          <w:tcPr>
            <w:cnfStyle w:val="000001000000" w:firstRow="0" w:lastRow="0" w:firstColumn="0" w:lastColumn="0" w:oddVBand="0" w:evenVBand="1" w:oddHBand="0" w:evenHBand="0" w:firstRowFirstColumn="0" w:firstRowLastColumn="0" w:lastRowFirstColumn="0" w:lastRowLastColumn="0"/>
            <w:tcW w:w="755" w:type="pct"/>
          </w:tcPr>
          <w:p w14:paraId="6178C3D1" w14:textId="77777777" w:rsidR="00A30E61" w:rsidRPr="00CF3E3D" w:rsidRDefault="00A30E61" w:rsidP="007007AC">
            <w:pPr>
              <w:spacing w:before="85" w:line="288" w:lineRule="auto"/>
              <w:jc w:val="center"/>
              <w:rPr>
                <w:sz w:val="18"/>
                <w:szCs w:val="18"/>
              </w:rPr>
            </w:pPr>
            <w:r w:rsidRPr="00CF3E3D">
              <w:rPr>
                <w:sz w:val="18"/>
                <w:szCs w:val="18"/>
              </w:rPr>
              <w:t>48.7</w:t>
            </w:r>
          </w:p>
        </w:tc>
        <w:tc>
          <w:tcPr>
            <w:cnfStyle w:val="000010000000" w:firstRow="0" w:lastRow="0" w:firstColumn="0" w:lastColumn="0" w:oddVBand="1" w:evenVBand="0" w:oddHBand="0" w:evenHBand="0" w:firstRowFirstColumn="0" w:firstRowLastColumn="0" w:lastRowFirstColumn="0" w:lastRowLastColumn="0"/>
            <w:tcW w:w="755" w:type="pct"/>
          </w:tcPr>
          <w:p w14:paraId="70FD14BF" w14:textId="77777777" w:rsidR="00A30E61" w:rsidRPr="00CF3E3D" w:rsidRDefault="00A30E61" w:rsidP="007007AC">
            <w:pPr>
              <w:spacing w:before="85" w:line="288" w:lineRule="auto"/>
              <w:jc w:val="center"/>
              <w:rPr>
                <w:sz w:val="18"/>
                <w:szCs w:val="18"/>
              </w:rPr>
            </w:pPr>
            <w:r w:rsidRPr="00CF3E3D">
              <w:rPr>
                <w:sz w:val="18"/>
                <w:szCs w:val="18"/>
              </w:rPr>
              <w:t>48.8</w:t>
            </w:r>
          </w:p>
        </w:tc>
      </w:tr>
      <w:tr w:rsidR="00A30E61" w:rsidRPr="00CF3E3D" w14:paraId="680A86D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DC5B2AD" w14:textId="77777777" w:rsidR="00A30E61" w:rsidRPr="005F1DB4" w:rsidRDefault="00A30E61" w:rsidP="007007AC">
            <w:pPr>
              <w:spacing w:before="85" w:line="288" w:lineRule="auto"/>
              <w:rPr>
                <w:b/>
                <w:bCs/>
                <w:sz w:val="18"/>
                <w:szCs w:val="18"/>
              </w:rPr>
            </w:pPr>
            <w:r w:rsidRPr="005F1DB4">
              <w:rPr>
                <w:b/>
                <w:bCs/>
                <w:sz w:val="18"/>
                <w:szCs w:val="18"/>
              </w:rPr>
              <w:t>Charles Sturt University</w:t>
            </w:r>
          </w:p>
        </w:tc>
        <w:tc>
          <w:tcPr>
            <w:cnfStyle w:val="000001000000" w:firstRow="0" w:lastRow="0" w:firstColumn="0" w:lastColumn="0" w:oddVBand="0" w:evenVBand="1" w:oddHBand="0" w:evenHBand="0" w:firstRowFirstColumn="0" w:firstRowLastColumn="0" w:lastRowFirstColumn="0" w:lastRowLastColumn="0"/>
            <w:tcW w:w="709" w:type="pct"/>
          </w:tcPr>
          <w:p w14:paraId="446459D5" w14:textId="77777777" w:rsidR="00A30E61" w:rsidRPr="00CF3E3D" w:rsidRDefault="00A30E61" w:rsidP="007007AC">
            <w:pPr>
              <w:spacing w:before="85" w:line="288" w:lineRule="auto"/>
              <w:jc w:val="center"/>
              <w:rPr>
                <w:sz w:val="18"/>
                <w:szCs w:val="18"/>
              </w:rPr>
            </w:pPr>
            <w:r w:rsidRPr="00CF3E3D">
              <w:rPr>
                <w:sz w:val="18"/>
                <w:szCs w:val="18"/>
              </w:rPr>
              <w:t>36.2</w:t>
            </w:r>
          </w:p>
        </w:tc>
        <w:tc>
          <w:tcPr>
            <w:cnfStyle w:val="000010000000" w:firstRow="0" w:lastRow="0" w:firstColumn="0" w:lastColumn="0" w:oddVBand="1" w:evenVBand="0" w:oddHBand="0" w:evenHBand="0" w:firstRowFirstColumn="0" w:firstRowLastColumn="0" w:lastRowFirstColumn="0" w:lastRowLastColumn="0"/>
            <w:tcW w:w="755" w:type="pct"/>
          </w:tcPr>
          <w:p w14:paraId="58D7290D" w14:textId="77777777" w:rsidR="00A30E61" w:rsidRPr="00CF3E3D" w:rsidRDefault="00A30E61" w:rsidP="007007AC">
            <w:pPr>
              <w:spacing w:before="85" w:line="288" w:lineRule="auto"/>
              <w:jc w:val="center"/>
              <w:rPr>
                <w:sz w:val="18"/>
                <w:szCs w:val="18"/>
              </w:rPr>
            </w:pPr>
            <w:r w:rsidRPr="00CF3E3D">
              <w:rPr>
                <w:sz w:val="18"/>
                <w:szCs w:val="18"/>
              </w:rPr>
              <w:t>28.7</w:t>
            </w:r>
          </w:p>
        </w:tc>
        <w:tc>
          <w:tcPr>
            <w:cnfStyle w:val="000001000000" w:firstRow="0" w:lastRow="0" w:firstColumn="0" w:lastColumn="0" w:oddVBand="0" w:evenVBand="1" w:oddHBand="0" w:evenHBand="0" w:firstRowFirstColumn="0" w:firstRowLastColumn="0" w:lastRowFirstColumn="0" w:lastRowLastColumn="0"/>
            <w:tcW w:w="755" w:type="pct"/>
          </w:tcPr>
          <w:p w14:paraId="514ECE69" w14:textId="77777777" w:rsidR="00A30E61" w:rsidRPr="00CF3E3D" w:rsidRDefault="00A30E61" w:rsidP="007007AC">
            <w:pPr>
              <w:spacing w:before="85" w:line="288" w:lineRule="auto"/>
              <w:jc w:val="center"/>
              <w:rPr>
                <w:sz w:val="18"/>
                <w:szCs w:val="18"/>
              </w:rPr>
            </w:pPr>
            <w:r w:rsidRPr="00CF3E3D">
              <w:rPr>
                <w:sz w:val="18"/>
                <w:szCs w:val="18"/>
              </w:rPr>
              <w:t>48.2</w:t>
            </w:r>
          </w:p>
        </w:tc>
        <w:tc>
          <w:tcPr>
            <w:cnfStyle w:val="000010000000" w:firstRow="0" w:lastRow="0" w:firstColumn="0" w:lastColumn="0" w:oddVBand="1" w:evenVBand="0" w:oddHBand="0" w:evenHBand="0" w:firstRowFirstColumn="0" w:firstRowLastColumn="0" w:lastRowFirstColumn="0" w:lastRowLastColumn="0"/>
            <w:tcW w:w="755" w:type="pct"/>
          </w:tcPr>
          <w:p w14:paraId="57516131" w14:textId="77777777" w:rsidR="00A30E61" w:rsidRPr="00CF3E3D" w:rsidRDefault="00A30E61" w:rsidP="007007AC">
            <w:pPr>
              <w:spacing w:before="85" w:line="288" w:lineRule="auto"/>
              <w:jc w:val="center"/>
              <w:rPr>
                <w:sz w:val="18"/>
                <w:szCs w:val="18"/>
              </w:rPr>
            </w:pPr>
            <w:r w:rsidRPr="00CF3E3D">
              <w:rPr>
                <w:sz w:val="18"/>
                <w:szCs w:val="18"/>
              </w:rPr>
              <w:t>43.7</w:t>
            </w:r>
          </w:p>
        </w:tc>
      </w:tr>
      <w:tr w:rsidR="00A30E61" w:rsidRPr="00CF3E3D" w14:paraId="451F882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6E3D17A" w14:textId="77777777" w:rsidR="00A30E61" w:rsidRPr="005F1DB4" w:rsidRDefault="00A30E61" w:rsidP="007007AC">
            <w:pPr>
              <w:spacing w:before="85" w:line="288" w:lineRule="auto"/>
              <w:rPr>
                <w:b/>
                <w:bCs/>
                <w:sz w:val="18"/>
                <w:szCs w:val="18"/>
              </w:rPr>
            </w:pPr>
            <w:r w:rsidRPr="005F1DB4">
              <w:rPr>
                <w:b/>
                <w:bCs/>
                <w:sz w:val="18"/>
                <w:szCs w:val="18"/>
              </w:rPr>
              <w:t>Curtin University</w:t>
            </w:r>
          </w:p>
        </w:tc>
        <w:tc>
          <w:tcPr>
            <w:cnfStyle w:val="000001000000" w:firstRow="0" w:lastRow="0" w:firstColumn="0" w:lastColumn="0" w:oddVBand="0" w:evenVBand="1" w:oddHBand="0" w:evenHBand="0" w:firstRowFirstColumn="0" w:firstRowLastColumn="0" w:lastRowFirstColumn="0" w:lastRowLastColumn="0"/>
            <w:tcW w:w="709" w:type="pct"/>
          </w:tcPr>
          <w:p w14:paraId="1CE81A53" w14:textId="77777777" w:rsidR="00A30E61" w:rsidRPr="00CF3E3D" w:rsidRDefault="00A30E61" w:rsidP="007007AC">
            <w:pPr>
              <w:spacing w:before="85" w:line="288" w:lineRule="auto"/>
              <w:jc w:val="center"/>
              <w:rPr>
                <w:sz w:val="18"/>
                <w:szCs w:val="18"/>
              </w:rPr>
            </w:pPr>
            <w:r w:rsidRPr="00CF3E3D">
              <w:rPr>
                <w:sz w:val="18"/>
                <w:szCs w:val="18"/>
              </w:rPr>
              <w:t>37.6</w:t>
            </w:r>
          </w:p>
        </w:tc>
        <w:tc>
          <w:tcPr>
            <w:cnfStyle w:val="000010000000" w:firstRow="0" w:lastRow="0" w:firstColumn="0" w:lastColumn="0" w:oddVBand="1" w:evenVBand="0" w:oddHBand="0" w:evenHBand="0" w:firstRowFirstColumn="0" w:firstRowLastColumn="0" w:lastRowFirstColumn="0" w:lastRowLastColumn="0"/>
            <w:tcW w:w="755" w:type="pct"/>
          </w:tcPr>
          <w:p w14:paraId="0F46B64D" w14:textId="77777777" w:rsidR="00A30E61" w:rsidRPr="00FE7C3A"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26CC5AC7" w14:textId="77777777" w:rsidR="00A30E61" w:rsidRPr="00CF3E3D" w:rsidRDefault="00A30E61" w:rsidP="007007AC">
            <w:pPr>
              <w:spacing w:before="85" w:line="288" w:lineRule="auto"/>
              <w:jc w:val="center"/>
              <w:rPr>
                <w:sz w:val="18"/>
                <w:szCs w:val="18"/>
              </w:rPr>
            </w:pPr>
            <w:r w:rsidRPr="00CF3E3D">
              <w:rPr>
                <w:sz w:val="18"/>
                <w:szCs w:val="18"/>
              </w:rPr>
              <w:t>38.3</w:t>
            </w:r>
          </w:p>
        </w:tc>
        <w:tc>
          <w:tcPr>
            <w:cnfStyle w:val="000010000000" w:firstRow="0" w:lastRow="0" w:firstColumn="0" w:lastColumn="0" w:oddVBand="1" w:evenVBand="0" w:oddHBand="0" w:evenHBand="0" w:firstRowFirstColumn="0" w:firstRowLastColumn="0" w:lastRowFirstColumn="0" w:lastRowLastColumn="0"/>
            <w:tcW w:w="755" w:type="pct"/>
          </w:tcPr>
          <w:p w14:paraId="08C33D9E" w14:textId="77777777" w:rsidR="00A30E61" w:rsidRPr="00CF3E3D" w:rsidRDefault="00A30E61" w:rsidP="007007AC">
            <w:pPr>
              <w:spacing w:before="85" w:line="288" w:lineRule="auto"/>
              <w:jc w:val="center"/>
              <w:rPr>
                <w:sz w:val="18"/>
                <w:szCs w:val="18"/>
              </w:rPr>
            </w:pPr>
            <w:r w:rsidRPr="00CF3E3D">
              <w:rPr>
                <w:sz w:val="18"/>
                <w:szCs w:val="18"/>
              </w:rPr>
              <w:t>38.1</w:t>
            </w:r>
          </w:p>
        </w:tc>
      </w:tr>
      <w:tr w:rsidR="00A30E61" w:rsidRPr="00CF3E3D" w14:paraId="1E703B9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5B70B05" w14:textId="77777777" w:rsidR="00A30E61" w:rsidRPr="005F1DB4" w:rsidRDefault="00A30E61" w:rsidP="007007AC">
            <w:pPr>
              <w:spacing w:before="85" w:line="288" w:lineRule="auto"/>
              <w:rPr>
                <w:b/>
                <w:bCs/>
                <w:sz w:val="18"/>
                <w:szCs w:val="18"/>
              </w:rPr>
            </w:pPr>
            <w:r w:rsidRPr="005F1DB4">
              <w:rPr>
                <w:b/>
                <w:bCs/>
                <w:sz w:val="18"/>
                <w:szCs w:val="18"/>
              </w:rPr>
              <w:t>Deakin University</w:t>
            </w:r>
          </w:p>
        </w:tc>
        <w:tc>
          <w:tcPr>
            <w:cnfStyle w:val="000001000000" w:firstRow="0" w:lastRow="0" w:firstColumn="0" w:lastColumn="0" w:oddVBand="0" w:evenVBand="1" w:oddHBand="0" w:evenHBand="0" w:firstRowFirstColumn="0" w:firstRowLastColumn="0" w:lastRowFirstColumn="0" w:lastRowLastColumn="0"/>
            <w:tcW w:w="709" w:type="pct"/>
          </w:tcPr>
          <w:p w14:paraId="3A2EAA44" w14:textId="77777777" w:rsidR="00A30E61" w:rsidRPr="00CF3E3D" w:rsidRDefault="00A30E61" w:rsidP="007007AC">
            <w:pPr>
              <w:spacing w:before="85" w:line="288" w:lineRule="auto"/>
              <w:jc w:val="center"/>
              <w:rPr>
                <w:sz w:val="18"/>
                <w:szCs w:val="18"/>
              </w:rPr>
            </w:pPr>
            <w:r w:rsidRPr="00CF3E3D">
              <w:rPr>
                <w:sz w:val="18"/>
                <w:szCs w:val="18"/>
              </w:rPr>
              <w:t>44.8</w:t>
            </w:r>
          </w:p>
        </w:tc>
        <w:tc>
          <w:tcPr>
            <w:cnfStyle w:val="000010000000" w:firstRow="0" w:lastRow="0" w:firstColumn="0" w:lastColumn="0" w:oddVBand="1" w:evenVBand="0" w:oddHBand="0" w:evenHBand="0" w:firstRowFirstColumn="0" w:firstRowLastColumn="0" w:lastRowFirstColumn="0" w:lastRowLastColumn="0"/>
            <w:tcW w:w="755" w:type="pct"/>
          </w:tcPr>
          <w:p w14:paraId="2B46B850" w14:textId="77777777" w:rsidR="00A30E61" w:rsidRPr="00FE7C3A"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5319A516" w14:textId="77777777" w:rsidR="00A30E61" w:rsidRPr="00CF3E3D" w:rsidRDefault="00A30E61" w:rsidP="007007AC">
            <w:pPr>
              <w:spacing w:before="85" w:line="288" w:lineRule="auto"/>
              <w:jc w:val="center"/>
              <w:rPr>
                <w:sz w:val="18"/>
                <w:szCs w:val="18"/>
              </w:rPr>
            </w:pPr>
            <w:r w:rsidRPr="00CF3E3D">
              <w:rPr>
                <w:sz w:val="18"/>
                <w:szCs w:val="18"/>
              </w:rPr>
              <w:t>43.7</w:t>
            </w:r>
          </w:p>
        </w:tc>
        <w:tc>
          <w:tcPr>
            <w:cnfStyle w:val="000010000000" w:firstRow="0" w:lastRow="0" w:firstColumn="0" w:lastColumn="0" w:oddVBand="1" w:evenVBand="0" w:oddHBand="0" w:evenHBand="0" w:firstRowFirstColumn="0" w:firstRowLastColumn="0" w:lastRowFirstColumn="0" w:lastRowLastColumn="0"/>
            <w:tcW w:w="755" w:type="pct"/>
          </w:tcPr>
          <w:p w14:paraId="19DF1689" w14:textId="77777777" w:rsidR="00A30E61" w:rsidRPr="00CF3E3D" w:rsidRDefault="00A30E61" w:rsidP="007007AC">
            <w:pPr>
              <w:spacing w:before="85" w:line="288" w:lineRule="auto"/>
              <w:jc w:val="center"/>
              <w:rPr>
                <w:sz w:val="18"/>
                <w:szCs w:val="18"/>
              </w:rPr>
            </w:pPr>
            <w:r w:rsidRPr="00CF3E3D">
              <w:rPr>
                <w:sz w:val="18"/>
                <w:szCs w:val="18"/>
              </w:rPr>
              <w:t>44.2</w:t>
            </w:r>
          </w:p>
        </w:tc>
      </w:tr>
      <w:tr w:rsidR="00A30E61" w:rsidRPr="00CF3E3D" w14:paraId="2C8A143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52AA138C" w14:textId="77777777" w:rsidR="00A30E61" w:rsidRPr="005F1DB4" w:rsidRDefault="00A30E61" w:rsidP="007007AC">
            <w:pPr>
              <w:spacing w:before="85" w:line="288" w:lineRule="auto"/>
              <w:rPr>
                <w:b/>
                <w:bCs/>
                <w:sz w:val="18"/>
                <w:szCs w:val="18"/>
              </w:rPr>
            </w:pPr>
            <w:r w:rsidRPr="005F1DB4">
              <w:rPr>
                <w:b/>
                <w:bCs/>
                <w:sz w:val="18"/>
                <w:szCs w:val="18"/>
              </w:rPr>
              <w:t>Edith Cowan University</w:t>
            </w:r>
          </w:p>
        </w:tc>
        <w:tc>
          <w:tcPr>
            <w:cnfStyle w:val="000001000000" w:firstRow="0" w:lastRow="0" w:firstColumn="0" w:lastColumn="0" w:oddVBand="0" w:evenVBand="1" w:oddHBand="0" w:evenHBand="0" w:firstRowFirstColumn="0" w:firstRowLastColumn="0" w:lastRowFirstColumn="0" w:lastRowLastColumn="0"/>
            <w:tcW w:w="709" w:type="pct"/>
          </w:tcPr>
          <w:p w14:paraId="61BCD4F3" w14:textId="77777777" w:rsidR="00A30E61" w:rsidRPr="00CF3E3D" w:rsidRDefault="00A30E61" w:rsidP="007007AC">
            <w:pPr>
              <w:spacing w:before="85" w:line="288" w:lineRule="auto"/>
              <w:jc w:val="center"/>
              <w:rPr>
                <w:sz w:val="18"/>
                <w:szCs w:val="18"/>
              </w:rPr>
            </w:pPr>
            <w:r w:rsidRPr="00CF3E3D">
              <w:rPr>
                <w:sz w:val="18"/>
                <w:szCs w:val="18"/>
              </w:rPr>
              <w:t>42.4</w:t>
            </w:r>
          </w:p>
        </w:tc>
        <w:tc>
          <w:tcPr>
            <w:cnfStyle w:val="000010000000" w:firstRow="0" w:lastRow="0" w:firstColumn="0" w:lastColumn="0" w:oddVBand="1" w:evenVBand="0" w:oddHBand="0" w:evenHBand="0" w:firstRowFirstColumn="0" w:firstRowLastColumn="0" w:lastRowFirstColumn="0" w:lastRowLastColumn="0"/>
            <w:tcW w:w="755" w:type="pct"/>
          </w:tcPr>
          <w:p w14:paraId="2442481E" w14:textId="77777777" w:rsidR="00A30E61" w:rsidRPr="00CF3E3D" w:rsidRDefault="00A30E61" w:rsidP="007007AC">
            <w:pPr>
              <w:spacing w:before="85" w:line="288" w:lineRule="auto"/>
              <w:jc w:val="center"/>
              <w:rPr>
                <w:sz w:val="18"/>
                <w:szCs w:val="18"/>
              </w:rPr>
            </w:pPr>
            <w:r w:rsidRPr="00CF3E3D">
              <w:rPr>
                <w:sz w:val="18"/>
                <w:szCs w:val="18"/>
              </w:rPr>
              <w:t>41.4</w:t>
            </w:r>
          </w:p>
        </w:tc>
        <w:tc>
          <w:tcPr>
            <w:cnfStyle w:val="000001000000" w:firstRow="0" w:lastRow="0" w:firstColumn="0" w:lastColumn="0" w:oddVBand="0" w:evenVBand="1" w:oddHBand="0" w:evenHBand="0" w:firstRowFirstColumn="0" w:firstRowLastColumn="0" w:lastRowFirstColumn="0" w:lastRowLastColumn="0"/>
            <w:tcW w:w="755" w:type="pct"/>
          </w:tcPr>
          <w:p w14:paraId="1DD57893" w14:textId="77777777" w:rsidR="00A30E61" w:rsidRPr="00CF3E3D" w:rsidRDefault="00A30E61" w:rsidP="007007AC">
            <w:pPr>
              <w:spacing w:before="85" w:line="288" w:lineRule="auto"/>
              <w:jc w:val="center"/>
              <w:rPr>
                <w:sz w:val="18"/>
                <w:szCs w:val="18"/>
              </w:rPr>
            </w:pPr>
            <w:r w:rsidRPr="00CF3E3D">
              <w:rPr>
                <w:sz w:val="18"/>
                <w:szCs w:val="18"/>
              </w:rPr>
              <w:t>44.5</w:t>
            </w:r>
          </w:p>
        </w:tc>
        <w:tc>
          <w:tcPr>
            <w:cnfStyle w:val="000010000000" w:firstRow="0" w:lastRow="0" w:firstColumn="0" w:lastColumn="0" w:oddVBand="1" w:evenVBand="0" w:oddHBand="0" w:evenHBand="0" w:firstRowFirstColumn="0" w:firstRowLastColumn="0" w:lastRowFirstColumn="0" w:lastRowLastColumn="0"/>
            <w:tcW w:w="755" w:type="pct"/>
          </w:tcPr>
          <w:p w14:paraId="217F526E" w14:textId="77777777" w:rsidR="00A30E61" w:rsidRPr="00CF3E3D" w:rsidRDefault="00A30E61" w:rsidP="007007AC">
            <w:pPr>
              <w:spacing w:before="85" w:line="288" w:lineRule="auto"/>
              <w:jc w:val="center"/>
              <w:rPr>
                <w:sz w:val="18"/>
                <w:szCs w:val="18"/>
              </w:rPr>
            </w:pPr>
            <w:r w:rsidRPr="00CF3E3D">
              <w:rPr>
                <w:sz w:val="18"/>
                <w:szCs w:val="18"/>
              </w:rPr>
              <w:t>43.6</w:t>
            </w:r>
          </w:p>
        </w:tc>
      </w:tr>
      <w:tr w:rsidR="00A30E61" w:rsidRPr="00CF3E3D" w14:paraId="1B175B5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8354131" w14:textId="77777777" w:rsidR="00A30E61" w:rsidRPr="005F1DB4" w:rsidRDefault="00A30E61" w:rsidP="007007AC">
            <w:pPr>
              <w:spacing w:before="85" w:line="288" w:lineRule="auto"/>
              <w:rPr>
                <w:b/>
                <w:bCs/>
                <w:sz w:val="18"/>
                <w:szCs w:val="18"/>
              </w:rPr>
            </w:pPr>
            <w:r w:rsidRPr="005F1DB4">
              <w:rPr>
                <w:b/>
                <w:bCs/>
                <w:sz w:val="18"/>
                <w:szCs w:val="18"/>
              </w:rPr>
              <w:t>Federation University Australia</w:t>
            </w:r>
          </w:p>
        </w:tc>
        <w:tc>
          <w:tcPr>
            <w:cnfStyle w:val="000001000000" w:firstRow="0" w:lastRow="0" w:firstColumn="0" w:lastColumn="0" w:oddVBand="0" w:evenVBand="1" w:oddHBand="0" w:evenHBand="0" w:firstRowFirstColumn="0" w:firstRowLastColumn="0" w:lastRowFirstColumn="0" w:lastRowLastColumn="0"/>
            <w:tcW w:w="709" w:type="pct"/>
          </w:tcPr>
          <w:p w14:paraId="3E12C0C7" w14:textId="77777777" w:rsidR="00A30E61" w:rsidRPr="00CF3E3D" w:rsidRDefault="00A30E61" w:rsidP="007007AC">
            <w:pPr>
              <w:spacing w:before="85" w:line="288" w:lineRule="auto"/>
              <w:jc w:val="center"/>
              <w:rPr>
                <w:sz w:val="18"/>
                <w:szCs w:val="18"/>
              </w:rPr>
            </w:pPr>
            <w:r w:rsidRPr="00CF3E3D">
              <w:rPr>
                <w:sz w:val="18"/>
                <w:szCs w:val="18"/>
              </w:rPr>
              <w:t>37.1</w:t>
            </w:r>
          </w:p>
        </w:tc>
        <w:tc>
          <w:tcPr>
            <w:cnfStyle w:val="000010000000" w:firstRow="0" w:lastRow="0" w:firstColumn="0" w:lastColumn="0" w:oddVBand="1" w:evenVBand="0" w:oddHBand="0" w:evenHBand="0" w:firstRowFirstColumn="0" w:firstRowLastColumn="0" w:lastRowFirstColumn="0" w:lastRowLastColumn="0"/>
            <w:tcW w:w="755" w:type="pct"/>
          </w:tcPr>
          <w:p w14:paraId="707A732C" w14:textId="77777777" w:rsidR="00A30E61" w:rsidRPr="00CF3E3D" w:rsidRDefault="00A30E61" w:rsidP="007007AC">
            <w:pPr>
              <w:spacing w:before="85" w:line="288" w:lineRule="auto"/>
              <w:jc w:val="center"/>
              <w:rPr>
                <w:sz w:val="18"/>
                <w:szCs w:val="18"/>
              </w:rPr>
            </w:pPr>
            <w:r w:rsidRPr="00CF3E3D">
              <w:rPr>
                <w:sz w:val="18"/>
                <w:szCs w:val="18"/>
              </w:rPr>
              <w:t>33.9</w:t>
            </w:r>
          </w:p>
        </w:tc>
        <w:tc>
          <w:tcPr>
            <w:cnfStyle w:val="000001000000" w:firstRow="0" w:lastRow="0" w:firstColumn="0" w:lastColumn="0" w:oddVBand="0" w:evenVBand="1" w:oddHBand="0" w:evenHBand="0" w:firstRowFirstColumn="0" w:firstRowLastColumn="0" w:lastRowFirstColumn="0" w:lastRowLastColumn="0"/>
            <w:tcW w:w="755" w:type="pct"/>
          </w:tcPr>
          <w:p w14:paraId="24A159DE" w14:textId="77777777" w:rsidR="00A30E61" w:rsidRPr="00CF3E3D" w:rsidRDefault="00A30E61" w:rsidP="007007AC">
            <w:pPr>
              <w:spacing w:before="85" w:line="288" w:lineRule="auto"/>
              <w:jc w:val="center"/>
              <w:rPr>
                <w:sz w:val="18"/>
                <w:szCs w:val="18"/>
              </w:rPr>
            </w:pPr>
            <w:r w:rsidRPr="00CF3E3D">
              <w:rPr>
                <w:sz w:val="18"/>
                <w:szCs w:val="18"/>
              </w:rPr>
              <w:t>39.3</w:t>
            </w:r>
          </w:p>
        </w:tc>
        <w:tc>
          <w:tcPr>
            <w:cnfStyle w:val="000010000000" w:firstRow="0" w:lastRow="0" w:firstColumn="0" w:lastColumn="0" w:oddVBand="1" w:evenVBand="0" w:oddHBand="0" w:evenHBand="0" w:firstRowFirstColumn="0" w:firstRowLastColumn="0" w:lastRowFirstColumn="0" w:lastRowLastColumn="0"/>
            <w:tcW w:w="755" w:type="pct"/>
          </w:tcPr>
          <w:p w14:paraId="5D016F4A" w14:textId="77777777" w:rsidR="00A30E61" w:rsidRPr="00CF3E3D" w:rsidRDefault="00A30E61" w:rsidP="007007AC">
            <w:pPr>
              <w:spacing w:before="85" w:line="288" w:lineRule="auto"/>
              <w:jc w:val="center"/>
              <w:rPr>
                <w:sz w:val="18"/>
                <w:szCs w:val="18"/>
              </w:rPr>
            </w:pPr>
            <w:r w:rsidRPr="00CF3E3D">
              <w:rPr>
                <w:sz w:val="18"/>
                <w:szCs w:val="18"/>
              </w:rPr>
              <w:t>37.9</w:t>
            </w:r>
          </w:p>
        </w:tc>
      </w:tr>
      <w:tr w:rsidR="00A30E61" w:rsidRPr="00CF3E3D" w14:paraId="45C4660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A175924" w14:textId="77777777" w:rsidR="00A30E61" w:rsidRPr="005F1DB4" w:rsidRDefault="00A30E61" w:rsidP="007007AC">
            <w:pPr>
              <w:spacing w:before="85" w:line="288" w:lineRule="auto"/>
              <w:rPr>
                <w:b/>
                <w:bCs/>
                <w:sz w:val="18"/>
                <w:szCs w:val="18"/>
              </w:rPr>
            </w:pPr>
            <w:r w:rsidRPr="005F1DB4">
              <w:rPr>
                <w:b/>
                <w:bCs/>
                <w:sz w:val="18"/>
                <w:szCs w:val="18"/>
              </w:rPr>
              <w:t>Flinders University</w:t>
            </w:r>
          </w:p>
        </w:tc>
        <w:tc>
          <w:tcPr>
            <w:cnfStyle w:val="000001000000" w:firstRow="0" w:lastRow="0" w:firstColumn="0" w:lastColumn="0" w:oddVBand="0" w:evenVBand="1" w:oddHBand="0" w:evenHBand="0" w:firstRowFirstColumn="0" w:firstRowLastColumn="0" w:lastRowFirstColumn="0" w:lastRowLastColumn="0"/>
            <w:tcW w:w="709" w:type="pct"/>
          </w:tcPr>
          <w:p w14:paraId="1CC399B0" w14:textId="77777777" w:rsidR="00A30E61" w:rsidRPr="00CF3E3D" w:rsidRDefault="00A30E61" w:rsidP="007007AC">
            <w:pPr>
              <w:spacing w:before="85" w:line="288" w:lineRule="auto"/>
              <w:jc w:val="center"/>
              <w:rPr>
                <w:sz w:val="18"/>
                <w:szCs w:val="18"/>
              </w:rPr>
            </w:pPr>
            <w:r w:rsidRPr="00CF3E3D">
              <w:rPr>
                <w:sz w:val="18"/>
                <w:szCs w:val="18"/>
              </w:rPr>
              <w:t>49.6</w:t>
            </w:r>
          </w:p>
        </w:tc>
        <w:tc>
          <w:tcPr>
            <w:cnfStyle w:val="000010000000" w:firstRow="0" w:lastRow="0" w:firstColumn="0" w:lastColumn="0" w:oddVBand="1" w:evenVBand="0" w:oddHBand="0" w:evenHBand="0" w:firstRowFirstColumn="0" w:firstRowLastColumn="0" w:lastRowFirstColumn="0" w:lastRowLastColumn="0"/>
            <w:tcW w:w="755" w:type="pct"/>
          </w:tcPr>
          <w:p w14:paraId="16EBC616" w14:textId="77777777" w:rsidR="00A30E61" w:rsidRPr="00CF3E3D" w:rsidRDefault="00A30E61" w:rsidP="007007AC">
            <w:pPr>
              <w:spacing w:before="85" w:line="288" w:lineRule="auto"/>
              <w:jc w:val="center"/>
              <w:rPr>
                <w:sz w:val="18"/>
                <w:szCs w:val="18"/>
              </w:rPr>
            </w:pPr>
            <w:r w:rsidRPr="00CF3E3D">
              <w:rPr>
                <w:sz w:val="18"/>
                <w:szCs w:val="18"/>
              </w:rPr>
              <w:t>46.5</w:t>
            </w:r>
          </w:p>
        </w:tc>
        <w:tc>
          <w:tcPr>
            <w:cnfStyle w:val="000001000000" w:firstRow="0" w:lastRow="0" w:firstColumn="0" w:lastColumn="0" w:oddVBand="0" w:evenVBand="1" w:oddHBand="0" w:evenHBand="0" w:firstRowFirstColumn="0" w:firstRowLastColumn="0" w:lastRowFirstColumn="0" w:lastRowLastColumn="0"/>
            <w:tcW w:w="755" w:type="pct"/>
          </w:tcPr>
          <w:p w14:paraId="6E1B08F7" w14:textId="77777777" w:rsidR="00A30E61" w:rsidRPr="00CF3E3D" w:rsidRDefault="00A30E61" w:rsidP="007007AC">
            <w:pPr>
              <w:spacing w:before="85" w:line="288" w:lineRule="auto"/>
              <w:jc w:val="center"/>
              <w:rPr>
                <w:sz w:val="18"/>
                <w:szCs w:val="18"/>
              </w:rPr>
            </w:pPr>
            <w:r w:rsidRPr="00CF3E3D">
              <w:rPr>
                <w:sz w:val="18"/>
                <w:szCs w:val="18"/>
              </w:rPr>
              <w:t>48.5</w:t>
            </w:r>
          </w:p>
        </w:tc>
        <w:tc>
          <w:tcPr>
            <w:cnfStyle w:val="000010000000" w:firstRow="0" w:lastRow="0" w:firstColumn="0" w:lastColumn="0" w:oddVBand="1" w:evenVBand="0" w:oddHBand="0" w:evenHBand="0" w:firstRowFirstColumn="0" w:firstRowLastColumn="0" w:lastRowFirstColumn="0" w:lastRowLastColumn="0"/>
            <w:tcW w:w="755" w:type="pct"/>
          </w:tcPr>
          <w:p w14:paraId="1E33D6CE" w14:textId="77777777" w:rsidR="00A30E61" w:rsidRPr="00CF3E3D" w:rsidRDefault="00A30E61" w:rsidP="007007AC">
            <w:pPr>
              <w:spacing w:before="85" w:line="288" w:lineRule="auto"/>
              <w:jc w:val="center"/>
              <w:rPr>
                <w:sz w:val="18"/>
                <w:szCs w:val="18"/>
              </w:rPr>
            </w:pPr>
            <w:r w:rsidRPr="00CF3E3D">
              <w:rPr>
                <w:sz w:val="18"/>
                <w:szCs w:val="18"/>
              </w:rPr>
              <w:t>48.5</w:t>
            </w:r>
          </w:p>
        </w:tc>
      </w:tr>
      <w:tr w:rsidR="00A30E61" w:rsidRPr="00CF3E3D" w14:paraId="40DE60A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A8B793C" w14:textId="77777777" w:rsidR="00A30E61" w:rsidRPr="005F1DB4" w:rsidRDefault="00A30E61" w:rsidP="007007AC">
            <w:pPr>
              <w:spacing w:before="85" w:line="288" w:lineRule="auto"/>
              <w:rPr>
                <w:b/>
                <w:bCs/>
                <w:sz w:val="18"/>
                <w:szCs w:val="18"/>
              </w:rPr>
            </w:pPr>
            <w:r w:rsidRPr="005F1DB4">
              <w:rPr>
                <w:b/>
                <w:bCs/>
                <w:sz w:val="18"/>
                <w:szCs w:val="18"/>
              </w:rPr>
              <w:t>Griffith University</w:t>
            </w:r>
          </w:p>
        </w:tc>
        <w:tc>
          <w:tcPr>
            <w:cnfStyle w:val="000001000000" w:firstRow="0" w:lastRow="0" w:firstColumn="0" w:lastColumn="0" w:oddVBand="0" w:evenVBand="1" w:oddHBand="0" w:evenHBand="0" w:firstRowFirstColumn="0" w:firstRowLastColumn="0" w:lastRowFirstColumn="0" w:lastRowLastColumn="0"/>
            <w:tcW w:w="709" w:type="pct"/>
          </w:tcPr>
          <w:p w14:paraId="73B69FFA" w14:textId="77777777" w:rsidR="00A30E61" w:rsidRPr="00CF3E3D" w:rsidRDefault="00A30E61" w:rsidP="007007AC">
            <w:pPr>
              <w:spacing w:before="85" w:line="288" w:lineRule="auto"/>
              <w:jc w:val="center"/>
              <w:rPr>
                <w:sz w:val="18"/>
                <w:szCs w:val="18"/>
              </w:rPr>
            </w:pPr>
            <w:r w:rsidRPr="00CF3E3D">
              <w:rPr>
                <w:sz w:val="18"/>
                <w:szCs w:val="18"/>
              </w:rPr>
              <w:t>33.9</w:t>
            </w:r>
          </w:p>
        </w:tc>
        <w:tc>
          <w:tcPr>
            <w:cnfStyle w:val="000010000000" w:firstRow="0" w:lastRow="0" w:firstColumn="0" w:lastColumn="0" w:oddVBand="1" w:evenVBand="0" w:oddHBand="0" w:evenHBand="0" w:firstRowFirstColumn="0" w:firstRowLastColumn="0" w:lastRowFirstColumn="0" w:lastRowLastColumn="0"/>
            <w:tcW w:w="755" w:type="pct"/>
          </w:tcPr>
          <w:p w14:paraId="402427F7"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461E092B" w14:textId="77777777" w:rsidR="00A30E61" w:rsidRPr="00CF3E3D" w:rsidRDefault="00A30E61" w:rsidP="007007AC">
            <w:pPr>
              <w:spacing w:before="85" w:line="288" w:lineRule="auto"/>
              <w:jc w:val="center"/>
              <w:rPr>
                <w:sz w:val="18"/>
                <w:szCs w:val="18"/>
              </w:rPr>
            </w:pPr>
            <w:r w:rsidRPr="00CF3E3D">
              <w:rPr>
                <w:sz w:val="18"/>
                <w:szCs w:val="18"/>
              </w:rPr>
              <w:t>36.3</w:t>
            </w:r>
          </w:p>
        </w:tc>
        <w:tc>
          <w:tcPr>
            <w:cnfStyle w:val="000010000000" w:firstRow="0" w:lastRow="0" w:firstColumn="0" w:lastColumn="0" w:oddVBand="1" w:evenVBand="0" w:oddHBand="0" w:evenHBand="0" w:firstRowFirstColumn="0" w:firstRowLastColumn="0" w:lastRowFirstColumn="0" w:lastRowLastColumn="0"/>
            <w:tcW w:w="755" w:type="pct"/>
          </w:tcPr>
          <w:p w14:paraId="095299AE" w14:textId="77777777" w:rsidR="00A30E61" w:rsidRPr="00CF3E3D" w:rsidRDefault="00A30E61" w:rsidP="007007AC">
            <w:pPr>
              <w:spacing w:before="85" w:line="288" w:lineRule="auto"/>
              <w:jc w:val="center"/>
              <w:rPr>
                <w:sz w:val="18"/>
                <w:szCs w:val="18"/>
              </w:rPr>
            </w:pPr>
            <w:r w:rsidRPr="00CF3E3D">
              <w:rPr>
                <w:sz w:val="18"/>
                <w:szCs w:val="18"/>
              </w:rPr>
              <w:t>35.3</w:t>
            </w:r>
          </w:p>
        </w:tc>
      </w:tr>
      <w:tr w:rsidR="00A30E61" w:rsidRPr="00CF3E3D" w14:paraId="49D5667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E2DF813" w14:textId="77777777" w:rsidR="00A30E61" w:rsidRPr="005F1DB4" w:rsidRDefault="00A30E61" w:rsidP="007007AC">
            <w:pPr>
              <w:spacing w:before="85" w:line="288" w:lineRule="auto"/>
              <w:rPr>
                <w:b/>
                <w:bCs/>
                <w:sz w:val="18"/>
                <w:szCs w:val="18"/>
              </w:rPr>
            </w:pPr>
            <w:r w:rsidRPr="005F1DB4">
              <w:rPr>
                <w:b/>
                <w:bCs/>
                <w:sz w:val="18"/>
                <w:szCs w:val="18"/>
              </w:rPr>
              <w:t>James Cook University</w:t>
            </w:r>
          </w:p>
        </w:tc>
        <w:tc>
          <w:tcPr>
            <w:cnfStyle w:val="000001000000" w:firstRow="0" w:lastRow="0" w:firstColumn="0" w:lastColumn="0" w:oddVBand="0" w:evenVBand="1" w:oddHBand="0" w:evenHBand="0" w:firstRowFirstColumn="0" w:firstRowLastColumn="0" w:lastRowFirstColumn="0" w:lastRowLastColumn="0"/>
            <w:tcW w:w="709" w:type="pct"/>
          </w:tcPr>
          <w:p w14:paraId="3492C6D9" w14:textId="77777777" w:rsidR="00A30E61" w:rsidRPr="00CF3E3D" w:rsidRDefault="00A30E61" w:rsidP="007007AC">
            <w:pPr>
              <w:spacing w:before="85" w:line="288" w:lineRule="auto"/>
              <w:jc w:val="center"/>
              <w:rPr>
                <w:sz w:val="18"/>
                <w:szCs w:val="18"/>
              </w:rPr>
            </w:pPr>
            <w:r w:rsidRPr="00CF3E3D">
              <w:rPr>
                <w:sz w:val="18"/>
                <w:szCs w:val="18"/>
              </w:rPr>
              <w:t>43.2</w:t>
            </w:r>
          </w:p>
        </w:tc>
        <w:tc>
          <w:tcPr>
            <w:cnfStyle w:val="000010000000" w:firstRow="0" w:lastRow="0" w:firstColumn="0" w:lastColumn="0" w:oddVBand="1" w:evenVBand="0" w:oddHBand="0" w:evenHBand="0" w:firstRowFirstColumn="0" w:firstRowLastColumn="0" w:lastRowFirstColumn="0" w:lastRowLastColumn="0"/>
            <w:tcW w:w="755" w:type="pct"/>
          </w:tcPr>
          <w:p w14:paraId="7DE3336B" w14:textId="77777777" w:rsidR="00A30E61" w:rsidRPr="00CF3E3D" w:rsidRDefault="00A30E61" w:rsidP="007007AC">
            <w:pPr>
              <w:spacing w:before="85" w:line="288" w:lineRule="auto"/>
              <w:jc w:val="center"/>
              <w:rPr>
                <w:sz w:val="18"/>
                <w:szCs w:val="18"/>
              </w:rPr>
            </w:pPr>
            <w:r w:rsidRPr="00CF3E3D">
              <w:rPr>
                <w:sz w:val="18"/>
                <w:szCs w:val="18"/>
              </w:rPr>
              <w:t>44.8</w:t>
            </w:r>
          </w:p>
        </w:tc>
        <w:tc>
          <w:tcPr>
            <w:cnfStyle w:val="000001000000" w:firstRow="0" w:lastRow="0" w:firstColumn="0" w:lastColumn="0" w:oddVBand="0" w:evenVBand="1" w:oddHBand="0" w:evenHBand="0" w:firstRowFirstColumn="0" w:firstRowLastColumn="0" w:lastRowFirstColumn="0" w:lastRowLastColumn="0"/>
            <w:tcW w:w="755" w:type="pct"/>
          </w:tcPr>
          <w:p w14:paraId="10387FBE" w14:textId="77777777" w:rsidR="00A30E61" w:rsidRPr="00CF3E3D" w:rsidRDefault="00A30E61" w:rsidP="007007AC">
            <w:pPr>
              <w:spacing w:before="85" w:line="288" w:lineRule="auto"/>
              <w:jc w:val="center"/>
              <w:rPr>
                <w:sz w:val="18"/>
                <w:szCs w:val="18"/>
              </w:rPr>
            </w:pPr>
            <w:r w:rsidRPr="00CF3E3D">
              <w:rPr>
                <w:sz w:val="18"/>
                <w:szCs w:val="18"/>
              </w:rPr>
              <w:t>43.5</w:t>
            </w:r>
          </w:p>
        </w:tc>
        <w:tc>
          <w:tcPr>
            <w:cnfStyle w:val="000010000000" w:firstRow="0" w:lastRow="0" w:firstColumn="0" w:lastColumn="0" w:oddVBand="1" w:evenVBand="0" w:oddHBand="0" w:evenHBand="0" w:firstRowFirstColumn="0" w:firstRowLastColumn="0" w:lastRowFirstColumn="0" w:lastRowLastColumn="0"/>
            <w:tcW w:w="755" w:type="pct"/>
          </w:tcPr>
          <w:p w14:paraId="628956D7" w14:textId="77777777" w:rsidR="00A30E61" w:rsidRPr="00CF3E3D" w:rsidRDefault="00A30E61" w:rsidP="007007AC">
            <w:pPr>
              <w:spacing w:before="85" w:line="288" w:lineRule="auto"/>
              <w:jc w:val="center"/>
              <w:rPr>
                <w:sz w:val="18"/>
                <w:szCs w:val="18"/>
              </w:rPr>
            </w:pPr>
            <w:r w:rsidRPr="00CF3E3D">
              <w:rPr>
                <w:sz w:val="18"/>
                <w:szCs w:val="18"/>
              </w:rPr>
              <w:t>43.6</w:t>
            </w:r>
          </w:p>
        </w:tc>
      </w:tr>
      <w:tr w:rsidR="00A30E61" w:rsidRPr="00CF3E3D" w14:paraId="4ABC655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ACA01A9" w14:textId="77777777" w:rsidR="00A30E61" w:rsidRPr="005F1DB4" w:rsidRDefault="00A30E61" w:rsidP="007007AC">
            <w:pPr>
              <w:spacing w:before="85" w:line="288" w:lineRule="auto"/>
              <w:rPr>
                <w:b/>
                <w:bCs/>
                <w:sz w:val="18"/>
                <w:szCs w:val="18"/>
              </w:rPr>
            </w:pPr>
            <w:r w:rsidRPr="005F1DB4">
              <w:rPr>
                <w:b/>
                <w:bCs/>
                <w:sz w:val="18"/>
                <w:szCs w:val="18"/>
              </w:rPr>
              <w:t>La Trobe University</w:t>
            </w:r>
          </w:p>
        </w:tc>
        <w:tc>
          <w:tcPr>
            <w:cnfStyle w:val="000001000000" w:firstRow="0" w:lastRow="0" w:firstColumn="0" w:lastColumn="0" w:oddVBand="0" w:evenVBand="1" w:oddHBand="0" w:evenHBand="0" w:firstRowFirstColumn="0" w:firstRowLastColumn="0" w:lastRowFirstColumn="0" w:lastRowLastColumn="0"/>
            <w:tcW w:w="709" w:type="pct"/>
          </w:tcPr>
          <w:p w14:paraId="52AE7CF8" w14:textId="77777777" w:rsidR="00A30E61" w:rsidRPr="00CF3E3D" w:rsidRDefault="00A30E61" w:rsidP="007007AC">
            <w:pPr>
              <w:spacing w:before="85" w:line="288" w:lineRule="auto"/>
              <w:jc w:val="center"/>
              <w:rPr>
                <w:sz w:val="18"/>
                <w:szCs w:val="18"/>
              </w:rPr>
            </w:pPr>
            <w:r w:rsidRPr="00CF3E3D">
              <w:rPr>
                <w:sz w:val="18"/>
                <w:szCs w:val="18"/>
              </w:rPr>
              <w:t>34.5</w:t>
            </w:r>
          </w:p>
        </w:tc>
        <w:tc>
          <w:tcPr>
            <w:cnfStyle w:val="000010000000" w:firstRow="0" w:lastRow="0" w:firstColumn="0" w:lastColumn="0" w:oddVBand="1" w:evenVBand="0" w:oddHBand="0" w:evenHBand="0" w:firstRowFirstColumn="0" w:firstRowLastColumn="0" w:lastRowFirstColumn="0" w:lastRowLastColumn="0"/>
            <w:tcW w:w="755" w:type="pct"/>
          </w:tcPr>
          <w:p w14:paraId="0AFD285D" w14:textId="77777777" w:rsidR="00A30E61" w:rsidRPr="00CF3E3D" w:rsidRDefault="00A30E61" w:rsidP="007007AC">
            <w:pPr>
              <w:spacing w:before="85" w:line="288" w:lineRule="auto"/>
              <w:jc w:val="center"/>
              <w:rPr>
                <w:sz w:val="18"/>
                <w:szCs w:val="18"/>
              </w:rPr>
            </w:pPr>
            <w:r w:rsidRPr="00CF3E3D">
              <w:rPr>
                <w:sz w:val="18"/>
                <w:szCs w:val="18"/>
              </w:rPr>
              <w:t>37.2</w:t>
            </w:r>
          </w:p>
        </w:tc>
        <w:tc>
          <w:tcPr>
            <w:cnfStyle w:val="000001000000" w:firstRow="0" w:lastRow="0" w:firstColumn="0" w:lastColumn="0" w:oddVBand="0" w:evenVBand="1" w:oddHBand="0" w:evenHBand="0" w:firstRowFirstColumn="0" w:firstRowLastColumn="0" w:lastRowFirstColumn="0" w:lastRowLastColumn="0"/>
            <w:tcW w:w="755" w:type="pct"/>
          </w:tcPr>
          <w:p w14:paraId="2D022B56" w14:textId="77777777" w:rsidR="00A30E61" w:rsidRPr="00CF3E3D" w:rsidRDefault="00A30E61" w:rsidP="007007AC">
            <w:pPr>
              <w:spacing w:before="85" w:line="288" w:lineRule="auto"/>
              <w:jc w:val="center"/>
              <w:rPr>
                <w:sz w:val="18"/>
                <w:szCs w:val="18"/>
              </w:rPr>
            </w:pPr>
            <w:r w:rsidRPr="00CF3E3D">
              <w:rPr>
                <w:sz w:val="18"/>
                <w:szCs w:val="18"/>
              </w:rPr>
              <w:t>36.0</w:t>
            </w:r>
          </w:p>
        </w:tc>
        <w:tc>
          <w:tcPr>
            <w:cnfStyle w:val="000010000000" w:firstRow="0" w:lastRow="0" w:firstColumn="0" w:lastColumn="0" w:oddVBand="1" w:evenVBand="0" w:oddHBand="0" w:evenHBand="0" w:firstRowFirstColumn="0" w:firstRowLastColumn="0" w:lastRowFirstColumn="0" w:lastRowLastColumn="0"/>
            <w:tcW w:w="755" w:type="pct"/>
          </w:tcPr>
          <w:p w14:paraId="47455AE2" w14:textId="77777777" w:rsidR="00A30E61" w:rsidRPr="00CF3E3D" w:rsidRDefault="00A30E61" w:rsidP="007007AC">
            <w:pPr>
              <w:spacing w:before="85" w:line="288" w:lineRule="auto"/>
              <w:jc w:val="center"/>
              <w:rPr>
                <w:sz w:val="18"/>
                <w:szCs w:val="18"/>
              </w:rPr>
            </w:pPr>
            <w:r w:rsidRPr="00CF3E3D">
              <w:rPr>
                <w:sz w:val="18"/>
                <w:szCs w:val="18"/>
              </w:rPr>
              <w:t>35.7</w:t>
            </w:r>
          </w:p>
        </w:tc>
      </w:tr>
      <w:tr w:rsidR="00A30E61" w:rsidRPr="00CF3E3D" w14:paraId="5090675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889BC1D" w14:textId="77777777" w:rsidR="00A30E61" w:rsidRPr="005F1DB4" w:rsidRDefault="00A30E61" w:rsidP="007007AC">
            <w:pPr>
              <w:spacing w:before="85" w:line="288" w:lineRule="auto"/>
              <w:rPr>
                <w:b/>
                <w:bCs/>
                <w:sz w:val="18"/>
                <w:szCs w:val="18"/>
              </w:rPr>
            </w:pPr>
            <w:r w:rsidRPr="005F1DB4">
              <w:rPr>
                <w:b/>
                <w:bCs/>
                <w:sz w:val="18"/>
                <w:szCs w:val="18"/>
              </w:rPr>
              <w:t>Macquarie University</w:t>
            </w:r>
          </w:p>
        </w:tc>
        <w:tc>
          <w:tcPr>
            <w:cnfStyle w:val="000001000000" w:firstRow="0" w:lastRow="0" w:firstColumn="0" w:lastColumn="0" w:oddVBand="0" w:evenVBand="1" w:oddHBand="0" w:evenHBand="0" w:firstRowFirstColumn="0" w:firstRowLastColumn="0" w:lastRowFirstColumn="0" w:lastRowLastColumn="0"/>
            <w:tcW w:w="709" w:type="pct"/>
          </w:tcPr>
          <w:p w14:paraId="17026CC5" w14:textId="77777777" w:rsidR="00A30E61" w:rsidRPr="00CF3E3D" w:rsidRDefault="00A30E61" w:rsidP="007007AC">
            <w:pPr>
              <w:spacing w:before="85" w:line="288" w:lineRule="auto"/>
              <w:jc w:val="center"/>
              <w:rPr>
                <w:sz w:val="18"/>
                <w:szCs w:val="18"/>
              </w:rPr>
            </w:pPr>
            <w:r w:rsidRPr="00CF3E3D">
              <w:rPr>
                <w:sz w:val="18"/>
                <w:szCs w:val="18"/>
              </w:rPr>
              <w:t>34.6</w:t>
            </w:r>
          </w:p>
        </w:tc>
        <w:tc>
          <w:tcPr>
            <w:cnfStyle w:val="000010000000" w:firstRow="0" w:lastRow="0" w:firstColumn="0" w:lastColumn="0" w:oddVBand="1" w:evenVBand="0" w:oddHBand="0" w:evenHBand="0" w:firstRowFirstColumn="0" w:firstRowLastColumn="0" w:lastRowFirstColumn="0" w:lastRowLastColumn="0"/>
            <w:tcW w:w="755" w:type="pct"/>
          </w:tcPr>
          <w:p w14:paraId="531378F0" w14:textId="77777777" w:rsidR="00A30E61" w:rsidRPr="00CF3E3D" w:rsidRDefault="00A30E61" w:rsidP="007007AC">
            <w:pPr>
              <w:spacing w:before="85" w:line="288" w:lineRule="auto"/>
              <w:jc w:val="center"/>
              <w:rPr>
                <w:sz w:val="18"/>
                <w:szCs w:val="18"/>
              </w:rPr>
            </w:pPr>
            <w:r w:rsidRPr="00CF3E3D">
              <w:rPr>
                <w:sz w:val="18"/>
                <w:szCs w:val="18"/>
              </w:rPr>
              <w:t>42.7</w:t>
            </w:r>
          </w:p>
        </w:tc>
        <w:tc>
          <w:tcPr>
            <w:cnfStyle w:val="000001000000" w:firstRow="0" w:lastRow="0" w:firstColumn="0" w:lastColumn="0" w:oddVBand="0" w:evenVBand="1" w:oddHBand="0" w:evenHBand="0" w:firstRowFirstColumn="0" w:firstRowLastColumn="0" w:lastRowFirstColumn="0" w:lastRowLastColumn="0"/>
            <w:tcW w:w="755" w:type="pct"/>
          </w:tcPr>
          <w:p w14:paraId="2D1371F2" w14:textId="77777777" w:rsidR="00A30E61" w:rsidRPr="00CF3E3D" w:rsidRDefault="00A30E61" w:rsidP="007007AC">
            <w:pPr>
              <w:spacing w:before="85" w:line="288" w:lineRule="auto"/>
              <w:jc w:val="center"/>
              <w:rPr>
                <w:sz w:val="18"/>
                <w:szCs w:val="18"/>
              </w:rPr>
            </w:pPr>
            <w:r w:rsidRPr="00CF3E3D">
              <w:rPr>
                <w:sz w:val="18"/>
                <w:szCs w:val="18"/>
              </w:rPr>
              <w:t>41.5</w:t>
            </w:r>
          </w:p>
        </w:tc>
        <w:tc>
          <w:tcPr>
            <w:cnfStyle w:val="000010000000" w:firstRow="0" w:lastRow="0" w:firstColumn="0" w:lastColumn="0" w:oddVBand="1" w:evenVBand="0" w:oddHBand="0" w:evenHBand="0" w:firstRowFirstColumn="0" w:firstRowLastColumn="0" w:lastRowFirstColumn="0" w:lastRowLastColumn="0"/>
            <w:tcW w:w="755" w:type="pct"/>
          </w:tcPr>
          <w:p w14:paraId="5E0713D3" w14:textId="77777777" w:rsidR="00A30E61" w:rsidRPr="00CF3E3D" w:rsidRDefault="00A30E61" w:rsidP="007007AC">
            <w:pPr>
              <w:spacing w:before="85" w:line="288" w:lineRule="auto"/>
              <w:jc w:val="center"/>
              <w:rPr>
                <w:sz w:val="18"/>
                <w:szCs w:val="18"/>
              </w:rPr>
            </w:pPr>
            <w:r w:rsidRPr="00CF3E3D">
              <w:rPr>
                <w:sz w:val="18"/>
                <w:szCs w:val="18"/>
              </w:rPr>
              <w:t>38.5</w:t>
            </w:r>
          </w:p>
        </w:tc>
      </w:tr>
      <w:tr w:rsidR="00A30E61" w:rsidRPr="00CF3E3D" w14:paraId="577B8BC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EDA08DE" w14:textId="77777777" w:rsidR="00A30E61" w:rsidRPr="005F1DB4" w:rsidRDefault="00A30E61" w:rsidP="007007AC">
            <w:pPr>
              <w:spacing w:before="85" w:line="288" w:lineRule="auto"/>
              <w:rPr>
                <w:b/>
                <w:bCs/>
                <w:sz w:val="18"/>
                <w:szCs w:val="18"/>
              </w:rPr>
            </w:pPr>
            <w:r w:rsidRPr="005F1DB4">
              <w:rPr>
                <w:b/>
                <w:bCs/>
                <w:sz w:val="18"/>
                <w:szCs w:val="18"/>
              </w:rPr>
              <w:lastRenderedPageBreak/>
              <w:t>Monash University</w:t>
            </w:r>
          </w:p>
        </w:tc>
        <w:tc>
          <w:tcPr>
            <w:cnfStyle w:val="000001000000" w:firstRow="0" w:lastRow="0" w:firstColumn="0" w:lastColumn="0" w:oddVBand="0" w:evenVBand="1" w:oddHBand="0" w:evenHBand="0" w:firstRowFirstColumn="0" w:firstRowLastColumn="0" w:lastRowFirstColumn="0" w:lastRowLastColumn="0"/>
            <w:tcW w:w="709" w:type="pct"/>
          </w:tcPr>
          <w:p w14:paraId="1D92FB53" w14:textId="77777777" w:rsidR="00A30E61" w:rsidRPr="00CF3E3D" w:rsidRDefault="00A30E61" w:rsidP="007007AC">
            <w:pPr>
              <w:spacing w:before="85" w:line="288" w:lineRule="auto"/>
              <w:jc w:val="center"/>
              <w:rPr>
                <w:sz w:val="18"/>
                <w:szCs w:val="18"/>
              </w:rPr>
            </w:pPr>
            <w:r w:rsidRPr="00CF3E3D">
              <w:rPr>
                <w:sz w:val="18"/>
                <w:szCs w:val="18"/>
              </w:rPr>
              <w:t>38.7</w:t>
            </w:r>
          </w:p>
        </w:tc>
        <w:tc>
          <w:tcPr>
            <w:cnfStyle w:val="000010000000" w:firstRow="0" w:lastRow="0" w:firstColumn="0" w:lastColumn="0" w:oddVBand="1" w:evenVBand="0" w:oddHBand="0" w:evenHBand="0" w:firstRowFirstColumn="0" w:firstRowLastColumn="0" w:lastRowFirstColumn="0" w:lastRowLastColumn="0"/>
            <w:tcW w:w="755" w:type="pct"/>
          </w:tcPr>
          <w:p w14:paraId="2AC06E5A" w14:textId="77777777" w:rsidR="00A30E61" w:rsidRPr="00CF3E3D" w:rsidRDefault="00A30E61" w:rsidP="007007AC">
            <w:pPr>
              <w:spacing w:before="85" w:line="288" w:lineRule="auto"/>
              <w:jc w:val="center"/>
              <w:rPr>
                <w:sz w:val="18"/>
                <w:szCs w:val="18"/>
              </w:rPr>
            </w:pPr>
            <w:r w:rsidRPr="00CF3E3D">
              <w:rPr>
                <w:sz w:val="18"/>
                <w:szCs w:val="18"/>
              </w:rPr>
              <w:t>45.5</w:t>
            </w:r>
          </w:p>
        </w:tc>
        <w:tc>
          <w:tcPr>
            <w:cnfStyle w:val="000001000000" w:firstRow="0" w:lastRow="0" w:firstColumn="0" w:lastColumn="0" w:oddVBand="0" w:evenVBand="1" w:oddHBand="0" w:evenHBand="0" w:firstRowFirstColumn="0" w:firstRowLastColumn="0" w:lastRowFirstColumn="0" w:lastRowLastColumn="0"/>
            <w:tcW w:w="755" w:type="pct"/>
          </w:tcPr>
          <w:p w14:paraId="33564C50" w14:textId="77777777" w:rsidR="00A30E61" w:rsidRPr="00CF3E3D" w:rsidRDefault="00A30E61" w:rsidP="007007AC">
            <w:pPr>
              <w:spacing w:before="85" w:line="288" w:lineRule="auto"/>
              <w:jc w:val="center"/>
              <w:rPr>
                <w:sz w:val="18"/>
                <w:szCs w:val="18"/>
              </w:rPr>
            </w:pPr>
            <w:r w:rsidRPr="00CF3E3D">
              <w:rPr>
                <w:sz w:val="18"/>
                <w:szCs w:val="18"/>
              </w:rPr>
              <w:t>37.7</w:t>
            </w:r>
          </w:p>
        </w:tc>
        <w:tc>
          <w:tcPr>
            <w:cnfStyle w:val="000010000000" w:firstRow="0" w:lastRow="0" w:firstColumn="0" w:lastColumn="0" w:oddVBand="1" w:evenVBand="0" w:oddHBand="0" w:evenHBand="0" w:firstRowFirstColumn="0" w:firstRowLastColumn="0" w:lastRowFirstColumn="0" w:lastRowLastColumn="0"/>
            <w:tcW w:w="755" w:type="pct"/>
          </w:tcPr>
          <w:p w14:paraId="10BA55D5" w14:textId="77777777" w:rsidR="00A30E61" w:rsidRPr="00CF3E3D" w:rsidRDefault="00A30E61" w:rsidP="007007AC">
            <w:pPr>
              <w:spacing w:before="85" w:line="288" w:lineRule="auto"/>
              <w:jc w:val="center"/>
              <w:rPr>
                <w:sz w:val="18"/>
                <w:szCs w:val="18"/>
              </w:rPr>
            </w:pPr>
            <w:r w:rsidRPr="00CF3E3D">
              <w:rPr>
                <w:sz w:val="18"/>
                <w:szCs w:val="18"/>
              </w:rPr>
              <w:t>38.7</w:t>
            </w:r>
          </w:p>
        </w:tc>
      </w:tr>
      <w:tr w:rsidR="00A30E61" w:rsidRPr="00CF3E3D" w14:paraId="716ECD3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9ADD1AB" w14:textId="77777777" w:rsidR="00A30E61" w:rsidRPr="005F1DB4" w:rsidRDefault="00A30E61" w:rsidP="007007AC">
            <w:pPr>
              <w:spacing w:before="85" w:line="288" w:lineRule="auto"/>
              <w:rPr>
                <w:b/>
                <w:bCs/>
                <w:sz w:val="18"/>
                <w:szCs w:val="18"/>
              </w:rPr>
            </w:pPr>
            <w:r w:rsidRPr="005F1DB4">
              <w:rPr>
                <w:b/>
                <w:bCs/>
                <w:sz w:val="18"/>
                <w:szCs w:val="18"/>
              </w:rPr>
              <w:t>Murdoch University</w:t>
            </w:r>
          </w:p>
        </w:tc>
        <w:tc>
          <w:tcPr>
            <w:cnfStyle w:val="000001000000" w:firstRow="0" w:lastRow="0" w:firstColumn="0" w:lastColumn="0" w:oddVBand="0" w:evenVBand="1" w:oddHBand="0" w:evenHBand="0" w:firstRowFirstColumn="0" w:firstRowLastColumn="0" w:lastRowFirstColumn="0" w:lastRowLastColumn="0"/>
            <w:tcW w:w="709" w:type="pct"/>
          </w:tcPr>
          <w:p w14:paraId="5C516370" w14:textId="77777777" w:rsidR="00A30E61" w:rsidRPr="00CF3E3D" w:rsidRDefault="00A30E61" w:rsidP="007007AC">
            <w:pPr>
              <w:spacing w:before="85" w:line="288" w:lineRule="auto"/>
              <w:jc w:val="center"/>
              <w:rPr>
                <w:sz w:val="18"/>
                <w:szCs w:val="18"/>
              </w:rPr>
            </w:pPr>
            <w:r w:rsidRPr="00CF3E3D">
              <w:rPr>
                <w:sz w:val="18"/>
                <w:szCs w:val="18"/>
              </w:rPr>
              <w:t>42.2</w:t>
            </w:r>
          </w:p>
        </w:tc>
        <w:tc>
          <w:tcPr>
            <w:cnfStyle w:val="000010000000" w:firstRow="0" w:lastRow="0" w:firstColumn="0" w:lastColumn="0" w:oddVBand="1" w:evenVBand="0" w:oddHBand="0" w:evenHBand="0" w:firstRowFirstColumn="0" w:firstRowLastColumn="0" w:lastRowFirstColumn="0" w:lastRowLastColumn="0"/>
            <w:tcW w:w="755" w:type="pct"/>
          </w:tcPr>
          <w:p w14:paraId="3960A31E" w14:textId="77777777" w:rsidR="00A30E61" w:rsidRPr="00CF3E3D" w:rsidRDefault="00A30E61" w:rsidP="007007AC">
            <w:pPr>
              <w:spacing w:before="85" w:line="288" w:lineRule="auto"/>
              <w:jc w:val="center"/>
              <w:rPr>
                <w:sz w:val="18"/>
                <w:szCs w:val="18"/>
              </w:rPr>
            </w:pPr>
            <w:r w:rsidRPr="00CF3E3D">
              <w:rPr>
                <w:sz w:val="18"/>
                <w:szCs w:val="18"/>
              </w:rPr>
              <w:t>42.7</w:t>
            </w:r>
          </w:p>
        </w:tc>
        <w:tc>
          <w:tcPr>
            <w:cnfStyle w:val="000001000000" w:firstRow="0" w:lastRow="0" w:firstColumn="0" w:lastColumn="0" w:oddVBand="0" w:evenVBand="1" w:oddHBand="0" w:evenHBand="0" w:firstRowFirstColumn="0" w:firstRowLastColumn="0" w:lastRowFirstColumn="0" w:lastRowLastColumn="0"/>
            <w:tcW w:w="755" w:type="pct"/>
          </w:tcPr>
          <w:p w14:paraId="4B5E9129" w14:textId="77777777" w:rsidR="00A30E61" w:rsidRPr="00CF3E3D" w:rsidRDefault="00A30E61" w:rsidP="007007AC">
            <w:pPr>
              <w:spacing w:before="85" w:line="288" w:lineRule="auto"/>
              <w:jc w:val="center"/>
              <w:rPr>
                <w:sz w:val="18"/>
                <w:szCs w:val="18"/>
              </w:rPr>
            </w:pPr>
            <w:r w:rsidRPr="00CF3E3D">
              <w:rPr>
                <w:sz w:val="18"/>
                <w:szCs w:val="18"/>
              </w:rPr>
              <w:t>39.3</w:t>
            </w:r>
          </w:p>
        </w:tc>
        <w:tc>
          <w:tcPr>
            <w:cnfStyle w:val="000010000000" w:firstRow="0" w:lastRow="0" w:firstColumn="0" w:lastColumn="0" w:oddVBand="1" w:evenVBand="0" w:oddHBand="0" w:evenHBand="0" w:firstRowFirstColumn="0" w:firstRowLastColumn="0" w:lastRowFirstColumn="0" w:lastRowLastColumn="0"/>
            <w:tcW w:w="755" w:type="pct"/>
          </w:tcPr>
          <w:p w14:paraId="05F3B4E1" w14:textId="77777777" w:rsidR="00A30E61" w:rsidRPr="00CF3E3D" w:rsidRDefault="00A30E61" w:rsidP="007007AC">
            <w:pPr>
              <w:spacing w:before="85" w:line="288" w:lineRule="auto"/>
              <w:jc w:val="center"/>
              <w:rPr>
                <w:sz w:val="18"/>
                <w:szCs w:val="18"/>
              </w:rPr>
            </w:pPr>
            <w:r w:rsidRPr="00CF3E3D">
              <w:rPr>
                <w:sz w:val="18"/>
                <w:szCs w:val="18"/>
              </w:rPr>
              <w:t>40.6</w:t>
            </w:r>
          </w:p>
        </w:tc>
      </w:tr>
      <w:tr w:rsidR="00A30E61" w:rsidRPr="00CF3E3D" w14:paraId="4F0587D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2C2A625" w14:textId="77777777" w:rsidR="00A30E61" w:rsidRPr="005F1DB4" w:rsidRDefault="00A30E61" w:rsidP="007007AC">
            <w:pPr>
              <w:spacing w:before="85" w:line="288" w:lineRule="auto"/>
              <w:rPr>
                <w:b/>
                <w:bCs/>
                <w:sz w:val="18"/>
                <w:szCs w:val="18"/>
              </w:rPr>
            </w:pPr>
            <w:r w:rsidRPr="005F1DB4">
              <w:rPr>
                <w:b/>
                <w:bCs/>
                <w:sz w:val="18"/>
                <w:szCs w:val="18"/>
              </w:rPr>
              <w:t>Queensland University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406CAF16" w14:textId="77777777" w:rsidR="00A30E61" w:rsidRPr="00CF3E3D" w:rsidRDefault="00A30E61" w:rsidP="007007AC">
            <w:pPr>
              <w:spacing w:before="85" w:line="288" w:lineRule="auto"/>
              <w:jc w:val="center"/>
              <w:rPr>
                <w:sz w:val="18"/>
                <w:szCs w:val="18"/>
              </w:rPr>
            </w:pPr>
            <w:r w:rsidRPr="00CF3E3D">
              <w:rPr>
                <w:sz w:val="18"/>
                <w:szCs w:val="18"/>
              </w:rPr>
              <w:t>41.3</w:t>
            </w:r>
          </w:p>
        </w:tc>
        <w:tc>
          <w:tcPr>
            <w:cnfStyle w:val="000010000000" w:firstRow="0" w:lastRow="0" w:firstColumn="0" w:lastColumn="0" w:oddVBand="1" w:evenVBand="0" w:oddHBand="0" w:evenHBand="0" w:firstRowFirstColumn="0" w:firstRowLastColumn="0" w:lastRowFirstColumn="0" w:lastRowLastColumn="0"/>
            <w:tcW w:w="755" w:type="pct"/>
          </w:tcPr>
          <w:p w14:paraId="2485AA13" w14:textId="77777777" w:rsidR="00A30E61" w:rsidRPr="00CF3E3D" w:rsidRDefault="00A30E61" w:rsidP="007007AC">
            <w:pPr>
              <w:spacing w:before="85" w:line="288" w:lineRule="auto"/>
              <w:jc w:val="center"/>
              <w:rPr>
                <w:sz w:val="18"/>
                <w:szCs w:val="18"/>
              </w:rPr>
            </w:pPr>
            <w:r w:rsidRPr="00CF3E3D">
              <w:rPr>
                <w:sz w:val="18"/>
                <w:szCs w:val="18"/>
              </w:rPr>
              <w:t>48.1</w:t>
            </w:r>
          </w:p>
        </w:tc>
        <w:tc>
          <w:tcPr>
            <w:cnfStyle w:val="000001000000" w:firstRow="0" w:lastRow="0" w:firstColumn="0" w:lastColumn="0" w:oddVBand="0" w:evenVBand="1" w:oddHBand="0" w:evenHBand="0" w:firstRowFirstColumn="0" w:firstRowLastColumn="0" w:lastRowFirstColumn="0" w:lastRowLastColumn="0"/>
            <w:tcW w:w="755" w:type="pct"/>
          </w:tcPr>
          <w:p w14:paraId="36DA4E87" w14:textId="77777777" w:rsidR="00A30E61" w:rsidRPr="00CF3E3D" w:rsidRDefault="00A30E61" w:rsidP="007007AC">
            <w:pPr>
              <w:spacing w:before="85" w:line="288" w:lineRule="auto"/>
              <w:jc w:val="center"/>
              <w:rPr>
                <w:sz w:val="18"/>
                <w:szCs w:val="18"/>
              </w:rPr>
            </w:pPr>
            <w:r w:rsidRPr="00CF3E3D">
              <w:rPr>
                <w:sz w:val="18"/>
                <w:szCs w:val="18"/>
              </w:rPr>
              <w:t>40.6</w:t>
            </w:r>
          </w:p>
        </w:tc>
        <w:tc>
          <w:tcPr>
            <w:cnfStyle w:val="000010000000" w:firstRow="0" w:lastRow="0" w:firstColumn="0" w:lastColumn="0" w:oddVBand="1" w:evenVBand="0" w:oddHBand="0" w:evenHBand="0" w:firstRowFirstColumn="0" w:firstRowLastColumn="0" w:lastRowFirstColumn="0" w:lastRowLastColumn="0"/>
            <w:tcW w:w="755" w:type="pct"/>
          </w:tcPr>
          <w:p w14:paraId="700370A6" w14:textId="77777777" w:rsidR="00A30E61" w:rsidRPr="00CF3E3D" w:rsidRDefault="00A30E61" w:rsidP="007007AC">
            <w:pPr>
              <w:spacing w:before="85" w:line="288" w:lineRule="auto"/>
              <w:jc w:val="center"/>
              <w:rPr>
                <w:sz w:val="18"/>
                <w:szCs w:val="18"/>
              </w:rPr>
            </w:pPr>
            <w:r w:rsidRPr="00CF3E3D">
              <w:rPr>
                <w:sz w:val="18"/>
                <w:szCs w:val="18"/>
              </w:rPr>
              <w:t>41.3</w:t>
            </w:r>
          </w:p>
        </w:tc>
      </w:tr>
      <w:tr w:rsidR="00A30E61" w:rsidRPr="00CF3E3D" w14:paraId="1750F5E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2382BFA" w14:textId="77777777" w:rsidR="00A30E61" w:rsidRPr="005F1DB4" w:rsidRDefault="00A30E61" w:rsidP="007007AC">
            <w:pPr>
              <w:spacing w:before="85" w:line="288" w:lineRule="auto"/>
              <w:rPr>
                <w:b/>
                <w:bCs/>
                <w:sz w:val="18"/>
                <w:szCs w:val="18"/>
              </w:rPr>
            </w:pPr>
            <w:r w:rsidRPr="005F1DB4">
              <w:rPr>
                <w:b/>
                <w:bCs/>
                <w:sz w:val="18"/>
                <w:szCs w:val="18"/>
              </w:rPr>
              <w:t>RMIT University</w:t>
            </w:r>
          </w:p>
        </w:tc>
        <w:tc>
          <w:tcPr>
            <w:cnfStyle w:val="000001000000" w:firstRow="0" w:lastRow="0" w:firstColumn="0" w:lastColumn="0" w:oddVBand="0" w:evenVBand="1" w:oddHBand="0" w:evenHBand="0" w:firstRowFirstColumn="0" w:firstRowLastColumn="0" w:lastRowFirstColumn="0" w:lastRowLastColumn="0"/>
            <w:tcW w:w="709" w:type="pct"/>
          </w:tcPr>
          <w:p w14:paraId="5FFBE17F" w14:textId="77777777" w:rsidR="00A30E61" w:rsidRPr="00CF3E3D" w:rsidRDefault="00A30E61" w:rsidP="007007AC">
            <w:pPr>
              <w:spacing w:before="85" w:line="288" w:lineRule="auto"/>
              <w:jc w:val="center"/>
              <w:rPr>
                <w:sz w:val="18"/>
                <w:szCs w:val="18"/>
              </w:rPr>
            </w:pPr>
            <w:r w:rsidRPr="00CF3E3D">
              <w:rPr>
                <w:sz w:val="18"/>
                <w:szCs w:val="18"/>
              </w:rPr>
              <w:t>34.8</w:t>
            </w:r>
          </w:p>
        </w:tc>
        <w:tc>
          <w:tcPr>
            <w:cnfStyle w:val="000010000000" w:firstRow="0" w:lastRow="0" w:firstColumn="0" w:lastColumn="0" w:oddVBand="1" w:evenVBand="0" w:oddHBand="0" w:evenHBand="0" w:firstRowFirstColumn="0" w:firstRowLastColumn="0" w:lastRowFirstColumn="0" w:lastRowLastColumn="0"/>
            <w:tcW w:w="755" w:type="pct"/>
          </w:tcPr>
          <w:p w14:paraId="5D06B082" w14:textId="77777777" w:rsidR="00A30E61" w:rsidRPr="00CF3E3D" w:rsidRDefault="00A30E61" w:rsidP="007007AC">
            <w:pPr>
              <w:spacing w:before="85" w:line="288" w:lineRule="auto"/>
              <w:jc w:val="center"/>
              <w:rPr>
                <w:sz w:val="18"/>
                <w:szCs w:val="18"/>
              </w:rPr>
            </w:pPr>
            <w:r w:rsidRPr="00CF3E3D">
              <w:rPr>
                <w:sz w:val="18"/>
                <w:szCs w:val="18"/>
              </w:rPr>
              <w:t>46.3</w:t>
            </w:r>
          </w:p>
        </w:tc>
        <w:tc>
          <w:tcPr>
            <w:cnfStyle w:val="000001000000" w:firstRow="0" w:lastRow="0" w:firstColumn="0" w:lastColumn="0" w:oddVBand="0" w:evenVBand="1" w:oddHBand="0" w:evenHBand="0" w:firstRowFirstColumn="0" w:firstRowLastColumn="0" w:lastRowFirstColumn="0" w:lastRowLastColumn="0"/>
            <w:tcW w:w="755" w:type="pct"/>
          </w:tcPr>
          <w:p w14:paraId="64AE503A" w14:textId="77777777" w:rsidR="00A30E61" w:rsidRPr="00CF3E3D" w:rsidRDefault="00A30E61" w:rsidP="007007AC">
            <w:pPr>
              <w:spacing w:before="85" w:line="288" w:lineRule="auto"/>
              <w:jc w:val="center"/>
              <w:rPr>
                <w:sz w:val="18"/>
                <w:szCs w:val="18"/>
              </w:rPr>
            </w:pPr>
            <w:r w:rsidRPr="00CF3E3D">
              <w:rPr>
                <w:sz w:val="18"/>
                <w:szCs w:val="18"/>
              </w:rPr>
              <w:t>40.6</w:t>
            </w:r>
          </w:p>
        </w:tc>
        <w:tc>
          <w:tcPr>
            <w:cnfStyle w:val="000010000000" w:firstRow="0" w:lastRow="0" w:firstColumn="0" w:lastColumn="0" w:oddVBand="1" w:evenVBand="0" w:oddHBand="0" w:evenHBand="0" w:firstRowFirstColumn="0" w:firstRowLastColumn="0" w:lastRowFirstColumn="0" w:lastRowLastColumn="0"/>
            <w:tcW w:w="755" w:type="pct"/>
          </w:tcPr>
          <w:p w14:paraId="0E48BB95" w14:textId="77777777" w:rsidR="00A30E61" w:rsidRPr="00CF3E3D" w:rsidRDefault="00A30E61" w:rsidP="007007AC">
            <w:pPr>
              <w:spacing w:before="85" w:line="288" w:lineRule="auto"/>
              <w:jc w:val="center"/>
              <w:rPr>
                <w:sz w:val="18"/>
                <w:szCs w:val="18"/>
              </w:rPr>
            </w:pPr>
            <w:r w:rsidRPr="00CF3E3D">
              <w:rPr>
                <w:sz w:val="18"/>
                <w:szCs w:val="18"/>
              </w:rPr>
              <w:t>38.9</w:t>
            </w:r>
          </w:p>
        </w:tc>
      </w:tr>
      <w:tr w:rsidR="00A30E61" w:rsidRPr="00CF3E3D" w14:paraId="09EB0BB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7F78B26" w14:textId="77777777" w:rsidR="00A30E61" w:rsidRPr="005F1DB4" w:rsidRDefault="00A30E61" w:rsidP="007007AC">
            <w:pPr>
              <w:spacing w:before="85" w:line="288" w:lineRule="auto"/>
              <w:rPr>
                <w:b/>
                <w:bCs/>
                <w:sz w:val="18"/>
                <w:szCs w:val="18"/>
              </w:rPr>
            </w:pPr>
            <w:r w:rsidRPr="005F1DB4">
              <w:rPr>
                <w:b/>
                <w:bCs/>
                <w:sz w:val="18"/>
                <w:szCs w:val="18"/>
              </w:rPr>
              <w:t>Southern Cross University</w:t>
            </w:r>
          </w:p>
        </w:tc>
        <w:tc>
          <w:tcPr>
            <w:cnfStyle w:val="000001000000" w:firstRow="0" w:lastRow="0" w:firstColumn="0" w:lastColumn="0" w:oddVBand="0" w:evenVBand="1" w:oddHBand="0" w:evenHBand="0" w:firstRowFirstColumn="0" w:firstRowLastColumn="0" w:lastRowFirstColumn="0" w:lastRowLastColumn="0"/>
            <w:tcW w:w="709" w:type="pct"/>
          </w:tcPr>
          <w:p w14:paraId="0EA1E28F" w14:textId="77777777" w:rsidR="00A30E61" w:rsidRPr="00CF3E3D" w:rsidRDefault="00A30E61" w:rsidP="007007AC">
            <w:pPr>
              <w:spacing w:before="85" w:line="288" w:lineRule="auto"/>
              <w:jc w:val="center"/>
              <w:rPr>
                <w:sz w:val="18"/>
                <w:szCs w:val="18"/>
              </w:rPr>
            </w:pPr>
            <w:r w:rsidRPr="00CF3E3D">
              <w:rPr>
                <w:sz w:val="18"/>
                <w:szCs w:val="18"/>
              </w:rPr>
              <w:t>40.0</w:t>
            </w:r>
          </w:p>
        </w:tc>
        <w:tc>
          <w:tcPr>
            <w:cnfStyle w:val="000010000000" w:firstRow="0" w:lastRow="0" w:firstColumn="0" w:lastColumn="0" w:oddVBand="1" w:evenVBand="0" w:oddHBand="0" w:evenHBand="0" w:firstRowFirstColumn="0" w:firstRowLastColumn="0" w:lastRowFirstColumn="0" w:lastRowLastColumn="0"/>
            <w:tcW w:w="755" w:type="pct"/>
          </w:tcPr>
          <w:p w14:paraId="737D52CD" w14:textId="77777777" w:rsidR="00A30E61" w:rsidRPr="00CF3E3D" w:rsidRDefault="00A30E61" w:rsidP="007007AC">
            <w:pPr>
              <w:spacing w:before="85" w:line="288" w:lineRule="auto"/>
              <w:jc w:val="center"/>
              <w:rPr>
                <w:sz w:val="18"/>
                <w:szCs w:val="18"/>
              </w:rPr>
            </w:pPr>
            <w:r w:rsidRPr="00CF3E3D">
              <w:rPr>
                <w:sz w:val="18"/>
                <w:szCs w:val="18"/>
              </w:rPr>
              <w:t>43.0</w:t>
            </w:r>
          </w:p>
        </w:tc>
        <w:tc>
          <w:tcPr>
            <w:cnfStyle w:val="000001000000" w:firstRow="0" w:lastRow="0" w:firstColumn="0" w:lastColumn="0" w:oddVBand="0" w:evenVBand="1" w:oddHBand="0" w:evenHBand="0" w:firstRowFirstColumn="0" w:firstRowLastColumn="0" w:lastRowFirstColumn="0" w:lastRowLastColumn="0"/>
            <w:tcW w:w="755" w:type="pct"/>
          </w:tcPr>
          <w:p w14:paraId="29DE6DEC" w14:textId="77777777" w:rsidR="00A30E61" w:rsidRPr="00CF3E3D" w:rsidRDefault="00A30E61" w:rsidP="007007AC">
            <w:pPr>
              <w:spacing w:before="85" w:line="288" w:lineRule="auto"/>
              <w:jc w:val="center"/>
              <w:rPr>
                <w:sz w:val="18"/>
                <w:szCs w:val="18"/>
              </w:rPr>
            </w:pPr>
            <w:r w:rsidRPr="00CF3E3D">
              <w:rPr>
                <w:sz w:val="18"/>
                <w:szCs w:val="18"/>
              </w:rPr>
              <w:t>42.6</w:t>
            </w:r>
          </w:p>
        </w:tc>
        <w:tc>
          <w:tcPr>
            <w:cnfStyle w:val="000010000000" w:firstRow="0" w:lastRow="0" w:firstColumn="0" w:lastColumn="0" w:oddVBand="1" w:evenVBand="0" w:oddHBand="0" w:evenHBand="0" w:firstRowFirstColumn="0" w:firstRowLastColumn="0" w:lastRowFirstColumn="0" w:lastRowLastColumn="0"/>
            <w:tcW w:w="755" w:type="pct"/>
          </w:tcPr>
          <w:p w14:paraId="552BBC7E" w14:textId="77777777" w:rsidR="00A30E61" w:rsidRPr="00CF3E3D" w:rsidRDefault="00A30E61" w:rsidP="007007AC">
            <w:pPr>
              <w:spacing w:before="85" w:line="288" w:lineRule="auto"/>
              <w:jc w:val="center"/>
              <w:rPr>
                <w:sz w:val="18"/>
                <w:szCs w:val="18"/>
              </w:rPr>
            </w:pPr>
            <w:r w:rsidRPr="00CF3E3D">
              <w:rPr>
                <w:sz w:val="18"/>
                <w:szCs w:val="18"/>
              </w:rPr>
              <w:t>41.8</w:t>
            </w:r>
          </w:p>
        </w:tc>
      </w:tr>
      <w:tr w:rsidR="00A30E61" w:rsidRPr="00CF3E3D" w14:paraId="1C025ED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92DFC99" w14:textId="77777777" w:rsidR="00A30E61" w:rsidRPr="005F1DB4" w:rsidRDefault="00A30E61" w:rsidP="007007AC">
            <w:pPr>
              <w:spacing w:before="85" w:line="288" w:lineRule="auto"/>
              <w:rPr>
                <w:b/>
                <w:bCs/>
                <w:sz w:val="18"/>
                <w:szCs w:val="18"/>
              </w:rPr>
            </w:pPr>
            <w:r w:rsidRPr="005F1DB4">
              <w:rPr>
                <w:b/>
                <w:bCs/>
                <w:sz w:val="18"/>
                <w:szCs w:val="18"/>
              </w:rPr>
              <w:t>Swinburne University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14403022" w14:textId="77777777" w:rsidR="00A30E61" w:rsidRPr="00CF3E3D" w:rsidRDefault="00A30E61" w:rsidP="007007AC">
            <w:pPr>
              <w:spacing w:before="85" w:line="288" w:lineRule="auto"/>
              <w:jc w:val="center"/>
              <w:rPr>
                <w:sz w:val="18"/>
                <w:szCs w:val="18"/>
              </w:rPr>
            </w:pPr>
            <w:r w:rsidRPr="00CF3E3D">
              <w:rPr>
                <w:sz w:val="18"/>
                <w:szCs w:val="18"/>
              </w:rPr>
              <w:t>40.0</w:t>
            </w:r>
          </w:p>
        </w:tc>
        <w:tc>
          <w:tcPr>
            <w:cnfStyle w:val="000010000000" w:firstRow="0" w:lastRow="0" w:firstColumn="0" w:lastColumn="0" w:oddVBand="1" w:evenVBand="0" w:oddHBand="0" w:evenHBand="0" w:firstRowFirstColumn="0" w:firstRowLastColumn="0" w:lastRowFirstColumn="0" w:lastRowLastColumn="0"/>
            <w:tcW w:w="755" w:type="pct"/>
          </w:tcPr>
          <w:p w14:paraId="7D8344D1" w14:textId="77777777" w:rsidR="00A30E61" w:rsidRPr="00CF3E3D" w:rsidRDefault="00A30E61" w:rsidP="007007AC">
            <w:pPr>
              <w:spacing w:before="85" w:line="288" w:lineRule="auto"/>
              <w:jc w:val="center"/>
              <w:rPr>
                <w:sz w:val="18"/>
                <w:szCs w:val="18"/>
              </w:rPr>
            </w:pPr>
            <w:r>
              <w:rPr>
                <w:sz w:val="18"/>
                <w:szCs w:val="18"/>
              </w:rPr>
              <w:t>0.0</w:t>
            </w:r>
          </w:p>
        </w:tc>
        <w:tc>
          <w:tcPr>
            <w:cnfStyle w:val="000001000000" w:firstRow="0" w:lastRow="0" w:firstColumn="0" w:lastColumn="0" w:oddVBand="0" w:evenVBand="1" w:oddHBand="0" w:evenHBand="0" w:firstRowFirstColumn="0" w:firstRowLastColumn="0" w:lastRowFirstColumn="0" w:lastRowLastColumn="0"/>
            <w:tcW w:w="755" w:type="pct"/>
          </w:tcPr>
          <w:p w14:paraId="2FF3F62B" w14:textId="77777777" w:rsidR="00A30E61" w:rsidRPr="00CF3E3D" w:rsidRDefault="00A30E61" w:rsidP="007007AC">
            <w:pPr>
              <w:spacing w:before="85" w:line="288" w:lineRule="auto"/>
              <w:jc w:val="center"/>
              <w:rPr>
                <w:sz w:val="18"/>
                <w:szCs w:val="18"/>
              </w:rPr>
            </w:pPr>
            <w:r w:rsidRPr="00CF3E3D">
              <w:rPr>
                <w:sz w:val="18"/>
                <w:szCs w:val="18"/>
              </w:rPr>
              <w:t>38.8</w:t>
            </w:r>
          </w:p>
        </w:tc>
        <w:tc>
          <w:tcPr>
            <w:cnfStyle w:val="000010000000" w:firstRow="0" w:lastRow="0" w:firstColumn="0" w:lastColumn="0" w:oddVBand="1" w:evenVBand="0" w:oddHBand="0" w:evenHBand="0" w:firstRowFirstColumn="0" w:firstRowLastColumn="0" w:lastRowFirstColumn="0" w:lastRowLastColumn="0"/>
            <w:tcW w:w="755" w:type="pct"/>
          </w:tcPr>
          <w:p w14:paraId="3D37AD5B" w14:textId="77777777" w:rsidR="00A30E61" w:rsidRPr="00CF3E3D" w:rsidRDefault="00A30E61" w:rsidP="007007AC">
            <w:pPr>
              <w:spacing w:before="85" w:line="288" w:lineRule="auto"/>
              <w:jc w:val="center"/>
              <w:rPr>
                <w:sz w:val="18"/>
                <w:szCs w:val="18"/>
              </w:rPr>
            </w:pPr>
            <w:r w:rsidRPr="00CF3E3D">
              <w:rPr>
                <w:sz w:val="18"/>
                <w:szCs w:val="18"/>
              </w:rPr>
              <w:t>39.3</w:t>
            </w:r>
          </w:p>
        </w:tc>
      </w:tr>
      <w:tr w:rsidR="00A30E61" w:rsidRPr="00CF3E3D" w14:paraId="6CFB9E16"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1FC3AD7" w14:textId="77777777" w:rsidR="00A30E61" w:rsidRPr="005F1DB4" w:rsidRDefault="00A30E61" w:rsidP="007007AC">
            <w:pPr>
              <w:spacing w:before="85" w:line="288" w:lineRule="auto"/>
              <w:rPr>
                <w:b/>
                <w:bCs/>
                <w:sz w:val="18"/>
                <w:szCs w:val="18"/>
              </w:rPr>
            </w:pPr>
            <w:r w:rsidRPr="005F1DB4">
              <w:rPr>
                <w:b/>
                <w:bCs/>
                <w:sz w:val="18"/>
                <w:szCs w:val="18"/>
              </w:rPr>
              <w:t>The Australian National University</w:t>
            </w:r>
          </w:p>
        </w:tc>
        <w:tc>
          <w:tcPr>
            <w:cnfStyle w:val="000001000000" w:firstRow="0" w:lastRow="0" w:firstColumn="0" w:lastColumn="0" w:oddVBand="0" w:evenVBand="1" w:oddHBand="0" w:evenHBand="0" w:firstRowFirstColumn="0" w:firstRowLastColumn="0" w:lastRowFirstColumn="0" w:lastRowLastColumn="0"/>
            <w:tcW w:w="709" w:type="pct"/>
          </w:tcPr>
          <w:p w14:paraId="646A0572" w14:textId="77777777" w:rsidR="00A30E61" w:rsidRPr="00CF3E3D" w:rsidRDefault="00A30E61" w:rsidP="007007AC">
            <w:pPr>
              <w:spacing w:before="85" w:line="288" w:lineRule="auto"/>
              <w:jc w:val="center"/>
              <w:rPr>
                <w:sz w:val="18"/>
                <w:szCs w:val="18"/>
              </w:rPr>
            </w:pPr>
            <w:r w:rsidRPr="00CF3E3D">
              <w:rPr>
                <w:sz w:val="18"/>
                <w:szCs w:val="18"/>
              </w:rPr>
              <w:t>37.4</w:t>
            </w:r>
          </w:p>
        </w:tc>
        <w:tc>
          <w:tcPr>
            <w:cnfStyle w:val="000010000000" w:firstRow="0" w:lastRow="0" w:firstColumn="0" w:lastColumn="0" w:oddVBand="1" w:evenVBand="0" w:oddHBand="0" w:evenHBand="0" w:firstRowFirstColumn="0" w:firstRowLastColumn="0" w:lastRowFirstColumn="0" w:lastRowLastColumn="0"/>
            <w:tcW w:w="755" w:type="pct"/>
          </w:tcPr>
          <w:p w14:paraId="525FE139" w14:textId="77777777" w:rsidR="00A30E61" w:rsidRPr="00CF3E3D" w:rsidRDefault="00A30E61" w:rsidP="007007AC">
            <w:pPr>
              <w:spacing w:before="85" w:line="288" w:lineRule="auto"/>
              <w:jc w:val="center"/>
              <w:rPr>
                <w:sz w:val="18"/>
                <w:szCs w:val="18"/>
              </w:rPr>
            </w:pPr>
            <w:r w:rsidRPr="00CF3E3D">
              <w:rPr>
                <w:sz w:val="18"/>
                <w:szCs w:val="18"/>
              </w:rPr>
              <w:t>43.6</w:t>
            </w:r>
          </w:p>
        </w:tc>
        <w:tc>
          <w:tcPr>
            <w:cnfStyle w:val="000001000000" w:firstRow="0" w:lastRow="0" w:firstColumn="0" w:lastColumn="0" w:oddVBand="0" w:evenVBand="1" w:oddHBand="0" w:evenHBand="0" w:firstRowFirstColumn="0" w:firstRowLastColumn="0" w:lastRowFirstColumn="0" w:lastRowLastColumn="0"/>
            <w:tcW w:w="755" w:type="pct"/>
          </w:tcPr>
          <w:p w14:paraId="43501662" w14:textId="77777777" w:rsidR="00A30E61" w:rsidRPr="00CF3E3D" w:rsidRDefault="00A30E61" w:rsidP="007007AC">
            <w:pPr>
              <w:spacing w:before="85" w:line="288" w:lineRule="auto"/>
              <w:jc w:val="center"/>
              <w:rPr>
                <w:sz w:val="18"/>
                <w:szCs w:val="18"/>
              </w:rPr>
            </w:pPr>
            <w:r w:rsidRPr="00CF3E3D">
              <w:rPr>
                <w:sz w:val="18"/>
                <w:szCs w:val="18"/>
              </w:rPr>
              <w:t>39.4</w:t>
            </w:r>
          </w:p>
        </w:tc>
        <w:tc>
          <w:tcPr>
            <w:cnfStyle w:val="000010000000" w:firstRow="0" w:lastRow="0" w:firstColumn="0" w:lastColumn="0" w:oddVBand="1" w:evenVBand="0" w:oddHBand="0" w:evenHBand="0" w:firstRowFirstColumn="0" w:firstRowLastColumn="0" w:lastRowFirstColumn="0" w:lastRowLastColumn="0"/>
            <w:tcW w:w="755" w:type="pct"/>
          </w:tcPr>
          <w:p w14:paraId="72777CCC" w14:textId="77777777" w:rsidR="00A30E61" w:rsidRPr="00CF3E3D" w:rsidRDefault="00A30E61" w:rsidP="007007AC">
            <w:pPr>
              <w:spacing w:before="85" w:line="288" w:lineRule="auto"/>
              <w:jc w:val="center"/>
              <w:rPr>
                <w:sz w:val="18"/>
                <w:szCs w:val="18"/>
              </w:rPr>
            </w:pPr>
            <w:r w:rsidRPr="00CF3E3D">
              <w:rPr>
                <w:sz w:val="18"/>
                <w:szCs w:val="18"/>
              </w:rPr>
              <w:t>38.8</w:t>
            </w:r>
          </w:p>
        </w:tc>
      </w:tr>
      <w:tr w:rsidR="00A30E61" w:rsidRPr="00CF3E3D" w14:paraId="55F914F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BEC9520" w14:textId="77777777" w:rsidR="00A30E61" w:rsidRPr="005F1DB4" w:rsidRDefault="00A30E61" w:rsidP="007007AC">
            <w:pPr>
              <w:spacing w:before="85" w:line="288" w:lineRule="auto"/>
              <w:rPr>
                <w:b/>
                <w:bCs/>
                <w:sz w:val="18"/>
                <w:szCs w:val="18"/>
              </w:rPr>
            </w:pPr>
            <w:r w:rsidRPr="005F1DB4">
              <w:rPr>
                <w:b/>
                <w:bCs/>
                <w:sz w:val="18"/>
                <w:szCs w:val="18"/>
              </w:rPr>
              <w:t>The University of Adelaide</w:t>
            </w:r>
          </w:p>
        </w:tc>
        <w:tc>
          <w:tcPr>
            <w:cnfStyle w:val="000001000000" w:firstRow="0" w:lastRow="0" w:firstColumn="0" w:lastColumn="0" w:oddVBand="0" w:evenVBand="1" w:oddHBand="0" w:evenHBand="0" w:firstRowFirstColumn="0" w:firstRowLastColumn="0" w:lastRowFirstColumn="0" w:lastRowLastColumn="0"/>
            <w:tcW w:w="709" w:type="pct"/>
          </w:tcPr>
          <w:p w14:paraId="0E21AC18" w14:textId="77777777" w:rsidR="00A30E61" w:rsidRPr="00CF3E3D" w:rsidRDefault="00A30E61" w:rsidP="007007AC">
            <w:pPr>
              <w:spacing w:before="85" w:line="288" w:lineRule="auto"/>
              <w:jc w:val="center"/>
              <w:rPr>
                <w:sz w:val="18"/>
                <w:szCs w:val="18"/>
              </w:rPr>
            </w:pPr>
            <w:r w:rsidRPr="00CF3E3D">
              <w:rPr>
                <w:sz w:val="18"/>
                <w:szCs w:val="18"/>
              </w:rPr>
              <w:t>45.3</w:t>
            </w:r>
          </w:p>
        </w:tc>
        <w:tc>
          <w:tcPr>
            <w:cnfStyle w:val="000010000000" w:firstRow="0" w:lastRow="0" w:firstColumn="0" w:lastColumn="0" w:oddVBand="1" w:evenVBand="0" w:oddHBand="0" w:evenHBand="0" w:firstRowFirstColumn="0" w:firstRowLastColumn="0" w:lastRowFirstColumn="0" w:lastRowLastColumn="0"/>
            <w:tcW w:w="755" w:type="pct"/>
          </w:tcPr>
          <w:p w14:paraId="3CD3C26D" w14:textId="77777777" w:rsidR="00A30E61" w:rsidRPr="00CF3E3D" w:rsidRDefault="00A30E61" w:rsidP="007007AC">
            <w:pPr>
              <w:spacing w:before="85" w:line="288" w:lineRule="auto"/>
              <w:jc w:val="center"/>
              <w:rPr>
                <w:sz w:val="18"/>
                <w:szCs w:val="18"/>
              </w:rPr>
            </w:pPr>
            <w:r w:rsidRPr="00CF3E3D">
              <w:rPr>
                <w:sz w:val="18"/>
                <w:szCs w:val="18"/>
              </w:rPr>
              <w:t>41.0</w:t>
            </w:r>
          </w:p>
        </w:tc>
        <w:tc>
          <w:tcPr>
            <w:cnfStyle w:val="000001000000" w:firstRow="0" w:lastRow="0" w:firstColumn="0" w:lastColumn="0" w:oddVBand="0" w:evenVBand="1" w:oddHBand="0" w:evenHBand="0" w:firstRowFirstColumn="0" w:firstRowLastColumn="0" w:lastRowFirstColumn="0" w:lastRowLastColumn="0"/>
            <w:tcW w:w="755" w:type="pct"/>
          </w:tcPr>
          <w:p w14:paraId="22D6A1CC" w14:textId="77777777" w:rsidR="00A30E61" w:rsidRPr="00CF3E3D" w:rsidRDefault="00A30E61" w:rsidP="007007AC">
            <w:pPr>
              <w:spacing w:before="85" w:line="288" w:lineRule="auto"/>
              <w:jc w:val="center"/>
              <w:rPr>
                <w:sz w:val="18"/>
                <w:szCs w:val="18"/>
              </w:rPr>
            </w:pPr>
            <w:r w:rsidRPr="00CF3E3D">
              <w:rPr>
                <w:sz w:val="18"/>
                <w:szCs w:val="18"/>
              </w:rPr>
              <w:t>42.2</w:t>
            </w:r>
          </w:p>
        </w:tc>
        <w:tc>
          <w:tcPr>
            <w:cnfStyle w:val="000010000000" w:firstRow="0" w:lastRow="0" w:firstColumn="0" w:lastColumn="0" w:oddVBand="1" w:evenVBand="0" w:oddHBand="0" w:evenHBand="0" w:firstRowFirstColumn="0" w:firstRowLastColumn="0" w:lastRowFirstColumn="0" w:lastRowLastColumn="0"/>
            <w:tcW w:w="755" w:type="pct"/>
          </w:tcPr>
          <w:p w14:paraId="1F09CC8E" w14:textId="77777777" w:rsidR="00A30E61" w:rsidRPr="00CF3E3D" w:rsidRDefault="00A30E61" w:rsidP="007007AC">
            <w:pPr>
              <w:spacing w:before="85" w:line="288" w:lineRule="auto"/>
              <w:jc w:val="center"/>
              <w:rPr>
                <w:sz w:val="18"/>
                <w:szCs w:val="18"/>
              </w:rPr>
            </w:pPr>
            <w:r w:rsidRPr="00CF3E3D">
              <w:rPr>
                <w:sz w:val="18"/>
                <w:szCs w:val="18"/>
              </w:rPr>
              <w:t>43.1</w:t>
            </w:r>
          </w:p>
        </w:tc>
      </w:tr>
      <w:tr w:rsidR="00A30E61" w:rsidRPr="00CF3E3D" w14:paraId="38EE447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FA6161B" w14:textId="77777777" w:rsidR="00A30E61" w:rsidRPr="005F1DB4" w:rsidRDefault="00A30E61" w:rsidP="007007AC">
            <w:pPr>
              <w:spacing w:before="85" w:line="288" w:lineRule="auto"/>
              <w:rPr>
                <w:b/>
                <w:bCs/>
                <w:sz w:val="18"/>
                <w:szCs w:val="18"/>
                <w:lang w:eastAsia="en-AU"/>
              </w:rPr>
            </w:pPr>
            <w:r w:rsidRPr="005F1DB4">
              <w:rPr>
                <w:b/>
                <w:bCs/>
                <w:sz w:val="18"/>
                <w:szCs w:val="18"/>
              </w:rPr>
              <w:t>The University of Melbourne</w:t>
            </w:r>
          </w:p>
        </w:tc>
        <w:tc>
          <w:tcPr>
            <w:cnfStyle w:val="000001000000" w:firstRow="0" w:lastRow="0" w:firstColumn="0" w:lastColumn="0" w:oddVBand="0" w:evenVBand="1" w:oddHBand="0" w:evenHBand="0" w:firstRowFirstColumn="0" w:firstRowLastColumn="0" w:lastRowFirstColumn="0" w:lastRowLastColumn="0"/>
            <w:tcW w:w="709" w:type="pct"/>
          </w:tcPr>
          <w:p w14:paraId="31AAE380" w14:textId="77777777" w:rsidR="00A30E61" w:rsidRPr="00CF3E3D" w:rsidRDefault="00A30E61" w:rsidP="007007AC">
            <w:pPr>
              <w:spacing w:before="85" w:line="288" w:lineRule="auto"/>
              <w:jc w:val="center"/>
              <w:rPr>
                <w:sz w:val="18"/>
                <w:szCs w:val="18"/>
              </w:rPr>
            </w:pPr>
            <w:r w:rsidRPr="00CF3E3D">
              <w:rPr>
                <w:sz w:val="18"/>
                <w:szCs w:val="18"/>
              </w:rPr>
              <w:t>42.7</w:t>
            </w:r>
          </w:p>
        </w:tc>
        <w:tc>
          <w:tcPr>
            <w:cnfStyle w:val="000010000000" w:firstRow="0" w:lastRow="0" w:firstColumn="0" w:lastColumn="0" w:oddVBand="1" w:evenVBand="0" w:oddHBand="0" w:evenHBand="0" w:firstRowFirstColumn="0" w:firstRowLastColumn="0" w:lastRowFirstColumn="0" w:lastRowLastColumn="0"/>
            <w:tcW w:w="755" w:type="pct"/>
          </w:tcPr>
          <w:p w14:paraId="03E6693D" w14:textId="77777777" w:rsidR="00A30E61" w:rsidRPr="00CF3E3D" w:rsidRDefault="00A30E61" w:rsidP="007007AC">
            <w:pPr>
              <w:spacing w:before="85" w:line="288" w:lineRule="auto"/>
              <w:jc w:val="center"/>
              <w:rPr>
                <w:sz w:val="18"/>
                <w:szCs w:val="18"/>
              </w:rPr>
            </w:pPr>
            <w:r w:rsidRPr="00CF3E3D">
              <w:rPr>
                <w:sz w:val="18"/>
                <w:szCs w:val="18"/>
              </w:rPr>
              <w:t>43.5</w:t>
            </w:r>
          </w:p>
        </w:tc>
        <w:tc>
          <w:tcPr>
            <w:cnfStyle w:val="000001000000" w:firstRow="0" w:lastRow="0" w:firstColumn="0" w:lastColumn="0" w:oddVBand="0" w:evenVBand="1" w:oddHBand="0" w:evenHBand="0" w:firstRowFirstColumn="0" w:firstRowLastColumn="0" w:lastRowFirstColumn="0" w:lastRowLastColumn="0"/>
            <w:tcW w:w="755" w:type="pct"/>
          </w:tcPr>
          <w:p w14:paraId="3960046E" w14:textId="77777777" w:rsidR="00A30E61" w:rsidRPr="00CF3E3D" w:rsidRDefault="00A30E61" w:rsidP="007007AC">
            <w:pPr>
              <w:spacing w:before="85" w:line="288" w:lineRule="auto"/>
              <w:jc w:val="center"/>
              <w:rPr>
                <w:sz w:val="18"/>
                <w:szCs w:val="18"/>
              </w:rPr>
            </w:pPr>
            <w:r w:rsidRPr="00CF3E3D">
              <w:rPr>
                <w:sz w:val="18"/>
                <w:szCs w:val="18"/>
              </w:rPr>
              <w:t>42.1</w:t>
            </w:r>
          </w:p>
        </w:tc>
        <w:tc>
          <w:tcPr>
            <w:cnfStyle w:val="000010000000" w:firstRow="0" w:lastRow="0" w:firstColumn="0" w:lastColumn="0" w:oddVBand="1" w:evenVBand="0" w:oddHBand="0" w:evenHBand="0" w:firstRowFirstColumn="0" w:firstRowLastColumn="0" w:lastRowFirstColumn="0" w:lastRowLastColumn="0"/>
            <w:tcW w:w="755" w:type="pct"/>
          </w:tcPr>
          <w:p w14:paraId="3396BD70" w14:textId="77777777" w:rsidR="00A30E61" w:rsidRPr="00CF3E3D" w:rsidRDefault="00A30E61" w:rsidP="007007AC">
            <w:pPr>
              <w:spacing w:before="85" w:line="288" w:lineRule="auto"/>
              <w:jc w:val="center"/>
              <w:rPr>
                <w:sz w:val="18"/>
                <w:szCs w:val="18"/>
              </w:rPr>
            </w:pPr>
            <w:r w:rsidRPr="00CF3E3D">
              <w:rPr>
                <w:sz w:val="18"/>
                <w:szCs w:val="18"/>
              </w:rPr>
              <w:t>42.4</w:t>
            </w:r>
          </w:p>
        </w:tc>
      </w:tr>
      <w:tr w:rsidR="00A30E61" w:rsidRPr="00CF3E3D" w14:paraId="548A3D9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7C617E0" w14:textId="77777777" w:rsidR="00A30E61" w:rsidRPr="005F1DB4" w:rsidRDefault="00A30E61" w:rsidP="007007AC">
            <w:pPr>
              <w:spacing w:before="85" w:line="288" w:lineRule="auto"/>
              <w:rPr>
                <w:b/>
                <w:bCs/>
                <w:sz w:val="18"/>
                <w:szCs w:val="18"/>
                <w:lang w:eastAsia="en-AU"/>
              </w:rPr>
            </w:pPr>
            <w:r w:rsidRPr="005F1DB4">
              <w:rPr>
                <w:b/>
                <w:bCs/>
                <w:sz w:val="18"/>
                <w:szCs w:val="18"/>
              </w:rPr>
              <w:t>The University of Notre Dame Australia</w:t>
            </w:r>
          </w:p>
        </w:tc>
        <w:tc>
          <w:tcPr>
            <w:cnfStyle w:val="000001000000" w:firstRow="0" w:lastRow="0" w:firstColumn="0" w:lastColumn="0" w:oddVBand="0" w:evenVBand="1" w:oddHBand="0" w:evenHBand="0" w:firstRowFirstColumn="0" w:firstRowLastColumn="0" w:lastRowFirstColumn="0" w:lastRowLastColumn="0"/>
            <w:tcW w:w="709" w:type="pct"/>
          </w:tcPr>
          <w:p w14:paraId="758EA325" w14:textId="77777777" w:rsidR="00A30E61" w:rsidRPr="00CF3E3D" w:rsidRDefault="00A30E61" w:rsidP="007007AC">
            <w:pPr>
              <w:spacing w:before="85" w:line="288" w:lineRule="auto"/>
              <w:jc w:val="center"/>
              <w:rPr>
                <w:sz w:val="18"/>
                <w:szCs w:val="18"/>
              </w:rPr>
            </w:pPr>
            <w:r w:rsidRPr="00CF3E3D">
              <w:rPr>
                <w:sz w:val="18"/>
                <w:szCs w:val="18"/>
              </w:rPr>
              <w:t>42.1</w:t>
            </w:r>
          </w:p>
        </w:tc>
        <w:tc>
          <w:tcPr>
            <w:cnfStyle w:val="000010000000" w:firstRow="0" w:lastRow="0" w:firstColumn="0" w:lastColumn="0" w:oddVBand="1" w:evenVBand="0" w:oddHBand="0" w:evenHBand="0" w:firstRowFirstColumn="0" w:firstRowLastColumn="0" w:lastRowFirstColumn="0" w:lastRowLastColumn="0"/>
            <w:tcW w:w="755" w:type="pct"/>
          </w:tcPr>
          <w:p w14:paraId="7C15BA2C" w14:textId="77777777" w:rsidR="00A30E61" w:rsidRPr="00CF3E3D" w:rsidRDefault="00A30E61" w:rsidP="007007AC">
            <w:pPr>
              <w:spacing w:before="85" w:line="288" w:lineRule="auto"/>
              <w:jc w:val="center"/>
              <w:rPr>
                <w:sz w:val="18"/>
                <w:szCs w:val="18"/>
              </w:rPr>
            </w:pPr>
            <w:r w:rsidRPr="00CF3E3D">
              <w:rPr>
                <w:sz w:val="18"/>
                <w:szCs w:val="18"/>
              </w:rPr>
              <w:t>29.1</w:t>
            </w:r>
          </w:p>
        </w:tc>
        <w:tc>
          <w:tcPr>
            <w:cnfStyle w:val="000001000000" w:firstRow="0" w:lastRow="0" w:firstColumn="0" w:lastColumn="0" w:oddVBand="0" w:evenVBand="1" w:oddHBand="0" w:evenHBand="0" w:firstRowFirstColumn="0" w:firstRowLastColumn="0" w:lastRowFirstColumn="0" w:lastRowLastColumn="0"/>
            <w:tcW w:w="755" w:type="pct"/>
          </w:tcPr>
          <w:p w14:paraId="68943460" w14:textId="77777777" w:rsidR="00A30E61" w:rsidRPr="00CF3E3D" w:rsidRDefault="00A30E61" w:rsidP="007007AC">
            <w:pPr>
              <w:spacing w:before="85" w:line="288" w:lineRule="auto"/>
              <w:jc w:val="center"/>
              <w:rPr>
                <w:sz w:val="18"/>
                <w:szCs w:val="18"/>
              </w:rPr>
            </w:pPr>
            <w:r w:rsidRPr="00CF3E3D">
              <w:rPr>
                <w:sz w:val="18"/>
                <w:szCs w:val="18"/>
              </w:rPr>
              <w:t>35.4</w:t>
            </w:r>
          </w:p>
        </w:tc>
        <w:tc>
          <w:tcPr>
            <w:cnfStyle w:val="000010000000" w:firstRow="0" w:lastRow="0" w:firstColumn="0" w:lastColumn="0" w:oddVBand="1" w:evenVBand="0" w:oddHBand="0" w:evenHBand="0" w:firstRowFirstColumn="0" w:firstRowLastColumn="0" w:lastRowFirstColumn="0" w:lastRowLastColumn="0"/>
            <w:tcW w:w="755" w:type="pct"/>
          </w:tcPr>
          <w:p w14:paraId="18AA3399" w14:textId="77777777" w:rsidR="00A30E61" w:rsidRPr="00CF3E3D" w:rsidRDefault="00A30E61" w:rsidP="007007AC">
            <w:pPr>
              <w:spacing w:before="85" w:line="288" w:lineRule="auto"/>
              <w:jc w:val="center"/>
              <w:rPr>
                <w:sz w:val="18"/>
                <w:szCs w:val="18"/>
              </w:rPr>
            </w:pPr>
            <w:r w:rsidRPr="00CF3E3D">
              <w:rPr>
                <w:sz w:val="18"/>
                <w:szCs w:val="18"/>
              </w:rPr>
              <w:t>35.4</w:t>
            </w:r>
          </w:p>
        </w:tc>
      </w:tr>
      <w:tr w:rsidR="00A30E61" w:rsidRPr="00CF3E3D" w14:paraId="6DEB8E0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56689401" w14:textId="77777777" w:rsidR="00A30E61" w:rsidRPr="005F1DB4" w:rsidRDefault="00A30E61" w:rsidP="007007AC">
            <w:pPr>
              <w:spacing w:before="85" w:line="288" w:lineRule="auto"/>
              <w:rPr>
                <w:b/>
                <w:bCs/>
                <w:sz w:val="18"/>
                <w:szCs w:val="18"/>
                <w:lang w:eastAsia="en-AU"/>
              </w:rPr>
            </w:pPr>
            <w:r w:rsidRPr="005F1DB4">
              <w:rPr>
                <w:b/>
                <w:bCs/>
                <w:sz w:val="18"/>
                <w:szCs w:val="18"/>
              </w:rPr>
              <w:t>The University of Queensland</w:t>
            </w:r>
          </w:p>
        </w:tc>
        <w:tc>
          <w:tcPr>
            <w:cnfStyle w:val="000001000000" w:firstRow="0" w:lastRow="0" w:firstColumn="0" w:lastColumn="0" w:oddVBand="0" w:evenVBand="1" w:oddHBand="0" w:evenHBand="0" w:firstRowFirstColumn="0" w:firstRowLastColumn="0" w:lastRowFirstColumn="0" w:lastRowLastColumn="0"/>
            <w:tcW w:w="709" w:type="pct"/>
          </w:tcPr>
          <w:p w14:paraId="0502CA47" w14:textId="77777777" w:rsidR="00A30E61" w:rsidRPr="00CF3E3D" w:rsidRDefault="00A30E61" w:rsidP="007007AC">
            <w:pPr>
              <w:spacing w:before="85" w:line="288" w:lineRule="auto"/>
              <w:jc w:val="center"/>
              <w:rPr>
                <w:sz w:val="18"/>
                <w:szCs w:val="18"/>
              </w:rPr>
            </w:pPr>
            <w:r w:rsidRPr="00CF3E3D">
              <w:rPr>
                <w:sz w:val="18"/>
                <w:szCs w:val="18"/>
              </w:rPr>
              <w:t>28.1</w:t>
            </w:r>
          </w:p>
        </w:tc>
        <w:tc>
          <w:tcPr>
            <w:cnfStyle w:val="000010000000" w:firstRow="0" w:lastRow="0" w:firstColumn="0" w:lastColumn="0" w:oddVBand="1" w:evenVBand="0" w:oddHBand="0" w:evenHBand="0" w:firstRowFirstColumn="0" w:firstRowLastColumn="0" w:lastRowFirstColumn="0" w:lastRowLastColumn="0"/>
            <w:tcW w:w="755" w:type="pct"/>
          </w:tcPr>
          <w:p w14:paraId="5716A616" w14:textId="77777777" w:rsidR="00A30E61" w:rsidRPr="00CF3E3D" w:rsidRDefault="00A30E61" w:rsidP="007007AC">
            <w:pPr>
              <w:spacing w:before="85" w:line="288" w:lineRule="auto"/>
              <w:jc w:val="center"/>
              <w:rPr>
                <w:sz w:val="18"/>
                <w:szCs w:val="18"/>
              </w:rPr>
            </w:pPr>
            <w:r w:rsidRPr="00CF3E3D">
              <w:rPr>
                <w:sz w:val="18"/>
                <w:szCs w:val="18"/>
              </w:rPr>
              <w:t>65.0</w:t>
            </w:r>
          </w:p>
        </w:tc>
        <w:tc>
          <w:tcPr>
            <w:cnfStyle w:val="000001000000" w:firstRow="0" w:lastRow="0" w:firstColumn="0" w:lastColumn="0" w:oddVBand="0" w:evenVBand="1" w:oddHBand="0" w:evenHBand="0" w:firstRowFirstColumn="0" w:firstRowLastColumn="0" w:lastRowFirstColumn="0" w:lastRowLastColumn="0"/>
            <w:tcW w:w="755" w:type="pct"/>
          </w:tcPr>
          <w:p w14:paraId="1AEE7ED9" w14:textId="77777777" w:rsidR="00A30E61" w:rsidRPr="00CF3E3D" w:rsidRDefault="00A30E61" w:rsidP="007007AC">
            <w:pPr>
              <w:spacing w:before="85" w:line="288" w:lineRule="auto"/>
              <w:jc w:val="center"/>
              <w:rPr>
                <w:sz w:val="18"/>
                <w:szCs w:val="18"/>
              </w:rPr>
            </w:pPr>
            <w:r w:rsidRPr="00CF3E3D">
              <w:rPr>
                <w:sz w:val="18"/>
                <w:szCs w:val="18"/>
              </w:rPr>
              <w:t>33.6</w:t>
            </w:r>
          </w:p>
        </w:tc>
        <w:tc>
          <w:tcPr>
            <w:cnfStyle w:val="000010000000" w:firstRow="0" w:lastRow="0" w:firstColumn="0" w:lastColumn="0" w:oddVBand="1" w:evenVBand="0" w:oddHBand="0" w:evenHBand="0" w:firstRowFirstColumn="0" w:firstRowLastColumn="0" w:lastRowFirstColumn="0" w:lastRowLastColumn="0"/>
            <w:tcW w:w="755" w:type="pct"/>
          </w:tcPr>
          <w:p w14:paraId="4A85110A" w14:textId="77777777" w:rsidR="00A30E61" w:rsidRPr="00CF3E3D" w:rsidRDefault="00A30E61" w:rsidP="007007AC">
            <w:pPr>
              <w:spacing w:before="85" w:line="288" w:lineRule="auto"/>
              <w:jc w:val="center"/>
              <w:rPr>
                <w:sz w:val="18"/>
                <w:szCs w:val="18"/>
              </w:rPr>
            </w:pPr>
            <w:r w:rsidRPr="00CF3E3D">
              <w:rPr>
                <w:sz w:val="18"/>
                <w:szCs w:val="18"/>
              </w:rPr>
              <w:t>32.0</w:t>
            </w:r>
          </w:p>
        </w:tc>
      </w:tr>
      <w:tr w:rsidR="00A30E61" w:rsidRPr="00CF3E3D" w14:paraId="0BD86A4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0B4F492" w14:textId="77777777" w:rsidR="00A30E61" w:rsidRPr="005F1DB4" w:rsidRDefault="00A30E61" w:rsidP="007007AC">
            <w:pPr>
              <w:spacing w:before="85" w:line="288" w:lineRule="auto"/>
              <w:rPr>
                <w:b/>
                <w:bCs/>
                <w:sz w:val="18"/>
                <w:szCs w:val="18"/>
                <w:lang w:eastAsia="en-AU"/>
              </w:rPr>
            </w:pPr>
            <w:r w:rsidRPr="005F1DB4">
              <w:rPr>
                <w:b/>
                <w:bCs/>
                <w:sz w:val="18"/>
                <w:szCs w:val="18"/>
              </w:rPr>
              <w:t>The University of South Australia</w:t>
            </w:r>
          </w:p>
        </w:tc>
        <w:tc>
          <w:tcPr>
            <w:cnfStyle w:val="000001000000" w:firstRow="0" w:lastRow="0" w:firstColumn="0" w:lastColumn="0" w:oddVBand="0" w:evenVBand="1" w:oddHBand="0" w:evenHBand="0" w:firstRowFirstColumn="0" w:firstRowLastColumn="0" w:lastRowFirstColumn="0" w:lastRowLastColumn="0"/>
            <w:tcW w:w="709" w:type="pct"/>
          </w:tcPr>
          <w:p w14:paraId="39173DE9" w14:textId="77777777" w:rsidR="00A30E61" w:rsidRPr="00CF3E3D" w:rsidRDefault="00A30E61" w:rsidP="007007AC">
            <w:pPr>
              <w:spacing w:before="85" w:line="288" w:lineRule="auto"/>
              <w:jc w:val="center"/>
              <w:rPr>
                <w:sz w:val="18"/>
                <w:szCs w:val="18"/>
              </w:rPr>
            </w:pPr>
            <w:r w:rsidRPr="00CF3E3D">
              <w:rPr>
                <w:sz w:val="18"/>
                <w:szCs w:val="18"/>
              </w:rPr>
              <w:t>41.0</w:t>
            </w:r>
          </w:p>
        </w:tc>
        <w:tc>
          <w:tcPr>
            <w:cnfStyle w:val="000010000000" w:firstRow="0" w:lastRow="0" w:firstColumn="0" w:lastColumn="0" w:oddVBand="1" w:evenVBand="0" w:oddHBand="0" w:evenHBand="0" w:firstRowFirstColumn="0" w:firstRowLastColumn="0" w:lastRowFirstColumn="0" w:lastRowLastColumn="0"/>
            <w:tcW w:w="755" w:type="pct"/>
          </w:tcPr>
          <w:p w14:paraId="4BAEE850"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1013341C" w14:textId="77777777" w:rsidR="00A30E61" w:rsidRPr="00CF3E3D" w:rsidRDefault="00A30E61" w:rsidP="007007AC">
            <w:pPr>
              <w:spacing w:before="85" w:line="288" w:lineRule="auto"/>
              <w:jc w:val="center"/>
              <w:rPr>
                <w:sz w:val="18"/>
                <w:szCs w:val="18"/>
              </w:rPr>
            </w:pPr>
            <w:r w:rsidRPr="00CF3E3D">
              <w:rPr>
                <w:sz w:val="18"/>
                <w:szCs w:val="18"/>
              </w:rPr>
              <w:t>43.7</w:t>
            </w:r>
          </w:p>
        </w:tc>
        <w:tc>
          <w:tcPr>
            <w:cnfStyle w:val="000010000000" w:firstRow="0" w:lastRow="0" w:firstColumn="0" w:lastColumn="0" w:oddVBand="1" w:evenVBand="0" w:oddHBand="0" w:evenHBand="0" w:firstRowFirstColumn="0" w:firstRowLastColumn="0" w:lastRowFirstColumn="0" w:lastRowLastColumn="0"/>
            <w:tcW w:w="755" w:type="pct"/>
          </w:tcPr>
          <w:p w14:paraId="4BC2D0FD" w14:textId="77777777" w:rsidR="00A30E61" w:rsidRPr="00CF3E3D" w:rsidRDefault="00A30E61" w:rsidP="007007AC">
            <w:pPr>
              <w:spacing w:before="85" w:line="288" w:lineRule="auto"/>
              <w:jc w:val="center"/>
              <w:rPr>
                <w:sz w:val="18"/>
                <w:szCs w:val="18"/>
              </w:rPr>
            </w:pPr>
            <w:r w:rsidRPr="00CF3E3D">
              <w:rPr>
                <w:sz w:val="18"/>
                <w:szCs w:val="18"/>
              </w:rPr>
              <w:t>43.1</w:t>
            </w:r>
          </w:p>
        </w:tc>
      </w:tr>
      <w:tr w:rsidR="00A30E61" w:rsidRPr="00CF3E3D" w14:paraId="5225249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872F780" w14:textId="77777777" w:rsidR="00A30E61" w:rsidRPr="005F1DB4" w:rsidRDefault="00A30E61" w:rsidP="007007AC">
            <w:pPr>
              <w:spacing w:before="85" w:line="288" w:lineRule="auto"/>
              <w:rPr>
                <w:b/>
                <w:bCs/>
                <w:sz w:val="18"/>
                <w:szCs w:val="18"/>
                <w:lang w:eastAsia="en-AU"/>
              </w:rPr>
            </w:pPr>
            <w:r w:rsidRPr="005F1DB4">
              <w:rPr>
                <w:b/>
                <w:bCs/>
                <w:sz w:val="18"/>
                <w:szCs w:val="18"/>
              </w:rPr>
              <w:t>The University of Sydney</w:t>
            </w:r>
          </w:p>
        </w:tc>
        <w:tc>
          <w:tcPr>
            <w:cnfStyle w:val="000001000000" w:firstRow="0" w:lastRow="0" w:firstColumn="0" w:lastColumn="0" w:oddVBand="0" w:evenVBand="1" w:oddHBand="0" w:evenHBand="0" w:firstRowFirstColumn="0" w:firstRowLastColumn="0" w:lastRowFirstColumn="0" w:lastRowLastColumn="0"/>
            <w:tcW w:w="709" w:type="pct"/>
          </w:tcPr>
          <w:p w14:paraId="3D8D8FB7" w14:textId="77777777" w:rsidR="00A30E61" w:rsidRPr="00CF3E3D" w:rsidRDefault="00A30E61" w:rsidP="007007AC">
            <w:pPr>
              <w:spacing w:before="85" w:line="288" w:lineRule="auto"/>
              <w:jc w:val="center"/>
              <w:rPr>
                <w:sz w:val="18"/>
                <w:szCs w:val="18"/>
              </w:rPr>
            </w:pPr>
            <w:r w:rsidRPr="00CF3E3D">
              <w:rPr>
                <w:sz w:val="18"/>
                <w:szCs w:val="18"/>
              </w:rPr>
              <w:t>35.0</w:t>
            </w:r>
          </w:p>
        </w:tc>
        <w:tc>
          <w:tcPr>
            <w:cnfStyle w:val="000010000000" w:firstRow="0" w:lastRow="0" w:firstColumn="0" w:lastColumn="0" w:oddVBand="1" w:evenVBand="0" w:oddHBand="0" w:evenHBand="0" w:firstRowFirstColumn="0" w:firstRowLastColumn="0" w:lastRowFirstColumn="0" w:lastRowLastColumn="0"/>
            <w:tcW w:w="755" w:type="pct"/>
          </w:tcPr>
          <w:p w14:paraId="7ACF2B61" w14:textId="77777777" w:rsidR="00A30E61" w:rsidRPr="00CF3E3D" w:rsidRDefault="00A30E61" w:rsidP="007007AC">
            <w:pPr>
              <w:spacing w:before="85" w:line="288" w:lineRule="auto"/>
              <w:jc w:val="center"/>
              <w:rPr>
                <w:sz w:val="18"/>
                <w:szCs w:val="18"/>
              </w:rPr>
            </w:pPr>
            <w:r w:rsidRPr="00CF3E3D">
              <w:rPr>
                <w:sz w:val="18"/>
                <w:szCs w:val="18"/>
              </w:rPr>
              <w:t>35.1</w:t>
            </w:r>
          </w:p>
        </w:tc>
        <w:tc>
          <w:tcPr>
            <w:cnfStyle w:val="000001000000" w:firstRow="0" w:lastRow="0" w:firstColumn="0" w:lastColumn="0" w:oddVBand="0" w:evenVBand="1" w:oddHBand="0" w:evenHBand="0" w:firstRowFirstColumn="0" w:firstRowLastColumn="0" w:lastRowFirstColumn="0" w:lastRowLastColumn="0"/>
            <w:tcW w:w="755" w:type="pct"/>
          </w:tcPr>
          <w:p w14:paraId="78C02883" w14:textId="77777777" w:rsidR="00A30E61" w:rsidRPr="00CF3E3D" w:rsidRDefault="00A30E61" w:rsidP="007007AC">
            <w:pPr>
              <w:spacing w:before="85" w:line="288" w:lineRule="auto"/>
              <w:jc w:val="center"/>
              <w:rPr>
                <w:sz w:val="18"/>
                <w:szCs w:val="18"/>
              </w:rPr>
            </w:pPr>
            <w:r w:rsidRPr="00CF3E3D">
              <w:rPr>
                <w:sz w:val="18"/>
                <w:szCs w:val="18"/>
              </w:rPr>
              <w:t>39.7</w:t>
            </w:r>
          </w:p>
        </w:tc>
        <w:tc>
          <w:tcPr>
            <w:cnfStyle w:val="000010000000" w:firstRow="0" w:lastRow="0" w:firstColumn="0" w:lastColumn="0" w:oddVBand="1" w:evenVBand="0" w:oddHBand="0" w:evenHBand="0" w:firstRowFirstColumn="0" w:firstRowLastColumn="0" w:lastRowFirstColumn="0" w:lastRowLastColumn="0"/>
            <w:tcW w:w="755" w:type="pct"/>
          </w:tcPr>
          <w:p w14:paraId="7EDF2897" w14:textId="77777777" w:rsidR="00A30E61" w:rsidRPr="00CF3E3D" w:rsidRDefault="00A30E61" w:rsidP="007007AC">
            <w:pPr>
              <w:spacing w:before="85" w:line="288" w:lineRule="auto"/>
              <w:jc w:val="center"/>
              <w:rPr>
                <w:sz w:val="18"/>
                <w:szCs w:val="18"/>
              </w:rPr>
            </w:pPr>
            <w:r w:rsidRPr="00CF3E3D">
              <w:rPr>
                <w:sz w:val="18"/>
                <w:szCs w:val="18"/>
              </w:rPr>
              <w:t>37.9</w:t>
            </w:r>
          </w:p>
        </w:tc>
      </w:tr>
      <w:tr w:rsidR="00A30E61" w:rsidRPr="00CF3E3D" w14:paraId="21BD14C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5F87DF4" w14:textId="77777777" w:rsidR="00A30E61" w:rsidRPr="005F1DB4" w:rsidRDefault="00A30E61" w:rsidP="007007AC">
            <w:pPr>
              <w:spacing w:before="85" w:line="288" w:lineRule="auto"/>
              <w:rPr>
                <w:b/>
                <w:bCs/>
                <w:sz w:val="18"/>
                <w:szCs w:val="18"/>
                <w:lang w:eastAsia="en-AU"/>
              </w:rPr>
            </w:pPr>
            <w:r w:rsidRPr="005F1DB4">
              <w:rPr>
                <w:b/>
                <w:bCs/>
                <w:sz w:val="18"/>
                <w:szCs w:val="18"/>
              </w:rPr>
              <w:t>The University of Western Australia</w:t>
            </w:r>
          </w:p>
        </w:tc>
        <w:tc>
          <w:tcPr>
            <w:cnfStyle w:val="000001000000" w:firstRow="0" w:lastRow="0" w:firstColumn="0" w:lastColumn="0" w:oddVBand="0" w:evenVBand="1" w:oddHBand="0" w:evenHBand="0" w:firstRowFirstColumn="0" w:firstRowLastColumn="0" w:lastRowFirstColumn="0" w:lastRowLastColumn="0"/>
            <w:tcW w:w="709" w:type="pct"/>
          </w:tcPr>
          <w:p w14:paraId="5904EB15" w14:textId="77777777" w:rsidR="00A30E61" w:rsidRPr="00CF3E3D" w:rsidRDefault="00A30E61" w:rsidP="007007AC">
            <w:pPr>
              <w:spacing w:before="85" w:line="288" w:lineRule="auto"/>
              <w:jc w:val="center"/>
              <w:rPr>
                <w:sz w:val="18"/>
                <w:szCs w:val="18"/>
              </w:rPr>
            </w:pPr>
            <w:r w:rsidRPr="00CF3E3D">
              <w:rPr>
                <w:sz w:val="18"/>
                <w:szCs w:val="18"/>
              </w:rPr>
              <w:t>36.6</w:t>
            </w:r>
          </w:p>
        </w:tc>
        <w:tc>
          <w:tcPr>
            <w:cnfStyle w:val="000010000000" w:firstRow="0" w:lastRow="0" w:firstColumn="0" w:lastColumn="0" w:oddVBand="1" w:evenVBand="0" w:oddHBand="0" w:evenHBand="0" w:firstRowFirstColumn="0" w:firstRowLastColumn="0" w:lastRowFirstColumn="0" w:lastRowLastColumn="0"/>
            <w:tcW w:w="755" w:type="pct"/>
          </w:tcPr>
          <w:p w14:paraId="2CBB5EC5" w14:textId="77777777" w:rsidR="00A30E61" w:rsidRPr="00CF3E3D" w:rsidRDefault="00A30E61" w:rsidP="007007AC">
            <w:pPr>
              <w:spacing w:before="85" w:line="288" w:lineRule="auto"/>
              <w:jc w:val="center"/>
              <w:rPr>
                <w:sz w:val="18"/>
                <w:szCs w:val="18"/>
              </w:rPr>
            </w:pPr>
            <w:r w:rsidRPr="00CF3E3D">
              <w:rPr>
                <w:sz w:val="18"/>
                <w:szCs w:val="18"/>
              </w:rPr>
              <w:t>34.0</w:t>
            </w:r>
          </w:p>
        </w:tc>
        <w:tc>
          <w:tcPr>
            <w:cnfStyle w:val="000001000000" w:firstRow="0" w:lastRow="0" w:firstColumn="0" w:lastColumn="0" w:oddVBand="0" w:evenVBand="1" w:oddHBand="0" w:evenHBand="0" w:firstRowFirstColumn="0" w:firstRowLastColumn="0" w:lastRowFirstColumn="0" w:lastRowLastColumn="0"/>
            <w:tcW w:w="755" w:type="pct"/>
          </w:tcPr>
          <w:p w14:paraId="2B2F72C0" w14:textId="77777777" w:rsidR="00A30E61" w:rsidRPr="00CF3E3D" w:rsidRDefault="00A30E61" w:rsidP="007007AC">
            <w:pPr>
              <w:spacing w:before="85" w:line="288" w:lineRule="auto"/>
              <w:jc w:val="center"/>
              <w:rPr>
                <w:sz w:val="18"/>
                <w:szCs w:val="18"/>
              </w:rPr>
            </w:pPr>
            <w:r w:rsidRPr="00CF3E3D">
              <w:rPr>
                <w:sz w:val="18"/>
                <w:szCs w:val="18"/>
              </w:rPr>
              <w:t>34.9</w:t>
            </w:r>
          </w:p>
        </w:tc>
        <w:tc>
          <w:tcPr>
            <w:cnfStyle w:val="000010000000" w:firstRow="0" w:lastRow="0" w:firstColumn="0" w:lastColumn="0" w:oddVBand="1" w:evenVBand="0" w:oddHBand="0" w:evenHBand="0" w:firstRowFirstColumn="0" w:firstRowLastColumn="0" w:lastRowFirstColumn="0" w:lastRowLastColumn="0"/>
            <w:tcW w:w="755" w:type="pct"/>
          </w:tcPr>
          <w:p w14:paraId="5651F8A7" w14:textId="77777777" w:rsidR="00A30E61" w:rsidRPr="00CF3E3D" w:rsidRDefault="00A30E61" w:rsidP="007007AC">
            <w:pPr>
              <w:spacing w:before="85" w:line="288" w:lineRule="auto"/>
              <w:jc w:val="center"/>
              <w:rPr>
                <w:sz w:val="18"/>
                <w:szCs w:val="18"/>
              </w:rPr>
            </w:pPr>
            <w:r w:rsidRPr="00CF3E3D">
              <w:rPr>
                <w:sz w:val="18"/>
                <w:szCs w:val="18"/>
              </w:rPr>
              <w:t>35.3</w:t>
            </w:r>
          </w:p>
        </w:tc>
      </w:tr>
      <w:tr w:rsidR="00A30E61" w:rsidRPr="00CF3E3D" w14:paraId="7CE287A6"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DD21424" w14:textId="77777777" w:rsidR="00A30E61" w:rsidRPr="005F1DB4" w:rsidRDefault="00A30E61" w:rsidP="007007AC">
            <w:pPr>
              <w:spacing w:before="85" w:line="288" w:lineRule="auto"/>
              <w:rPr>
                <w:b/>
                <w:bCs/>
                <w:sz w:val="18"/>
                <w:szCs w:val="18"/>
                <w:lang w:eastAsia="en-AU"/>
              </w:rPr>
            </w:pPr>
            <w:r w:rsidRPr="005F1DB4">
              <w:rPr>
                <w:b/>
                <w:bCs/>
                <w:sz w:val="18"/>
                <w:szCs w:val="18"/>
              </w:rPr>
              <w:lastRenderedPageBreak/>
              <w:t>Torrens University</w:t>
            </w:r>
          </w:p>
        </w:tc>
        <w:tc>
          <w:tcPr>
            <w:cnfStyle w:val="000001000000" w:firstRow="0" w:lastRow="0" w:firstColumn="0" w:lastColumn="0" w:oddVBand="0" w:evenVBand="1" w:oddHBand="0" w:evenHBand="0" w:firstRowFirstColumn="0" w:firstRowLastColumn="0" w:lastRowFirstColumn="0" w:lastRowLastColumn="0"/>
            <w:tcW w:w="709" w:type="pct"/>
          </w:tcPr>
          <w:p w14:paraId="2F5B95BA" w14:textId="77777777" w:rsidR="00A30E61" w:rsidRPr="00CF3E3D" w:rsidRDefault="00A30E61" w:rsidP="007007AC">
            <w:pPr>
              <w:spacing w:before="85" w:line="288" w:lineRule="auto"/>
              <w:jc w:val="center"/>
              <w:rPr>
                <w:sz w:val="18"/>
                <w:szCs w:val="18"/>
              </w:rPr>
            </w:pPr>
            <w:r w:rsidRPr="00CF3E3D">
              <w:rPr>
                <w:sz w:val="18"/>
                <w:szCs w:val="18"/>
              </w:rPr>
              <w:t>41.8</w:t>
            </w:r>
          </w:p>
        </w:tc>
        <w:tc>
          <w:tcPr>
            <w:cnfStyle w:val="000010000000" w:firstRow="0" w:lastRow="0" w:firstColumn="0" w:lastColumn="0" w:oddVBand="1" w:evenVBand="0" w:oddHBand="0" w:evenHBand="0" w:firstRowFirstColumn="0" w:firstRowLastColumn="0" w:lastRowFirstColumn="0" w:lastRowLastColumn="0"/>
            <w:tcW w:w="755" w:type="pct"/>
          </w:tcPr>
          <w:p w14:paraId="678BC2BB" w14:textId="77777777" w:rsidR="00A30E61" w:rsidRPr="00CF3E3D" w:rsidRDefault="00A30E61" w:rsidP="007007AC">
            <w:pPr>
              <w:spacing w:before="85" w:line="288" w:lineRule="auto"/>
              <w:jc w:val="center"/>
              <w:rPr>
                <w:sz w:val="18"/>
                <w:szCs w:val="18"/>
              </w:rPr>
            </w:pPr>
            <w:r w:rsidRPr="00CF3E3D">
              <w:rPr>
                <w:sz w:val="18"/>
                <w:szCs w:val="18"/>
              </w:rPr>
              <w:t>43.9</w:t>
            </w:r>
          </w:p>
        </w:tc>
        <w:tc>
          <w:tcPr>
            <w:cnfStyle w:val="000001000000" w:firstRow="0" w:lastRow="0" w:firstColumn="0" w:lastColumn="0" w:oddVBand="0" w:evenVBand="1" w:oddHBand="0" w:evenHBand="0" w:firstRowFirstColumn="0" w:firstRowLastColumn="0" w:lastRowFirstColumn="0" w:lastRowLastColumn="0"/>
            <w:tcW w:w="755" w:type="pct"/>
          </w:tcPr>
          <w:p w14:paraId="77BA68AE" w14:textId="77777777" w:rsidR="00A30E61" w:rsidRPr="00CF3E3D" w:rsidRDefault="00A30E61" w:rsidP="007007AC">
            <w:pPr>
              <w:spacing w:before="85" w:line="288" w:lineRule="auto"/>
              <w:jc w:val="center"/>
              <w:rPr>
                <w:sz w:val="18"/>
                <w:szCs w:val="18"/>
              </w:rPr>
            </w:pPr>
            <w:r w:rsidRPr="00CF3E3D">
              <w:rPr>
                <w:sz w:val="18"/>
                <w:szCs w:val="18"/>
              </w:rPr>
              <w:t>47.9</w:t>
            </w:r>
          </w:p>
        </w:tc>
        <w:tc>
          <w:tcPr>
            <w:cnfStyle w:val="000010000000" w:firstRow="0" w:lastRow="0" w:firstColumn="0" w:lastColumn="0" w:oddVBand="1" w:evenVBand="0" w:oddHBand="0" w:evenHBand="0" w:firstRowFirstColumn="0" w:firstRowLastColumn="0" w:lastRowFirstColumn="0" w:lastRowLastColumn="0"/>
            <w:tcW w:w="755" w:type="pct"/>
          </w:tcPr>
          <w:p w14:paraId="454ED8DE" w14:textId="77777777" w:rsidR="00A30E61" w:rsidRPr="00CF3E3D" w:rsidRDefault="00A30E61" w:rsidP="007007AC">
            <w:pPr>
              <w:spacing w:before="85" w:line="288" w:lineRule="auto"/>
              <w:jc w:val="center"/>
              <w:rPr>
                <w:sz w:val="18"/>
                <w:szCs w:val="18"/>
              </w:rPr>
            </w:pPr>
            <w:r w:rsidRPr="00CF3E3D">
              <w:rPr>
                <w:sz w:val="18"/>
                <w:szCs w:val="18"/>
              </w:rPr>
              <w:t>44.7</w:t>
            </w:r>
          </w:p>
        </w:tc>
      </w:tr>
      <w:tr w:rsidR="00A30E61" w:rsidRPr="00CF3E3D" w14:paraId="111DABE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97AE4B1"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Canberra</w:t>
            </w:r>
          </w:p>
        </w:tc>
        <w:tc>
          <w:tcPr>
            <w:cnfStyle w:val="000001000000" w:firstRow="0" w:lastRow="0" w:firstColumn="0" w:lastColumn="0" w:oddVBand="0" w:evenVBand="1" w:oddHBand="0" w:evenHBand="0" w:firstRowFirstColumn="0" w:firstRowLastColumn="0" w:lastRowFirstColumn="0" w:lastRowLastColumn="0"/>
            <w:tcW w:w="709" w:type="pct"/>
          </w:tcPr>
          <w:p w14:paraId="1AA417AB" w14:textId="77777777" w:rsidR="00A30E61" w:rsidRPr="00CF3E3D" w:rsidRDefault="00A30E61" w:rsidP="007007AC">
            <w:pPr>
              <w:spacing w:before="85" w:line="288" w:lineRule="auto"/>
              <w:jc w:val="center"/>
              <w:rPr>
                <w:sz w:val="18"/>
                <w:szCs w:val="18"/>
              </w:rPr>
            </w:pPr>
            <w:r w:rsidRPr="00CF3E3D">
              <w:rPr>
                <w:sz w:val="18"/>
                <w:szCs w:val="18"/>
              </w:rPr>
              <w:t>46.3</w:t>
            </w:r>
          </w:p>
        </w:tc>
        <w:tc>
          <w:tcPr>
            <w:cnfStyle w:val="000010000000" w:firstRow="0" w:lastRow="0" w:firstColumn="0" w:lastColumn="0" w:oddVBand="1" w:evenVBand="0" w:oddHBand="0" w:evenHBand="0" w:firstRowFirstColumn="0" w:firstRowLastColumn="0" w:lastRowFirstColumn="0" w:lastRowLastColumn="0"/>
            <w:tcW w:w="755" w:type="pct"/>
          </w:tcPr>
          <w:p w14:paraId="242CCBE5"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6596E2AF" w14:textId="77777777" w:rsidR="00A30E61" w:rsidRPr="00CF3E3D" w:rsidRDefault="00A30E61" w:rsidP="007007AC">
            <w:pPr>
              <w:spacing w:before="85" w:line="288" w:lineRule="auto"/>
              <w:jc w:val="center"/>
              <w:rPr>
                <w:sz w:val="18"/>
                <w:szCs w:val="18"/>
              </w:rPr>
            </w:pPr>
            <w:r w:rsidRPr="00CF3E3D">
              <w:rPr>
                <w:sz w:val="18"/>
                <w:szCs w:val="18"/>
              </w:rPr>
              <w:t>38.7</w:t>
            </w:r>
          </w:p>
        </w:tc>
        <w:tc>
          <w:tcPr>
            <w:cnfStyle w:val="000010000000" w:firstRow="0" w:lastRow="0" w:firstColumn="0" w:lastColumn="0" w:oddVBand="1" w:evenVBand="0" w:oddHBand="0" w:evenHBand="0" w:firstRowFirstColumn="0" w:firstRowLastColumn="0" w:lastRowFirstColumn="0" w:lastRowLastColumn="0"/>
            <w:tcW w:w="755" w:type="pct"/>
          </w:tcPr>
          <w:p w14:paraId="68835340" w14:textId="77777777" w:rsidR="00A30E61" w:rsidRPr="00CF3E3D" w:rsidRDefault="00A30E61" w:rsidP="007007AC">
            <w:pPr>
              <w:spacing w:before="85" w:line="288" w:lineRule="auto"/>
              <w:jc w:val="center"/>
              <w:rPr>
                <w:sz w:val="18"/>
                <w:szCs w:val="18"/>
              </w:rPr>
            </w:pPr>
            <w:r w:rsidRPr="00CF3E3D">
              <w:rPr>
                <w:sz w:val="18"/>
                <w:szCs w:val="18"/>
              </w:rPr>
              <w:t>40.9</w:t>
            </w:r>
          </w:p>
        </w:tc>
      </w:tr>
      <w:tr w:rsidR="00A30E61" w:rsidRPr="00CF3E3D" w14:paraId="28A2BB4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A5759E3"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Divinity</w:t>
            </w:r>
          </w:p>
        </w:tc>
        <w:tc>
          <w:tcPr>
            <w:cnfStyle w:val="000001000000" w:firstRow="0" w:lastRow="0" w:firstColumn="0" w:lastColumn="0" w:oddVBand="0" w:evenVBand="1" w:oddHBand="0" w:evenHBand="0" w:firstRowFirstColumn="0" w:firstRowLastColumn="0" w:lastRowFirstColumn="0" w:lastRowLastColumn="0"/>
            <w:tcW w:w="709" w:type="pct"/>
          </w:tcPr>
          <w:p w14:paraId="44202511" w14:textId="77777777" w:rsidR="00A30E61" w:rsidRPr="00CF3E3D" w:rsidRDefault="00A30E61" w:rsidP="007007AC">
            <w:pPr>
              <w:spacing w:before="85" w:line="288" w:lineRule="auto"/>
              <w:jc w:val="center"/>
              <w:rPr>
                <w:sz w:val="18"/>
                <w:szCs w:val="18"/>
              </w:rPr>
            </w:pPr>
            <w:r w:rsidRPr="00CF3E3D">
              <w:rPr>
                <w:sz w:val="18"/>
                <w:szCs w:val="18"/>
              </w:rPr>
              <w:t>67.7</w:t>
            </w:r>
          </w:p>
        </w:tc>
        <w:tc>
          <w:tcPr>
            <w:cnfStyle w:val="000010000000" w:firstRow="0" w:lastRow="0" w:firstColumn="0" w:lastColumn="0" w:oddVBand="1" w:evenVBand="0" w:oddHBand="0" w:evenHBand="0" w:firstRowFirstColumn="0" w:firstRowLastColumn="0" w:lastRowFirstColumn="0" w:lastRowLastColumn="0"/>
            <w:tcW w:w="755" w:type="pct"/>
          </w:tcPr>
          <w:p w14:paraId="203AE195" w14:textId="77777777" w:rsidR="00A30E61" w:rsidRPr="00CF3E3D" w:rsidRDefault="00A30E61" w:rsidP="007007AC">
            <w:pPr>
              <w:spacing w:before="85" w:line="288" w:lineRule="auto"/>
              <w:jc w:val="center"/>
              <w:rPr>
                <w:sz w:val="18"/>
                <w:szCs w:val="18"/>
              </w:rPr>
            </w:pPr>
            <w:r w:rsidRPr="00CF3E3D">
              <w:rPr>
                <w:sz w:val="18"/>
                <w:szCs w:val="18"/>
              </w:rPr>
              <w:t>56.2</w:t>
            </w:r>
          </w:p>
        </w:tc>
        <w:tc>
          <w:tcPr>
            <w:cnfStyle w:val="000001000000" w:firstRow="0" w:lastRow="0" w:firstColumn="0" w:lastColumn="0" w:oddVBand="0" w:evenVBand="1" w:oddHBand="0" w:evenHBand="0" w:firstRowFirstColumn="0" w:firstRowLastColumn="0" w:lastRowFirstColumn="0" w:lastRowLastColumn="0"/>
            <w:tcW w:w="755" w:type="pct"/>
          </w:tcPr>
          <w:p w14:paraId="0DECD3E5" w14:textId="77777777" w:rsidR="00A30E61" w:rsidRPr="00CF3E3D" w:rsidRDefault="00A30E61" w:rsidP="007007AC">
            <w:pPr>
              <w:spacing w:before="85" w:line="288" w:lineRule="auto"/>
              <w:jc w:val="center"/>
              <w:rPr>
                <w:sz w:val="18"/>
                <w:szCs w:val="18"/>
              </w:rPr>
            </w:pPr>
            <w:r w:rsidRPr="00CF3E3D">
              <w:rPr>
                <w:sz w:val="18"/>
                <w:szCs w:val="18"/>
              </w:rPr>
              <w:t>62.0</w:t>
            </w:r>
          </w:p>
        </w:tc>
        <w:tc>
          <w:tcPr>
            <w:cnfStyle w:val="000010000000" w:firstRow="0" w:lastRow="0" w:firstColumn="0" w:lastColumn="0" w:oddVBand="1" w:evenVBand="0" w:oddHBand="0" w:evenHBand="0" w:firstRowFirstColumn="0" w:firstRowLastColumn="0" w:lastRowFirstColumn="0" w:lastRowLastColumn="0"/>
            <w:tcW w:w="755" w:type="pct"/>
          </w:tcPr>
          <w:p w14:paraId="5189A599" w14:textId="77777777" w:rsidR="00A30E61" w:rsidRPr="00CF3E3D" w:rsidRDefault="00A30E61" w:rsidP="007007AC">
            <w:pPr>
              <w:spacing w:before="85" w:line="288" w:lineRule="auto"/>
              <w:jc w:val="center"/>
              <w:rPr>
                <w:sz w:val="18"/>
                <w:szCs w:val="18"/>
              </w:rPr>
            </w:pPr>
            <w:r w:rsidRPr="00CF3E3D">
              <w:rPr>
                <w:sz w:val="18"/>
                <w:szCs w:val="18"/>
              </w:rPr>
              <w:t>61.4</w:t>
            </w:r>
          </w:p>
        </w:tc>
      </w:tr>
      <w:tr w:rsidR="00A30E61" w:rsidRPr="00CF3E3D" w14:paraId="5B4C247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5F713FF"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New England</w:t>
            </w:r>
          </w:p>
        </w:tc>
        <w:tc>
          <w:tcPr>
            <w:cnfStyle w:val="000001000000" w:firstRow="0" w:lastRow="0" w:firstColumn="0" w:lastColumn="0" w:oddVBand="0" w:evenVBand="1" w:oddHBand="0" w:evenHBand="0" w:firstRowFirstColumn="0" w:firstRowLastColumn="0" w:lastRowFirstColumn="0" w:lastRowLastColumn="0"/>
            <w:tcW w:w="709" w:type="pct"/>
          </w:tcPr>
          <w:p w14:paraId="72C6CD83" w14:textId="77777777" w:rsidR="00A30E61" w:rsidRPr="00CF3E3D" w:rsidRDefault="00A30E61" w:rsidP="007007AC">
            <w:pPr>
              <w:spacing w:before="85" w:line="288" w:lineRule="auto"/>
              <w:jc w:val="center"/>
              <w:rPr>
                <w:sz w:val="18"/>
                <w:szCs w:val="18"/>
              </w:rPr>
            </w:pPr>
            <w:r w:rsidRPr="00CF3E3D">
              <w:rPr>
                <w:sz w:val="18"/>
                <w:szCs w:val="18"/>
              </w:rPr>
              <w:t>57.6</w:t>
            </w:r>
          </w:p>
        </w:tc>
        <w:tc>
          <w:tcPr>
            <w:cnfStyle w:val="000010000000" w:firstRow="0" w:lastRow="0" w:firstColumn="0" w:lastColumn="0" w:oddVBand="1" w:evenVBand="0" w:oddHBand="0" w:evenHBand="0" w:firstRowFirstColumn="0" w:firstRowLastColumn="0" w:lastRowFirstColumn="0" w:lastRowLastColumn="0"/>
            <w:tcW w:w="755" w:type="pct"/>
          </w:tcPr>
          <w:p w14:paraId="4FC71D6A" w14:textId="77777777" w:rsidR="00A30E61" w:rsidRPr="00CF3E3D" w:rsidRDefault="00A30E61" w:rsidP="007007AC">
            <w:pPr>
              <w:spacing w:before="85" w:line="288" w:lineRule="auto"/>
              <w:jc w:val="center"/>
              <w:rPr>
                <w:sz w:val="18"/>
                <w:szCs w:val="18"/>
              </w:rPr>
            </w:pPr>
            <w:r w:rsidRPr="00CF3E3D">
              <w:rPr>
                <w:sz w:val="18"/>
                <w:szCs w:val="18"/>
              </w:rPr>
              <w:t>55.4</w:t>
            </w:r>
          </w:p>
        </w:tc>
        <w:tc>
          <w:tcPr>
            <w:cnfStyle w:val="000001000000" w:firstRow="0" w:lastRow="0" w:firstColumn="0" w:lastColumn="0" w:oddVBand="0" w:evenVBand="1" w:oddHBand="0" w:evenHBand="0" w:firstRowFirstColumn="0" w:firstRowLastColumn="0" w:lastRowFirstColumn="0" w:lastRowLastColumn="0"/>
            <w:tcW w:w="755" w:type="pct"/>
          </w:tcPr>
          <w:p w14:paraId="24C04B0B" w14:textId="77777777" w:rsidR="00A30E61" w:rsidRPr="00CF3E3D" w:rsidRDefault="00A30E61" w:rsidP="007007AC">
            <w:pPr>
              <w:spacing w:before="85" w:line="288" w:lineRule="auto"/>
              <w:jc w:val="center"/>
              <w:rPr>
                <w:sz w:val="18"/>
                <w:szCs w:val="18"/>
              </w:rPr>
            </w:pPr>
            <w:r w:rsidRPr="00CF3E3D">
              <w:rPr>
                <w:sz w:val="18"/>
                <w:szCs w:val="18"/>
              </w:rPr>
              <w:t>58.0</w:t>
            </w:r>
          </w:p>
        </w:tc>
        <w:tc>
          <w:tcPr>
            <w:cnfStyle w:val="000010000000" w:firstRow="0" w:lastRow="0" w:firstColumn="0" w:lastColumn="0" w:oddVBand="1" w:evenVBand="0" w:oddHBand="0" w:evenHBand="0" w:firstRowFirstColumn="0" w:firstRowLastColumn="0" w:lastRowFirstColumn="0" w:lastRowLastColumn="0"/>
            <w:tcW w:w="755" w:type="pct"/>
          </w:tcPr>
          <w:p w14:paraId="000BAF2E" w14:textId="77777777" w:rsidR="00A30E61" w:rsidRPr="00CF3E3D" w:rsidRDefault="00A30E61" w:rsidP="007007AC">
            <w:pPr>
              <w:spacing w:before="85" w:line="288" w:lineRule="auto"/>
              <w:jc w:val="center"/>
              <w:rPr>
                <w:sz w:val="18"/>
                <w:szCs w:val="18"/>
              </w:rPr>
            </w:pPr>
            <w:r w:rsidRPr="00CF3E3D">
              <w:rPr>
                <w:sz w:val="18"/>
                <w:szCs w:val="18"/>
              </w:rPr>
              <w:t>57.4</w:t>
            </w:r>
          </w:p>
        </w:tc>
      </w:tr>
      <w:tr w:rsidR="00A30E61" w:rsidRPr="00CF3E3D" w14:paraId="1A57CF3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31EEDC1"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New South Wales</w:t>
            </w:r>
          </w:p>
        </w:tc>
        <w:tc>
          <w:tcPr>
            <w:cnfStyle w:val="000001000000" w:firstRow="0" w:lastRow="0" w:firstColumn="0" w:lastColumn="0" w:oddVBand="0" w:evenVBand="1" w:oddHBand="0" w:evenHBand="0" w:firstRowFirstColumn="0" w:firstRowLastColumn="0" w:lastRowFirstColumn="0" w:lastRowLastColumn="0"/>
            <w:tcW w:w="709" w:type="pct"/>
          </w:tcPr>
          <w:p w14:paraId="2493B90A" w14:textId="77777777" w:rsidR="00A30E61" w:rsidRPr="00CF3E3D" w:rsidRDefault="00A30E61" w:rsidP="007007AC">
            <w:pPr>
              <w:spacing w:before="85" w:line="288" w:lineRule="auto"/>
              <w:jc w:val="center"/>
              <w:rPr>
                <w:sz w:val="18"/>
                <w:szCs w:val="18"/>
              </w:rPr>
            </w:pPr>
            <w:r w:rsidRPr="00CF3E3D">
              <w:rPr>
                <w:sz w:val="18"/>
                <w:szCs w:val="18"/>
              </w:rPr>
              <w:t>25.5</w:t>
            </w:r>
          </w:p>
        </w:tc>
        <w:tc>
          <w:tcPr>
            <w:cnfStyle w:val="000010000000" w:firstRow="0" w:lastRow="0" w:firstColumn="0" w:lastColumn="0" w:oddVBand="1" w:evenVBand="0" w:oddHBand="0" w:evenHBand="0" w:firstRowFirstColumn="0" w:firstRowLastColumn="0" w:lastRowFirstColumn="0" w:lastRowLastColumn="0"/>
            <w:tcW w:w="755" w:type="pct"/>
          </w:tcPr>
          <w:p w14:paraId="522E89C0" w14:textId="77777777" w:rsidR="00A30E61" w:rsidRPr="00CF3E3D" w:rsidRDefault="00A30E61" w:rsidP="007007AC">
            <w:pPr>
              <w:spacing w:before="85" w:line="288" w:lineRule="auto"/>
              <w:jc w:val="center"/>
              <w:rPr>
                <w:sz w:val="18"/>
                <w:szCs w:val="18"/>
              </w:rPr>
            </w:pPr>
            <w:r w:rsidRPr="00CF3E3D">
              <w:rPr>
                <w:sz w:val="18"/>
                <w:szCs w:val="18"/>
              </w:rPr>
              <w:t>22.0</w:t>
            </w:r>
          </w:p>
        </w:tc>
        <w:tc>
          <w:tcPr>
            <w:cnfStyle w:val="000001000000" w:firstRow="0" w:lastRow="0" w:firstColumn="0" w:lastColumn="0" w:oddVBand="0" w:evenVBand="1" w:oddHBand="0" w:evenHBand="0" w:firstRowFirstColumn="0" w:firstRowLastColumn="0" w:lastRowFirstColumn="0" w:lastRowLastColumn="0"/>
            <w:tcW w:w="755" w:type="pct"/>
          </w:tcPr>
          <w:p w14:paraId="5E6771C6" w14:textId="77777777" w:rsidR="00A30E61" w:rsidRPr="00CF3E3D" w:rsidRDefault="00A30E61" w:rsidP="007007AC">
            <w:pPr>
              <w:spacing w:before="85" w:line="288" w:lineRule="auto"/>
              <w:jc w:val="center"/>
              <w:rPr>
                <w:sz w:val="18"/>
                <w:szCs w:val="18"/>
              </w:rPr>
            </w:pPr>
            <w:r w:rsidRPr="00CF3E3D">
              <w:rPr>
                <w:sz w:val="18"/>
                <w:szCs w:val="18"/>
              </w:rPr>
              <w:t>27.8</w:t>
            </w:r>
          </w:p>
        </w:tc>
        <w:tc>
          <w:tcPr>
            <w:cnfStyle w:val="000010000000" w:firstRow="0" w:lastRow="0" w:firstColumn="0" w:lastColumn="0" w:oddVBand="1" w:evenVBand="0" w:oddHBand="0" w:evenHBand="0" w:firstRowFirstColumn="0" w:firstRowLastColumn="0" w:lastRowFirstColumn="0" w:lastRowLastColumn="0"/>
            <w:tcW w:w="755" w:type="pct"/>
          </w:tcPr>
          <w:p w14:paraId="4184AFC4" w14:textId="77777777" w:rsidR="00A30E61" w:rsidRPr="00CF3E3D" w:rsidRDefault="00A30E61" w:rsidP="007007AC">
            <w:pPr>
              <w:spacing w:before="85" w:line="288" w:lineRule="auto"/>
              <w:jc w:val="center"/>
              <w:rPr>
                <w:sz w:val="18"/>
                <w:szCs w:val="18"/>
              </w:rPr>
            </w:pPr>
            <w:r w:rsidRPr="00CF3E3D">
              <w:rPr>
                <w:sz w:val="18"/>
                <w:szCs w:val="18"/>
              </w:rPr>
              <w:t>25.7</w:t>
            </w:r>
          </w:p>
        </w:tc>
      </w:tr>
      <w:tr w:rsidR="00A30E61" w:rsidRPr="00CF3E3D" w14:paraId="0B4D6BC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5B44E3D"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Newcastle</w:t>
            </w:r>
          </w:p>
        </w:tc>
        <w:tc>
          <w:tcPr>
            <w:cnfStyle w:val="000001000000" w:firstRow="0" w:lastRow="0" w:firstColumn="0" w:lastColumn="0" w:oddVBand="0" w:evenVBand="1" w:oddHBand="0" w:evenHBand="0" w:firstRowFirstColumn="0" w:firstRowLastColumn="0" w:lastRowFirstColumn="0" w:lastRowLastColumn="0"/>
            <w:tcW w:w="709" w:type="pct"/>
          </w:tcPr>
          <w:p w14:paraId="612A3FEB" w14:textId="77777777" w:rsidR="00A30E61" w:rsidRPr="00CF3E3D" w:rsidRDefault="00A30E61" w:rsidP="007007AC">
            <w:pPr>
              <w:spacing w:before="85" w:line="288" w:lineRule="auto"/>
              <w:jc w:val="center"/>
              <w:rPr>
                <w:sz w:val="18"/>
                <w:szCs w:val="18"/>
              </w:rPr>
            </w:pPr>
            <w:r w:rsidRPr="00CF3E3D">
              <w:rPr>
                <w:sz w:val="18"/>
                <w:szCs w:val="18"/>
              </w:rPr>
              <w:t>38.4</w:t>
            </w:r>
          </w:p>
        </w:tc>
        <w:tc>
          <w:tcPr>
            <w:cnfStyle w:val="000010000000" w:firstRow="0" w:lastRow="0" w:firstColumn="0" w:lastColumn="0" w:oddVBand="1" w:evenVBand="0" w:oddHBand="0" w:evenHBand="0" w:firstRowFirstColumn="0" w:firstRowLastColumn="0" w:lastRowFirstColumn="0" w:lastRowLastColumn="0"/>
            <w:tcW w:w="755" w:type="pct"/>
          </w:tcPr>
          <w:p w14:paraId="2CE2F855"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1A5DA62E" w14:textId="77777777" w:rsidR="00A30E61" w:rsidRPr="00CF3E3D" w:rsidRDefault="00A30E61" w:rsidP="007007AC">
            <w:pPr>
              <w:spacing w:before="85" w:line="288" w:lineRule="auto"/>
              <w:jc w:val="center"/>
              <w:rPr>
                <w:sz w:val="18"/>
                <w:szCs w:val="18"/>
              </w:rPr>
            </w:pPr>
            <w:r w:rsidRPr="00CF3E3D">
              <w:rPr>
                <w:sz w:val="18"/>
                <w:szCs w:val="18"/>
              </w:rPr>
              <w:t>36.3</w:t>
            </w:r>
          </w:p>
        </w:tc>
        <w:tc>
          <w:tcPr>
            <w:cnfStyle w:val="000010000000" w:firstRow="0" w:lastRow="0" w:firstColumn="0" w:lastColumn="0" w:oddVBand="1" w:evenVBand="0" w:oddHBand="0" w:evenHBand="0" w:firstRowFirstColumn="0" w:firstRowLastColumn="0" w:lastRowFirstColumn="0" w:lastRowLastColumn="0"/>
            <w:tcW w:w="755" w:type="pct"/>
          </w:tcPr>
          <w:p w14:paraId="15BCE943" w14:textId="77777777" w:rsidR="00A30E61" w:rsidRPr="00CF3E3D" w:rsidRDefault="00A30E61" w:rsidP="007007AC">
            <w:pPr>
              <w:spacing w:before="85" w:line="288" w:lineRule="auto"/>
              <w:jc w:val="center"/>
              <w:rPr>
                <w:sz w:val="18"/>
                <w:szCs w:val="18"/>
              </w:rPr>
            </w:pPr>
            <w:r w:rsidRPr="00CF3E3D">
              <w:rPr>
                <w:sz w:val="18"/>
                <w:szCs w:val="18"/>
              </w:rPr>
              <w:t>36.7</w:t>
            </w:r>
          </w:p>
        </w:tc>
      </w:tr>
      <w:tr w:rsidR="00A30E61" w:rsidRPr="00CF3E3D" w14:paraId="3AFA915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42DAE14"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Southern Queensland</w:t>
            </w:r>
          </w:p>
        </w:tc>
        <w:tc>
          <w:tcPr>
            <w:cnfStyle w:val="000001000000" w:firstRow="0" w:lastRow="0" w:firstColumn="0" w:lastColumn="0" w:oddVBand="0" w:evenVBand="1" w:oddHBand="0" w:evenHBand="0" w:firstRowFirstColumn="0" w:firstRowLastColumn="0" w:lastRowFirstColumn="0" w:lastRowLastColumn="0"/>
            <w:tcW w:w="709" w:type="pct"/>
          </w:tcPr>
          <w:p w14:paraId="577C12DA" w14:textId="77777777" w:rsidR="00A30E61" w:rsidRPr="00CF3E3D" w:rsidRDefault="00A30E61" w:rsidP="007007AC">
            <w:pPr>
              <w:spacing w:before="85" w:line="288" w:lineRule="auto"/>
              <w:jc w:val="center"/>
              <w:rPr>
                <w:sz w:val="18"/>
                <w:szCs w:val="18"/>
              </w:rPr>
            </w:pPr>
            <w:r w:rsidRPr="00CF3E3D">
              <w:rPr>
                <w:sz w:val="18"/>
                <w:szCs w:val="18"/>
              </w:rPr>
              <w:t>46.0</w:t>
            </w:r>
          </w:p>
        </w:tc>
        <w:tc>
          <w:tcPr>
            <w:cnfStyle w:val="000010000000" w:firstRow="0" w:lastRow="0" w:firstColumn="0" w:lastColumn="0" w:oddVBand="1" w:evenVBand="0" w:oddHBand="0" w:evenHBand="0" w:firstRowFirstColumn="0" w:firstRowLastColumn="0" w:lastRowFirstColumn="0" w:lastRowLastColumn="0"/>
            <w:tcW w:w="755" w:type="pct"/>
          </w:tcPr>
          <w:p w14:paraId="4DEC0A03"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349069A" w14:textId="77777777" w:rsidR="00A30E61" w:rsidRPr="00CF3E3D" w:rsidRDefault="00A30E61" w:rsidP="007007AC">
            <w:pPr>
              <w:spacing w:before="85" w:line="288" w:lineRule="auto"/>
              <w:jc w:val="center"/>
              <w:rPr>
                <w:sz w:val="18"/>
                <w:szCs w:val="18"/>
              </w:rPr>
            </w:pPr>
            <w:r w:rsidRPr="00CF3E3D">
              <w:rPr>
                <w:sz w:val="18"/>
                <w:szCs w:val="18"/>
              </w:rPr>
              <w:t>53.5</w:t>
            </w:r>
          </w:p>
        </w:tc>
        <w:tc>
          <w:tcPr>
            <w:cnfStyle w:val="000010000000" w:firstRow="0" w:lastRow="0" w:firstColumn="0" w:lastColumn="0" w:oddVBand="1" w:evenVBand="0" w:oddHBand="0" w:evenHBand="0" w:firstRowFirstColumn="0" w:firstRowLastColumn="0" w:lastRowFirstColumn="0" w:lastRowLastColumn="0"/>
            <w:tcW w:w="755" w:type="pct"/>
          </w:tcPr>
          <w:p w14:paraId="538F4944" w14:textId="77777777" w:rsidR="00A30E61" w:rsidRPr="00CF3E3D" w:rsidRDefault="00A30E61" w:rsidP="007007AC">
            <w:pPr>
              <w:spacing w:before="85" w:line="288" w:lineRule="auto"/>
              <w:jc w:val="center"/>
              <w:rPr>
                <w:sz w:val="18"/>
                <w:szCs w:val="18"/>
              </w:rPr>
            </w:pPr>
            <w:r w:rsidRPr="00CF3E3D">
              <w:rPr>
                <w:sz w:val="18"/>
                <w:szCs w:val="18"/>
              </w:rPr>
              <w:t>51.0</w:t>
            </w:r>
          </w:p>
        </w:tc>
      </w:tr>
      <w:tr w:rsidR="00A30E61" w:rsidRPr="00CF3E3D" w14:paraId="641500A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9A69611"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Tasmania</w:t>
            </w:r>
          </w:p>
        </w:tc>
        <w:tc>
          <w:tcPr>
            <w:cnfStyle w:val="000001000000" w:firstRow="0" w:lastRow="0" w:firstColumn="0" w:lastColumn="0" w:oddVBand="0" w:evenVBand="1" w:oddHBand="0" w:evenHBand="0" w:firstRowFirstColumn="0" w:firstRowLastColumn="0" w:lastRowFirstColumn="0" w:lastRowLastColumn="0"/>
            <w:tcW w:w="709" w:type="pct"/>
          </w:tcPr>
          <w:p w14:paraId="46D7CD63" w14:textId="77777777" w:rsidR="00A30E61" w:rsidRPr="00CF3E3D" w:rsidRDefault="00A30E61" w:rsidP="007007AC">
            <w:pPr>
              <w:spacing w:before="85" w:line="288" w:lineRule="auto"/>
              <w:jc w:val="center"/>
              <w:rPr>
                <w:sz w:val="18"/>
                <w:szCs w:val="18"/>
              </w:rPr>
            </w:pPr>
            <w:r w:rsidRPr="00CF3E3D">
              <w:rPr>
                <w:sz w:val="18"/>
                <w:szCs w:val="18"/>
              </w:rPr>
              <w:t>40.2</w:t>
            </w:r>
          </w:p>
        </w:tc>
        <w:tc>
          <w:tcPr>
            <w:cnfStyle w:val="000010000000" w:firstRow="0" w:lastRow="0" w:firstColumn="0" w:lastColumn="0" w:oddVBand="1" w:evenVBand="0" w:oddHBand="0" w:evenHBand="0" w:firstRowFirstColumn="0" w:firstRowLastColumn="0" w:lastRowFirstColumn="0" w:lastRowLastColumn="0"/>
            <w:tcW w:w="755" w:type="pct"/>
          </w:tcPr>
          <w:p w14:paraId="5FEF262E" w14:textId="77777777" w:rsidR="00A30E61" w:rsidRPr="00CF3E3D" w:rsidRDefault="00A30E61" w:rsidP="007007AC">
            <w:pPr>
              <w:spacing w:before="85" w:line="288" w:lineRule="auto"/>
              <w:jc w:val="center"/>
              <w:rPr>
                <w:sz w:val="18"/>
                <w:szCs w:val="18"/>
              </w:rPr>
            </w:pPr>
            <w:r w:rsidRPr="00CF3E3D">
              <w:rPr>
                <w:sz w:val="18"/>
                <w:szCs w:val="18"/>
              </w:rPr>
              <w:t>52.7</w:t>
            </w:r>
          </w:p>
        </w:tc>
        <w:tc>
          <w:tcPr>
            <w:cnfStyle w:val="000001000000" w:firstRow="0" w:lastRow="0" w:firstColumn="0" w:lastColumn="0" w:oddVBand="0" w:evenVBand="1" w:oddHBand="0" w:evenHBand="0" w:firstRowFirstColumn="0" w:firstRowLastColumn="0" w:lastRowFirstColumn="0" w:lastRowLastColumn="0"/>
            <w:tcW w:w="755" w:type="pct"/>
          </w:tcPr>
          <w:p w14:paraId="74989D08" w14:textId="77777777" w:rsidR="00A30E61" w:rsidRPr="00CF3E3D" w:rsidRDefault="00A30E61" w:rsidP="007007AC">
            <w:pPr>
              <w:spacing w:before="85" w:line="288" w:lineRule="auto"/>
              <w:jc w:val="center"/>
              <w:rPr>
                <w:sz w:val="18"/>
                <w:szCs w:val="18"/>
              </w:rPr>
            </w:pPr>
            <w:r w:rsidRPr="00CF3E3D">
              <w:rPr>
                <w:sz w:val="18"/>
                <w:szCs w:val="18"/>
              </w:rPr>
              <w:t>43.6</w:t>
            </w:r>
          </w:p>
        </w:tc>
        <w:tc>
          <w:tcPr>
            <w:cnfStyle w:val="000010000000" w:firstRow="0" w:lastRow="0" w:firstColumn="0" w:lastColumn="0" w:oddVBand="1" w:evenVBand="0" w:oddHBand="0" w:evenHBand="0" w:firstRowFirstColumn="0" w:firstRowLastColumn="0" w:lastRowFirstColumn="0" w:lastRowLastColumn="0"/>
            <w:tcW w:w="755" w:type="pct"/>
          </w:tcPr>
          <w:p w14:paraId="1DCD3272" w14:textId="77777777" w:rsidR="00A30E61" w:rsidRPr="00CF3E3D" w:rsidRDefault="00A30E61" w:rsidP="007007AC">
            <w:pPr>
              <w:spacing w:before="85" w:line="288" w:lineRule="auto"/>
              <w:jc w:val="center"/>
              <w:rPr>
                <w:sz w:val="18"/>
                <w:szCs w:val="18"/>
              </w:rPr>
            </w:pPr>
            <w:r w:rsidRPr="00CF3E3D">
              <w:rPr>
                <w:sz w:val="18"/>
                <w:szCs w:val="18"/>
              </w:rPr>
              <w:t>42.8</w:t>
            </w:r>
          </w:p>
        </w:tc>
      </w:tr>
      <w:tr w:rsidR="00A30E61" w:rsidRPr="00CF3E3D" w14:paraId="4E961CE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4C7CEB5"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Technology Sydney</w:t>
            </w:r>
          </w:p>
        </w:tc>
        <w:tc>
          <w:tcPr>
            <w:cnfStyle w:val="000001000000" w:firstRow="0" w:lastRow="0" w:firstColumn="0" w:lastColumn="0" w:oddVBand="0" w:evenVBand="1" w:oddHBand="0" w:evenHBand="0" w:firstRowFirstColumn="0" w:firstRowLastColumn="0" w:lastRowFirstColumn="0" w:lastRowLastColumn="0"/>
            <w:tcW w:w="709" w:type="pct"/>
          </w:tcPr>
          <w:p w14:paraId="5051B1C5" w14:textId="77777777" w:rsidR="00A30E61" w:rsidRPr="00CF3E3D" w:rsidRDefault="00A30E61" w:rsidP="007007AC">
            <w:pPr>
              <w:spacing w:before="85" w:line="288" w:lineRule="auto"/>
              <w:jc w:val="center"/>
              <w:rPr>
                <w:sz w:val="18"/>
                <w:szCs w:val="18"/>
              </w:rPr>
            </w:pPr>
            <w:r w:rsidRPr="00CF3E3D">
              <w:rPr>
                <w:sz w:val="18"/>
                <w:szCs w:val="18"/>
              </w:rPr>
              <w:t>29.4</w:t>
            </w:r>
          </w:p>
        </w:tc>
        <w:tc>
          <w:tcPr>
            <w:cnfStyle w:val="000010000000" w:firstRow="0" w:lastRow="0" w:firstColumn="0" w:lastColumn="0" w:oddVBand="1" w:evenVBand="0" w:oddHBand="0" w:evenHBand="0" w:firstRowFirstColumn="0" w:firstRowLastColumn="0" w:lastRowFirstColumn="0" w:lastRowLastColumn="0"/>
            <w:tcW w:w="755" w:type="pct"/>
          </w:tcPr>
          <w:p w14:paraId="691DBF5C" w14:textId="77777777" w:rsidR="00A30E61" w:rsidRPr="00CF3E3D" w:rsidRDefault="00A30E61" w:rsidP="007007AC">
            <w:pPr>
              <w:spacing w:before="85" w:line="288" w:lineRule="auto"/>
              <w:jc w:val="center"/>
              <w:rPr>
                <w:sz w:val="18"/>
                <w:szCs w:val="18"/>
              </w:rPr>
            </w:pPr>
            <w:r w:rsidRPr="00CF3E3D">
              <w:rPr>
                <w:sz w:val="18"/>
                <w:szCs w:val="18"/>
              </w:rPr>
              <w:t>38.1</w:t>
            </w:r>
          </w:p>
        </w:tc>
        <w:tc>
          <w:tcPr>
            <w:cnfStyle w:val="000001000000" w:firstRow="0" w:lastRow="0" w:firstColumn="0" w:lastColumn="0" w:oddVBand="0" w:evenVBand="1" w:oddHBand="0" w:evenHBand="0" w:firstRowFirstColumn="0" w:firstRowLastColumn="0" w:lastRowFirstColumn="0" w:lastRowLastColumn="0"/>
            <w:tcW w:w="755" w:type="pct"/>
          </w:tcPr>
          <w:p w14:paraId="354322BC" w14:textId="77777777" w:rsidR="00A30E61" w:rsidRPr="00CF3E3D" w:rsidRDefault="00A30E61" w:rsidP="007007AC">
            <w:pPr>
              <w:spacing w:before="85" w:line="288" w:lineRule="auto"/>
              <w:jc w:val="center"/>
              <w:rPr>
                <w:sz w:val="18"/>
                <w:szCs w:val="18"/>
              </w:rPr>
            </w:pPr>
            <w:r w:rsidRPr="00CF3E3D">
              <w:rPr>
                <w:sz w:val="18"/>
                <w:szCs w:val="18"/>
              </w:rPr>
              <w:t>35.3</w:t>
            </w:r>
          </w:p>
        </w:tc>
        <w:tc>
          <w:tcPr>
            <w:cnfStyle w:val="000010000000" w:firstRow="0" w:lastRow="0" w:firstColumn="0" w:lastColumn="0" w:oddVBand="1" w:evenVBand="0" w:oddHBand="0" w:evenHBand="0" w:firstRowFirstColumn="0" w:firstRowLastColumn="0" w:lastRowFirstColumn="0" w:lastRowLastColumn="0"/>
            <w:tcW w:w="755" w:type="pct"/>
          </w:tcPr>
          <w:p w14:paraId="6B9858DE" w14:textId="77777777" w:rsidR="00A30E61" w:rsidRPr="00CF3E3D" w:rsidRDefault="00A30E61" w:rsidP="007007AC">
            <w:pPr>
              <w:spacing w:before="85" w:line="288" w:lineRule="auto"/>
              <w:jc w:val="center"/>
              <w:rPr>
                <w:sz w:val="18"/>
                <w:szCs w:val="18"/>
              </w:rPr>
            </w:pPr>
            <w:r w:rsidRPr="00CF3E3D">
              <w:rPr>
                <w:sz w:val="18"/>
                <w:szCs w:val="18"/>
              </w:rPr>
              <w:t>33.1</w:t>
            </w:r>
          </w:p>
        </w:tc>
      </w:tr>
      <w:tr w:rsidR="00A30E61" w:rsidRPr="00CF3E3D" w14:paraId="37109AA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FE0C008"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the Sunshine Coast</w:t>
            </w:r>
          </w:p>
        </w:tc>
        <w:tc>
          <w:tcPr>
            <w:cnfStyle w:val="000001000000" w:firstRow="0" w:lastRow="0" w:firstColumn="0" w:lastColumn="0" w:oddVBand="0" w:evenVBand="1" w:oddHBand="0" w:evenHBand="0" w:firstRowFirstColumn="0" w:firstRowLastColumn="0" w:lastRowFirstColumn="0" w:lastRowLastColumn="0"/>
            <w:tcW w:w="709" w:type="pct"/>
          </w:tcPr>
          <w:p w14:paraId="1C33F07D" w14:textId="77777777" w:rsidR="00A30E61" w:rsidRPr="00CF3E3D" w:rsidRDefault="00A30E61" w:rsidP="007007AC">
            <w:pPr>
              <w:spacing w:before="85" w:line="288" w:lineRule="auto"/>
              <w:jc w:val="center"/>
              <w:rPr>
                <w:sz w:val="18"/>
                <w:szCs w:val="18"/>
              </w:rPr>
            </w:pPr>
            <w:r w:rsidRPr="00CF3E3D">
              <w:rPr>
                <w:sz w:val="18"/>
                <w:szCs w:val="18"/>
              </w:rPr>
              <w:t>52.1</w:t>
            </w:r>
          </w:p>
        </w:tc>
        <w:tc>
          <w:tcPr>
            <w:cnfStyle w:val="000010000000" w:firstRow="0" w:lastRow="0" w:firstColumn="0" w:lastColumn="0" w:oddVBand="1" w:evenVBand="0" w:oddHBand="0" w:evenHBand="0" w:firstRowFirstColumn="0" w:firstRowLastColumn="0" w:lastRowFirstColumn="0" w:lastRowLastColumn="0"/>
            <w:tcW w:w="755" w:type="pct"/>
          </w:tcPr>
          <w:p w14:paraId="0F9DAF60" w14:textId="77777777" w:rsidR="00A30E61" w:rsidRPr="00CF3E3D" w:rsidRDefault="00A30E61" w:rsidP="007007AC">
            <w:pPr>
              <w:spacing w:before="85" w:line="288" w:lineRule="auto"/>
              <w:jc w:val="center"/>
              <w:rPr>
                <w:sz w:val="18"/>
                <w:szCs w:val="18"/>
              </w:rPr>
            </w:pPr>
            <w:r w:rsidRPr="00CF3E3D">
              <w:rPr>
                <w:sz w:val="18"/>
                <w:szCs w:val="18"/>
              </w:rPr>
              <w:t>54.6</w:t>
            </w:r>
          </w:p>
        </w:tc>
        <w:tc>
          <w:tcPr>
            <w:cnfStyle w:val="000001000000" w:firstRow="0" w:lastRow="0" w:firstColumn="0" w:lastColumn="0" w:oddVBand="0" w:evenVBand="1" w:oddHBand="0" w:evenHBand="0" w:firstRowFirstColumn="0" w:firstRowLastColumn="0" w:lastRowFirstColumn="0" w:lastRowLastColumn="0"/>
            <w:tcW w:w="755" w:type="pct"/>
          </w:tcPr>
          <w:p w14:paraId="2F5D9FB0" w14:textId="77777777" w:rsidR="00A30E61" w:rsidRPr="00CF3E3D" w:rsidRDefault="00A30E61" w:rsidP="007007AC">
            <w:pPr>
              <w:spacing w:before="85" w:line="288" w:lineRule="auto"/>
              <w:jc w:val="center"/>
              <w:rPr>
                <w:sz w:val="18"/>
                <w:szCs w:val="18"/>
              </w:rPr>
            </w:pPr>
            <w:r w:rsidRPr="00CF3E3D">
              <w:rPr>
                <w:sz w:val="18"/>
                <w:szCs w:val="18"/>
              </w:rPr>
              <w:t>48.5</w:t>
            </w:r>
          </w:p>
        </w:tc>
        <w:tc>
          <w:tcPr>
            <w:cnfStyle w:val="000010000000" w:firstRow="0" w:lastRow="0" w:firstColumn="0" w:lastColumn="0" w:oddVBand="1" w:evenVBand="0" w:oddHBand="0" w:evenHBand="0" w:firstRowFirstColumn="0" w:firstRowLastColumn="0" w:lastRowFirstColumn="0" w:lastRowLastColumn="0"/>
            <w:tcW w:w="755" w:type="pct"/>
          </w:tcPr>
          <w:p w14:paraId="35C3E40D" w14:textId="77777777" w:rsidR="00A30E61" w:rsidRPr="00CF3E3D" w:rsidRDefault="00A30E61" w:rsidP="007007AC">
            <w:pPr>
              <w:spacing w:before="85" w:line="288" w:lineRule="auto"/>
              <w:jc w:val="center"/>
              <w:rPr>
                <w:sz w:val="18"/>
                <w:szCs w:val="18"/>
              </w:rPr>
            </w:pPr>
            <w:r w:rsidRPr="00CF3E3D">
              <w:rPr>
                <w:sz w:val="18"/>
                <w:szCs w:val="18"/>
              </w:rPr>
              <w:t>50.2</w:t>
            </w:r>
          </w:p>
        </w:tc>
      </w:tr>
      <w:tr w:rsidR="00A30E61" w:rsidRPr="00CF3E3D" w14:paraId="2C99B3D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3097034" w14:textId="77777777" w:rsidR="00A30E61" w:rsidRPr="005F1DB4" w:rsidRDefault="00A30E61" w:rsidP="007007AC">
            <w:pPr>
              <w:spacing w:before="85" w:line="288" w:lineRule="auto"/>
              <w:rPr>
                <w:b/>
                <w:bCs/>
                <w:sz w:val="18"/>
                <w:szCs w:val="18"/>
                <w:lang w:eastAsia="en-AU"/>
              </w:rPr>
            </w:pPr>
            <w:r w:rsidRPr="005F1DB4">
              <w:rPr>
                <w:b/>
                <w:bCs/>
                <w:sz w:val="18"/>
                <w:szCs w:val="18"/>
              </w:rPr>
              <w:t>University of Wollongong</w:t>
            </w:r>
          </w:p>
        </w:tc>
        <w:tc>
          <w:tcPr>
            <w:cnfStyle w:val="000001000000" w:firstRow="0" w:lastRow="0" w:firstColumn="0" w:lastColumn="0" w:oddVBand="0" w:evenVBand="1" w:oddHBand="0" w:evenHBand="0" w:firstRowFirstColumn="0" w:firstRowLastColumn="0" w:lastRowFirstColumn="0" w:lastRowLastColumn="0"/>
            <w:tcW w:w="709" w:type="pct"/>
          </w:tcPr>
          <w:p w14:paraId="6C224092" w14:textId="77777777" w:rsidR="00A30E61" w:rsidRPr="00CF3E3D" w:rsidRDefault="00A30E61" w:rsidP="007007AC">
            <w:pPr>
              <w:spacing w:before="85" w:line="288" w:lineRule="auto"/>
              <w:jc w:val="center"/>
              <w:rPr>
                <w:sz w:val="18"/>
                <w:szCs w:val="18"/>
              </w:rPr>
            </w:pPr>
            <w:r w:rsidRPr="00CF3E3D">
              <w:rPr>
                <w:sz w:val="18"/>
                <w:szCs w:val="18"/>
              </w:rPr>
              <w:t>36.8</w:t>
            </w:r>
          </w:p>
        </w:tc>
        <w:tc>
          <w:tcPr>
            <w:cnfStyle w:val="000010000000" w:firstRow="0" w:lastRow="0" w:firstColumn="0" w:lastColumn="0" w:oddVBand="1" w:evenVBand="0" w:oddHBand="0" w:evenHBand="0" w:firstRowFirstColumn="0" w:firstRowLastColumn="0" w:lastRowFirstColumn="0" w:lastRowLastColumn="0"/>
            <w:tcW w:w="755" w:type="pct"/>
          </w:tcPr>
          <w:p w14:paraId="79141E64"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13DEDE30" w14:textId="77777777" w:rsidR="00A30E61" w:rsidRPr="00CF3E3D" w:rsidRDefault="00A30E61" w:rsidP="007007AC">
            <w:pPr>
              <w:spacing w:before="85" w:line="288" w:lineRule="auto"/>
              <w:jc w:val="center"/>
              <w:rPr>
                <w:sz w:val="18"/>
                <w:szCs w:val="18"/>
              </w:rPr>
            </w:pPr>
            <w:r w:rsidRPr="00CF3E3D">
              <w:rPr>
                <w:sz w:val="18"/>
                <w:szCs w:val="18"/>
              </w:rPr>
              <w:t>34.2</w:t>
            </w:r>
          </w:p>
        </w:tc>
        <w:tc>
          <w:tcPr>
            <w:cnfStyle w:val="000010000000" w:firstRow="0" w:lastRow="0" w:firstColumn="0" w:lastColumn="0" w:oddVBand="1" w:evenVBand="0" w:oddHBand="0" w:evenHBand="0" w:firstRowFirstColumn="0" w:firstRowLastColumn="0" w:lastRowFirstColumn="0" w:lastRowLastColumn="0"/>
            <w:tcW w:w="755" w:type="pct"/>
          </w:tcPr>
          <w:p w14:paraId="67FE94A7" w14:textId="77777777" w:rsidR="00A30E61" w:rsidRPr="00CF3E3D" w:rsidRDefault="00A30E61" w:rsidP="007007AC">
            <w:pPr>
              <w:spacing w:before="85" w:line="288" w:lineRule="auto"/>
              <w:jc w:val="center"/>
              <w:rPr>
                <w:sz w:val="18"/>
                <w:szCs w:val="18"/>
              </w:rPr>
            </w:pPr>
            <w:r w:rsidRPr="00CF3E3D">
              <w:rPr>
                <w:sz w:val="18"/>
                <w:szCs w:val="18"/>
              </w:rPr>
              <w:t>34.9</w:t>
            </w:r>
          </w:p>
        </w:tc>
      </w:tr>
      <w:tr w:rsidR="00A30E61" w:rsidRPr="00CF3E3D" w14:paraId="7BA5989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F962664" w14:textId="77777777" w:rsidR="00A30E61" w:rsidRPr="005F1DB4" w:rsidRDefault="00A30E61" w:rsidP="007007AC">
            <w:pPr>
              <w:spacing w:before="85" w:line="288" w:lineRule="auto"/>
              <w:rPr>
                <w:b/>
                <w:bCs/>
                <w:sz w:val="18"/>
                <w:szCs w:val="18"/>
                <w:lang w:eastAsia="en-AU"/>
              </w:rPr>
            </w:pPr>
            <w:r w:rsidRPr="005F1DB4">
              <w:rPr>
                <w:b/>
                <w:bCs/>
                <w:sz w:val="18"/>
                <w:szCs w:val="18"/>
              </w:rPr>
              <w:t>Victoria University</w:t>
            </w:r>
          </w:p>
        </w:tc>
        <w:tc>
          <w:tcPr>
            <w:cnfStyle w:val="000001000000" w:firstRow="0" w:lastRow="0" w:firstColumn="0" w:lastColumn="0" w:oddVBand="0" w:evenVBand="1" w:oddHBand="0" w:evenHBand="0" w:firstRowFirstColumn="0" w:firstRowLastColumn="0" w:lastRowFirstColumn="0" w:lastRowLastColumn="0"/>
            <w:tcW w:w="709" w:type="pct"/>
          </w:tcPr>
          <w:p w14:paraId="5E4B7C87" w14:textId="77777777" w:rsidR="00A30E61" w:rsidRPr="00CF3E3D" w:rsidRDefault="00A30E61" w:rsidP="007007AC">
            <w:pPr>
              <w:spacing w:before="85" w:line="288" w:lineRule="auto"/>
              <w:jc w:val="center"/>
              <w:rPr>
                <w:sz w:val="18"/>
                <w:szCs w:val="18"/>
              </w:rPr>
            </w:pPr>
            <w:r w:rsidRPr="00CF3E3D">
              <w:rPr>
                <w:sz w:val="18"/>
                <w:szCs w:val="18"/>
              </w:rPr>
              <w:t>41.0</w:t>
            </w:r>
          </w:p>
        </w:tc>
        <w:tc>
          <w:tcPr>
            <w:cnfStyle w:val="000010000000" w:firstRow="0" w:lastRow="0" w:firstColumn="0" w:lastColumn="0" w:oddVBand="1" w:evenVBand="0" w:oddHBand="0" w:evenHBand="0" w:firstRowFirstColumn="0" w:firstRowLastColumn="0" w:lastRowFirstColumn="0" w:lastRowLastColumn="0"/>
            <w:tcW w:w="755" w:type="pct"/>
          </w:tcPr>
          <w:p w14:paraId="10F53BB6" w14:textId="77777777" w:rsidR="00A30E61" w:rsidRPr="00CF3E3D" w:rsidRDefault="00A30E61" w:rsidP="007007AC">
            <w:pPr>
              <w:spacing w:before="85" w:line="288" w:lineRule="auto"/>
              <w:jc w:val="center"/>
              <w:rPr>
                <w:sz w:val="18"/>
                <w:szCs w:val="18"/>
              </w:rPr>
            </w:pPr>
            <w:r w:rsidRPr="00CF3E3D">
              <w:rPr>
                <w:sz w:val="18"/>
                <w:szCs w:val="18"/>
              </w:rPr>
              <w:t>45.5</w:t>
            </w:r>
          </w:p>
        </w:tc>
        <w:tc>
          <w:tcPr>
            <w:cnfStyle w:val="000001000000" w:firstRow="0" w:lastRow="0" w:firstColumn="0" w:lastColumn="0" w:oddVBand="0" w:evenVBand="1" w:oddHBand="0" w:evenHBand="0" w:firstRowFirstColumn="0" w:firstRowLastColumn="0" w:lastRowFirstColumn="0" w:lastRowLastColumn="0"/>
            <w:tcW w:w="755" w:type="pct"/>
          </w:tcPr>
          <w:p w14:paraId="2B00617A" w14:textId="77777777" w:rsidR="00A30E61" w:rsidRPr="00CF3E3D" w:rsidRDefault="00A30E61" w:rsidP="007007AC">
            <w:pPr>
              <w:spacing w:before="85" w:line="288" w:lineRule="auto"/>
              <w:jc w:val="center"/>
              <w:rPr>
                <w:sz w:val="18"/>
                <w:szCs w:val="18"/>
              </w:rPr>
            </w:pPr>
            <w:r w:rsidRPr="00CF3E3D">
              <w:rPr>
                <w:sz w:val="18"/>
                <w:szCs w:val="18"/>
              </w:rPr>
              <w:t>41.1</w:t>
            </w:r>
          </w:p>
        </w:tc>
        <w:tc>
          <w:tcPr>
            <w:cnfStyle w:val="000010000000" w:firstRow="0" w:lastRow="0" w:firstColumn="0" w:lastColumn="0" w:oddVBand="1" w:evenVBand="0" w:oddHBand="0" w:evenHBand="0" w:firstRowFirstColumn="0" w:firstRowLastColumn="0" w:lastRowFirstColumn="0" w:lastRowLastColumn="0"/>
            <w:tcW w:w="755" w:type="pct"/>
          </w:tcPr>
          <w:p w14:paraId="48A84D2D" w14:textId="77777777" w:rsidR="00A30E61" w:rsidRPr="00CF3E3D" w:rsidRDefault="00A30E61" w:rsidP="007007AC">
            <w:pPr>
              <w:spacing w:before="85" w:line="288" w:lineRule="auto"/>
              <w:jc w:val="center"/>
              <w:rPr>
                <w:sz w:val="18"/>
                <w:szCs w:val="18"/>
              </w:rPr>
            </w:pPr>
            <w:r w:rsidRPr="00CF3E3D">
              <w:rPr>
                <w:sz w:val="18"/>
                <w:szCs w:val="18"/>
              </w:rPr>
              <w:t>41.5</w:t>
            </w:r>
          </w:p>
        </w:tc>
      </w:tr>
      <w:tr w:rsidR="00A30E61" w:rsidRPr="00CF3E3D" w14:paraId="128C5CB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ADC434F" w14:textId="77777777" w:rsidR="00A30E61" w:rsidRPr="005F1DB4" w:rsidRDefault="00A30E61" w:rsidP="007007AC">
            <w:pPr>
              <w:spacing w:before="85" w:line="288" w:lineRule="auto"/>
              <w:rPr>
                <w:b/>
                <w:bCs/>
                <w:sz w:val="18"/>
                <w:szCs w:val="18"/>
                <w:lang w:eastAsia="en-AU"/>
              </w:rPr>
            </w:pPr>
            <w:r w:rsidRPr="005F1DB4">
              <w:rPr>
                <w:b/>
                <w:bCs/>
                <w:sz w:val="18"/>
                <w:szCs w:val="18"/>
              </w:rPr>
              <w:t>Western Sydney University</w:t>
            </w:r>
          </w:p>
        </w:tc>
        <w:tc>
          <w:tcPr>
            <w:cnfStyle w:val="000001000000" w:firstRow="0" w:lastRow="0" w:firstColumn="0" w:lastColumn="0" w:oddVBand="0" w:evenVBand="1" w:oddHBand="0" w:evenHBand="0" w:firstRowFirstColumn="0" w:firstRowLastColumn="0" w:lastRowFirstColumn="0" w:lastRowLastColumn="0"/>
            <w:tcW w:w="709" w:type="pct"/>
          </w:tcPr>
          <w:p w14:paraId="0F0EEED1" w14:textId="77777777" w:rsidR="00A30E61" w:rsidRPr="00CF3E3D" w:rsidRDefault="00A30E61" w:rsidP="007007AC">
            <w:pPr>
              <w:spacing w:before="85" w:line="288" w:lineRule="auto"/>
              <w:jc w:val="center"/>
              <w:rPr>
                <w:sz w:val="18"/>
                <w:szCs w:val="18"/>
              </w:rPr>
            </w:pPr>
            <w:r w:rsidRPr="00CF3E3D">
              <w:rPr>
                <w:sz w:val="18"/>
                <w:szCs w:val="18"/>
              </w:rPr>
              <w:t>37.1</w:t>
            </w:r>
          </w:p>
        </w:tc>
        <w:tc>
          <w:tcPr>
            <w:cnfStyle w:val="000010000000" w:firstRow="0" w:lastRow="0" w:firstColumn="0" w:lastColumn="0" w:oddVBand="1" w:evenVBand="0" w:oddHBand="0" w:evenHBand="0" w:firstRowFirstColumn="0" w:firstRowLastColumn="0" w:lastRowFirstColumn="0" w:lastRowLastColumn="0"/>
            <w:tcW w:w="755" w:type="pct"/>
          </w:tcPr>
          <w:p w14:paraId="4AEC757B"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6C63DA4E" w14:textId="77777777" w:rsidR="00A30E61" w:rsidRPr="00CF3E3D" w:rsidRDefault="00A30E61" w:rsidP="007007AC">
            <w:pPr>
              <w:spacing w:before="85" w:line="288" w:lineRule="auto"/>
              <w:jc w:val="center"/>
              <w:rPr>
                <w:sz w:val="18"/>
                <w:szCs w:val="18"/>
              </w:rPr>
            </w:pPr>
            <w:r w:rsidRPr="00CF3E3D">
              <w:rPr>
                <w:sz w:val="18"/>
                <w:szCs w:val="18"/>
              </w:rPr>
              <w:t>42.1</w:t>
            </w:r>
          </w:p>
        </w:tc>
        <w:tc>
          <w:tcPr>
            <w:cnfStyle w:val="000010000000" w:firstRow="0" w:lastRow="0" w:firstColumn="0" w:lastColumn="0" w:oddVBand="1" w:evenVBand="0" w:oddHBand="0" w:evenHBand="0" w:firstRowFirstColumn="0" w:firstRowLastColumn="0" w:lastRowFirstColumn="0" w:lastRowLastColumn="0"/>
            <w:tcW w:w="755" w:type="pct"/>
          </w:tcPr>
          <w:p w14:paraId="4DBACE62" w14:textId="77777777" w:rsidR="00A30E61" w:rsidRPr="00CF3E3D" w:rsidRDefault="00A30E61" w:rsidP="007007AC">
            <w:pPr>
              <w:spacing w:before="85" w:line="288" w:lineRule="auto"/>
              <w:jc w:val="center"/>
              <w:rPr>
                <w:sz w:val="18"/>
                <w:szCs w:val="18"/>
              </w:rPr>
            </w:pPr>
            <w:r w:rsidRPr="00CF3E3D">
              <w:rPr>
                <w:sz w:val="18"/>
                <w:szCs w:val="18"/>
              </w:rPr>
              <w:t>40.5</w:t>
            </w:r>
          </w:p>
        </w:tc>
      </w:tr>
      <w:tr w:rsidR="00A30E61" w:rsidRPr="00CF3E3D" w14:paraId="5BDE24B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DCEC861" w14:textId="77777777" w:rsidR="00A30E61" w:rsidRPr="00CF3E3D" w:rsidRDefault="00A30E61" w:rsidP="007007AC">
            <w:pPr>
              <w:spacing w:before="85" w:line="288" w:lineRule="auto"/>
              <w:rPr>
                <w:b/>
                <w:bCs/>
                <w:sz w:val="18"/>
                <w:szCs w:val="18"/>
                <w:lang w:eastAsia="en-AU"/>
              </w:rPr>
            </w:pPr>
            <w:r w:rsidRPr="00CF3E3D">
              <w:rPr>
                <w:b/>
                <w:bCs/>
                <w:sz w:val="18"/>
                <w:szCs w:val="18"/>
              </w:rPr>
              <w:t>All universities</w:t>
            </w:r>
          </w:p>
        </w:tc>
        <w:tc>
          <w:tcPr>
            <w:cnfStyle w:val="000001000000" w:firstRow="0" w:lastRow="0" w:firstColumn="0" w:lastColumn="0" w:oddVBand="0" w:evenVBand="1" w:oddHBand="0" w:evenHBand="0" w:firstRowFirstColumn="0" w:firstRowLastColumn="0" w:lastRowFirstColumn="0" w:lastRowLastColumn="0"/>
            <w:tcW w:w="709" w:type="pct"/>
          </w:tcPr>
          <w:p w14:paraId="70EA0588" w14:textId="77777777" w:rsidR="00A30E61" w:rsidRPr="00CF3E3D" w:rsidRDefault="00A30E61" w:rsidP="007007AC">
            <w:pPr>
              <w:spacing w:before="85" w:line="288" w:lineRule="auto"/>
              <w:jc w:val="center"/>
              <w:rPr>
                <w:b/>
                <w:bCs/>
                <w:sz w:val="18"/>
                <w:szCs w:val="18"/>
              </w:rPr>
            </w:pPr>
            <w:r w:rsidRPr="00CF3E3D">
              <w:rPr>
                <w:b/>
                <w:bCs/>
                <w:sz w:val="18"/>
                <w:szCs w:val="18"/>
              </w:rPr>
              <w:t>38.3</w:t>
            </w:r>
          </w:p>
        </w:tc>
        <w:tc>
          <w:tcPr>
            <w:cnfStyle w:val="000010000000" w:firstRow="0" w:lastRow="0" w:firstColumn="0" w:lastColumn="0" w:oddVBand="1" w:evenVBand="0" w:oddHBand="0" w:evenHBand="0" w:firstRowFirstColumn="0" w:firstRowLastColumn="0" w:lastRowFirstColumn="0" w:lastRowLastColumn="0"/>
            <w:tcW w:w="755" w:type="pct"/>
          </w:tcPr>
          <w:p w14:paraId="5CE31982" w14:textId="77777777" w:rsidR="00A30E61" w:rsidRPr="00CF3E3D" w:rsidRDefault="00A30E61" w:rsidP="007007AC">
            <w:pPr>
              <w:spacing w:before="85" w:line="288" w:lineRule="auto"/>
              <w:jc w:val="center"/>
              <w:rPr>
                <w:b/>
                <w:bCs/>
                <w:sz w:val="18"/>
                <w:szCs w:val="18"/>
              </w:rPr>
            </w:pPr>
            <w:r w:rsidRPr="00CF3E3D">
              <w:rPr>
                <w:b/>
                <w:bCs/>
                <w:sz w:val="18"/>
                <w:szCs w:val="18"/>
              </w:rPr>
              <w:t>38.8</w:t>
            </w:r>
          </w:p>
        </w:tc>
        <w:tc>
          <w:tcPr>
            <w:cnfStyle w:val="000001000000" w:firstRow="0" w:lastRow="0" w:firstColumn="0" w:lastColumn="0" w:oddVBand="0" w:evenVBand="1" w:oddHBand="0" w:evenHBand="0" w:firstRowFirstColumn="0" w:firstRowLastColumn="0" w:lastRowFirstColumn="0" w:lastRowLastColumn="0"/>
            <w:tcW w:w="755" w:type="pct"/>
          </w:tcPr>
          <w:p w14:paraId="0F5667AC" w14:textId="77777777" w:rsidR="00A30E61" w:rsidRPr="00CF3E3D" w:rsidRDefault="00A30E61" w:rsidP="007007AC">
            <w:pPr>
              <w:spacing w:before="85" w:line="288" w:lineRule="auto"/>
              <w:jc w:val="center"/>
              <w:rPr>
                <w:b/>
                <w:bCs/>
                <w:sz w:val="18"/>
                <w:szCs w:val="18"/>
              </w:rPr>
            </w:pPr>
            <w:r w:rsidRPr="00CF3E3D">
              <w:rPr>
                <w:b/>
                <w:bCs/>
                <w:sz w:val="18"/>
                <w:szCs w:val="18"/>
              </w:rPr>
              <w:t>40.1</w:t>
            </w:r>
          </w:p>
        </w:tc>
        <w:tc>
          <w:tcPr>
            <w:cnfStyle w:val="000010000000" w:firstRow="0" w:lastRow="0" w:firstColumn="0" w:lastColumn="0" w:oddVBand="1" w:evenVBand="0" w:oddHBand="0" w:evenHBand="0" w:firstRowFirstColumn="0" w:firstRowLastColumn="0" w:lastRowFirstColumn="0" w:lastRowLastColumn="0"/>
            <w:tcW w:w="755" w:type="pct"/>
          </w:tcPr>
          <w:p w14:paraId="00D3E3FD" w14:textId="77777777" w:rsidR="00A30E61" w:rsidRPr="00CF3E3D" w:rsidRDefault="00A30E61" w:rsidP="007007AC">
            <w:pPr>
              <w:spacing w:before="85" w:line="288" w:lineRule="auto"/>
              <w:jc w:val="center"/>
              <w:rPr>
                <w:b/>
                <w:bCs/>
                <w:sz w:val="18"/>
                <w:szCs w:val="18"/>
              </w:rPr>
            </w:pPr>
            <w:r w:rsidRPr="00CF3E3D">
              <w:rPr>
                <w:b/>
                <w:bCs/>
                <w:sz w:val="18"/>
                <w:szCs w:val="18"/>
              </w:rPr>
              <w:t>39.4</w:t>
            </w:r>
          </w:p>
        </w:tc>
      </w:tr>
    </w:tbl>
    <w:p w14:paraId="74338F71" w14:textId="77777777" w:rsidR="00A30E61" w:rsidRPr="00CF3E3D" w:rsidRDefault="00A30E61" w:rsidP="00A30E61">
      <w:pPr>
        <w:pStyle w:val="Note"/>
        <w:spacing w:after="960"/>
        <w:rPr>
          <w:szCs w:val="16"/>
        </w:rPr>
      </w:pPr>
      <w:r w:rsidRPr="00CF3E3D">
        <w:rPr>
          <w:szCs w:val="16"/>
        </w:rPr>
        <w:t xml:space="preserve">Note: </w:t>
      </w:r>
      <w:r w:rsidRPr="00CF3E3D">
        <w:t xml:space="preserve">A </w:t>
      </w:r>
      <w:r>
        <w:t xml:space="preserve">‘-‘ </w:t>
      </w:r>
      <w:r w:rsidRPr="00CF3E3D">
        <w:t xml:space="preserve">indicates </w:t>
      </w:r>
      <w:r w:rsidRPr="00CF3E3D">
        <w:rPr>
          <w:szCs w:val="16"/>
        </w:rPr>
        <w:t>institution did not participate in that collection period.</w:t>
      </w:r>
    </w:p>
    <w:p w14:paraId="7912DD3B" w14:textId="5BD7825A" w:rsidR="00A30E61" w:rsidRPr="006E36F7" w:rsidRDefault="00A30E61" w:rsidP="00A30E61">
      <w:pPr>
        <w:pStyle w:val="Caption"/>
        <w:rPr>
          <w:color w:val="000000" w:themeColor="text1"/>
        </w:rPr>
      </w:pPr>
      <w:bookmarkStart w:id="202" w:name="_Ref78963605"/>
      <w:bookmarkStart w:id="203" w:name="_Toc116035820"/>
      <w:bookmarkStart w:id="204" w:name="_Toc116040375"/>
      <w:r w:rsidRPr="006E36F7">
        <w:rPr>
          <w:color w:val="000000" w:themeColor="text1"/>
        </w:rPr>
        <w:lastRenderedPageBreak/>
        <w:t xml:space="preserve">Table </w:t>
      </w:r>
      <w:r w:rsidRPr="006E36F7">
        <w:rPr>
          <w:color w:val="000000" w:themeColor="text1"/>
        </w:rPr>
        <w:fldChar w:fldCharType="begin"/>
      </w:r>
      <w:r w:rsidRPr="006E36F7">
        <w:rPr>
          <w:color w:val="000000" w:themeColor="text1"/>
        </w:rPr>
        <w:instrText xml:space="preserve"> SEQ Table \* ARABIC </w:instrText>
      </w:r>
      <w:r w:rsidRPr="006E36F7">
        <w:rPr>
          <w:color w:val="000000" w:themeColor="text1"/>
        </w:rPr>
        <w:fldChar w:fldCharType="separate"/>
      </w:r>
      <w:r w:rsidR="006E36F7" w:rsidRPr="006E36F7">
        <w:rPr>
          <w:noProof/>
          <w:color w:val="000000" w:themeColor="text1"/>
        </w:rPr>
        <w:t>26</w:t>
      </w:r>
      <w:r w:rsidRPr="006E36F7">
        <w:rPr>
          <w:color w:val="000000" w:themeColor="text1"/>
        </w:rPr>
        <w:fldChar w:fldCharType="end"/>
      </w:r>
      <w:bookmarkEnd w:id="202"/>
      <w:r w:rsidRPr="006E36F7">
        <w:rPr>
          <w:color w:val="000000" w:themeColor="text1"/>
        </w:rPr>
        <w:t xml:space="preserve"> 2022 GOS NUHEI response rates, all study levels (%)</w:t>
      </w:r>
      <w:bookmarkEnd w:id="203"/>
      <w:bookmarkEnd w:id="204"/>
    </w:p>
    <w:tbl>
      <w:tblPr>
        <w:tblStyle w:val="SRC1"/>
        <w:tblW w:w="5000" w:type="pct"/>
        <w:tblLook w:val="0020" w:firstRow="1" w:lastRow="0" w:firstColumn="0" w:lastColumn="0" w:noHBand="0" w:noVBand="0"/>
      </w:tblPr>
      <w:tblGrid>
        <w:gridCol w:w="5675"/>
        <w:gridCol w:w="1985"/>
        <w:gridCol w:w="2114"/>
        <w:gridCol w:w="2114"/>
        <w:gridCol w:w="2114"/>
      </w:tblGrid>
      <w:tr w:rsidR="00A30E61" w:rsidRPr="00CF3E3D" w14:paraId="723738A9"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2026" w:type="pct"/>
          </w:tcPr>
          <w:p w14:paraId="63BE11F3" w14:textId="6E39FF39" w:rsidR="00A30E61" w:rsidRPr="00CF3E3D" w:rsidRDefault="00960B1F" w:rsidP="006E36F7">
            <w:pPr>
              <w:rPr>
                <w:b w:val="0"/>
                <w:sz w:val="18"/>
                <w:szCs w:val="18"/>
              </w:rPr>
            </w:pPr>
            <w:bookmarkStart w:id="205" w:name="Title26"/>
            <w:bookmarkEnd w:id="205"/>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709" w:type="pct"/>
          </w:tcPr>
          <w:p w14:paraId="1EEB5128" w14:textId="3D548E8E" w:rsidR="00A30E61" w:rsidRPr="006E36F7" w:rsidRDefault="00A30E61" w:rsidP="00960B1F">
            <w:pPr>
              <w:pStyle w:val="TablecolumnheadCENTRETABLES"/>
              <w:spacing w:line="240" w:lineRule="auto"/>
              <w:jc w:val="center"/>
              <w:rPr>
                <w:rFonts w:ascii="Arial" w:hAnsi="Arial" w:cs="Arial"/>
                <w:b/>
                <w:bCs w:val="0"/>
                <w:color w:val="FFFFFF" w:themeColor="background1"/>
                <w:sz w:val="18"/>
                <w:szCs w:val="18"/>
              </w:rPr>
            </w:pPr>
            <w:r w:rsidRPr="006E36F7">
              <w:rPr>
                <w:rFonts w:ascii="Arial" w:hAnsi="Arial" w:cs="Arial"/>
                <w:b/>
                <w:bCs w:val="0"/>
                <w:caps w:val="0"/>
                <w:color w:val="FFFFFF" w:themeColor="background1"/>
                <w:sz w:val="18"/>
                <w:szCs w:val="18"/>
              </w:rPr>
              <w:t>2021</w:t>
            </w:r>
            <w:r w:rsidR="00960B1F">
              <w:rPr>
                <w:rFonts w:ascii="Arial" w:hAnsi="Arial" w:cs="Arial"/>
                <w:b/>
                <w:bCs w:val="0"/>
                <w:caps w:val="0"/>
                <w:color w:val="FFFFFF" w:themeColor="background1"/>
                <w:sz w:val="18"/>
                <w:szCs w:val="18"/>
              </w:rPr>
              <w:t xml:space="preserve"> </w:t>
            </w:r>
            <w:r w:rsidRPr="006E36F7">
              <w:rPr>
                <w:rFonts w:ascii="Arial" w:hAnsi="Arial" w:cs="Arial"/>
                <w:b/>
                <w:bCs w:val="0"/>
                <w:caps w:val="0"/>
                <w:color w:val="FFFFFF" w:themeColor="background1"/>
                <w:sz w:val="18"/>
                <w:szCs w:val="18"/>
              </w:rPr>
              <w:t>November</w:t>
            </w:r>
          </w:p>
        </w:tc>
        <w:tc>
          <w:tcPr>
            <w:cnfStyle w:val="000010000000" w:firstRow="0" w:lastRow="0" w:firstColumn="0" w:lastColumn="0" w:oddVBand="1" w:evenVBand="0" w:oddHBand="0" w:evenHBand="0" w:firstRowFirstColumn="0" w:firstRowLastColumn="0" w:lastRowFirstColumn="0" w:lastRowLastColumn="0"/>
            <w:tcW w:w="755" w:type="pct"/>
          </w:tcPr>
          <w:p w14:paraId="2BB5F4A7" w14:textId="0BA0196C" w:rsidR="00A30E61" w:rsidRPr="006E36F7" w:rsidRDefault="00A30E61" w:rsidP="00960B1F">
            <w:pPr>
              <w:pStyle w:val="TablecolumnheadCENTRETABLES"/>
              <w:spacing w:line="240" w:lineRule="auto"/>
              <w:jc w:val="center"/>
              <w:rPr>
                <w:rFonts w:ascii="Arial" w:hAnsi="Arial" w:cs="Arial"/>
                <w:b/>
                <w:bCs w:val="0"/>
                <w:caps w:val="0"/>
                <w:color w:val="FFFFFF" w:themeColor="background1"/>
                <w:sz w:val="18"/>
                <w:szCs w:val="18"/>
                <w:lang w:eastAsia="en-AU"/>
              </w:rPr>
            </w:pPr>
            <w:r w:rsidRPr="006E36F7">
              <w:rPr>
                <w:rFonts w:ascii="Arial" w:hAnsi="Arial" w:cs="Arial"/>
                <w:b/>
                <w:bCs w:val="0"/>
                <w:caps w:val="0"/>
                <w:color w:val="FFFFFF" w:themeColor="background1"/>
                <w:sz w:val="18"/>
                <w:szCs w:val="18"/>
                <w:lang w:eastAsia="en-AU"/>
              </w:rPr>
              <w:t>2022</w:t>
            </w:r>
            <w:r w:rsidR="00960B1F">
              <w:rPr>
                <w:rFonts w:ascii="Arial" w:hAnsi="Arial" w:cs="Arial"/>
                <w:b/>
                <w:bCs w:val="0"/>
                <w:caps w:val="0"/>
                <w:color w:val="FFFFFF" w:themeColor="background1"/>
                <w:sz w:val="18"/>
                <w:szCs w:val="18"/>
                <w:lang w:eastAsia="en-AU"/>
              </w:rPr>
              <w:t xml:space="preserve"> </w:t>
            </w:r>
            <w:r w:rsidRPr="006E36F7">
              <w:rPr>
                <w:rFonts w:ascii="Arial" w:hAnsi="Arial" w:cs="Arial"/>
                <w:b/>
                <w:bCs w:val="0"/>
                <w:caps w:val="0"/>
                <w:color w:val="FFFFFF" w:themeColor="background1"/>
                <w:sz w:val="18"/>
                <w:szCs w:val="18"/>
                <w:lang w:eastAsia="en-AU"/>
              </w:rPr>
              <w:t>February</w:t>
            </w:r>
          </w:p>
        </w:tc>
        <w:tc>
          <w:tcPr>
            <w:cnfStyle w:val="000001000000" w:firstRow="0" w:lastRow="0" w:firstColumn="0" w:lastColumn="0" w:oddVBand="0" w:evenVBand="1" w:oddHBand="0" w:evenHBand="0" w:firstRowFirstColumn="0" w:firstRowLastColumn="0" w:lastRowFirstColumn="0" w:lastRowLastColumn="0"/>
            <w:tcW w:w="755" w:type="pct"/>
          </w:tcPr>
          <w:p w14:paraId="491ACCCC" w14:textId="399CC44E" w:rsidR="00A30E61" w:rsidRPr="006E36F7" w:rsidRDefault="00A30E61" w:rsidP="00960B1F">
            <w:pPr>
              <w:pStyle w:val="TablecolumnheadCENTRETABLES"/>
              <w:spacing w:line="240" w:lineRule="auto"/>
              <w:jc w:val="center"/>
              <w:rPr>
                <w:rFonts w:ascii="Arial" w:hAnsi="Arial" w:cs="Arial"/>
                <w:b/>
                <w:bCs w:val="0"/>
                <w:color w:val="FFFFFF" w:themeColor="background1"/>
                <w:sz w:val="18"/>
                <w:szCs w:val="18"/>
              </w:rPr>
            </w:pPr>
            <w:r w:rsidRPr="006E36F7">
              <w:rPr>
                <w:rFonts w:ascii="Arial" w:hAnsi="Arial" w:cs="Arial"/>
                <w:b/>
                <w:bCs w:val="0"/>
                <w:caps w:val="0"/>
                <w:color w:val="FFFFFF" w:themeColor="background1"/>
                <w:sz w:val="18"/>
                <w:szCs w:val="18"/>
                <w:lang w:eastAsia="en-AU"/>
              </w:rPr>
              <w:t>2022</w:t>
            </w:r>
            <w:r w:rsidR="00960B1F">
              <w:rPr>
                <w:rFonts w:ascii="Arial" w:hAnsi="Arial" w:cs="Arial"/>
                <w:b/>
                <w:bCs w:val="0"/>
                <w:caps w:val="0"/>
                <w:color w:val="FFFFFF" w:themeColor="background1"/>
                <w:sz w:val="18"/>
                <w:szCs w:val="18"/>
                <w:lang w:eastAsia="en-AU"/>
              </w:rPr>
              <w:t xml:space="preserve"> </w:t>
            </w:r>
            <w:r w:rsidRPr="006E36F7">
              <w:rPr>
                <w:rFonts w:ascii="Arial" w:hAnsi="Arial" w:cs="Arial"/>
                <w:b/>
                <w:bCs w:val="0"/>
                <w:caps w:val="0"/>
                <w:color w:val="FFFFFF" w:themeColor="background1"/>
                <w:sz w:val="18"/>
                <w:szCs w:val="18"/>
                <w:lang w:eastAsia="en-AU"/>
              </w:rPr>
              <w:t>May</w:t>
            </w:r>
          </w:p>
        </w:tc>
        <w:tc>
          <w:tcPr>
            <w:cnfStyle w:val="000010000000" w:firstRow="0" w:lastRow="0" w:firstColumn="0" w:lastColumn="0" w:oddVBand="1" w:evenVBand="0" w:oddHBand="0" w:evenHBand="0" w:firstRowFirstColumn="0" w:firstRowLastColumn="0" w:lastRowFirstColumn="0" w:lastRowLastColumn="0"/>
            <w:tcW w:w="755" w:type="pct"/>
          </w:tcPr>
          <w:p w14:paraId="4DC74F3A" w14:textId="4C0458DD" w:rsidR="00A30E61" w:rsidRPr="006E36F7" w:rsidRDefault="00A30E61" w:rsidP="00960B1F">
            <w:pPr>
              <w:pStyle w:val="TablecolumnheadCENTRETABLES"/>
              <w:spacing w:line="240" w:lineRule="auto"/>
              <w:jc w:val="center"/>
              <w:rPr>
                <w:rFonts w:ascii="Arial" w:hAnsi="Arial" w:cs="Arial"/>
                <w:b/>
                <w:bCs w:val="0"/>
                <w:color w:val="FFFFFF" w:themeColor="background1"/>
                <w:sz w:val="18"/>
                <w:szCs w:val="18"/>
              </w:rPr>
            </w:pPr>
            <w:r w:rsidRPr="006E36F7">
              <w:rPr>
                <w:rFonts w:ascii="Arial" w:hAnsi="Arial" w:cs="Arial"/>
                <w:b/>
                <w:bCs w:val="0"/>
                <w:color w:val="FFFFFF" w:themeColor="background1"/>
                <w:sz w:val="18"/>
                <w:szCs w:val="18"/>
                <w:lang w:eastAsia="en-AU"/>
              </w:rPr>
              <w:t>2022</w:t>
            </w:r>
            <w:r w:rsidR="00960B1F">
              <w:rPr>
                <w:rFonts w:ascii="Arial" w:hAnsi="Arial" w:cs="Arial"/>
                <w:b/>
                <w:bCs w:val="0"/>
                <w:color w:val="FFFFFF" w:themeColor="background1"/>
                <w:sz w:val="18"/>
                <w:szCs w:val="18"/>
                <w:lang w:eastAsia="en-AU"/>
              </w:rPr>
              <w:t xml:space="preserve"> </w:t>
            </w:r>
            <w:r w:rsidRPr="006E36F7">
              <w:rPr>
                <w:rFonts w:ascii="Arial" w:hAnsi="Arial" w:cs="Arial"/>
                <w:b/>
                <w:bCs w:val="0"/>
                <w:caps w:val="0"/>
                <w:color w:val="FFFFFF" w:themeColor="background1"/>
                <w:sz w:val="18"/>
                <w:szCs w:val="18"/>
                <w:lang w:eastAsia="en-AU"/>
              </w:rPr>
              <w:t>Total collection</w:t>
            </w:r>
          </w:p>
        </w:tc>
      </w:tr>
      <w:tr w:rsidR="00A30E61" w:rsidRPr="00CF3E3D" w14:paraId="63E5D93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B85AE5E" w14:textId="77777777" w:rsidR="00A30E61" w:rsidRPr="00D002F3" w:rsidRDefault="00A30E61" w:rsidP="007007AC">
            <w:pPr>
              <w:spacing w:before="85" w:line="288" w:lineRule="auto"/>
              <w:rPr>
                <w:b/>
                <w:bCs/>
                <w:sz w:val="18"/>
                <w:szCs w:val="18"/>
              </w:rPr>
            </w:pPr>
            <w:r w:rsidRPr="00D002F3">
              <w:rPr>
                <w:b/>
                <w:bCs/>
                <w:sz w:val="18"/>
                <w:szCs w:val="18"/>
              </w:rPr>
              <w:t>Academies Australasia Polytechnic Pty Limited</w:t>
            </w:r>
          </w:p>
        </w:tc>
        <w:tc>
          <w:tcPr>
            <w:cnfStyle w:val="000001000000" w:firstRow="0" w:lastRow="0" w:firstColumn="0" w:lastColumn="0" w:oddVBand="0" w:evenVBand="1" w:oddHBand="0" w:evenHBand="0" w:firstRowFirstColumn="0" w:firstRowLastColumn="0" w:lastRowFirstColumn="0" w:lastRowLastColumn="0"/>
            <w:tcW w:w="709" w:type="pct"/>
          </w:tcPr>
          <w:p w14:paraId="627F3978" w14:textId="77777777" w:rsidR="00A30E61" w:rsidRPr="00CF3E3D" w:rsidRDefault="00A30E61" w:rsidP="007007AC">
            <w:pPr>
              <w:spacing w:before="85" w:line="288" w:lineRule="auto"/>
              <w:jc w:val="center"/>
              <w:rPr>
                <w:sz w:val="18"/>
                <w:szCs w:val="18"/>
              </w:rPr>
            </w:pPr>
            <w:r w:rsidRPr="00CF3E3D">
              <w:rPr>
                <w:sz w:val="18"/>
                <w:szCs w:val="18"/>
              </w:rPr>
              <w:t>22.5</w:t>
            </w:r>
          </w:p>
        </w:tc>
        <w:tc>
          <w:tcPr>
            <w:cnfStyle w:val="000010000000" w:firstRow="0" w:lastRow="0" w:firstColumn="0" w:lastColumn="0" w:oddVBand="1" w:evenVBand="0" w:oddHBand="0" w:evenHBand="0" w:firstRowFirstColumn="0" w:firstRowLastColumn="0" w:lastRowFirstColumn="0" w:lastRowLastColumn="0"/>
            <w:tcW w:w="755" w:type="pct"/>
          </w:tcPr>
          <w:p w14:paraId="45CC8AF5" w14:textId="77777777" w:rsidR="00A30E61" w:rsidRPr="00CF3E3D" w:rsidRDefault="00A30E61" w:rsidP="007007AC">
            <w:pPr>
              <w:spacing w:before="85" w:line="288" w:lineRule="auto"/>
              <w:jc w:val="center"/>
              <w:rPr>
                <w:sz w:val="18"/>
                <w:szCs w:val="18"/>
              </w:rPr>
            </w:pPr>
            <w:r w:rsidRPr="00CF3E3D">
              <w:rPr>
                <w:sz w:val="18"/>
                <w:szCs w:val="18"/>
              </w:rPr>
              <w:t>26.6</w:t>
            </w:r>
          </w:p>
        </w:tc>
        <w:tc>
          <w:tcPr>
            <w:cnfStyle w:val="000001000000" w:firstRow="0" w:lastRow="0" w:firstColumn="0" w:lastColumn="0" w:oddVBand="0" w:evenVBand="1" w:oddHBand="0" w:evenHBand="0" w:firstRowFirstColumn="0" w:firstRowLastColumn="0" w:lastRowFirstColumn="0" w:lastRowLastColumn="0"/>
            <w:tcW w:w="755" w:type="pct"/>
          </w:tcPr>
          <w:p w14:paraId="52FBB517" w14:textId="77777777" w:rsidR="00A30E61" w:rsidRPr="00CF3E3D" w:rsidRDefault="00A30E61" w:rsidP="007007AC">
            <w:pPr>
              <w:spacing w:before="85" w:line="288" w:lineRule="auto"/>
              <w:jc w:val="center"/>
              <w:rPr>
                <w:sz w:val="18"/>
                <w:szCs w:val="18"/>
              </w:rPr>
            </w:pPr>
            <w:r w:rsidRPr="00CF3E3D">
              <w:rPr>
                <w:sz w:val="18"/>
                <w:szCs w:val="18"/>
              </w:rPr>
              <w:t>45.0</w:t>
            </w:r>
          </w:p>
        </w:tc>
        <w:tc>
          <w:tcPr>
            <w:cnfStyle w:val="000010000000" w:firstRow="0" w:lastRow="0" w:firstColumn="0" w:lastColumn="0" w:oddVBand="1" w:evenVBand="0" w:oddHBand="0" w:evenHBand="0" w:firstRowFirstColumn="0" w:firstRowLastColumn="0" w:lastRowFirstColumn="0" w:lastRowLastColumn="0"/>
            <w:tcW w:w="755" w:type="pct"/>
          </w:tcPr>
          <w:p w14:paraId="1D5F1643" w14:textId="77777777" w:rsidR="00A30E61" w:rsidRPr="00CF3E3D" w:rsidRDefault="00A30E61" w:rsidP="007007AC">
            <w:pPr>
              <w:spacing w:before="85" w:line="288" w:lineRule="auto"/>
              <w:jc w:val="center"/>
              <w:rPr>
                <w:sz w:val="18"/>
                <w:szCs w:val="18"/>
              </w:rPr>
            </w:pPr>
            <w:r w:rsidRPr="00CF3E3D">
              <w:rPr>
                <w:sz w:val="18"/>
                <w:szCs w:val="18"/>
              </w:rPr>
              <w:t>26.8</w:t>
            </w:r>
          </w:p>
        </w:tc>
      </w:tr>
      <w:tr w:rsidR="00A30E61" w:rsidRPr="00CF3E3D" w14:paraId="2D376C3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3C9DFE8" w14:textId="77777777" w:rsidR="00A30E61" w:rsidRPr="00D002F3" w:rsidRDefault="00A30E61" w:rsidP="007007AC">
            <w:pPr>
              <w:spacing w:before="85" w:line="288" w:lineRule="auto"/>
              <w:rPr>
                <w:b/>
                <w:bCs/>
                <w:sz w:val="18"/>
                <w:szCs w:val="18"/>
              </w:rPr>
            </w:pPr>
            <w:r w:rsidRPr="00D002F3">
              <w:rPr>
                <w:b/>
                <w:bCs/>
                <w:sz w:val="18"/>
                <w:szCs w:val="18"/>
              </w:rPr>
              <w:t>Academy of Information Technology</w:t>
            </w:r>
          </w:p>
        </w:tc>
        <w:tc>
          <w:tcPr>
            <w:cnfStyle w:val="000001000000" w:firstRow="0" w:lastRow="0" w:firstColumn="0" w:lastColumn="0" w:oddVBand="0" w:evenVBand="1" w:oddHBand="0" w:evenHBand="0" w:firstRowFirstColumn="0" w:firstRowLastColumn="0" w:lastRowFirstColumn="0" w:lastRowLastColumn="0"/>
            <w:tcW w:w="709" w:type="pct"/>
          </w:tcPr>
          <w:p w14:paraId="729F761C" w14:textId="77777777" w:rsidR="00A30E61" w:rsidRPr="00CF3E3D" w:rsidRDefault="00A30E61" w:rsidP="007007AC">
            <w:pPr>
              <w:spacing w:before="85" w:line="288" w:lineRule="auto"/>
              <w:jc w:val="center"/>
              <w:rPr>
                <w:sz w:val="18"/>
                <w:szCs w:val="18"/>
              </w:rPr>
            </w:pPr>
            <w:r w:rsidRPr="00CF3E3D">
              <w:rPr>
                <w:sz w:val="18"/>
                <w:szCs w:val="18"/>
              </w:rPr>
              <w:t>38.1</w:t>
            </w:r>
          </w:p>
        </w:tc>
        <w:tc>
          <w:tcPr>
            <w:cnfStyle w:val="000010000000" w:firstRow="0" w:lastRow="0" w:firstColumn="0" w:lastColumn="0" w:oddVBand="1" w:evenVBand="0" w:oddHBand="0" w:evenHBand="0" w:firstRowFirstColumn="0" w:firstRowLastColumn="0" w:lastRowFirstColumn="0" w:lastRowLastColumn="0"/>
            <w:tcW w:w="755" w:type="pct"/>
          </w:tcPr>
          <w:p w14:paraId="6A82FE2A" w14:textId="77777777" w:rsidR="00A30E61" w:rsidRPr="00CF3E3D" w:rsidRDefault="00A30E61" w:rsidP="007007AC">
            <w:pPr>
              <w:spacing w:before="85" w:line="288" w:lineRule="auto"/>
              <w:jc w:val="center"/>
              <w:rPr>
                <w:sz w:val="18"/>
                <w:szCs w:val="18"/>
              </w:rPr>
            </w:pPr>
            <w:r w:rsidRPr="00CF3E3D">
              <w:rPr>
                <w:sz w:val="18"/>
                <w:szCs w:val="18"/>
              </w:rPr>
              <w:t>38.9</w:t>
            </w:r>
          </w:p>
        </w:tc>
        <w:tc>
          <w:tcPr>
            <w:cnfStyle w:val="000001000000" w:firstRow="0" w:lastRow="0" w:firstColumn="0" w:lastColumn="0" w:oddVBand="0" w:evenVBand="1" w:oddHBand="0" w:evenHBand="0" w:firstRowFirstColumn="0" w:firstRowLastColumn="0" w:lastRowFirstColumn="0" w:lastRowLastColumn="0"/>
            <w:tcW w:w="755" w:type="pct"/>
          </w:tcPr>
          <w:p w14:paraId="3E5D83F9" w14:textId="77777777" w:rsidR="00A30E61" w:rsidRPr="00CF3E3D" w:rsidRDefault="00A30E61" w:rsidP="007007AC">
            <w:pPr>
              <w:spacing w:before="85" w:line="288" w:lineRule="auto"/>
              <w:jc w:val="center"/>
              <w:rPr>
                <w:sz w:val="18"/>
                <w:szCs w:val="18"/>
              </w:rPr>
            </w:pPr>
            <w:r w:rsidRPr="00CF3E3D">
              <w:rPr>
                <w:sz w:val="18"/>
                <w:szCs w:val="18"/>
              </w:rPr>
              <w:t>38.2</w:t>
            </w:r>
          </w:p>
        </w:tc>
        <w:tc>
          <w:tcPr>
            <w:cnfStyle w:val="000010000000" w:firstRow="0" w:lastRow="0" w:firstColumn="0" w:lastColumn="0" w:oddVBand="1" w:evenVBand="0" w:oddHBand="0" w:evenHBand="0" w:firstRowFirstColumn="0" w:firstRowLastColumn="0" w:lastRowFirstColumn="0" w:lastRowLastColumn="0"/>
            <w:tcW w:w="755" w:type="pct"/>
          </w:tcPr>
          <w:p w14:paraId="249CC4D2" w14:textId="77777777" w:rsidR="00A30E61" w:rsidRPr="00CF3E3D" w:rsidRDefault="00A30E61" w:rsidP="007007AC">
            <w:pPr>
              <w:spacing w:before="85" w:line="288" w:lineRule="auto"/>
              <w:jc w:val="center"/>
              <w:rPr>
                <w:sz w:val="18"/>
                <w:szCs w:val="18"/>
              </w:rPr>
            </w:pPr>
            <w:r w:rsidRPr="00CF3E3D">
              <w:rPr>
                <w:sz w:val="18"/>
                <w:szCs w:val="18"/>
              </w:rPr>
              <w:t>38.4</w:t>
            </w:r>
          </w:p>
        </w:tc>
      </w:tr>
      <w:tr w:rsidR="00A30E61" w:rsidRPr="00CF3E3D" w14:paraId="560B083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23EDE68" w14:textId="77777777" w:rsidR="00A30E61" w:rsidRPr="00D002F3" w:rsidRDefault="00A30E61" w:rsidP="007007AC">
            <w:pPr>
              <w:spacing w:before="85" w:line="288" w:lineRule="auto"/>
              <w:rPr>
                <w:b/>
                <w:bCs/>
                <w:sz w:val="18"/>
                <w:szCs w:val="18"/>
              </w:rPr>
            </w:pPr>
            <w:r w:rsidRPr="00D002F3">
              <w:rPr>
                <w:b/>
                <w:bCs/>
                <w:sz w:val="18"/>
                <w:szCs w:val="18"/>
              </w:rPr>
              <w:t>Adelaide Central School of Art</w:t>
            </w:r>
          </w:p>
        </w:tc>
        <w:tc>
          <w:tcPr>
            <w:cnfStyle w:val="000001000000" w:firstRow="0" w:lastRow="0" w:firstColumn="0" w:lastColumn="0" w:oddVBand="0" w:evenVBand="1" w:oddHBand="0" w:evenHBand="0" w:firstRowFirstColumn="0" w:firstRowLastColumn="0" w:lastRowFirstColumn="0" w:lastRowLastColumn="0"/>
            <w:tcW w:w="709" w:type="pct"/>
          </w:tcPr>
          <w:p w14:paraId="00E71B9E"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3D1B3C17"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58DD00F7" w14:textId="77777777" w:rsidR="00A30E61" w:rsidRPr="00CF3E3D" w:rsidRDefault="00A30E61" w:rsidP="007007AC">
            <w:pPr>
              <w:spacing w:before="85" w:line="288" w:lineRule="auto"/>
              <w:jc w:val="center"/>
              <w:rPr>
                <w:sz w:val="18"/>
                <w:szCs w:val="18"/>
              </w:rPr>
            </w:pPr>
            <w:r w:rsidRPr="00CF3E3D">
              <w:rPr>
                <w:sz w:val="18"/>
                <w:szCs w:val="18"/>
              </w:rPr>
              <w:t>64.3</w:t>
            </w:r>
          </w:p>
        </w:tc>
        <w:tc>
          <w:tcPr>
            <w:cnfStyle w:val="000010000000" w:firstRow="0" w:lastRow="0" w:firstColumn="0" w:lastColumn="0" w:oddVBand="1" w:evenVBand="0" w:oddHBand="0" w:evenHBand="0" w:firstRowFirstColumn="0" w:firstRowLastColumn="0" w:lastRowFirstColumn="0" w:lastRowLastColumn="0"/>
            <w:tcW w:w="755" w:type="pct"/>
          </w:tcPr>
          <w:p w14:paraId="317AFB64" w14:textId="77777777" w:rsidR="00A30E61" w:rsidRPr="00CF3E3D" w:rsidRDefault="00A30E61" w:rsidP="007007AC">
            <w:pPr>
              <w:spacing w:before="85" w:line="288" w:lineRule="auto"/>
              <w:jc w:val="center"/>
              <w:rPr>
                <w:sz w:val="18"/>
                <w:szCs w:val="18"/>
              </w:rPr>
            </w:pPr>
            <w:r w:rsidRPr="00CF3E3D">
              <w:rPr>
                <w:sz w:val="18"/>
                <w:szCs w:val="18"/>
              </w:rPr>
              <w:t>64.3</w:t>
            </w:r>
          </w:p>
        </w:tc>
      </w:tr>
      <w:tr w:rsidR="00A30E61" w:rsidRPr="00CF3E3D" w14:paraId="6592AAC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047EEFF" w14:textId="77777777" w:rsidR="00A30E61" w:rsidRPr="00D002F3" w:rsidRDefault="00A30E61" w:rsidP="007007AC">
            <w:pPr>
              <w:spacing w:before="85" w:line="288" w:lineRule="auto"/>
              <w:rPr>
                <w:b/>
                <w:bCs/>
                <w:sz w:val="18"/>
                <w:szCs w:val="18"/>
              </w:rPr>
            </w:pPr>
            <w:r w:rsidRPr="00D002F3">
              <w:rPr>
                <w:b/>
                <w:bCs/>
                <w:sz w:val="18"/>
                <w:szCs w:val="18"/>
              </w:rPr>
              <w:t>Adelaide College of Divinity</w:t>
            </w:r>
          </w:p>
        </w:tc>
        <w:tc>
          <w:tcPr>
            <w:cnfStyle w:val="000001000000" w:firstRow="0" w:lastRow="0" w:firstColumn="0" w:lastColumn="0" w:oddVBand="0" w:evenVBand="1" w:oddHBand="0" w:evenHBand="0" w:firstRowFirstColumn="0" w:firstRowLastColumn="0" w:lastRowFirstColumn="0" w:lastRowLastColumn="0"/>
            <w:tcW w:w="709" w:type="pct"/>
          </w:tcPr>
          <w:p w14:paraId="62A85027" w14:textId="77777777" w:rsidR="00A30E61" w:rsidRPr="00CF3E3D" w:rsidRDefault="00A30E61" w:rsidP="007007AC">
            <w:pPr>
              <w:spacing w:before="85" w:line="288" w:lineRule="auto"/>
              <w:jc w:val="center"/>
              <w:rPr>
                <w:sz w:val="18"/>
                <w:szCs w:val="18"/>
              </w:rPr>
            </w:pPr>
            <w:r w:rsidRPr="00CF3E3D">
              <w:rPr>
                <w:sz w:val="18"/>
                <w:szCs w:val="18"/>
              </w:rPr>
              <w:t>60.0</w:t>
            </w:r>
          </w:p>
        </w:tc>
        <w:tc>
          <w:tcPr>
            <w:cnfStyle w:val="000010000000" w:firstRow="0" w:lastRow="0" w:firstColumn="0" w:lastColumn="0" w:oddVBand="1" w:evenVBand="0" w:oddHBand="0" w:evenHBand="0" w:firstRowFirstColumn="0" w:firstRowLastColumn="0" w:lastRowFirstColumn="0" w:lastRowLastColumn="0"/>
            <w:tcW w:w="755" w:type="pct"/>
          </w:tcPr>
          <w:p w14:paraId="6E17C5C1" w14:textId="77777777" w:rsidR="00A30E61" w:rsidRPr="00CF3E3D" w:rsidRDefault="00A30E61" w:rsidP="007007AC">
            <w:pPr>
              <w:spacing w:before="85" w:line="288" w:lineRule="auto"/>
              <w:jc w:val="center"/>
              <w:rPr>
                <w:sz w:val="18"/>
                <w:szCs w:val="18"/>
              </w:rPr>
            </w:pPr>
            <w:r w:rsidRPr="00CF3E3D">
              <w:rPr>
                <w:sz w:val="18"/>
                <w:szCs w:val="18"/>
              </w:rPr>
              <w:t>100.0</w:t>
            </w:r>
          </w:p>
        </w:tc>
        <w:tc>
          <w:tcPr>
            <w:cnfStyle w:val="000001000000" w:firstRow="0" w:lastRow="0" w:firstColumn="0" w:lastColumn="0" w:oddVBand="0" w:evenVBand="1" w:oddHBand="0" w:evenHBand="0" w:firstRowFirstColumn="0" w:firstRowLastColumn="0" w:lastRowFirstColumn="0" w:lastRowLastColumn="0"/>
            <w:tcW w:w="755" w:type="pct"/>
          </w:tcPr>
          <w:p w14:paraId="210A6052" w14:textId="77777777" w:rsidR="00A30E61" w:rsidRPr="00CF3E3D" w:rsidRDefault="00A30E61" w:rsidP="007007AC">
            <w:pPr>
              <w:spacing w:before="85" w:line="288" w:lineRule="auto"/>
              <w:jc w:val="center"/>
              <w:rPr>
                <w:sz w:val="18"/>
                <w:szCs w:val="18"/>
              </w:rPr>
            </w:pPr>
            <w:r w:rsidRPr="00CF3E3D">
              <w:rPr>
                <w:sz w:val="18"/>
                <w:szCs w:val="18"/>
              </w:rPr>
              <w:t>70.0</w:t>
            </w:r>
          </w:p>
        </w:tc>
        <w:tc>
          <w:tcPr>
            <w:cnfStyle w:val="000010000000" w:firstRow="0" w:lastRow="0" w:firstColumn="0" w:lastColumn="0" w:oddVBand="1" w:evenVBand="0" w:oddHBand="0" w:evenHBand="0" w:firstRowFirstColumn="0" w:firstRowLastColumn="0" w:lastRowFirstColumn="0" w:lastRowLastColumn="0"/>
            <w:tcW w:w="755" w:type="pct"/>
          </w:tcPr>
          <w:p w14:paraId="261DF026" w14:textId="77777777" w:rsidR="00A30E61" w:rsidRPr="00CF3E3D" w:rsidRDefault="00A30E61" w:rsidP="007007AC">
            <w:pPr>
              <w:spacing w:before="85" w:line="288" w:lineRule="auto"/>
              <w:jc w:val="center"/>
              <w:rPr>
                <w:sz w:val="18"/>
                <w:szCs w:val="18"/>
              </w:rPr>
            </w:pPr>
            <w:r w:rsidRPr="00CF3E3D">
              <w:rPr>
                <w:sz w:val="18"/>
                <w:szCs w:val="18"/>
              </w:rPr>
              <w:t>68.2</w:t>
            </w:r>
          </w:p>
        </w:tc>
      </w:tr>
      <w:tr w:rsidR="00A30E61" w:rsidRPr="00CF3E3D" w14:paraId="1B1F485A"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6AEB7B6" w14:textId="77777777" w:rsidR="00A30E61" w:rsidRPr="00D002F3" w:rsidRDefault="00A30E61" w:rsidP="007007AC">
            <w:pPr>
              <w:spacing w:before="85" w:line="288" w:lineRule="auto"/>
              <w:rPr>
                <w:b/>
                <w:bCs/>
                <w:sz w:val="18"/>
                <w:szCs w:val="18"/>
              </w:rPr>
            </w:pPr>
            <w:r w:rsidRPr="00D002F3">
              <w:rPr>
                <w:b/>
                <w:bCs/>
                <w:sz w:val="18"/>
                <w:szCs w:val="18"/>
              </w:rPr>
              <w:t>Alphacrucis College</w:t>
            </w:r>
          </w:p>
        </w:tc>
        <w:tc>
          <w:tcPr>
            <w:cnfStyle w:val="000001000000" w:firstRow="0" w:lastRow="0" w:firstColumn="0" w:lastColumn="0" w:oddVBand="0" w:evenVBand="1" w:oddHBand="0" w:evenHBand="0" w:firstRowFirstColumn="0" w:firstRowLastColumn="0" w:lastRowFirstColumn="0" w:lastRowLastColumn="0"/>
            <w:tcW w:w="709" w:type="pct"/>
          </w:tcPr>
          <w:p w14:paraId="37CAA107" w14:textId="77777777" w:rsidR="00A30E61" w:rsidRPr="00CF3E3D" w:rsidRDefault="00A30E61" w:rsidP="007007AC">
            <w:pPr>
              <w:spacing w:before="85" w:line="288" w:lineRule="auto"/>
              <w:jc w:val="center"/>
              <w:rPr>
                <w:sz w:val="18"/>
                <w:szCs w:val="18"/>
              </w:rPr>
            </w:pPr>
            <w:r w:rsidRPr="00CF3E3D">
              <w:rPr>
                <w:sz w:val="18"/>
                <w:szCs w:val="18"/>
              </w:rPr>
              <w:t>50.4</w:t>
            </w:r>
          </w:p>
        </w:tc>
        <w:tc>
          <w:tcPr>
            <w:cnfStyle w:val="000010000000" w:firstRow="0" w:lastRow="0" w:firstColumn="0" w:lastColumn="0" w:oddVBand="1" w:evenVBand="0" w:oddHBand="0" w:evenHBand="0" w:firstRowFirstColumn="0" w:firstRowLastColumn="0" w:lastRowFirstColumn="0" w:lastRowLastColumn="0"/>
            <w:tcW w:w="755" w:type="pct"/>
          </w:tcPr>
          <w:p w14:paraId="73905033"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02619963" w14:textId="77777777" w:rsidR="00A30E61" w:rsidRPr="00CF3E3D" w:rsidRDefault="00A30E61" w:rsidP="007007AC">
            <w:pPr>
              <w:spacing w:before="85" w:line="288" w:lineRule="auto"/>
              <w:jc w:val="center"/>
              <w:rPr>
                <w:sz w:val="18"/>
                <w:szCs w:val="18"/>
              </w:rPr>
            </w:pPr>
            <w:r w:rsidRPr="00CF3E3D">
              <w:rPr>
                <w:sz w:val="18"/>
                <w:szCs w:val="18"/>
              </w:rPr>
              <w:t>51.4</w:t>
            </w:r>
          </w:p>
        </w:tc>
        <w:tc>
          <w:tcPr>
            <w:cnfStyle w:val="000010000000" w:firstRow="0" w:lastRow="0" w:firstColumn="0" w:lastColumn="0" w:oddVBand="1" w:evenVBand="0" w:oddHBand="0" w:evenHBand="0" w:firstRowFirstColumn="0" w:firstRowLastColumn="0" w:lastRowFirstColumn="0" w:lastRowLastColumn="0"/>
            <w:tcW w:w="755" w:type="pct"/>
          </w:tcPr>
          <w:p w14:paraId="75460AF5" w14:textId="77777777" w:rsidR="00A30E61" w:rsidRPr="00CF3E3D" w:rsidRDefault="00A30E61" w:rsidP="007007AC">
            <w:pPr>
              <w:spacing w:before="85" w:line="288" w:lineRule="auto"/>
              <w:jc w:val="center"/>
              <w:rPr>
                <w:sz w:val="18"/>
                <w:szCs w:val="18"/>
              </w:rPr>
            </w:pPr>
            <w:r w:rsidRPr="00CF3E3D">
              <w:rPr>
                <w:sz w:val="18"/>
                <w:szCs w:val="18"/>
              </w:rPr>
              <w:t>51.0</w:t>
            </w:r>
          </w:p>
        </w:tc>
      </w:tr>
      <w:tr w:rsidR="00A30E61" w:rsidRPr="00CF3E3D" w14:paraId="3AF8D4B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A276C1B" w14:textId="77777777" w:rsidR="00A30E61" w:rsidRPr="00D002F3" w:rsidRDefault="00A30E61" w:rsidP="007007AC">
            <w:pPr>
              <w:spacing w:before="85" w:line="288" w:lineRule="auto"/>
              <w:rPr>
                <w:b/>
                <w:bCs/>
                <w:sz w:val="18"/>
                <w:szCs w:val="18"/>
              </w:rPr>
            </w:pPr>
            <w:r w:rsidRPr="00D002F3">
              <w:rPr>
                <w:b/>
                <w:bCs/>
                <w:sz w:val="18"/>
                <w:szCs w:val="18"/>
              </w:rPr>
              <w:t>Asia Pacific International College</w:t>
            </w:r>
          </w:p>
        </w:tc>
        <w:tc>
          <w:tcPr>
            <w:cnfStyle w:val="000001000000" w:firstRow="0" w:lastRow="0" w:firstColumn="0" w:lastColumn="0" w:oddVBand="0" w:evenVBand="1" w:oddHBand="0" w:evenHBand="0" w:firstRowFirstColumn="0" w:firstRowLastColumn="0" w:lastRowFirstColumn="0" w:lastRowLastColumn="0"/>
            <w:tcW w:w="709" w:type="pct"/>
          </w:tcPr>
          <w:p w14:paraId="756AFF41" w14:textId="77777777" w:rsidR="00A30E61" w:rsidRPr="00CF3E3D" w:rsidRDefault="00A30E61" w:rsidP="007007AC">
            <w:pPr>
              <w:spacing w:before="85" w:line="288" w:lineRule="auto"/>
              <w:jc w:val="center"/>
              <w:rPr>
                <w:sz w:val="18"/>
                <w:szCs w:val="18"/>
              </w:rPr>
            </w:pPr>
            <w:r w:rsidRPr="00CF3E3D">
              <w:rPr>
                <w:sz w:val="18"/>
                <w:szCs w:val="18"/>
              </w:rPr>
              <w:t>26.5</w:t>
            </w:r>
          </w:p>
        </w:tc>
        <w:tc>
          <w:tcPr>
            <w:cnfStyle w:val="000010000000" w:firstRow="0" w:lastRow="0" w:firstColumn="0" w:lastColumn="0" w:oddVBand="1" w:evenVBand="0" w:oddHBand="0" w:evenHBand="0" w:firstRowFirstColumn="0" w:firstRowLastColumn="0" w:lastRowFirstColumn="0" w:lastRowLastColumn="0"/>
            <w:tcW w:w="755" w:type="pct"/>
          </w:tcPr>
          <w:p w14:paraId="24CF4A57" w14:textId="77777777" w:rsidR="00A30E61" w:rsidRPr="00CF3E3D" w:rsidRDefault="00A30E61" w:rsidP="007007AC">
            <w:pPr>
              <w:spacing w:before="85" w:line="288" w:lineRule="auto"/>
              <w:jc w:val="center"/>
              <w:rPr>
                <w:sz w:val="18"/>
                <w:szCs w:val="18"/>
              </w:rPr>
            </w:pPr>
            <w:r w:rsidRPr="00CF3E3D">
              <w:rPr>
                <w:sz w:val="18"/>
                <w:szCs w:val="18"/>
              </w:rPr>
              <w:t>22.2</w:t>
            </w:r>
          </w:p>
        </w:tc>
        <w:tc>
          <w:tcPr>
            <w:cnfStyle w:val="000001000000" w:firstRow="0" w:lastRow="0" w:firstColumn="0" w:lastColumn="0" w:oddVBand="0" w:evenVBand="1" w:oddHBand="0" w:evenHBand="0" w:firstRowFirstColumn="0" w:firstRowLastColumn="0" w:lastRowFirstColumn="0" w:lastRowLastColumn="0"/>
            <w:tcW w:w="755" w:type="pct"/>
          </w:tcPr>
          <w:p w14:paraId="3F63AA78" w14:textId="77777777" w:rsidR="00A30E61" w:rsidRPr="00CF3E3D" w:rsidRDefault="00A30E61" w:rsidP="007007AC">
            <w:pPr>
              <w:spacing w:before="85" w:line="288" w:lineRule="auto"/>
              <w:jc w:val="center"/>
              <w:rPr>
                <w:sz w:val="18"/>
                <w:szCs w:val="18"/>
              </w:rPr>
            </w:pPr>
            <w:r w:rsidRPr="00CF3E3D">
              <w:rPr>
                <w:sz w:val="18"/>
                <w:szCs w:val="18"/>
              </w:rPr>
              <w:t>31.9</w:t>
            </w:r>
          </w:p>
        </w:tc>
        <w:tc>
          <w:tcPr>
            <w:cnfStyle w:val="000010000000" w:firstRow="0" w:lastRow="0" w:firstColumn="0" w:lastColumn="0" w:oddVBand="1" w:evenVBand="0" w:oddHBand="0" w:evenHBand="0" w:firstRowFirstColumn="0" w:firstRowLastColumn="0" w:lastRowFirstColumn="0" w:lastRowLastColumn="0"/>
            <w:tcW w:w="755" w:type="pct"/>
          </w:tcPr>
          <w:p w14:paraId="6D8FA6A4" w14:textId="77777777" w:rsidR="00A30E61" w:rsidRPr="00CF3E3D" w:rsidRDefault="00A30E61" w:rsidP="007007AC">
            <w:pPr>
              <w:spacing w:before="85" w:line="288" w:lineRule="auto"/>
              <w:jc w:val="center"/>
              <w:rPr>
                <w:sz w:val="18"/>
                <w:szCs w:val="18"/>
              </w:rPr>
            </w:pPr>
            <w:r w:rsidRPr="00CF3E3D">
              <w:rPr>
                <w:sz w:val="18"/>
                <w:szCs w:val="18"/>
              </w:rPr>
              <w:t>27.2</w:t>
            </w:r>
          </w:p>
        </w:tc>
      </w:tr>
      <w:tr w:rsidR="00A30E61" w:rsidRPr="00CF3E3D" w14:paraId="72C73CC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7065DE7" w14:textId="77777777" w:rsidR="00A30E61" w:rsidRPr="00D002F3" w:rsidRDefault="00A30E61" w:rsidP="007007AC">
            <w:pPr>
              <w:spacing w:before="85" w:line="288" w:lineRule="auto"/>
              <w:rPr>
                <w:b/>
                <w:bCs/>
                <w:sz w:val="18"/>
                <w:szCs w:val="18"/>
              </w:rPr>
            </w:pPr>
            <w:r w:rsidRPr="00D002F3">
              <w:rPr>
                <w:b/>
                <w:bCs/>
                <w:sz w:val="18"/>
                <w:szCs w:val="18"/>
              </w:rPr>
              <w:t>Australasian College of Health and Wellness</w:t>
            </w:r>
          </w:p>
        </w:tc>
        <w:tc>
          <w:tcPr>
            <w:cnfStyle w:val="000001000000" w:firstRow="0" w:lastRow="0" w:firstColumn="0" w:lastColumn="0" w:oddVBand="0" w:evenVBand="1" w:oddHBand="0" w:evenHBand="0" w:firstRowFirstColumn="0" w:firstRowLastColumn="0" w:lastRowFirstColumn="0" w:lastRowLastColumn="0"/>
            <w:tcW w:w="709" w:type="pct"/>
          </w:tcPr>
          <w:p w14:paraId="4A4D61CD" w14:textId="77777777" w:rsidR="00A30E61" w:rsidRPr="00CF3E3D" w:rsidRDefault="00A30E61" w:rsidP="007007AC">
            <w:pPr>
              <w:spacing w:before="85" w:line="288" w:lineRule="auto"/>
              <w:jc w:val="center"/>
              <w:rPr>
                <w:sz w:val="18"/>
                <w:szCs w:val="18"/>
              </w:rPr>
            </w:pPr>
            <w:r w:rsidRPr="00CF3E3D">
              <w:rPr>
                <w:sz w:val="18"/>
                <w:szCs w:val="18"/>
              </w:rPr>
              <w:t>16.7</w:t>
            </w:r>
          </w:p>
        </w:tc>
        <w:tc>
          <w:tcPr>
            <w:cnfStyle w:val="000010000000" w:firstRow="0" w:lastRow="0" w:firstColumn="0" w:lastColumn="0" w:oddVBand="1" w:evenVBand="0" w:oddHBand="0" w:evenHBand="0" w:firstRowFirstColumn="0" w:firstRowLastColumn="0" w:lastRowFirstColumn="0" w:lastRowLastColumn="0"/>
            <w:tcW w:w="755" w:type="pct"/>
          </w:tcPr>
          <w:p w14:paraId="15ADCB1E" w14:textId="77777777" w:rsidR="00A30E61" w:rsidRPr="00CF3E3D" w:rsidRDefault="00A30E61" w:rsidP="007007AC">
            <w:pPr>
              <w:spacing w:before="85" w:line="288" w:lineRule="auto"/>
              <w:jc w:val="center"/>
              <w:rPr>
                <w:sz w:val="18"/>
                <w:szCs w:val="18"/>
              </w:rPr>
            </w:pPr>
            <w:r w:rsidRPr="00CF3E3D">
              <w:rPr>
                <w:sz w:val="18"/>
                <w:szCs w:val="18"/>
              </w:rPr>
              <w:t>12.5</w:t>
            </w:r>
          </w:p>
        </w:tc>
        <w:tc>
          <w:tcPr>
            <w:cnfStyle w:val="000001000000" w:firstRow="0" w:lastRow="0" w:firstColumn="0" w:lastColumn="0" w:oddVBand="0" w:evenVBand="1" w:oddHBand="0" w:evenHBand="0" w:firstRowFirstColumn="0" w:firstRowLastColumn="0" w:lastRowFirstColumn="0" w:lastRowLastColumn="0"/>
            <w:tcW w:w="755" w:type="pct"/>
          </w:tcPr>
          <w:p w14:paraId="475608FA" w14:textId="77777777" w:rsidR="00A30E61" w:rsidRPr="00CF3E3D" w:rsidRDefault="00A30E61" w:rsidP="007007AC">
            <w:pPr>
              <w:spacing w:before="85" w:line="288" w:lineRule="auto"/>
              <w:jc w:val="center"/>
              <w:rPr>
                <w:sz w:val="18"/>
                <w:szCs w:val="18"/>
              </w:rPr>
            </w:pPr>
            <w:r w:rsidRPr="00CF3E3D">
              <w:rPr>
                <w:sz w:val="18"/>
                <w:szCs w:val="18"/>
              </w:rPr>
              <w:t>46.0</w:t>
            </w:r>
          </w:p>
        </w:tc>
        <w:tc>
          <w:tcPr>
            <w:cnfStyle w:val="000010000000" w:firstRow="0" w:lastRow="0" w:firstColumn="0" w:lastColumn="0" w:oddVBand="1" w:evenVBand="0" w:oddHBand="0" w:evenHBand="0" w:firstRowFirstColumn="0" w:firstRowLastColumn="0" w:lastRowFirstColumn="0" w:lastRowLastColumn="0"/>
            <w:tcW w:w="755" w:type="pct"/>
          </w:tcPr>
          <w:p w14:paraId="4AA338CF" w14:textId="77777777" w:rsidR="00A30E61" w:rsidRPr="00CF3E3D" w:rsidRDefault="00A30E61" w:rsidP="007007AC">
            <w:pPr>
              <w:spacing w:before="85" w:line="288" w:lineRule="auto"/>
              <w:jc w:val="center"/>
              <w:rPr>
                <w:sz w:val="18"/>
                <w:szCs w:val="18"/>
              </w:rPr>
            </w:pPr>
            <w:r w:rsidRPr="00CF3E3D">
              <w:rPr>
                <w:sz w:val="18"/>
                <w:szCs w:val="18"/>
              </w:rPr>
              <w:t>34.6</w:t>
            </w:r>
          </w:p>
        </w:tc>
      </w:tr>
      <w:tr w:rsidR="00A30E61" w:rsidRPr="00CF3E3D" w14:paraId="369CFF4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074A258" w14:textId="77777777" w:rsidR="00A30E61" w:rsidRPr="00D002F3" w:rsidRDefault="00A30E61" w:rsidP="007007AC">
            <w:pPr>
              <w:spacing w:before="85" w:line="288" w:lineRule="auto"/>
              <w:rPr>
                <w:b/>
                <w:bCs/>
                <w:sz w:val="18"/>
                <w:szCs w:val="18"/>
              </w:rPr>
            </w:pPr>
            <w:r w:rsidRPr="00D002F3">
              <w:rPr>
                <w:b/>
                <w:bCs/>
                <w:sz w:val="18"/>
                <w:szCs w:val="18"/>
              </w:rPr>
              <w:t>Australian Academy of Music and Performing Arts</w:t>
            </w:r>
          </w:p>
        </w:tc>
        <w:tc>
          <w:tcPr>
            <w:cnfStyle w:val="000001000000" w:firstRow="0" w:lastRow="0" w:firstColumn="0" w:lastColumn="0" w:oddVBand="0" w:evenVBand="1" w:oddHBand="0" w:evenHBand="0" w:firstRowFirstColumn="0" w:firstRowLastColumn="0" w:lastRowFirstColumn="0" w:lastRowLastColumn="0"/>
            <w:tcW w:w="709" w:type="pct"/>
          </w:tcPr>
          <w:p w14:paraId="7584FF61" w14:textId="77777777" w:rsidR="00A30E61" w:rsidRPr="00CF3E3D" w:rsidRDefault="00A30E61" w:rsidP="007007AC">
            <w:pPr>
              <w:spacing w:before="85" w:line="288" w:lineRule="auto"/>
              <w:jc w:val="center"/>
              <w:rPr>
                <w:sz w:val="18"/>
                <w:szCs w:val="18"/>
              </w:rPr>
            </w:pPr>
            <w:r w:rsidRPr="00CF3E3D">
              <w:rPr>
                <w:sz w:val="18"/>
                <w:szCs w:val="18"/>
              </w:rPr>
              <w:t>61.5</w:t>
            </w:r>
          </w:p>
        </w:tc>
        <w:tc>
          <w:tcPr>
            <w:cnfStyle w:val="000010000000" w:firstRow="0" w:lastRow="0" w:firstColumn="0" w:lastColumn="0" w:oddVBand="1" w:evenVBand="0" w:oddHBand="0" w:evenHBand="0" w:firstRowFirstColumn="0" w:firstRowLastColumn="0" w:lastRowFirstColumn="0" w:lastRowLastColumn="0"/>
            <w:tcW w:w="755" w:type="pct"/>
          </w:tcPr>
          <w:p w14:paraId="0A461E48"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F047551" w14:textId="77777777" w:rsidR="00A30E61" w:rsidRPr="00CF3E3D" w:rsidRDefault="00A30E61" w:rsidP="007007AC">
            <w:pPr>
              <w:spacing w:before="85" w:line="288" w:lineRule="auto"/>
              <w:jc w:val="center"/>
              <w:rPr>
                <w:sz w:val="18"/>
                <w:szCs w:val="18"/>
              </w:rPr>
            </w:pPr>
            <w:r w:rsidRPr="00CF3E3D">
              <w:rPr>
                <w:sz w:val="18"/>
                <w:szCs w:val="18"/>
              </w:rPr>
              <w:t>25.0</w:t>
            </w:r>
          </w:p>
        </w:tc>
        <w:tc>
          <w:tcPr>
            <w:cnfStyle w:val="000010000000" w:firstRow="0" w:lastRow="0" w:firstColumn="0" w:lastColumn="0" w:oddVBand="1" w:evenVBand="0" w:oddHBand="0" w:evenHBand="0" w:firstRowFirstColumn="0" w:firstRowLastColumn="0" w:lastRowFirstColumn="0" w:lastRowLastColumn="0"/>
            <w:tcW w:w="755" w:type="pct"/>
          </w:tcPr>
          <w:p w14:paraId="29157101" w14:textId="77777777" w:rsidR="00A30E61" w:rsidRPr="00CF3E3D" w:rsidRDefault="00A30E61" w:rsidP="007007AC">
            <w:pPr>
              <w:spacing w:before="85" w:line="288" w:lineRule="auto"/>
              <w:jc w:val="center"/>
              <w:rPr>
                <w:sz w:val="18"/>
                <w:szCs w:val="18"/>
              </w:rPr>
            </w:pPr>
            <w:r w:rsidRPr="00CF3E3D">
              <w:rPr>
                <w:sz w:val="18"/>
                <w:szCs w:val="18"/>
              </w:rPr>
              <w:t>39.4</w:t>
            </w:r>
          </w:p>
        </w:tc>
      </w:tr>
      <w:tr w:rsidR="00A30E61" w:rsidRPr="00CF3E3D" w14:paraId="7AD3F59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FF9AD9E" w14:textId="77777777" w:rsidR="00A30E61" w:rsidRPr="00D002F3" w:rsidRDefault="00A30E61" w:rsidP="007007AC">
            <w:pPr>
              <w:spacing w:before="85" w:line="288" w:lineRule="auto"/>
              <w:rPr>
                <w:b/>
                <w:bCs/>
                <w:sz w:val="18"/>
                <w:szCs w:val="18"/>
              </w:rPr>
            </w:pPr>
            <w:r w:rsidRPr="00D002F3">
              <w:rPr>
                <w:b/>
                <w:bCs/>
                <w:sz w:val="18"/>
                <w:szCs w:val="18"/>
              </w:rPr>
              <w:t>Australian College of Applied Professions</w:t>
            </w:r>
          </w:p>
        </w:tc>
        <w:tc>
          <w:tcPr>
            <w:cnfStyle w:val="000001000000" w:firstRow="0" w:lastRow="0" w:firstColumn="0" w:lastColumn="0" w:oddVBand="0" w:evenVBand="1" w:oddHBand="0" w:evenHBand="0" w:firstRowFirstColumn="0" w:firstRowLastColumn="0" w:lastRowFirstColumn="0" w:lastRowLastColumn="0"/>
            <w:tcW w:w="709" w:type="pct"/>
          </w:tcPr>
          <w:p w14:paraId="68865F09" w14:textId="77777777" w:rsidR="00A30E61" w:rsidRPr="00CF3E3D" w:rsidRDefault="00A30E61" w:rsidP="007007AC">
            <w:pPr>
              <w:spacing w:before="85" w:line="288" w:lineRule="auto"/>
              <w:jc w:val="center"/>
              <w:rPr>
                <w:sz w:val="18"/>
                <w:szCs w:val="18"/>
              </w:rPr>
            </w:pPr>
            <w:r w:rsidRPr="00CF3E3D">
              <w:rPr>
                <w:sz w:val="18"/>
                <w:szCs w:val="18"/>
              </w:rPr>
              <w:t>41.7</w:t>
            </w:r>
          </w:p>
        </w:tc>
        <w:tc>
          <w:tcPr>
            <w:cnfStyle w:val="000010000000" w:firstRow="0" w:lastRow="0" w:firstColumn="0" w:lastColumn="0" w:oddVBand="1" w:evenVBand="0" w:oddHBand="0" w:evenHBand="0" w:firstRowFirstColumn="0" w:firstRowLastColumn="0" w:lastRowFirstColumn="0" w:lastRowLastColumn="0"/>
            <w:tcW w:w="755" w:type="pct"/>
          </w:tcPr>
          <w:p w14:paraId="05F8D7E8"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67F8785" w14:textId="77777777" w:rsidR="00A30E61" w:rsidRPr="00CF3E3D" w:rsidRDefault="00A30E61" w:rsidP="007007AC">
            <w:pPr>
              <w:spacing w:before="85" w:line="288" w:lineRule="auto"/>
              <w:jc w:val="center"/>
              <w:rPr>
                <w:sz w:val="18"/>
                <w:szCs w:val="18"/>
              </w:rPr>
            </w:pPr>
            <w:r w:rsidRPr="00CF3E3D">
              <w:rPr>
                <w:sz w:val="18"/>
                <w:szCs w:val="18"/>
              </w:rPr>
              <w:t>42.6</w:t>
            </w:r>
          </w:p>
        </w:tc>
        <w:tc>
          <w:tcPr>
            <w:cnfStyle w:val="000010000000" w:firstRow="0" w:lastRow="0" w:firstColumn="0" w:lastColumn="0" w:oddVBand="1" w:evenVBand="0" w:oddHBand="0" w:evenHBand="0" w:firstRowFirstColumn="0" w:firstRowLastColumn="0" w:lastRowFirstColumn="0" w:lastRowLastColumn="0"/>
            <w:tcW w:w="755" w:type="pct"/>
          </w:tcPr>
          <w:p w14:paraId="557EC18C" w14:textId="77777777" w:rsidR="00A30E61" w:rsidRPr="00CF3E3D" w:rsidRDefault="00A30E61" w:rsidP="007007AC">
            <w:pPr>
              <w:spacing w:before="85" w:line="288" w:lineRule="auto"/>
              <w:jc w:val="center"/>
              <w:rPr>
                <w:sz w:val="18"/>
                <w:szCs w:val="18"/>
              </w:rPr>
            </w:pPr>
            <w:r w:rsidRPr="00CF3E3D">
              <w:rPr>
                <w:sz w:val="18"/>
                <w:szCs w:val="18"/>
              </w:rPr>
              <w:t>42.0</w:t>
            </w:r>
          </w:p>
        </w:tc>
      </w:tr>
      <w:tr w:rsidR="00A30E61" w:rsidRPr="00CF3E3D" w14:paraId="7EEB9D46"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081AAFA" w14:textId="77777777" w:rsidR="00A30E61" w:rsidRPr="00D002F3" w:rsidRDefault="00A30E61" w:rsidP="007007AC">
            <w:pPr>
              <w:spacing w:before="85" w:line="288" w:lineRule="auto"/>
              <w:rPr>
                <w:b/>
                <w:bCs/>
                <w:sz w:val="18"/>
                <w:szCs w:val="18"/>
              </w:rPr>
            </w:pPr>
            <w:r w:rsidRPr="00D002F3">
              <w:rPr>
                <w:b/>
                <w:bCs/>
                <w:sz w:val="18"/>
                <w:szCs w:val="18"/>
              </w:rPr>
              <w:t>Australian College of Christian Studies</w:t>
            </w:r>
          </w:p>
        </w:tc>
        <w:tc>
          <w:tcPr>
            <w:cnfStyle w:val="000001000000" w:firstRow="0" w:lastRow="0" w:firstColumn="0" w:lastColumn="0" w:oddVBand="0" w:evenVBand="1" w:oddHBand="0" w:evenHBand="0" w:firstRowFirstColumn="0" w:firstRowLastColumn="0" w:lastRowFirstColumn="0" w:lastRowLastColumn="0"/>
            <w:tcW w:w="709" w:type="pct"/>
          </w:tcPr>
          <w:p w14:paraId="7988FBE1"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1733D662"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AB439F4" w14:textId="77777777" w:rsidR="00A30E61" w:rsidRPr="00CF3E3D" w:rsidRDefault="00A30E61" w:rsidP="007007AC">
            <w:pPr>
              <w:spacing w:before="85" w:line="288" w:lineRule="auto"/>
              <w:jc w:val="center"/>
              <w:rPr>
                <w:sz w:val="18"/>
                <w:szCs w:val="18"/>
              </w:rPr>
            </w:pPr>
            <w:r w:rsidRPr="00CF3E3D">
              <w:rPr>
                <w:sz w:val="18"/>
                <w:szCs w:val="18"/>
              </w:rPr>
              <w:t>60.0</w:t>
            </w:r>
          </w:p>
        </w:tc>
        <w:tc>
          <w:tcPr>
            <w:cnfStyle w:val="000010000000" w:firstRow="0" w:lastRow="0" w:firstColumn="0" w:lastColumn="0" w:oddVBand="1" w:evenVBand="0" w:oddHBand="0" w:evenHBand="0" w:firstRowFirstColumn="0" w:firstRowLastColumn="0" w:lastRowFirstColumn="0" w:lastRowLastColumn="0"/>
            <w:tcW w:w="755" w:type="pct"/>
          </w:tcPr>
          <w:p w14:paraId="2F202301" w14:textId="77777777" w:rsidR="00A30E61" w:rsidRPr="00CF3E3D" w:rsidRDefault="00A30E61" w:rsidP="007007AC">
            <w:pPr>
              <w:spacing w:before="85" w:line="288" w:lineRule="auto"/>
              <w:jc w:val="center"/>
              <w:rPr>
                <w:sz w:val="18"/>
                <w:szCs w:val="18"/>
              </w:rPr>
            </w:pPr>
            <w:r w:rsidRPr="00CF3E3D">
              <w:rPr>
                <w:sz w:val="18"/>
                <w:szCs w:val="18"/>
              </w:rPr>
              <w:t>60.0</w:t>
            </w:r>
          </w:p>
        </w:tc>
      </w:tr>
      <w:tr w:rsidR="00A30E61" w:rsidRPr="00CF3E3D" w14:paraId="59AD56C1"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FFD844F" w14:textId="77777777" w:rsidR="00A30E61" w:rsidRPr="00D002F3" w:rsidRDefault="00A30E61" w:rsidP="007007AC">
            <w:pPr>
              <w:spacing w:before="85" w:line="288" w:lineRule="auto"/>
              <w:rPr>
                <w:b/>
                <w:bCs/>
                <w:sz w:val="18"/>
                <w:szCs w:val="18"/>
              </w:rPr>
            </w:pPr>
            <w:r w:rsidRPr="00D002F3">
              <w:rPr>
                <w:b/>
                <w:bCs/>
                <w:sz w:val="18"/>
                <w:szCs w:val="18"/>
              </w:rPr>
              <w:t>Australian College of Nursing</w:t>
            </w:r>
          </w:p>
        </w:tc>
        <w:tc>
          <w:tcPr>
            <w:cnfStyle w:val="000001000000" w:firstRow="0" w:lastRow="0" w:firstColumn="0" w:lastColumn="0" w:oddVBand="0" w:evenVBand="1" w:oddHBand="0" w:evenHBand="0" w:firstRowFirstColumn="0" w:firstRowLastColumn="0" w:lastRowFirstColumn="0" w:lastRowLastColumn="0"/>
            <w:tcW w:w="709" w:type="pct"/>
          </w:tcPr>
          <w:p w14:paraId="2BC9AA89" w14:textId="77777777" w:rsidR="00A30E61" w:rsidRPr="00CF3E3D" w:rsidRDefault="00A30E61" w:rsidP="007007AC">
            <w:pPr>
              <w:spacing w:before="85" w:line="288" w:lineRule="auto"/>
              <w:jc w:val="center"/>
              <w:rPr>
                <w:sz w:val="18"/>
                <w:szCs w:val="18"/>
              </w:rPr>
            </w:pPr>
            <w:r w:rsidRPr="00CF3E3D">
              <w:rPr>
                <w:sz w:val="18"/>
                <w:szCs w:val="18"/>
              </w:rPr>
              <w:t>46.8</w:t>
            </w:r>
          </w:p>
        </w:tc>
        <w:tc>
          <w:tcPr>
            <w:cnfStyle w:val="000010000000" w:firstRow="0" w:lastRow="0" w:firstColumn="0" w:lastColumn="0" w:oddVBand="1" w:evenVBand="0" w:oddHBand="0" w:evenHBand="0" w:firstRowFirstColumn="0" w:firstRowLastColumn="0" w:lastRowFirstColumn="0" w:lastRowLastColumn="0"/>
            <w:tcW w:w="755" w:type="pct"/>
          </w:tcPr>
          <w:p w14:paraId="72A00975" w14:textId="77777777" w:rsidR="00A30E61" w:rsidRPr="00CF3E3D" w:rsidRDefault="00A30E61" w:rsidP="007007AC">
            <w:pPr>
              <w:spacing w:before="85" w:line="288" w:lineRule="auto"/>
              <w:jc w:val="center"/>
              <w:rPr>
                <w:sz w:val="18"/>
                <w:szCs w:val="18"/>
              </w:rPr>
            </w:pPr>
            <w:r w:rsidRPr="00CF3E3D">
              <w:rPr>
                <w:sz w:val="18"/>
                <w:szCs w:val="18"/>
              </w:rPr>
              <w:t>35.5</w:t>
            </w:r>
          </w:p>
        </w:tc>
        <w:tc>
          <w:tcPr>
            <w:cnfStyle w:val="000001000000" w:firstRow="0" w:lastRow="0" w:firstColumn="0" w:lastColumn="0" w:oddVBand="0" w:evenVBand="1" w:oddHBand="0" w:evenHBand="0" w:firstRowFirstColumn="0" w:firstRowLastColumn="0" w:lastRowFirstColumn="0" w:lastRowLastColumn="0"/>
            <w:tcW w:w="755" w:type="pct"/>
          </w:tcPr>
          <w:p w14:paraId="0097B67C" w14:textId="77777777" w:rsidR="00A30E61" w:rsidRPr="00CF3E3D" w:rsidRDefault="00A30E61" w:rsidP="007007AC">
            <w:pPr>
              <w:spacing w:before="85" w:line="288" w:lineRule="auto"/>
              <w:jc w:val="center"/>
              <w:rPr>
                <w:sz w:val="18"/>
                <w:szCs w:val="18"/>
              </w:rPr>
            </w:pPr>
            <w:r w:rsidRPr="00CF3E3D">
              <w:rPr>
                <w:sz w:val="18"/>
                <w:szCs w:val="18"/>
              </w:rPr>
              <w:t>46.8</w:t>
            </w:r>
          </w:p>
        </w:tc>
        <w:tc>
          <w:tcPr>
            <w:cnfStyle w:val="000010000000" w:firstRow="0" w:lastRow="0" w:firstColumn="0" w:lastColumn="0" w:oddVBand="1" w:evenVBand="0" w:oddHBand="0" w:evenHBand="0" w:firstRowFirstColumn="0" w:firstRowLastColumn="0" w:lastRowFirstColumn="0" w:lastRowLastColumn="0"/>
            <w:tcW w:w="755" w:type="pct"/>
          </w:tcPr>
          <w:p w14:paraId="57405297" w14:textId="77777777" w:rsidR="00A30E61" w:rsidRPr="00CF3E3D" w:rsidRDefault="00A30E61" w:rsidP="007007AC">
            <w:pPr>
              <w:spacing w:before="85" w:line="288" w:lineRule="auto"/>
              <w:jc w:val="center"/>
              <w:rPr>
                <w:sz w:val="18"/>
                <w:szCs w:val="18"/>
              </w:rPr>
            </w:pPr>
            <w:r w:rsidRPr="00CF3E3D">
              <w:rPr>
                <w:sz w:val="18"/>
                <w:szCs w:val="18"/>
              </w:rPr>
              <w:t>46.0</w:t>
            </w:r>
          </w:p>
        </w:tc>
      </w:tr>
      <w:tr w:rsidR="00A30E61" w:rsidRPr="00CF3E3D" w14:paraId="61B31F6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9E5FEA1" w14:textId="77777777" w:rsidR="00A30E61" w:rsidRPr="00D002F3" w:rsidRDefault="00A30E61" w:rsidP="007007AC">
            <w:pPr>
              <w:spacing w:before="85" w:line="288" w:lineRule="auto"/>
              <w:rPr>
                <w:b/>
                <w:bCs/>
                <w:sz w:val="18"/>
                <w:szCs w:val="18"/>
              </w:rPr>
            </w:pPr>
            <w:r w:rsidRPr="00D002F3">
              <w:rPr>
                <w:b/>
                <w:bCs/>
                <w:sz w:val="18"/>
                <w:szCs w:val="18"/>
              </w:rPr>
              <w:t>Australian College of Theology Limited</w:t>
            </w:r>
          </w:p>
        </w:tc>
        <w:tc>
          <w:tcPr>
            <w:cnfStyle w:val="000001000000" w:firstRow="0" w:lastRow="0" w:firstColumn="0" w:lastColumn="0" w:oddVBand="0" w:evenVBand="1" w:oddHBand="0" w:evenHBand="0" w:firstRowFirstColumn="0" w:firstRowLastColumn="0" w:lastRowFirstColumn="0" w:lastRowLastColumn="0"/>
            <w:tcW w:w="709" w:type="pct"/>
          </w:tcPr>
          <w:p w14:paraId="3766627F" w14:textId="77777777" w:rsidR="00A30E61" w:rsidRPr="00CF3E3D" w:rsidRDefault="00A30E61" w:rsidP="007007AC">
            <w:pPr>
              <w:spacing w:before="85" w:line="288" w:lineRule="auto"/>
              <w:jc w:val="center"/>
              <w:rPr>
                <w:sz w:val="18"/>
                <w:szCs w:val="18"/>
              </w:rPr>
            </w:pPr>
            <w:r w:rsidRPr="00CF3E3D">
              <w:rPr>
                <w:sz w:val="18"/>
                <w:szCs w:val="18"/>
              </w:rPr>
              <w:t>43.8</w:t>
            </w:r>
          </w:p>
        </w:tc>
        <w:tc>
          <w:tcPr>
            <w:cnfStyle w:val="000010000000" w:firstRow="0" w:lastRow="0" w:firstColumn="0" w:lastColumn="0" w:oddVBand="1" w:evenVBand="0" w:oddHBand="0" w:evenHBand="0" w:firstRowFirstColumn="0" w:firstRowLastColumn="0" w:lastRowFirstColumn="0" w:lastRowLastColumn="0"/>
            <w:tcW w:w="755" w:type="pct"/>
          </w:tcPr>
          <w:p w14:paraId="6DDD6D36" w14:textId="77777777" w:rsidR="00A30E61" w:rsidRPr="00CF3E3D" w:rsidRDefault="00A30E61" w:rsidP="007007AC">
            <w:pPr>
              <w:spacing w:before="85" w:line="288" w:lineRule="auto"/>
              <w:jc w:val="center"/>
              <w:rPr>
                <w:sz w:val="18"/>
                <w:szCs w:val="18"/>
              </w:rPr>
            </w:pPr>
            <w:r w:rsidRPr="00CF3E3D">
              <w:rPr>
                <w:sz w:val="18"/>
                <w:szCs w:val="18"/>
              </w:rPr>
              <w:t>52.9</w:t>
            </w:r>
          </w:p>
        </w:tc>
        <w:tc>
          <w:tcPr>
            <w:cnfStyle w:val="000001000000" w:firstRow="0" w:lastRow="0" w:firstColumn="0" w:lastColumn="0" w:oddVBand="0" w:evenVBand="1" w:oddHBand="0" w:evenHBand="0" w:firstRowFirstColumn="0" w:firstRowLastColumn="0" w:lastRowFirstColumn="0" w:lastRowLastColumn="0"/>
            <w:tcW w:w="755" w:type="pct"/>
          </w:tcPr>
          <w:p w14:paraId="62B3B0F8" w14:textId="77777777" w:rsidR="00A30E61" w:rsidRPr="00CF3E3D" w:rsidRDefault="00A30E61" w:rsidP="007007AC">
            <w:pPr>
              <w:spacing w:before="85" w:line="288" w:lineRule="auto"/>
              <w:jc w:val="center"/>
              <w:rPr>
                <w:sz w:val="18"/>
                <w:szCs w:val="18"/>
              </w:rPr>
            </w:pPr>
            <w:r w:rsidRPr="00CF3E3D">
              <w:rPr>
                <w:sz w:val="18"/>
                <w:szCs w:val="18"/>
              </w:rPr>
              <w:t>54.3</w:t>
            </w:r>
          </w:p>
        </w:tc>
        <w:tc>
          <w:tcPr>
            <w:cnfStyle w:val="000010000000" w:firstRow="0" w:lastRow="0" w:firstColumn="0" w:lastColumn="0" w:oddVBand="1" w:evenVBand="0" w:oddHBand="0" w:evenHBand="0" w:firstRowFirstColumn="0" w:firstRowLastColumn="0" w:lastRowFirstColumn="0" w:lastRowLastColumn="0"/>
            <w:tcW w:w="755" w:type="pct"/>
          </w:tcPr>
          <w:p w14:paraId="2298F9C8" w14:textId="77777777" w:rsidR="00A30E61" w:rsidRPr="00CF3E3D" w:rsidRDefault="00A30E61" w:rsidP="007007AC">
            <w:pPr>
              <w:spacing w:before="85" w:line="288" w:lineRule="auto"/>
              <w:jc w:val="center"/>
              <w:rPr>
                <w:sz w:val="18"/>
                <w:szCs w:val="18"/>
              </w:rPr>
            </w:pPr>
            <w:r w:rsidRPr="00CF3E3D">
              <w:rPr>
                <w:sz w:val="18"/>
                <w:szCs w:val="18"/>
              </w:rPr>
              <w:t>51.4</w:t>
            </w:r>
          </w:p>
        </w:tc>
      </w:tr>
      <w:tr w:rsidR="00A30E61" w:rsidRPr="00CF3E3D" w14:paraId="0109A10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FC8CA00" w14:textId="77777777" w:rsidR="00A30E61" w:rsidRPr="00D002F3" w:rsidRDefault="00A30E61" w:rsidP="007007AC">
            <w:pPr>
              <w:spacing w:before="85" w:line="288" w:lineRule="auto"/>
              <w:rPr>
                <w:b/>
                <w:bCs/>
                <w:sz w:val="18"/>
                <w:szCs w:val="18"/>
              </w:rPr>
            </w:pPr>
            <w:r w:rsidRPr="00D002F3">
              <w:rPr>
                <w:b/>
                <w:bCs/>
                <w:sz w:val="18"/>
                <w:szCs w:val="18"/>
              </w:rPr>
              <w:t>Australian Institute of Business Pty Ltd</w:t>
            </w:r>
          </w:p>
        </w:tc>
        <w:tc>
          <w:tcPr>
            <w:cnfStyle w:val="000001000000" w:firstRow="0" w:lastRow="0" w:firstColumn="0" w:lastColumn="0" w:oddVBand="0" w:evenVBand="1" w:oddHBand="0" w:evenHBand="0" w:firstRowFirstColumn="0" w:firstRowLastColumn="0" w:lastRowFirstColumn="0" w:lastRowLastColumn="0"/>
            <w:tcW w:w="709" w:type="pct"/>
          </w:tcPr>
          <w:p w14:paraId="44FA2715" w14:textId="77777777" w:rsidR="00A30E61" w:rsidRPr="00CF3E3D" w:rsidRDefault="00A30E61" w:rsidP="007007AC">
            <w:pPr>
              <w:spacing w:before="85" w:line="288" w:lineRule="auto"/>
              <w:jc w:val="center"/>
              <w:rPr>
                <w:sz w:val="18"/>
                <w:szCs w:val="18"/>
              </w:rPr>
            </w:pPr>
            <w:r w:rsidRPr="00CF3E3D">
              <w:rPr>
                <w:sz w:val="18"/>
                <w:szCs w:val="18"/>
              </w:rPr>
              <w:t>46.0</w:t>
            </w:r>
          </w:p>
        </w:tc>
        <w:tc>
          <w:tcPr>
            <w:cnfStyle w:val="000010000000" w:firstRow="0" w:lastRow="0" w:firstColumn="0" w:lastColumn="0" w:oddVBand="1" w:evenVBand="0" w:oddHBand="0" w:evenHBand="0" w:firstRowFirstColumn="0" w:firstRowLastColumn="0" w:lastRowFirstColumn="0" w:lastRowLastColumn="0"/>
            <w:tcW w:w="755" w:type="pct"/>
          </w:tcPr>
          <w:p w14:paraId="4BBA3C9A" w14:textId="77777777" w:rsidR="00A30E61" w:rsidRPr="00CF3E3D" w:rsidRDefault="00A30E61" w:rsidP="007007AC">
            <w:pPr>
              <w:spacing w:before="85" w:line="288" w:lineRule="auto"/>
              <w:jc w:val="center"/>
              <w:rPr>
                <w:sz w:val="18"/>
                <w:szCs w:val="18"/>
              </w:rPr>
            </w:pPr>
            <w:r w:rsidRPr="00CF3E3D">
              <w:rPr>
                <w:sz w:val="18"/>
                <w:szCs w:val="18"/>
              </w:rPr>
              <w:t>45.3</w:t>
            </w:r>
          </w:p>
        </w:tc>
        <w:tc>
          <w:tcPr>
            <w:cnfStyle w:val="000001000000" w:firstRow="0" w:lastRow="0" w:firstColumn="0" w:lastColumn="0" w:oddVBand="0" w:evenVBand="1" w:oddHBand="0" w:evenHBand="0" w:firstRowFirstColumn="0" w:firstRowLastColumn="0" w:lastRowFirstColumn="0" w:lastRowLastColumn="0"/>
            <w:tcW w:w="755" w:type="pct"/>
          </w:tcPr>
          <w:p w14:paraId="42B3AFF8" w14:textId="77777777" w:rsidR="00A30E61" w:rsidRPr="00CF3E3D" w:rsidRDefault="00A30E61" w:rsidP="007007AC">
            <w:pPr>
              <w:spacing w:before="85" w:line="288" w:lineRule="auto"/>
              <w:jc w:val="center"/>
              <w:rPr>
                <w:sz w:val="18"/>
                <w:szCs w:val="18"/>
              </w:rPr>
            </w:pPr>
            <w:r w:rsidRPr="00CF3E3D">
              <w:rPr>
                <w:sz w:val="18"/>
                <w:szCs w:val="18"/>
              </w:rPr>
              <w:t>47.9</w:t>
            </w:r>
          </w:p>
        </w:tc>
        <w:tc>
          <w:tcPr>
            <w:cnfStyle w:val="000010000000" w:firstRow="0" w:lastRow="0" w:firstColumn="0" w:lastColumn="0" w:oddVBand="1" w:evenVBand="0" w:oddHBand="0" w:evenHBand="0" w:firstRowFirstColumn="0" w:firstRowLastColumn="0" w:lastRowFirstColumn="0" w:lastRowLastColumn="0"/>
            <w:tcW w:w="755" w:type="pct"/>
          </w:tcPr>
          <w:p w14:paraId="027296A3" w14:textId="77777777" w:rsidR="00A30E61" w:rsidRPr="00CF3E3D" w:rsidRDefault="00A30E61" w:rsidP="007007AC">
            <w:pPr>
              <w:spacing w:before="85" w:line="288" w:lineRule="auto"/>
              <w:jc w:val="center"/>
              <w:rPr>
                <w:sz w:val="18"/>
                <w:szCs w:val="18"/>
              </w:rPr>
            </w:pPr>
            <w:r w:rsidRPr="00CF3E3D">
              <w:rPr>
                <w:sz w:val="18"/>
                <w:szCs w:val="18"/>
              </w:rPr>
              <w:t>46.5</w:t>
            </w:r>
          </w:p>
        </w:tc>
      </w:tr>
      <w:tr w:rsidR="00A30E61" w:rsidRPr="00CF3E3D" w14:paraId="7BB000F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972D9F7" w14:textId="77777777" w:rsidR="00A30E61" w:rsidRPr="00D002F3" w:rsidRDefault="00A30E61" w:rsidP="007007AC">
            <w:pPr>
              <w:spacing w:before="85" w:line="288" w:lineRule="auto"/>
              <w:rPr>
                <w:b/>
                <w:bCs/>
                <w:sz w:val="18"/>
                <w:szCs w:val="18"/>
              </w:rPr>
            </w:pPr>
            <w:r w:rsidRPr="00D002F3">
              <w:rPr>
                <w:b/>
                <w:bCs/>
                <w:sz w:val="18"/>
                <w:szCs w:val="18"/>
              </w:rPr>
              <w:t>Australian Institute of Higher Education</w:t>
            </w:r>
          </w:p>
        </w:tc>
        <w:tc>
          <w:tcPr>
            <w:cnfStyle w:val="000001000000" w:firstRow="0" w:lastRow="0" w:firstColumn="0" w:lastColumn="0" w:oddVBand="0" w:evenVBand="1" w:oddHBand="0" w:evenHBand="0" w:firstRowFirstColumn="0" w:firstRowLastColumn="0" w:lastRowFirstColumn="0" w:lastRowLastColumn="0"/>
            <w:tcW w:w="709" w:type="pct"/>
          </w:tcPr>
          <w:p w14:paraId="7620BC74" w14:textId="77777777" w:rsidR="00A30E61" w:rsidRPr="00CF3E3D" w:rsidRDefault="00A30E61" w:rsidP="007007AC">
            <w:pPr>
              <w:spacing w:before="85" w:line="288" w:lineRule="auto"/>
              <w:jc w:val="center"/>
              <w:rPr>
                <w:sz w:val="18"/>
                <w:szCs w:val="18"/>
              </w:rPr>
            </w:pPr>
            <w:r w:rsidRPr="00CF3E3D">
              <w:rPr>
                <w:sz w:val="18"/>
                <w:szCs w:val="18"/>
              </w:rPr>
              <w:t>34.4</w:t>
            </w:r>
          </w:p>
        </w:tc>
        <w:tc>
          <w:tcPr>
            <w:cnfStyle w:val="000010000000" w:firstRow="0" w:lastRow="0" w:firstColumn="0" w:lastColumn="0" w:oddVBand="1" w:evenVBand="0" w:oddHBand="0" w:evenHBand="0" w:firstRowFirstColumn="0" w:firstRowLastColumn="0" w:lastRowFirstColumn="0" w:lastRowLastColumn="0"/>
            <w:tcW w:w="755" w:type="pct"/>
          </w:tcPr>
          <w:p w14:paraId="60EA922B" w14:textId="77777777" w:rsidR="00A30E61" w:rsidRPr="00CF3E3D" w:rsidRDefault="00A30E61" w:rsidP="007007AC">
            <w:pPr>
              <w:spacing w:before="85" w:line="288" w:lineRule="auto"/>
              <w:jc w:val="center"/>
              <w:rPr>
                <w:sz w:val="18"/>
                <w:szCs w:val="18"/>
              </w:rPr>
            </w:pPr>
            <w:r w:rsidRPr="00CF3E3D">
              <w:rPr>
                <w:sz w:val="18"/>
                <w:szCs w:val="18"/>
              </w:rPr>
              <w:t>40.6</w:t>
            </w:r>
          </w:p>
        </w:tc>
        <w:tc>
          <w:tcPr>
            <w:cnfStyle w:val="000001000000" w:firstRow="0" w:lastRow="0" w:firstColumn="0" w:lastColumn="0" w:oddVBand="0" w:evenVBand="1" w:oddHBand="0" w:evenHBand="0" w:firstRowFirstColumn="0" w:firstRowLastColumn="0" w:lastRowFirstColumn="0" w:lastRowLastColumn="0"/>
            <w:tcW w:w="755" w:type="pct"/>
          </w:tcPr>
          <w:p w14:paraId="21F66858" w14:textId="77777777" w:rsidR="00A30E61" w:rsidRPr="00CF3E3D" w:rsidRDefault="00A30E61" w:rsidP="007007AC">
            <w:pPr>
              <w:spacing w:before="85" w:line="288" w:lineRule="auto"/>
              <w:jc w:val="center"/>
              <w:rPr>
                <w:sz w:val="18"/>
                <w:szCs w:val="18"/>
              </w:rPr>
            </w:pPr>
            <w:r w:rsidRPr="00CF3E3D">
              <w:rPr>
                <w:sz w:val="18"/>
                <w:szCs w:val="18"/>
              </w:rPr>
              <w:t>57.2</w:t>
            </w:r>
          </w:p>
        </w:tc>
        <w:tc>
          <w:tcPr>
            <w:cnfStyle w:val="000010000000" w:firstRow="0" w:lastRow="0" w:firstColumn="0" w:lastColumn="0" w:oddVBand="1" w:evenVBand="0" w:oddHBand="0" w:evenHBand="0" w:firstRowFirstColumn="0" w:firstRowLastColumn="0" w:lastRowFirstColumn="0" w:lastRowLastColumn="0"/>
            <w:tcW w:w="755" w:type="pct"/>
          </w:tcPr>
          <w:p w14:paraId="050DC0F4" w14:textId="77777777" w:rsidR="00A30E61" w:rsidRPr="00CF3E3D" w:rsidRDefault="00A30E61" w:rsidP="007007AC">
            <w:pPr>
              <w:spacing w:before="85" w:line="288" w:lineRule="auto"/>
              <w:jc w:val="center"/>
              <w:rPr>
                <w:sz w:val="18"/>
                <w:szCs w:val="18"/>
              </w:rPr>
            </w:pPr>
            <w:r w:rsidRPr="00CF3E3D">
              <w:rPr>
                <w:sz w:val="18"/>
                <w:szCs w:val="18"/>
              </w:rPr>
              <w:t>44.4</w:t>
            </w:r>
          </w:p>
        </w:tc>
      </w:tr>
      <w:tr w:rsidR="00A30E61" w:rsidRPr="00CF3E3D" w14:paraId="7A171C7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A220A01" w14:textId="77777777" w:rsidR="00A30E61" w:rsidRPr="00D002F3" w:rsidRDefault="00A30E61" w:rsidP="007007AC">
            <w:pPr>
              <w:spacing w:before="85" w:line="288" w:lineRule="auto"/>
              <w:rPr>
                <w:b/>
                <w:bCs/>
                <w:sz w:val="18"/>
                <w:szCs w:val="18"/>
              </w:rPr>
            </w:pPr>
            <w:r w:rsidRPr="00D002F3">
              <w:rPr>
                <w:b/>
                <w:bCs/>
                <w:sz w:val="18"/>
                <w:szCs w:val="18"/>
              </w:rPr>
              <w:lastRenderedPageBreak/>
              <w:t>Australian Institute of Management Education &amp; Training</w:t>
            </w:r>
          </w:p>
        </w:tc>
        <w:tc>
          <w:tcPr>
            <w:cnfStyle w:val="000001000000" w:firstRow="0" w:lastRow="0" w:firstColumn="0" w:lastColumn="0" w:oddVBand="0" w:evenVBand="1" w:oddHBand="0" w:evenHBand="0" w:firstRowFirstColumn="0" w:firstRowLastColumn="0" w:lastRowFirstColumn="0" w:lastRowLastColumn="0"/>
            <w:tcW w:w="709" w:type="pct"/>
          </w:tcPr>
          <w:p w14:paraId="76E68F05" w14:textId="77777777" w:rsidR="00A30E61" w:rsidRPr="00CF3E3D" w:rsidRDefault="00A30E61" w:rsidP="007007AC">
            <w:pPr>
              <w:spacing w:before="85" w:line="288" w:lineRule="auto"/>
              <w:jc w:val="center"/>
              <w:rPr>
                <w:sz w:val="18"/>
                <w:szCs w:val="18"/>
              </w:rPr>
            </w:pPr>
            <w:r w:rsidRPr="00CF3E3D">
              <w:rPr>
                <w:sz w:val="18"/>
                <w:szCs w:val="18"/>
              </w:rPr>
              <w:t>58.6</w:t>
            </w:r>
          </w:p>
        </w:tc>
        <w:tc>
          <w:tcPr>
            <w:cnfStyle w:val="000010000000" w:firstRow="0" w:lastRow="0" w:firstColumn="0" w:lastColumn="0" w:oddVBand="1" w:evenVBand="0" w:oddHBand="0" w:evenHBand="0" w:firstRowFirstColumn="0" w:firstRowLastColumn="0" w:lastRowFirstColumn="0" w:lastRowLastColumn="0"/>
            <w:tcW w:w="755" w:type="pct"/>
          </w:tcPr>
          <w:p w14:paraId="060997AC" w14:textId="77777777" w:rsidR="00A30E61" w:rsidRPr="00CF3E3D" w:rsidRDefault="00A30E61" w:rsidP="007007AC">
            <w:pPr>
              <w:spacing w:before="85" w:line="288" w:lineRule="auto"/>
              <w:jc w:val="center"/>
              <w:rPr>
                <w:sz w:val="18"/>
                <w:szCs w:val="18"/>
              </w:rPr>
            </w:pPr>
            <w:r w:rsidRPr="00CF3E3D">
              <w:rPr>
                <w:sz w:val="18"/>
                <w:szCs w:val="18"/>
              </w:rPr>
              <w:t>40.4</w:t>
            </w:r>
          </w:p>
        </w:tc>
        <w:tc>
          <w:tcPr>
            <w:cnfStyle w:val="000001000000" w:firstRow="0" w:lastRow="0" w:firstColumn="0" w:lastColumn="0" w:oddVBand="0" w:evenVBand="1" w:oddHBand="0" w:evenHBand="0" w:firstRowFirstColumn="0" w:firstRowLastColumn="0" w:lastRowFirstColumn="0" w:lastRowLastColumn="0"/>
            <w:tcW w:w="755" w:type="pct"/>
          </w:tcPr>
          <w:p w14:paraId="390C67D8" w14:textId="77777777" w:rsidR="00A30E61" w:rsidRPr="00CF3E3D" w:rsidRDefault="00A30E61" w:rsidP="007007AC">
            <w:pPr>
              <w:spacing w:before="85" w:line="288" w:lineRule="auto"/>
              <w:jc w:val="center"/>
              <w:rPr>
                <w:sz w:val="18"/>
                <w:szCs w:val="18"/>
              </w:rPr>
            </w:pPr>
            <w:r w:rsidRPr="00CF3E3D">
              <w:rPr>
                <w:sz w:val="18"/>
                <w:szCs w:val="18"/>
              </w:rPr>
              <w:t>47.4</w:t>
            </w:r>
          </w:p>
        </w:tc>
        <w:tc>
          <w:tcPr>
            <w:cnfStyle w:val="000010000000" w:firstRow="0" w:lastRow="0" w:firstColumn="0" w:lastColumn="0" w:oddVBand="1" w:evenVBand="0" w:oddHBand="0" w:evenHBand="0" w:firstRowFirstColumn="0" w:firstRowLastColumn="0" w:lastRowFirstColumn="0" w:lastRowLastColumn="0"/>
            <w:tcW w:w="755" w:type="pct"/>
          </w:tcPr>
          <w:p w14:paraId="2BF89273" w14:textId="77777777" w:rsidR="00A30E61" w:rsidRPr="00CF3E3D" w:rsidRDefault="00A30E61" w:rsidP="007007AC">
            <w:pPr>
              <w:spacing w:before="85" w:line="288" w:lineRule="auto"/>
              <w:jc w:val="center"/>
              <w:rPr>
                <w:sz w:val="18"/>
                <w:szCs w:val="18"/>
              </w:rPr>
            </w:pPr>
            <w:r w:rsidRPr="00CF3E3D">
              <w:rPr>
                <w:sz w:val="18"/>
                <w:szCs w:val="18"/>
              </w:rPr>
              <w:t>51.9</w:t>
            </w:r>
          </w:p>
        </w:tc>
      </w:tr>
      <w:tr w:rsidR="00A30E61" w:rsidRPr="00CF3E3D" w14:paraId="0573F83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3AC0780" w14:textId="77777777" w:rsidR="00A30E61" w:rsidRPr="00D002F3" w:rsidRDefault="00A30E61" w:rsidP="007007AC">
            <w:pPr>
              <w:spacing w:before="85" w:line="288" w:lineRule="auto"/>
              <w:rPr>
                <w:b/>
                <w:bCs/>
                <w:sz w:val="18"/>
                <w:szCs w:val="18"/>
              </w:rPr>
            </w:pPr>
            <w:r w:rsidRPr="00D002F3">
              <w:rPr>
                <w:b/>
                <w:bCs/>
                <w:sz w:val="18"/>
                <w:szCs w:val="18"/>
              </w:rPr>
              <w:t>Australian Institute of Professional Counsellors</w:t>
            </w:r>
          </w:p>
        </w:tc>
        <w:tc>
          <w:tcPr>
            <w:cnfStyle w:val="000001000000" w:firstRow="0" w:lastRow="0" w:firstColumn="0" w:lastColumn="0" w:oddVBand="0" w:evenVBand="1" w:oddHBand="0" w:evenHBand="0" w:firstRowFirstColumn="0" w:firstRowLastColumn="0" w:lastRowFirstColumn="0" w:lastRowLastColumn="0"/>
            <w:tcW w:w="709" w:type="pct"/>
          </w:tcPr>
          <w:p w14:paraId="59A8A685" w14:textId="77777777" w:rsidR="00A30E61" w:rsidRPr="00CF3E3D" w:rsidRDefault="00A30E61" w:rsidP="007007AC">
            <w:pPr>
              <w:spacing w:before="85" w:line="288" w:lineRule="auto"/>
              <w:jc w:val="center"/>
              <w:rPr>
                <w:sz w:val="18"/>
                <w:szCs w:val="18"/>
              </w:rPr>
            </w:pPr>
            <w:r w:rsidRPr="00CF3E3D">
              <w:rPr>
                <w:sz w:val="18"/>
                <w:szCs w:val="18"/>
              </w:rPr>
              <w:t>45.5</w:t>
            </w:r>
          </w:p>
        </w:tc>
        <w:tc>
          <w:tcPr>
            <w:cnfStyle w:val="000010000000" w:firstRow="0" w:lastRow="0" w:firstColumn="0" w:lastColumn="0" w:oddVBand="1" w:evenVBand="0" w:oddHBand="0" w:evenHBand="0" w:firstRowFirstColumn="0" w:firstRowLastColumn="0" w:lastRowFirstColumn="0" w:lastRowLastColumn="0"/>
            <w:tcW w:w="755" w:type="pct"/>
          </w:tcPr>
          <w:p w14:paraId="3609212C"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174A5B32" w14:textId="77777777" w:rsidR="00A30E61" w:rsidRPr="00CF3E3D" w:rsidRDefault="00A30E61" w:rsidP="007007AC">
            <w:pPr>
              <w:spacing w:before="85" w:line="288" w:lineRule="auto"/>
              <w:jc w:val="center"/>
              <w:rPr>
                <w:sz w:val="18"/>
                <w:szCs w:val="18"/>
              </w:rPr>
            </w:pPr>
            <w:r w:rsidRPr="00CF3E3D">
              <w:rPr>
                <w:sz w:val="18"/>
                <w:szCs w:val="18"/>
              </w:rPr>
              <w:t>58.6</w:t>
            </w:r>
          </w:p>
        </w:tc>
        <w:tc>
          <w:tcPr>
            <w:cnfStyle w:val="000010000000" w:firstRow="0" w:lastRow="0" w:firstColumn="0" w:lastColumn="0" w:oddVBand="1" w:evenVBand="0" w:oddHBand="0" w:evenHBand="0" w:firstRowFirstColumn="0" w:firstRowLastColumn="0" w:lastRowFirstColumn="0" w:lastRowLastColumn="0"/>
            <w:tcW w:w="755" w:type="pct"/>
          </w:tcPr>
          <w:p w14:paraId="1A994836" w14:textId="77777777" w:rsidR="00A30E61" w:rsidRPr="00CF3E3D" w:rsidRDefault="00A30E61" w:rsidP="007007AC">
            <w:pPr>
              <w:spacing w:before="85" w:line="288" w:lineRule="auto"/>
              <w:jc w:val="center"/>
              <w:rPr>
                <w:sz w:val="18"/>
                <w:szCs w:val="18"/>
              </w:rPr>
            </w:pPr>
            <w:r w:rsidRPr="00CF3E3D">
              <w:rPr>
                <w:sz w:val="18"/>
                <w:szCs w:val="18"/>
              </w:rPr>
              <w:t>52.9</w:t>
            </w:r>
          </w:p>
        </w:tc>
      </w:tr>
      <w:tr w:rsidR="00A30E61" w:rsidRPr="00CF3E3D" w14:paraId="06A4501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D052899" w14:textId="77777777" w:rsidR="00A30E61" w:rsidRPr="00D002F3" w:rsidRDefault="00A30E61" w:rsidP="007007AC">
            <w:pPr>
              <w:spacing w:before="85" w:line="288" w:lineRule="auto"/>
              <w:rPr>
                <w:b/>
                <w:bCs/>
                <w:sz w:val="18"/>
                <w:szCs w:val="18"/>
              </w:rPr>
            </w:pPr>
            <w:r w:rsidRPr="00D002F3">
              <w:rPr>
                <w:b/>
                <w:bCs/>
                <w:sz w:val="18"/>
                <w:szCs w:val="18"/>
              </w:rPr>
              <w:t>BBI - The Australian Institute of Theological Education</w:t>
            </w:r>
          </w:p>
        </w:tc>
        <w:tc>
          <w:tcPr>
            <w:cnfStyle w:val="000001000000" w:firstRow="0" w:lastRow="0" w:firstColumn="0" w:lastColumn="0" w:oddVBand="0" w:evenVBand="1" w:oddHBand="0" w:evenHBand="0" w:firstRowFirstColumn="0" w:firstRowLastColumn="0" w:lastRowFirstColumn="0" w:lastRowLastColumn="0"/>
            <w:tcW w:w="709" w:type="pct"/>
          </w:tcPr>
          <w:p w14:paraId="59F34348" w14:textId="77777777" w:rsidR="00A30E61" w:rsidRPr="00CF3E3D" w:rsidRDefault="00A30E61" w:rsidP="007007AC">
            <w:pPr>
              <w:spacing w:before="85" w:line="288" w:lineRule="auto"/>
              <w:jc w:val="center"/>
              <w:rPr>
                <w:sz w:val="18"/>
                <w:szCs w:val="18"/>
              </w:rPr>
            </w:pPr>
            <w:r w:rsidRPr="00CF3E3D">
              <w:rPr>
                <w:sz w:val="18"/>
                <w:szCs w:val="18"/>
              </w:rPr>
              <w:t>41.9</w:t>
            </w:r>
          </w:p>
        </w:tc>
        <w:tc>
          <w:tcPr>
            <w:cnfStyle w:val="000010000000" w:firstRow="0" w:lastRow="0" w:firstColumn="0" w:lastColumn="0" w:oddVBand="1" w:evenVBand="0" w:oddHBand="0" w:evenHBand="0" w:firstRowFirstColumn="0" w:firstRowLastColumn="0" w:lastRowFirstColumn="0" w:lastRowLastColumn="0"/>
            <w:tcW w:w="755" w:type="pct"/>
          </w:tcPr>
          <w:p w14:paraId="646908DB" w14:textId="77777777" w:rsidR="00A30E61" w:rsidRPr="00CF3E3D" w:rsidRDefault="00A30E61" w:rsidP="007007AC">
            <w:pPr>
              <w:spacing w:before="85" w:line="288" w:lineRule="auto"/>
              <w:jc w:val="center"/>
              <w:rPr>
                <w:sz w:val="18"/>
                <w:szCs w:val="18"/>
              </w:rPr>
            </w:pPr>
            <w:r w:rsidRPr="00CF3E3D">
              <w:rPr>
                <w:sz w:val="18"/>
                <w:szCs w:val="18"/>
              </w:rPr>
              <w:t>27.8</w:t>
            </w:r>
          </w:p>
        </w:tc>
        <w:tc>
          <w:tcPr>
            <w:cnfStyle w:val="000001000000" w:firstRow="0" w:lastRow="0" w:firstColumn="0" w:lastColumn="0" w:oddVBand="0" w:evenVBand="1" w:oddHBand="0" w:evenHBand="0" w:firstRowFirstColumn="0" w:firstRowLastColumn="0" w:lastRowFirstColumn="0" w:lastRowLastColumn="0"/>
            <w:tcW w:w="755" w:type="pct"/>
          </w:tcPr>
          <w:p w14:paraId="2C85A263" w14:textId="77777777" w:rsidR="00A30E61" w:rsidRPr="00CF3E3D" w:rsidRDefault="00A30E61" w:rsidP="007007AC">
            <w:pPr>
              <w:spacing w:before="85" w:line="288" w:lineRule="auto"/>
              <w:jc w:val="center"/>
              <w:rPr>
                <w:sz w:val="18"/>
                <w:szCs w:val="18"/>
              </w:rPr>
            </w:pPr>
            <w:r w:rsidRPr="00CF3E3D">
              <w:rPr>
                <w:sz w:val="18"/>
                <w:szCs w:val="18"/>
              </w:rPr>
              <w:t>35.6</w:t>
            </w:r>
          </w:p>
        </w:tc>
        <w:tc>
          <w:tcPr>
            <w:cnfStyle w:val="000010000000" w:firstRow="0" w:lastRow="0" w:firstColumn="0" w:lastColumn="0" w:oddVBand="1" w:evenVBand="0" w:oddHBand="0" w:evenHBand="0" w:firstRowFirstColumn="0" w:firstRowLastColumn="0" w:lastRowFirstColumn="0" w:lastRowLastColumn="0"/>
            <w:tcW w:w="755" w:type="pct"/>
          </w:tcPr>
          <w:p w14:paraId="1DB367DD" w14:textId="77777777" w:rsidR="00A30E61" w:rsidRPr="00CF3E3D" w:rsidRDefault="00A30E61" w:rsidP="007007AC">
            <w:pPr>
              <w:spacing w:before="85" w:line="288" w:lineRule="auto"/>
              <w:jc w:val="center"/>
              <w:rPr>
                <w:sz w:val="18"/>
                <w:szCs w:val="18"/>
              </w:rPr>
            </w:pPr>
            <w:r w:rsidRPr="00CF3E3D">
              <w:rPr>
                <w:sz w:val="18"/>
                <w:szCs w:val="18"/>
              </w:rPr>
              <w:t>33.8</w:t>
            </w:r>
          </w:p>
        </w:tc>
      </w:tr>
      <w:tr w:rsidR="00A30E61" w:rsidRPr="00CF3E3D" w14:paraId="43740F2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8A17525" w14:textId="77777777" w:rsidR="00A30E61" w:rsidRPr="00D002F3" w:rsidRDefault="00A30E61" w:rsidP="007007AC">
            <w:pPr>
              <w:spacing w:before="85" w:line="288" w:lineRule="auto"/>
              <w:rPr>
                <w:b/>
                <w:bCs/>
                <w:sz w:val="18"/>
                <w:szCs w:val="18"/>
              </w:rPr>
            </w:pPr>
            <w:r w:rsidRPr="00D002F3">
              <w:rPr>
                <w:b/>
                <w:bCs/>
                <w:sz w:val="18"/>
                <w:szCs w:val="18"/>
              </w:rPr>
              <w:t>Box Hill Institute</w:t>
            </w:r>
          </w:p>
        </w:tc>
        <w:tc>
          <w:tcPr>
            <w:cnfStyle w:val="000001000000" w:firstRow="0" w:lastRow="0" w:firstColumn="0" w:lastColumn="0" w:oddVBand="0" w:evenVBand="1" w:oddHBand="0" w:evenHBand="0" w:firstRowFirstColumn="0" w:firstRowLastColumn="0" w:lastRowFirstColumn="0" w:lastRowLastColumn="0"/>
            <w:tcW w:w="709" w:type="pct"/>
          </w:tcPr>
          <w:p w14:paraId="1517F0C6" w14:textId="77777777" w:rsidR="00A30E61" w:rsidRPr="00CF3E3D" w:rsidRDefault="00A30E61" w:rsidP="007007AC">
            <w:pPr>
              <w:spacing w:before="85" w:line="288" w:lineRule="auto"/>
              <w:jc w:val="center"/>
              <w:rPr>
                <w:sz w:val="18"/>
                <w:szCs w:val="18"/>
              </w:rPr>
            </w:pPr>
            <w:r w:rsidRPr="00CF3E3D">
              <w:rPr>
                <w:sz w:val="18"/>
                <w:szCs w:val="18"/>
              </w:rPr>
              <w:t>44.4</w:t>
            </w:r>
          </w:p>
        </w:tc>
        <w:tc>
          <w:tcPr>
            <w:cnfStyle w:val="000010000000" w:firstRow="0" w:lastRow="0" w:firstColumn="0" w:lastColumn="0" w:oddVBand="1" w:evenVBand="0" w:oddHBand="0" w:evenHBand="0" w:firstRowFirstColumn="0" w:firstRowLastColumn="0" w:lastRowFirstColumn="0" w:lastRowLastColumn="0"/>
            <w:tcW w:w="755" w:type="pct"/>
          </w:tcPr>
          <w:p w14:paraId="527C97B9" w14:textId="77777777" w:rsidR="00A30E61" w:rsidRPr="00CF3E3D" w:rsidRDefault="00A30E61" w:rsidP="007007AC">
            <w:pPr>
              <w:spacing w:before="85" w:line="288" w:lineRule="auto"/>
              <w:jc w:val="center"/>
              <w:rPr>
                <w:sz w:val="18"/>
                <w:szCs w:val="18"/>
              </w:rPr>
            </w:pPr>
            <w:r w:rsidRPr="00CF3E3D">
              <w:rPr>
                <w:sz w:val="18"/>
                <w:szCs w:val="18"/>
              </w:rPr>
              <w:t>52.6</w:t>
            </w:r>
          </w:p>
        </w:tc>
        <w:tc>
          <w:tcPr>
            <w:cnfStyle w:val="000001000000" w:firstRow="0" w:lastRow="0" w:firstColumn="0" w:lastColumn="0" w:oddVBand="0" w:evenVBand="1" w:oddHBand="0" w:evenHBand="0" w:firstRowFirstColumn="0" w:firstRowLastColumn="0" w:lastRowFirstColumn="0" w:lastRowLastColumn="0"/>
            <w:tcW w:w="755" w:type="pct"/>
          </w:tcPr>
          <w:p w14:paraId="10D56C1A" w14:textId="77777777" w:rsidR="00A30E61" w:rsidRPr="00CF3E3D" w:rsidRDefault="00A30E61" w:rsidP="007007AC">
            <w:pPr>
              <w:spacing w:before="85" w:line="288" w:lineRule="auto"/>
              <w:jc w:val="center"/>
              <w:rPr>
                <w:sz w:val="18"/>
                <w:szCs w:val="18"/>
              </w:rPr>
            </w:pPr>
            <w:r w:rsidRPr="00CF3E3D">
              <w:rPr>
                <w:sz w:val="18"/>
                <w:szCs w:val="18"/>
              </w:rPr>
              <w:t>36.7</w:t>
            </w:r>
          </w:p>
        </w:tc>
        <w:tc>
          <w:tcPr>
            <w:cnfStyle w:val="000010000000" w:firstRow="0" w:lastRow="0" w:firstColumn="0" w:lastColumn="0" w:oddVBand="1" w:evenVBand="0" w:oddHBand="0" w:evenHBand="0" w:firstRowFirstColumn="0" w:firstRowLastColumn="0" w:lastRowFirstColumn="0" w:lastRowLastColumn="0"/>
            <w:tcW w:w="755" w:type="pct"/>
          </w:tcPr>
          <w:p w14:paraId="66A0D764" w14:textId="77777777" w:rsidR="00A30E61" w:rsidRPr="00CF3E3D" w:rsidRDefault="00A30E61" w:rsidP="007007AC">
            <w:pPr>
              <w:spacing w:before="85" w:line="288" w:lineRule="auto"/>
              <w:jc w:val="center"/>
              <w:rPr>
                <w:sz w:val="18"/>
                <w:szCs w:val="18"/>
              </w:rPr>
            </w:pPr>
            <w:r w:rsidRPr="00CF3E3D">
              <w:rPr>
                <w:sz w:val="18"/>
                <w:szCs w:val="18"/>
              </w:rPr>
              <w:t>41.4</w:t>
            </w:r>
          </w:p>
        </w:tc>
      </w:tr>
      <w:tr w:rsidR="00A30E61" w:rsidRPr="00CF3E3D" w14:paraId="55DBC36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56759C90" w14:textId="77777777" w:rsidR="00A30E61" w:rsidRPr="00D002F3" w:rsidRDefault="00A30E61" w:rsidP="007007AC">
            <w:pPr>
              <w:spacing w:before="85" w:line="288" w:lineRule="auto"/>
              <w:rPr>
                <w:b/>
                <w:bCs/>
                <w:sz w:val="18"/>
                <w:szCs w:val="18"/>
              </w:rPr>
            </w:pPr>
            <w:r w:rsidRPr="00D002F3">
              <w:rPr>
                <w:b/>
                <w:bCs/>
                <w:sz w:val="18"/>
                <w:szCs w:val="18"/>
              </w:rPr>
              <w:t>Campion College Australia</w:t>
            </w:r>
          </w:p>
        </w:tc>
        <w:tc>
          <w:tcPr>
            <w:cnfStyle w:val="000001000000" w:firstRow="0" w:lastRow="0" w:firstColumn="0" w:lastColumn="0" w:oddVBand="0" w:evenVBand="1" w:oddHBand="0" w:evenHBand="0" w:firstRowFirstColumn="0" w:firstRowLastColumn="0" w:lastRowFirstColumn="0" w:lastRowLastColumn="0"/>
            <w:tcW w:w="709" w:type="pct"/>
          </w:tcPr>
          <w:p w14:paraId="79041AE6"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2D88DA8C"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6350366" w14:textId="77777777" w:rsidR="00A30E61" w:rsidRPr="00CF3E3D" w:rsidRDefault="00A30E61" w:rsidP="007007AC">
            <w:pPr>
              <w:spacing w:before="85" w:line="288" w:lineRule="auto"/>
              <w:jc w:val="center"/>
              <w:rPr>
                <w:sz w:val="18"/>
                <w:szCs w:val="18"/>
              </w:rPr>
            </w:pPr>
            <w:r w:rsidRPr="00CF3E3D">
              <w:rPr>
                <w:sz w:val="18"/>
                <w:szCs w:val="18"/>
              </w:rPr>
              <w:t>43.1</w:t>
            </w:r>
          </w:p>
        </w:tc>
        <w:tc>
          <w:tcPr>
            <w:cnfStyle w:val="000010000000" w:firstRow="0" w:lastRow="0" w:firstColumn="0" w:lastColumn="0" w:oddVBand="1" w:evenVBand="0" w:oddHBand="0" w:evenHBand="0" w:firstRowFirstColumn="0" w:firstRowLastColumn="0" w:lastRowFirstColumn="0" w:lastRowLastColumn="0"/>
            <w:tcW w:w="755" w:type="pct"/>
          </w:tcPr>
          <w:p w14:paraId="6AD05863" w14:textId="77777777" w:rsidR="00A30E61" w:rsidRPr="00CF3E3D" w:rsidRDefault="00A30E61" w:rsidP="007007AC">
            <w:pPr>
              <w:spacing w:before="85" w:line="288" w:lineRule="auto"/>
              <w:jc w:val="center"/>
              <w:rPr>
                <w:sz w:val="18"/>
                <w:szCs w:val="18"/>
              </w:rPr>
            </w:pPr>
            <w:r w:rsidRPr="00CF3E3D">
              <w:rPr>
                <w:sz w:val="18"/>
                <w:szCs w:val="18"/>
              </w:rPr>
              <w:t>43.1</w:t>
            </w:r>
          </w:p>
        </w:tc>
      </w:tr>
      <w:tr w:rsidR="00A30E61" w:rsidRPr="00CF3E3D" w14:paraId="1976E78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AE32BFD" w14:textId="77777777" w:rsidR="00A30E61" w:rsidRPr="00D002F3" w:rsidRDefault="00A30E61" w:rsidP="007007AC">
            <w:pPr>
              <w:spacing w:before="85" w:line="288" w:lineRule="auto"/>
              <w:rPr>
                <w:b/>
                <w:bCs/>
                <w:sz w:val="18"/>
                <w:szCs w:val="18"/>
              </w:rPr>
            </w:pPr>
            <w:r w:rsidRPr="00D002F3">
              <w:rPr>
                <w:b/>
                <w:bCs/>
                <w:sz w:val="18"/>
                <w:szCs w:val="18"/>
              </w:rPr>
              <w:t>Canberra Institute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281B7B41"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41542748"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5473D79C" w14:textId="77777777" w:rsidR="00A30E61" w:rsidRPr="00CF3E3D" w:rsidRDefault="00A30E61" w:rsidP="007007AC">
            <w:pPr>
              <w:spacing w:before="85" w:line="288" w:lineRule="auto"/>
              <w:jc w:val="center"/>
              <w:rPr>
                <w:sz w:val="18"/>
                <w:szCs w:val="18"/>
              </w:rPr>
            </w:pPr>
            <w:r w:rsidRPr="00CF3E3D">
              <w:rPr>
                <w:sz w:val="18"/>
                <w:szCs w:val="18"/>
              </w:rPr>
              <w:t>33.3</w:t>
            </w:r>
          </w:p>
        </w:tc>
        <w:tc>
          <w:tcPr>
            <w:cnfStyle w:val="000010000000" w:firstRow="0" w:lastRow="0" w:firstColumn="0" w:lastColumn="0" w:oddVBand="1" w:evenVBand="0" w:oddHBand="0" w:evenHBand="0" w:firstRowFirstColumn="0" w:firstRowLastColumn="0" w:lastRowFirstColumn="0" w:lastRowLastColumn="0"/>
            <w:tcW w:w="755" w:type="pct"/>
          </w:tcPr>
          <w:p w14:paraId="7B236F6F" w14:textId="77777777" w:rsidR="00A30E61" w:rsidRPr="00CF3E3D" w:rsidRDefault="00A30E61" w:rsidP="007007AC">
            <w:pPr>
              <w:spacing w:before="85" w:line="288" w:lineRule="auto"/>
              <w:jc w:val="center"/>
              <w:rPr>
                <w:sz w:val="18"/>
                <w:szCs w:val="18"/>
              </w:rPr>
            </w:pPr>
            <w:r w:rsidRPr="00CF3E3D">
              <w:rPr>
                <w:sz w:val="18"/>
                <w:szCs w:val="18"/>
              </w:rPr>
              <w:t>33.3</w:t>
            </w:r>
          </w:p>
        </w:tc>
      </w:tr>
      <w:tr w:rsidR="00A30E61" w:rsidRPr="00CF3E3D" w14:paraId="4F8B729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19C85E7" w14:textId="77777777" w:rsidR="00A30E61" w:rsidRPr="00D002F3" w:rsidRDefault="00A30E61" w:rsidP="007007AC">
            <w:pPr>
              <w:spacing w:before="85" w:line="288" w:lineRule="auto"/>
              <w:rPr>
                <w:b/>
                <w:bCs/>
                <w:sz w:val="18"/>
                <w:szCs w:val="18"/>
              </w:rPr>
            </w:pPr>
            <w:r w:rsidRPr="00D002F3">
              <w:rPr>
                <w:b/>
                <w:bCs/>
                <w:sz w:val="18"/>
                <w:szCs w:val="18"/>
              </w:rPr>
              <w:t>Chisholm Institute</w:t>
            </w:r>
          </w:p>
        </w:tc>
        <w:tc>
          <w:tcPr>
            <w:cnfStyle w:val="000001000000" w:firstRow="0" w:lastRow="0" w:firstColumn="0" w:lastColumn="0" w:oddVBand="0" w:evenVBand="1" w:oddHBand="0" w:evenHBand="0" w:firstRowFirstColumn="0" w:firstRowLastColumn="0" w:lastRowFirstColumn="0" w:lastRowLastColumn="0"/>
            <w:tcW w:w="709" w:type="pct"/>
          </w:tcPr>
          <w:p w14:paraId="6CC9A550" w14:textId="77777777" w:rsidR="00A30E61" w:rsidRPr="00CF3E3D" w:rsidRDefault="00A30E61" w:rsidP="007007AC">
            <w:pPr>
              <w:spacing w:before="85" w:line="288" w:lineRule="auto"/>
              <w:jc w:val="center"/>
              <w:rPr>
                <w:sz w:val="18"/>
                <w:szCs w:val="18"/>
              </w:rPr>
            </w:pPr>
            <w:r w:rsidRPr="00CF3E3D">
              <w:rPr>
                <w:sz w:val="18"/>
                <w:szCs w:val="18"/>
              </w:rPr>
              <w:t>48.0</w:t>
            </w:r>
          </w:p>
        </w:tc>
        <w:tc>
          <w:tcPr>
            <w:cnfStyle w:val="000010000000" w:firstRow="0" w:lastRow="0" w:firstColumn="0" w:lastColumn="0" w:oddVBand="1" w:evenVBand="0" w:oddHBand="0" w:evenHBand="0" w:firstRowFirstColumn="0" w:firstRowLastColumn="0" w:lastRowFirstColumn="0" w:lastRowLastColumn="0"/>
            <w:tcW w:w="755" w:type="pct"/>
          </w:tcPr>
          <w:p w14:paraId="0ED7E953" w14:textId="77777777" w:rsidR="00A30E61" w:rsidRPr="00CF3E3D" w:rsidRDefault="00A30E61" w:rsidP="007007AC">
            <w:pPr>
              <w:spacing w:before="85" w:line="288" w:lineRule="auto"/>
              <w:jc w:val="center"/>
              <w:rPr>
                <w:sz w:val="18"/>
                <w:szCs w:val="18"/>
              </w:rPr>
            </w:pPr>
            <w:r w:rsidRPr="00CF3E3D">
              <w:rPr>
                <w:sz w:val="18"/>
                <w:szCs w:val="18"/>
              </w:rPr>
              <w:t>33.3</w:t>
            </w:r>
          </w:p>
        </w:tc>
        <w:tc>
          <w:tcPr>
            <w:cnfStyle w:val="000001000000" w:firstRow="0" w:lastRow="0" w:firstColumn="0" w:lastColumn="0" w:oddVBand="0" w:evenVBand="1" w:oddHBand="0" w:evenHBand="0" w:firstRowFirstColumn="0" w:firstRowLastColumn="0" w:lastRowFirstColumn="0" w:lastRowLastColumn="0"/>
            <w:tcW w:w="755" w:type="pct"/>
          </w:tcPr>
          <w:p w14:paraId="0C1ECC87" w14:textId="77777777" w:rsidR="00A30E61" w:rsidRPr="00CF3E3D" w:rsidRDefault="00A30E61" w:rsidP="007007AC">
            <w:pPr>
              <w:spacing w:before="85" w:line="288" w:lineRule="auto"/>
              <w:jc w:val="center"/>
              <w:rPr>
                <w:sz w:val="18"/>
                <w:szCs w:val="18"/>
              </w:rPr>
            </w:pPr>
            <w:r w:rsidRPr="00CF3E3D">
              <w:rPr>
                <w:sz w:val="18"/>
                <w:szCs w:val="18"/>
              </w:rPr>
              <w:t>61.8</w:t>
            </w:r>
          </w:p>
        </w:tc>
        <w:tc>
          <w:tcPr>
            <w:cnfStyle w:val="000010000000" w:firstRow="0" w:lastRow="0" w:firstColumn="0" w:lastColumn="0" w:oddVBand="1" w:evenVBand="0" w:oddHBand="0" w:evenHBand="0" w:firstRowFirstColumn="0" w:firstRowLastColumn="0" w:lastRowFirstColumn="0" w:lastRowLastColumn="0"/>
            <w:tcW w:w="755" w:type="pct"/>
          </w:tcPr>
          <w:p w14:paraId="14991370" w14:textId="77777777" w:rsidR="00A30E61" w:rsidRPr="00CF3E3D" w:rsidRDefault="00A30E61" w:rsidP="007007AC">
            <w:pPr>
              <w:spacing w:before="85" w:line="288" w:lineRule="auto"/>
              <w:jc w:val="center"/>
              <w:rPr>
                <w:sz w:val="18"/>
                <w:szCs w:val="18"/>
              </w:rPr>
            </w:pPr>
            <w:r w:rsidRPr="00CF3E3D">
              <w:rPr>
                <w:sz w:val="18"/>
                <w:szCs w:val="18"/>
              </w:rPr>
              <w:t>55.8</w:t>
            </w:r>
          </w:p>
        </w:tc>
      </w:tr>
      <w:tr w:rsidR="00A30E61" w:rsidRPr="00CF3E3D" w14:paraId="3886772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3B8394A" w14:textId="77777777" w:rsidR="00A30E61" w:rsidRPr="00D002F3" w:rsidRDefault="00A30E61" w:rsidP="007007AC">
            <w:pPr>
              <w:spacing w:before="85" w:line="288" w:lineRule="auto"/>
              <w:rPr>
                <w:b/>
                <w:bCs/>
                <w:sz w:val="18"/>
                <w:szCs w:val="18"/>
              </w:rPr>
            </w:pPr>
            <w:r w:rsidRPr="00D002F3">
              <w:rPr>
                <w:b/>
                <w:bCs/>
                <w:sz w:val="18"/>
                <w:szCs w:val="18"/>
              </w:rPr>
              <w:t>Christian Heritage College</w:t>
            </w:r>
          </w:p>
        </w:tc>
        <w:tc>
          <w:tcPr>
            <w:cnfStyle w:val="000001000000" w:firstRow="0" w:lastRow="0" w:firstColumn="0" w:lastColumn="0" w:oddVBand="0" w:evenVBand="1" w:oddHBand="0" w:evenHBand="0" w:firstRowFirstColumn="0" w:firstRowLastColumn="0" w:lastRowFirstColumn="0" w:lastRowLastColumn="0"/>
            <w:tcW w:w="709" w:type="pct"/>
          </w:tcPr>
          <w:p w14:paraId="3D7AA054" w14:textId="77777777" w:rsidR="00A30E61" w:rsidRPr="00CF3E3D" w:rsidRDefault="00A30E61" w:rsidP="007007AC">
            <w:pPr>
              <w:spacing w:before="85" w:line="288" w:lineRule="auto"/>
              <w:jc w:val="center"/>
              <w:rPr>
                <w:sz w:val="18"/>
                <w:szCs w:val="18"/>
              </w:rPr>
            </w:pPr>
            <w:r w:rsidRPr="00CF3E3D">
              <w:rPr>
                <w:sz w:val="18"/>
                <w:szCs w:val="18"/>
              </w:rPr>
              <w:t>51.3</w:t>
            </w:r>
          </w:p>
        </w:tc>
        <w:tc>
          <w:tcPr>
            <w:cnfStyle w:val="000010000000" w:firstRow="0" w:lastRow="0" w:firstColumn="0" w:lastColumn="0" w:oddVBand="1" w:evenVBand="0" w:oddHBand="0" w:evenHBand="0" w:firstRowFirstColumn="0" w:firstRowLastColumn="0" w:lastRowFirstColumn="0" w:lastRowLastColumn="0"/>
            <w:tcW w:w="755" w:type="pct"/>
          </w:tcPr>
          <w:p w14:paraId="24658531"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65B377FF" w14:textId="77777777" w:rsidR="00A30E61" w:rsidRPr="00CF3E3D" w:rsidRDefault="00A30E61" w:rsidP="007007AC">
            <w:pPr>
              <w:spacing w:before="85" w:line="288" w:lineRule="auto"/>
              <w:jc w:val="center"/>
              <w:rPr>
                <w:sz w:val="18"/>
                <w:szCs w:val="18"/>
              </w:rPr>
            </w:pPr>
            <w:r w:rsidRPr="00CF3E3D">
              <w:rPr>
                <w:sz w:val="18"/>
                <w:szCs w:val="18"/>
              </w:rPr>
              <w:t>46.0</w:t>
            </w:r>
          </w:p>
        </w:tc>
        <w:tc>
          <w:tcPr>
            <w:cnfStyle w:val="000010000000" w:firstRow="0" w:lastRow="0" w:firstColumn="0" w:lastColumn="0" w:oddVBand="1" w:evenVBand="0" w:oddHBand="0" w:evenHBand="0" w:firstRowFirstColumn="0" w:firstRowLastColumn="0" w:lastRowFirstColumn="0" w:lastRowLastColumn="0"/>
            <w:tcW w:w="755" w:type="pct"/>
          </w:tcPr>
          <w:p w14:paraId="310F719E" w14:textId="77777777" w:rsidR="00A30E61" w:rsidRPr="00CF3E3D" w:rsidRDefault="00A30E61" w:rsidP="007007AC">
            <w:pPr>
              <w:spacing w:before="85" w:line="288" w:lineRule="auto"/>
              <w:jc w:val="center"/>
              <w:rPr>
                <w:sz w:val="18"/>
                <w:szCs w:val="18"/>
              </w:rPr>
            </w:pPr>
            <w:r w:rsidRPr="00CF3E3D">
              <w:rPr>
                <w:sz w:val="18"/>
                <w:szCs w:val="18"/>
              </w:rPr>
              <w:t>47.6</w:t>
            </w:r>
          </w:p>
        </w:tc>
      </w:tr>
      <w:tr w:rsidR="00A30E61" w:rsidRPr="00CF3E3D" w14:paraId="1DA6D64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9966C03" w14:textId="77777777" w:rsidR="00A30E61" w:rsidRPr="00D002F3" w:rsidRDefault="00A30E61" w:rsidP="007007AC">
            <w:pPr>
              <w:spacing w:before="85" w:line="288" w:lineRule="auto"/>
              <w:rPr>
                <w:b/>
                <w:bCs/>
                <w:sz w:val="18"/>
                <w:szCs w:val="18"/>
              </w:rPr>
            </w:pPr>
            <w:r w:rsidRPr="00D002F3">
              <w:rPr>
                <w:b/>
                <w:bCs/>
                <w:sz w:val="18"/>
                <w:szCs w:val="18"/>
              </w:rPr>
              <w:t>CIC Higher Education</w:t>
            </w:r>
          </w:p>
        </w:tc>
        <w:tc>
          <w:tcPr>
            <w:cnfStyle w:val="000001000000" w:firstRow="0" w:lastRow="0" w:firstColumn="0" w:lastColumn="0" w:oddVBand="0" w:evenVBand="1" w:oddHBand="0" w:evenHBand="0" w:firstRowFirstColumn="0" w:firstRowLastColumn="0" w:lastRowFirstColumn="0" w:lastRowLastColumn="0"/>
            <w:tcW w:w="709" w:type="pct"/>
          </w:tcPr>
          <w:p w14:paraId="3ABA7C31" w14:textId="77777777" w:rsidR="00A30E61" w:rsidRPr="00CF3E3D" w:rsidRDefault="00A30E61" w:rsidP="007007AC">
            <w:pPr>
              <w:spacing w:before="85" w:line="288" w:lineRule="auto"/>
              <w:jc w:val="center"/>
              <w:rPr>
                <w:sz w:val="18"/>
                <w:szCs w:val="18"/>
              </w:rPr>
            </w:pPr>
            <w:r w:rsidRPr="00CF3E3D">
              <w:rPr>
                <w:sz w:val="18"/>
                <w:szCs w:val="18"/>
              </w:rPr>
              <w:t>34.1</w:t>
            </w:r>
          </w:p>
        </w:tc>
        <w:tc>
          <w:tcPr>
            <w:cnfStyle w:val="000010000000" w:firstRow="0" w:lastRow="0" w:firstColumn="0" w:lastColumn="0" w:oddVBand="1" w:evenVBand="0" w:oddHBand="0" w:evenHBand="0" w:firstRowFirstColumn="0" w:firstRowLastColumn="0" w:lastRowFirstColumn="0" w:lastRowLastColumn="0"/>
            <w:tcW w:w="755" w:type="pct"/>
          </w:tcPr>
          <w:p w14:paraId="1F3B3A1F" w14:textId="77777777" w:rsidR="00A30E61" w:rsidRPr="00CF3E3D" w:rsidRDefault="00A30E61" w:rsidP="007007AC">
            <w:pPr>
              <w:spacing w:before="85" w:line="288" w:lineRule="auto"/>
              <w:jc w:val="center"/>
              <w:rPr>
                <w:sz w:val="18"/>
                <w:szCs w:val="18"/>
              </w:rPr>
            </w:pPr>
            <w:r w:rsidRPr="00CF3E3D">
              <w:rPr>
                <w:sz w:val="18"/>
                <w:szCs w:val="18"/>
              </w:rPr>
              <w:t>48.5</w:t>
            </w:r>
          </w:p>
        </w:tc>
        <w:tc>
          <w:tcPr>
            <w:cnfStyle w:val="000001000000" w:firstRow="0" w:lastRow="0" w:firstColumn="0" w:lastColumn="0" w:oddVBand="0" w:evenVBand="1" w:oddHBand="0" w:evenHBand="0" w:firstRowFirstColumn="0" w:firstRowLastColumn="0" w:lastRowFirstColumn="0" w:lastRowLastColumn="0"/>
            <w:tcW w:w="755" w:type="pct"/>
          </w:tcPr>
          <w:p w14:paraId="3E317454" w14:textId="77777777" w:rsidR="00A30E61" w:rsidRPr="00CF3E3D" w:rsidRDefault="00A30E61" w:rsidP="007007AC">
            <w:pPr>
              <w:spacing w:before="85" w:line="288" w:lineRule="auto"/>
              <w:jc w:val="center"/>
              <w:rPr>
                <w:sz w:val="18"/>
                <w:szCs w:val="18"/>
              </w:rPr>
            </w:pPr>
            <w:r w:rsidRPr="00CF3E3D">
              <w:rPr>
                <w:sz w:val="18"/>
                <w:szCs w:val="18"/>
              </w:rPr>
              <w:t>42.9</w:t>
            </w:r>
          </w:p>
        </w:tc>
        <w:tc>
          <w:tcPr>
            <w:cnfStyle w:val="000010000000" w:firstRow="0" w:lastRow="0" w:firstColumn="0" w:lastColumn="0" w:oddVBand="1" w:evenVBand="0" w:oddHBand="0" w:evenHBand="0" w:firstRowFirstColumn="0" w:firstRowLastColumn="0" w:lastRowFirstColumn="0" w:lastRowLastColumn="0"/>
            <w:tcW w:w="755" w:type="pct"/>
          </w:tcPr>
          <w:p w14:paraId="0A4895C8" w14:textId="77777777" w:rsidR="00A30E61" w:rsidRPr="00CF3E3D" w:rsidRDefault="00A30E61" w:rsidP="007007AC">
            <w:pPr>
              <w:spacing w:before="85" w:line="288" w:lineRule="auto"/>
              <w:jc w:val="center"/>
              <w:rPr>
                <w:sz w:val="18"/>
                <w:szCs w:val="18"/>
              </w:rPr>
            </w:pPr>
            <w:r w:rsidRPr="00CF3E3D">
              <w:rPr>
                <w:sz w:val="18"/>
                <w:szCs w:val="18"/>
              </w:rPr>
              <w:t>38.2</w:t>
            </w:r>
          </w:p>
        </w:tc>
      </w:tr>
      <w:tr w:rsidR="00A30E61" w:rsidRPr="00CF3E3D" w14:paraId="6A59235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477133F" w14:textId="77777777" w:rsidR="00A30E61" w:rsidRPr="00D002F3" w:rsidRDefault="00A30E61" w:rsidP="007007AC">
            <w:pPr>
              <w:spacing w:before="85" w:line="288" w:lineRule="auto"/>
              <w:rPr>
                <w:b/>
                <w:bCs/>
                <w:sz w:val="18"/>
                <w:szCs w:val="18"/>
              </w:rPr>
            </w:pPr>
            <w:proofErr w:type="spellStart"/>
            <w:r w:rsidRPr="00D002F3">
              <w:rPr>
                <w:b/>
                <w:bCs/>
                <w:sz w:val="18"/>
                <w:szCs w:val="18"/>
              </w:rPr>
              <w:t>Collarts</w:t>
            </w:r>
            <w:proofErr w:type="spellEnd"/>
            <w:r w:rsidRPr="00D002F3">
              <w:rPr>
                <w:b/>
                <w:bCs/>
                <w:sz w:val="18"/>
                <w:szCs w:val="18"/>
              </w:rPr>
              <w:t xml:space="preserve"> (Australian College of the Arts)</w:t>
            </w:r>
          </w:p>
        </w:tc>
        <w:tc>
          <w:tcPr>
            <w:cnfStyle w:val="000001000000" w:firstRow="0" w:lastRow="0" w:firstColumn="0" w:lastColumn="0" w:oddVBand="0" w:evenVBand="1" w:oddHBand="0" w:evenHBand="0" w:firstRowFirstColumn="0" w:firstRowLastColumn="0" w:lastRowFirstColumn="0" w:lastRowLastColumn="0"/>
            <w:tcW w:w="709" w:type="pct"/>
          </w:tcPr>
          <w:p w14:paraId="072A2D3C"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78160600"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FF11878" w14:textId="77777777" w:rsidR="00A30E61" w:rsidRPr="00CF3E3D" w:rsidRDefault="00A30E61" w:rsidP="007007AC">
            <w:pPr>
              <w:spacing w:before="85" w:line="288" w:lineRule="auto"/>
              <w:jc w:val="center"/>
              <w:rPr>
                <w:sz w:val="18"/>
                <w:szCs w:val="18"/>
              </w:rPr>
            </w:pPr>
            <w:r w:rsidRPr="00CF3E3D">
              <w:rPr>
                <w:sz w:val="18"/>
                <w:szCs w:val="18"/>
              </w:rPr>
              <w:t>38.7</w:t>
            </w:r>
          </w:p>
        </w:tc>
        <w:tc>
          <w:tcPr>
            <w:cnfStyle w:val="000010000000" w:firstRow="0" w:lastRow="0" w:firstColumn="0" w:lastColumn="0" w:oddVBand="1" w:evenVBand="0" w:oddHBand="0" w:evenHBand="0" w:firstRowFirstColumn="0" w:firstRowLastColumn="0" w:lastRowFirstColumn="0" w:lastRowLastColumn="0"/>
            <w:tcW w:w="755" w:type="pct"/>
          </w:tcPr>
          <w:p w14:paraId="5F44B824" w14:textId="77777777" w:rsidR="00A30E61" w:rsidRPr="00CF3E3D" w:rsidRDefault="00A30E61" w:rsidP="007007AC">
            <w:pPr>
              <w:spacing w:before="85" w:line="288" w:lineRule="auto"/>
              <w:jc w:val="center"/>
              <w:rPr>
                <w:sz w:val="18"/>
                <w:szCs w:val="18"/>
              </w:rPr>
            </w:pPr>
            <w:r w:rsidRPr="00CF3E3D">
              <w:rPr>
                <w:sz w:val="18"/>
                <w:szCs w:val="18"/>
              </w:rPr>
              <w:t>38.7</w:t>
            </w:r>
          </w:p>
        </w:tc>
      </w:tr>
      <w:tr w:rsidR="00A30E61" w:rsidRPr="00CF3E3D" w14:paraId="6FFD1F1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8AE3192" w14:textId="77777777" w:rsidR="00A30E61" w:rsidRPr="00D002F3" w:rsidRDefault="00A30E61" w:rsidP="007007AC">
            <w:pPr>
              <w:spacing w:before="85" w:line="288" w:lineRule="auto"/>
              <w:rPr>
                <w:b/>
                <w:bCs/>
                <w:sz w:val="18"/>
                <w:szCs w:val="18"/>
              </w:rPr>
            </w:pPr>
            <w:r w:rsidRPr="00D002F3">
              <w:rPr>
                <w:b/>
                <w:bCs/>
                <w:sz w:val="18"/>
                <w:szCs w:val="18"/>
              </w:rPr>
              <w:t>Eastern College Australia</w:t>
            </w:r>
          </w:p>
        </w:tc>
        <w:tc>
          <w:tcPr>
            <w:cnfStyle w:val="000001000000" w:firstRow="0" w:lastRow="0" w:firstColumn="0" w:lastColumn="0" w:oddVBand="0" w:evenVBand="1" w:oddHBand="0" w:evenHBand="0" w:firstRowFirstColumn="0" w:firstRowLastColumn="0" w:lastRowFirstColumn="0" w:lastRowLastColumn="0"/>
            <w:tcW w:w="709" w:type="pct"/>
          </w:tcPr>
          <w:p w14:paraId="4DB0B43C"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EFF47ED"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27718AD" w14:textId="77777777" w:rsidR="00A30E61" w:rsidRPr="00CF3E3D" w:rsidRDefault="00A30E61" w:rsidP="007007AC">
            <w:pPr>
              <w:spacing w:before="85" w:line="288" w:lineRule="auto"/>
              <w:jc w:val="center"/>
              <w:rPr>
                <w:sz w:val="18"/>
                <w:szCs w:val="18"/>
              </w:rPr>
            </w:pPr>
            <w:r w:rsidRPr="00CF3E3D">
              <w:rPr>
                <w:sz w:val="18"/>
                <w:szCs w:val="18"/>
              </w:rPr>
              <w:t>47.6</w:t>
            </w:r>
          </w:p>
        </w:tc>
        <w:tc>
          <w:tcPr>
            <w:cnfStyle w:val="000010000000" w:firstRow="0" w:lastRow="0" w:firstColumn="0" w:lastColumn="0" w:oddVBand="1" w:evenVBand="0" w:oddHBand="0" w:evenHBand="0" w:firstRowFirstColumn="0" w:firstRowLastColumn="0" w:lastRowFirstColumn="0" w:lastRowLastColumn="0"/>
            <w:tcW w:w="755" w:type="pct"/>
          </w:tcPr>
          <w:p w14:paraId="5DFA8CEC" w14:textId="77777777" w:rsidR="00A30E61" w:rsidRPr="00CF3E3D" w:rsidRDefault="00A30E61" w:rsidP="007007AC">
            <w:pPr>
              <w:spacing w:before="85" w:line="288" w:lineRule="auto"/>
              <w:jc w:val="center"/>
              <w:rPr>
                <w:sz w:val="18"/>
                <w:szCs w:val="18"/>
              </w:rPr>
            </w:pPr>
            <w:r w:rsidRPr="00CF3E3D">
              <w:rPr>
                <w:sz w:val="18"/>
                <w:szCs w:val="18"/>
              </w:rPr>
              <w:t>47.6</w:t>
            </w:r>
          </w:p>
        </w:tc>
      </w:tr>
      <w:tr w:rsidR="00A30E61" w:rsidRPr="00CF3E3D" w14:paraId="71D8CD2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5C9F6C28" w14:textId="77777777" w:rsidR="00A30E61" w:rsidRPr="00D002F3" w:rsidRDefault="00A30E61" w:rsidP="007007AC">
            <w:pPr>
              <w:spacing w:before="85" w:line="288" w:lineRule="auto"/>
              <w:rPr>
                <w:b/>
                <w:bCs/>
                <w:sz w:val="18"/>
                <w:szCs w:val="18"/>
              </w:rPr>
            </w:pPr>
            <w:r w:rsidRPr="00D002F3">
              <w:rPr>
                <w:b/>
                <w:bCs/>
                <w:sz w:val="18"/>
                <w:szCs w:val="18"/>
              </w:rPr>
              <w:t>Elite Education Institute</w:t>
            </w:r>
          </w:p>
        </w:tc>
        <w:tc>
          <w:tcPr>
            <w:cnfStyle w:val="000001000000" w:firstRow="0" w:lastRow="0" w:firstColumn="0" w:lastColumn="0" w:oddVBand="0" w:evenVBand="1" w:oddHBand="0" w:evenHBand="0" w:firstRowFirstColumn="0" w:firstRowLastColumn="0" w:lastRowFirstColumn="0" w:lastRowLastColumn="0"/>
            <w:tcW w:w="709" w:type="pct"/>
          </w:tcPr>
          <w:p w14:paraId="6B052574"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3F7AB4B3"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6172FDAF" w14:textId="77777777" w:rsidR="00A30E61" w:rsidRPr="00CF3E3D" w:rsidRDefault="00A30E61" w:rsidP="007007AC">
            <w:pPr>
              <w:spacing w:before="85" w:line="288" w:lineRule="auto"/>
              <w:jc w:val="center"/>
              <w:rPr>
                <w:sz w:val="18"/>
                <w:szCs w:val="18"/>
              </w:rPr>
            </w:pPr>
            <w:r w:rsidRPr="00CF3E3D">
              <w:rPr>
                <w:sz w:val="18"/>
                <w:szCs w:val="18"/>
              </w:rPr>
              <w:t>25.0</w:t>
            </w:r>
          </w:p>
        </w:tc>
        <w:tc>
          <w:tcPr>
            <w:cnfStyle w:val="000010000000" w:firstRow="0" w:lastRow="0" w:firstColumn="0" w:lastColumn="0" w:oddVBand="1" w:evenVBand="0" w:oddHBand="0" w:evenHBand="0" w:firstRowFirstColumn="0" w:firstRowLastColumn="0" w:lastRowFirstColumn="0" w:lastRowLastColumn="0"/>
            <w:tcW w:w="755" w:type="pct"/>
          </w:tcPr>
          <w:p w14:paraId="137B076E" w14:textId="77777777" w:rsidR="00A30E61" w:rsidRPr="00CF3E3D" w:rsidRDefault="00A30E61" w:rsidP="007007AC">
            <w:pPr>
              <w:spacing w:before="85" w:line="288" w:lineRule="auto"/>
              <w:jc w:val="center"/>
              <w:rPr>
                <w:sz w:val="18"/>
                <w:szCs w:val="18"/>
              </w:rPr>
            </w:pPr>
            <w:r w:rsidRPr="00CF3E3D">
              <w:rPr>
                <w:sz w:val="18"/>
                <w:szCs w:val="18"/>
              </w:rPr>
              <w:t>25.0</w:t>
            </w:r>
          </w:p>
        </w:tc>
      </w:tr>
      <w:tr w:rsidR="00A30E61" w:rsidRPr="00CF3E3D" w14:paraId="2FEBE3C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543CC08" w14:textId="77777777" w:rsidR="00A30E61" w:rsidRPr="00D002F3" w:rsidRDefault="00A30E61" w:rsidP="007007AC">
            <w:pPr>
              <w:spacing w:before="85" w:line="288" w:lineRule="auto"/>
              <w:rPr>
                <w:b/>
                <w:bCs/>
                <w:sz w:val="18"/>
                <w:szCs w:val="18"/>
              </w:rPr>
            </w:pPr>
            <w:r w:rsidRPr="00D002F3">
              <w:rPr>
                <w:b/>
                <w:bCs/>
                <w:sz w:val="18"/>
                <w:szCs w:val="18"/>
              </w:rPr>
              <w:t>Endeavour College of Natural Health</w:t>
            </w:r>
          </w:p>
        </w:tc>
        <w:tc>
          <w:tcPr>
            <w:cnfStyle w:val="000001000000" w:firstRow="0" w:lastRow="0" w:firstColumn="0" w:lastColumn="0" w:oddVBand="0" w:evenVBand="1" w:oddHBand="0" w:evenHBand="0" w:firstRowFirstColumn="0" w:firstRowLastColumn="0" w:lastRowFirstColumn="0" w:lastRowLastColumn="0"/>
            <w:tcW w:w="709" w:type="pct"/>
          </w:tcPr>
          <w:p w14:paraId="34F7077A"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3E6B27C"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4459E662" w14:textId="77777777" w:rsidR="00A30E61" w:rsidRPr="00CF3E3D" w:rsidRDefault="00A30E61" w:rsidP="007007AC">
            <w:pPr>
              <w:spacing w:before="85" w:line="288" w:lineRule="auto"/>
              <w:jc w:val="center"/>
              <w:rPr>
                <w:sz w:val="18"/>
                <w:szCs w:val="18"/>
              </w:rPr>
            </w:pPr>
            <w:r w:rsidRPr="00CF3E3D">
              <w:rPr>
                <w:sz w:val="18"/>
                <w:szCs w:val="18"/>
              </w:rPr>
              <w:t>43.0</w:t>
            </w:r>
          </w:p>
        </w:tc>
        <w:tc>
          <w:tcPr>
            <w:cnfStyle w:val="000010000000" w:firstRow="0" w:lastRow="0" w:firstColumn="0" w:lastColumn="0" w:oddVBand="1" w:evenVBand="0" w:oddHBand="0" w:evenHBand="0" w:firstRowFirstColumn="0" w:firstRowLastColumn="0" w:lastRowFirstColumn="0" w:lastRowLastColumn="0"/>
            <w:tcW w:w="755" w:type="pct"/>
          </w:tcPr>
          <w:p w14:paraId="47E8254D" w14:textId="77777777" w:rsidR="00A30E61" w:rsidRPr="00CF3E3D" w:rsidRDefault="00A30E61" w:rsidP="007007AC">
            <w:pPr>
              <w:spacing w:before="85" w:line="288" w:lineRule="auto"/>
              <w:jc w:val="center"/>
              <w:rPr>
                <w:sz w:val="18"/>
                <w:szCs w:val="18"/>
              </w:rPr>
            </w:pPr>
            <w:r w:rsidRPr="00CF3E3D">
              <w:rPr>
                <w:sz w:val="18"/>
                <w:szCs w:val="18"/>
              </w:rPr>
              <w:t>43.0</w:t>
            </w:r>
          </w:p>
        </w:tc>
      </w:tr>
      <w:tr w:rsidR="00A30E61" w:rsidRPr="00CF3E3D" w14:paraId="6F09EF7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78EE75F" w14:textId="77777777" w:rsidR="00A30E61" w:rsidRPr="00D002F3" w:rsidRDefault="00A30E61" w:rsidP="007007AC">
            <w:pPr>
              <w:spacing w:before="85" w:line="288" w:lineRule="auto"/>
              <w:rPr>
                <w:b/>
                <w:bCs/>
                <w:sz w:val="18"/>
                <w:szCs w:val="18"/>
              </w:rPr>
            </w:pPr>
            <w:r w:rsidRPr="00D002F3">
              <w:rPr>
                <w:b/>
                <w:bCs/>
                <w:sz w:val="18"/>
                <w:szCs w:val="18"/>
              </w:rPr>
              <w:t>Engineering Institute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104EEE52" w14:textId="77777777" w:rsidR="00A30E61" w:rsidRPr="00CF3E3D" w:rsidRDefault="00A30E61" w:rsidP="007007AC">
            <w:pPr>
              <w:spacing w:before="85" w:line="288" w:lineRule="auto"/>
              <w:jc w:val="center"/>
              <w:rPr>
                <w:sz w:val="18"/>
                <w:szCs w:val="18"/>
              </w:rPr>
            </w:pPr>
            <w:r w:rsidRPr="00CF3E3D">
              <w:rPr>
                <w:sz w:val="18"/>
                <w:szCs w:val="18"/>
              </w:rPr>
              <w:t>55.8</w:t>
            </w:r>
          </w:p>
        </w:tc>
        <w:tc>
          <w:tcPr>
            <w:cnfStyle w:val="000010000000" w:firstRow="0" w:lastRow="0" w:firstColumn="0" w:lastColumn="0" w:oddVBand="1" w:evenVBand="0" w:oddHBand="0" w:evenHBand="0" w:firstRowFirstColumn="0" w:firstRowLastColumn="0" w:lastRowFirstColumn="0" w:lastRowLastColumn="0"/>
            <w:tcW w:w="755" w:type="pct"/>
          </w:tcPr>
          <w:p w14:paraId="3F198C37" w14:textId="77777777" w:rsidR="00A30E61" w:rsidRPr="00CF3E3D" w:rsidRDefault="00A30E61" w:rsidP="007007AC">
            <w:pPr>
              <w:spacing w:before="85" w:line="288" w:lineRule="auto"/>
              <w:jc w:val="center"/>
              <w:rPr>
                <w:sz w:val="18"/>
                <w:szCs w:val="18"/>
              </w:rPr>
            </w:pPr>
            <w:r w:rsidRPr="00CF3E3D">
              <w:rPr>
                <w:sz w:val="18"/>
                <w:szCs w:val="18"/>
              </w:rPr>
              <w:t>64.7</w:t>
            </w:r>
          </w:p>
        </w:tc>
        <w:tc>
          <w:tcPr>
            <w:cnfStyle w:val="000001000000" w:firstRow="0" w:lastRow="0" w:firstColumn="0" w:lastColumn="0" w:oddVBand="0" w:evenVBand="1" w:oddHBand="0" w:evenHBand="0" w:firstRowFirstColumn="0" w:firstRowLastColumn="0" w:lastRowFirstColumn="0" w:lastRowLastColumn="0"/>
            <w:tcW w:w="755" w:type="pct"/>
          </w:tcPr>
          <w:p w14:paraId="5224FE4F" w14:textId="77777777" w:rsidR="00A30E61" w:rsidRPr="00CF3E3D" w:rsidRDefault="00A30E61" w:rsidP="007007AC">
            <w:pPr>
              <w:spacing w:before="85" w:line="288" w:lineRule="auto"/>
              <w:jc w:val="center"/>
              <w:rPr>
                <w:sz w:val="18"/>
                <w:szCs w:val="18"/>
              </w:rPr>
            </w:pPr>
            <w:r w:rsidRPr="00CF3E3D">
              <w:rPr>
                <w:sz w:val="18"/>
                <w:szCs w:val="18"/>
              </w:rPr>
              <w:t>58.6</w:t>
            </w:r>
          </w:p>
        </w:tc>
        <w:tc>
          <w:tcPr>
            <w:cnfStyle w:val="000010000000" w:firstRow="0" w:lastRow="0" w:firstColumn="0" w:lastColumn="0" w:oddVBand="1" w:evenVBand="0" w:oddHBand="0" w:evenHBand="0" w:firstRowFirstColumn="0" w:firstRowLastColumn="0" w:lastRowFirstColumn="0" w:lastRowLastColumn="0"/>
            <w:tcW w:w="755" w:type="pct"/>
          </w:tcPr>
          <w:p w14:paraId="703CFEDA" w14:textId="77777777" w:rsidR="00A30E61" w:rsidRPr="00CF3E3D" w:rsidRDefault="00A30E61" w:rsidP="007007AC">
            <w:pPr>
              <w:spacing w:before="85" w:line="288" w:lineRule="auto"/>
              <w:jc w:val="center"/>
              <w:rPr>
                <w:sz w:val="18"/>
                <w:szCs w:val="18"/>
              </w:rPr>
            </w:pPr>
            <w:r w:rsidRPr="00CF3E3D">
              <w:rPr>
                <w:sz w:val="18"/>
                <w:szCs w:val="18"/>
              </w:rPr>
              <w:t>58.4</w:t>
            </w:r>
          </w:p>
        </w:tc>
      </w:tr>
      <w:tr w:rsidR="00A30E61" w:rsidRPr="00CF3E3D" w14:paraId="1C2461B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B33EB29" w14:textId="77777777" w:rsidR="00A30E61" w:rsidRPr="00D002F3" w:rsidRDefault="00A30E61" w:rsidP="007007AC">
            <w:pPr>
              <w:spacing w:before="85" w:line="288" w:lineRule="auto"/>
              <w:rPr>
                <w:b/>
                <w:bCs/>
                <w:sz w:val="18"/>
                <w:szCs w:val="18"/>
              </w:rPr>
            </w:pPr>
            <w:r w:rsidRPr="00D002F3">
              <w:rPr>
                <w:b/>
                <w:bCs/>
                <w:sz w:val="18"/>
                <w:szCs w:val="18"/>
              </w:rPr>
              <w:lastRenderedPageBreak/>
              <w:t>Equals International</w:t>
            </w:r>
          </w:p>
        </w:tc>
        <w:tc>
          <w:tcPr>
            <w:cnfStyle w:val="000001000000" w:firstRow="0" w:lastRow="0" w:firstColumn="0" w:lastColumn="0" w:oddVBand="0" w:evenVBand="1" w:oddHBand="0" w:evenHBand="0" w:firstRowFirstColumn="0" w:firstRowLastColumn="0" w:lastRowFirstColumn="0" w:lastRowLastColumn="0"/>
            <w:tcW w:w="709" w:type="pct"/>
          </w:tcPr>
          <w:p w14:paraId="41D182C0"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1D91C729" w14:textId="77777777" w:rsidR="00A30E61" w:rsidRPr="00CF3E3D" w:rsidRDefault="00A30E61" w:rsidP="007007AC">
            <w:pPr>
              <w:spacing w:before="85" w:line="288" w:lineRule="auto"/>
              <w:jc w:val="center"/>
              <w:rPr>
                <w:sz w:val="18"/>
                <w:szCs w:val="18"/>
              </w:rPr>
            </w:pPr>
            <w:r w:rsidRPr="00CF3E3D">
              <w:rPr>
                <w:sz w:val="18"/>
                <w:szCs w:val="18"/>
              </w:rPr>
              <w:t>100.0</w:t>
            </w:r>
          </w:p>
        </w:tc>
        <w:tc>
          <w:tcPr>
            <w:cnfStyle w:val="000001000000" w:firstRow="0" w:lastRow="0" w:firstColumn="0" w:lastColumn="0" w:oddVBand="0" w:evenVBand="1" w:oddHBand="0" w:evenHBand="0" w:firstRowFirstColumn="0" w:firstRowLastColumn="0" w:lastRowFirstColumn="0" w:lastRowLastColumn="0"/>
            <w:tcW w:w="755" w:type="pct"/>
          </w:tcPr>
          <w:p w14:paraId="7C922757"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DFC1E55" w14:textId="77777777" w:rsidR="00A30E61" w:rsidRPr="00CF3E3D" w:rsidRDefault="00A30E61" w:rsidP="007007AC">
            <w:pPr>
              <w:spacing w:before="85" w:line="288" w:lineRule="auto"/>
              <w:jc w:val="center"/>
              <w:rPr>
                <w:sz w:val="18"/>
                <w:szCs w:val="18"/>
              </w:rPr>
            </w:pPr>
            <w:r w:rsidRPr="00CF3E3D">
              <w:rPr>
                <w:sz w:val="18"/>
                <w:szCs w:val="18"/>
              </w:rPr>
              <w:t>100.0</w:t>
            </w:r>
          </w:p>
        </w:tc>
      </w:tr>
      <w:tr w:rsidR="00A30E61" w:rsidRPr="00CF3E3D" w14:paraId="67227E9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AC69F13" w14:textId="77777777" w:rsidR="00A30E61" w:rsidRPr="00D002F3" w:rsidRDefault="00A30E61" w:rsidP="007007AC">
            <w:pPr>
              <w:spacing w:before="85" w:line="288" w:lineRule="auto"/>
              <w:rPr>
                <w:b/>
                <w:bCs/>
                <w:sz w:val="18"/>
                <w:szCs w:val="18"/>
              </w:rPr>
            </w:pPr>
            <w:proofErr w:type="spellStart"/>
            <w:r w:rsidRPr="00D002F3">
              <w:rPr>
                <w:b/>
                <w:bCs/>
                <w:sz w:val="18"/>
                <w:szCs w:val="18"/>
              </w:rPr>
              <w:t>Excelsia</w:t>
            </w:r>
            <w:proofErr w:type="spellEnd"/>
            <w:r w:rsidRPr="00D002F3">
              <w:rPr>
                <w:b/>
                <w:bCs/>
                <w:sz w:val="18"/>
                <w:szCs w:val="18"/>
              </w:rPr>
              <w:t xml:space="preserve"> College</w:t>
            </w:r>
          </w:p>
        </w:tc>
        <w:tc>
          <w:tcPr>
            <w:cnfStyle w:val="000001000000" w:firstRow="0" w:lastRow="0" w:firstColumn="0" w:lastColumn="0" w:oddVBand="0" w:evenVBand="1" w:oddHBand="0" w:evenHBand="0" w:firstRowFirstColumn="0" w:firstRowLastColumn="0" w:lastRowFirstColumn="0" w:lastRowLastColumn="0"/>
            <w:tcW w:w="709" w:type="pct"/>
          </w:tcPr>
          <w:p w14:paraId="70D168B4" w14:textId="77777777" w:rsidR="00A30E61" w:rsidRPr="00CF3E3D" w:rsidRDefault="00A30E61" w:rsidP="007007AC">
            <w:pPr>
              <w:spacing w:before="85" w:line="288" w:lineRule="auto"/>
              <w:jc w:val="center"/>
              <w:rPr>
                <w:sz w:val="18"/>
                <w:szCs w:val="18"/>
              </w:rPr>
            </w:pPr>
            <w:r w:rsidRPr="00CF3E3D">
              <w:rPr>
                <w:sz w:val="18"/>
                <w:szCs w:val="18"/>
              </w:rPr>
              <w:t>47.1</w:t>
            </w:r>
          </w:p>
        </w:tc>
        <w:tc>
          <w:tcPr>
            <w:cnfStyle w:val="000010000000" w:firstRow="0" w:lastRow="0" w:firstColumn="0" w:lastColumn="0" w:oddVBand="1" w:evenVBand="0" w:oddHBand="0" w:evenHBand="0" w:firstRowFirstColumn="0" w:firstRowLastColumn="0" w:lastRowFirstColumn="0" w:lastRowLastColumn="0"/>
            <w:tcW w:w="755" w:type="pct"/>
          </w:tcPr>
          <w:p w14:paraId="2CAAA233" w14:textId="77777777" w:rsidR="00A30E61" w:rsidRPr="00CF3E3D" w:rsidRDefault="00A30E61" w:rsidP="007007AC">
            <w:pPr>
              <w:spacing w:before="85" w:line="288" w:lineRule="auto"/>
              <w:jc w:val="center"/>
              <w:rPr>
                <w:sz w:val="18"/>
                <w:szCs w:val="18"/>
              </w:rPr>
            </w:pPr>
            <w:r w:rsidRPr="00CF3E3D">
              <w:rPr>
                <w:sz w:val="18"/>
                <w:szCs w:val="18"/>
              </w:rPr>
              <w:t>82.4</w:t>
            </w:r>
          </w:p>
        </w:tc>
        <w:tc>
          <w:tcPr>
            <w:cnfStyle w:val="000001000000" w:firstRow="0" w:lastRow="0" w:firstColumn="0" w:lastColumn="0" w:oddVBand="0" w:evenVBand="1" w:oddHBand="0" w:evenHBand="0" w:firstRowFirstColumn="0" w:firstRowLastColumn="0" w:lastRowFirstColumn="0" w:lastRowLastColumn="0"/>
            <w:tcW w:w="755" w:type="pct"/>
          </w:tcPr>
          <w:p w14:paraId="291D4C14" w14:textId="77777777" w:rsidR="00A30E61" w:rsidRPr="00CF3E3D" w:rsidRDefault="00A30E61" w:rsidP="007007AC">
            <w:pPr>
              <w:spacing w:before="85" w:line="288" w:lineRule="auto"/>
              <w:jc w:val="center"/>
              <w:rPr>
                <w:sz w:val="18"/>
                <w:szCs w:val="18"/>
              </w:rPr>
            </w:pPr>
            <w:r w:rsidRPr="00CF3E3D">
              <w:rPr>
                <w:sz w:val="18"/>
                <w:szCs w:val="18"/>
              </w:rPr>
              <w:t>58.5</w:t>
            </w:r>
          </w:p>
        </w:tc>
        <w:tc>
          <w:tcPr>
            <w:cnfStyle w:val="000010000000" w:firstRow="0" w:lastRow="0" w:firstColumn="0" w:lastColumn="0" w:oddVBand="1" w:evenVBand="0" w:oddHBand="0" w:evenHBand="0" w:firstRowFirstColumn="0" w:firstRowLastColumn="0" w:lastRowFirstColumn="0" w:lastRowLastColumn="0"/>
            <w:tcW w:w="755" w:type="pct"/>
          </w:tcPr>
          <w:p w14:paraId="63FC7507" w14:textId="77777777" w:rsidR="00A30E61" w:rsidRPr="00CF3E3D" w:rsidRDefault="00A30E61" w:rsidP="007007AC">
            <w:pPr>
              <w:spacing w:before="85" w:line="288" w:lineRule="auto"/>
              <w:jc w:val="center"/>
              <w:rPr>
                <w:sz w:val="18"/>
                <w:szCs w:val="18"/>
              </w:rPr>
            </w:pPr>
            <w:r w:rsidRPr="00CF3E3D">
              <w:rPr>
                <w:sz w:val="18"/>
                <w:szCs w:val="18"/>
              </w:rPr>
              <w:t>56.1</w:t>
            </w:r>
          </w:p>
        </w:tc>
      </w:tr>
      <w:tr w:rsidR="00A30E61" w:rsidRPr="00CF3E3D" w14:paraId="0B3970B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160042F" w14:textId="77777777" w:rsidR="00A30E61" w:rsidRPr="00D002F3" w:rsidRDefault="00A30E61" w:rsidP="007007AC">
            <w:pPr>
              <w:spacing w:before="85" w:line="288" w:lineRule="auto"/>
              <w:rPr>
                <w:b/>
                <w:bCs/>
                <w:sz w:val="18"/>
                <w:szCs w:val="18"/>
              </w:rPr>
            </w:pPr>
            <w:r w:rsidRPr="00D002F3">
              <w:rPr>
                <w:b/>
                <w:bCs/>
                <w:sz w:val="18"/>
                <w:szCs w:val="18"/>
              </w:rPr>
              <w:t>Gestalt Therapy Brisbane</w:t>
            </w:r>
          </w:p>
        </w:tc>
        <w:tc>
          <w:tcPr>
            <w:cnfStyle w:val="000001000000" w:firstRow="0" w:lastRow="0" w:firstColumn="0" w:lastColumn="0" w:oddVBand="0" w:evenVBand="1" w:oddHBand="0" w:evenHBand="0" w:firstRowFirstColumn="0" w:firstRowLastColumn="0" w:lastRowFirstColumn="0" w:lastRowLastColumn="0"/>
            <w:tcW w:w="709" w:type="pct"/>
          </w:tcPr>
          <w:p w14:paraId="4B8D4CED"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6CCEF60"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F07F017" w14:textId="77777777" w:rsidR="00A30E61" w:rsidRPr="00CF3E3D" w:rsidRDefault="00A30E61" w:rsidP="007007AC">
            <w:pPr>
              <w:spacing w:before="85" w:line="288" w:lineRule="auto"/>
              <w:jc w:val="center"/>
              <w:rPr>
                <w:sz w:val="18"/>
                <w:szCs w:val="18"/>
              </w:rPr>
            </w:pPr>
            <w:r w:rsidRPr="00CF3E3D">
              <w:rPr>
                <w:sz w:val="18"/>
                <w:szCs w:val="18"/>
              </w:rPr>
              <w:t>61.3</w:t>
            </w:r>
          </w:p>
        </w:tc>
        <w:tc>
          <w:tcPr>
            <w:cnfStyle w:val="000010000000" w:firstRow="0" w:lastRow="0" w:firstColumn="0" w:lastColumn="0" w:oddVBand="1" w:evenVBand="0" w:oddHBand="0" w:evenHBand="0" w:firstRowFirstColumn="0" w:firstRowLastColumn="0" w:lastRowFirstColumn="0" w:lastRowLastColumn="0"/>
            <w:tcW w:w="755" w:type="pct"/>
          </w:tcPr>
          <w:p w14:paraId="6E92A7BA" w14:textId="77777777" w:rsidR="00A30E61" w:rsidRPr="00CF3E3D" w:rsidRDefault="00A30E61" w:rsidP="007007AC">
            <w:pPr>
              <w:spacing w:before="85" w:line="288" w:lineRule="auto"/>
              <w:jc w:val="center"/>
              <w:rPr>
                <w:sz w:val="18"/>
                <w:szCs w:val="18"/>
              </w:rPr>
            </w:pPr>
            <w:r w:rsidRPr="00CF3E3D">
              <w:rPr>
                <w:sz w:val="18"/>
                <w:szCs w:val="18"/>
              </w:rPr>
              <w:t>61.3</w:t>
            </w:r>
          </w:p>
        </w:tc>
      </w:tr>
      <w:tr w:rsidR="00A30E61" w:rsidRPr="00CF3E3D" w14:paraId="5E4182B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5A54CAF" w14:textId="77777777" w:rsidR="00A30E61" w:rsidRPr="00D002F3" w:rsidRDefault="00A30E61" w:rsidP="007007AC">
            <w:pPr>
              <w:spacing w:before="85" w:line="288" w:lineRule="auto"/>
              <w:rPr>
                <w:b/>
                <w:bCs/>
                <w:sz w:val="18"/>
                <w:szCs w:val="18"/>
              </w:rPr>
            </w:pPr>
            <w:r w:rsidRPr="00D002F3">
              <w:rPr>
                <w:b/>
                <w:bCs/>
                <w:sz w:val="18"/>
                <w:szCs w:val="18"/>
              </w:rPr>
              <w:t>Governance Institute of Australia</w:t>
            </w:r>
          </w:p>
        </w:tc>
        <w:tc>
          <w:tcPr>
            <w:cnfStyle w:val="000001000000" w:firstRow="0" w:lastRow="0" w:firstColumn="0" w:lastColumn="0" w:oddVBand="0" w:evenVBand="1" w:oddHBand="0" w:evenHBand="0" w:firstRowFirstColumn="0" w:firstRowLastColumn="0" w:lastRowFirstColumn="0" w:lastRowLastColumn="0"/>
            <w:tcW w:w="709" w:type="pct"/>
          </w:tcPr>
          <w:p w14:paraId="217B9E42" w14:textId="77777777" w:rsidR="00A30E61" w:rsidRPr="00CF3E3D" w:rsidRDefault="00A30E61" w:rsidP="007007AC">
            <w:pPr>
              <w:spacing w:before="85" w:line="288" w:lineRule="auto"/>
              <w:jc w:val="center"/>
              <w:rPr>
                <w:sz w:val="18"/>
                <w:szCs w:val="18"/>
              </w:rPr>
            </w:pPr>
            <w:r w:rsidRPr="00CF3E3D">
              <w:rPr>
                <w:sz w:val="18"/>
                <w:szCs w:val="18"/>
              </w:rPr>
              <w:t>61.3</w:t>
            </w:r>
          </w:p>
        </w:tc>
        <w:tc>
          <w:tcPr>
            <w:cnfStyle w:val="000010000000" w:firstRow="0" w:lastRow="0" w:firstColumn="0" w:lastColumn="0" w:oddVBand="1" w:evenVBand="0" w:oddHBand="0" w:evenHBand="0" w:firstRowFirstColumn="0" w:firstRowLastColumn="0" w:lastRowFirstColumn="0" w:lastRowLastColumn="0"/>
            <w:tcW w:w="755" w:type="pct"/>
          </w:tcPr>
          <w:p w14:paraId="1E7304CC"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D8BD024" w14:textId="77777777" w:rsidR="00A30E61" w:rsidRPr="00CF3E3D" w:rsidRDefault="00A30E61" w:rsidP="007007AC">
            <w:pPr>
              <w:spacing w:before="85" w:line="288" w:lineRule="auto"/>
              <w:jc w:val="center"/>
              <w:rPr>
                <w:sz w:val="18"/>
                <w:szCs w:val="18"/>
              </w:rPr>
            </w:pPr>
            <w:r w:rsidRPr="00CF3E3D">
              <w:rPr>
                <w:sz w:val="18"/>
                <w:szCs w:val="18"/>
              </w:rPr>
              <w:t>62.0</w:t>
            </w:r>
          </w:p>
        </w:tc>
        <w:tc>
          <w:tcPr>
            <w:cnfStyle w:val="000010000000" w:firstRow="0" w:lastRow="0" w:firstColumn="0" w:lastColumn="0" w:oddVBand="1" w:evenVBand="0" w:oddHBand="0" w:evenHBand="0" w:firstRowFirstColumn="0" w:firstRowLastColumn="0" w:lastRowFirstColumn="0" w:lastRowLastColumn="0"/>
            <w:tcW w:w="755" w:type="pct"/>
          </w:tcPr>
          <w:p w14:paraId="37BCBA3D" w14:textId="77777777" w:rsidR="00A30E61" w:rsidRPr="00CF3E3D" w:rsidRDefault="00A30E61" w:rsidP="007007AC">
            <w:pPr>
              <w:spacing w:before="85" w:line="288" w:lineRule="auto"/>
              <w:jc w:val="center"/>
              <w:rPr>
                <w:sz w:val="18"/>
                <w:szCs w:val="18"/>
              </w:rPr>
            </w:pPr>
            <w:r w:rsidRPr="00CF3E3D">
              <w:rPr>
                <w:sz w:val="18"/>
                <w:szCs w:val="18"/>
              </w:rPr>
              <w:t>61.7</w:t>
            </w:r>
          </w:p>
        </w:tc>
      </w:tr>
      <w:tr w:rsidR="00A30E61" w:rsidRPr="00CF3E3D" w14:paraId="4A27A6C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2415891" w14:textId="77777777" w:rsidR="00A30E61" w:rsidRPr="00D002F3" w:rsidRDefault="00A30E61" w:rsidP="007007AC">
            <w:pPr>
              <w:spacing w:before="85" w:line="288" w:lineRule="auto"/>
              <w:rPr>
                <w:b/>
                <w:bCs/>
                <w:sz w:val="18"/>
                <w:szCs w:val="18"/>
              </w:rPr>
            </w:pPr>
            <w:r w:rsidRPr="00D002F3">
              <w:rPr>
                <w:b/>
                <w:bCs/>
                <w:sz w:val="18"/>
                <w:szCs w:val="18"/>
              </w:rPr>
              <w:t>Health Education &amp; Training Institute</w:t>
            </w:r>
          </w:p>
        </w:tc>
        <w:tc>
          <w:tcPr>
            <w:cnfStyle w:val="000001000000" w:firstRow="0" w:lastRow="0" w:firstColumn="0" w:lastColumn="0" w:oddVBand="0" w:evenVBand="1" w:oddHBand="0" w:evenHBand="0" w:firstRowFirstColumn="0" w:firstRowLastColumn="0" w:lastRowFirstColumn="0" w:lastRowLastColumn="0"/>
            <w:tcW w:w="709" w:type="pct"/>
          </w:tcPr>
          <w:p w14:paraId="6FEF6639"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4E3197B6" w14:textId="77777777" w:rsidR="00A30E61" w:rsidRPr="00CF3E3D" w:rsidRDefault="00A30E61" w:rsidP="007007AC">
            <w:pPr>
              <w:spacing w:before="85" w:line="288" w:lineRule="auto"/>
              <w:jc w:val="center"/>
              <w:rPr>
                <w:sz w:val="18"/>
                <w:szCs w:val="18"/>
              </w:rPr>
            </w:pPr>
            <w:r w:rsidRPr="00CF3E3D">
              <w:rPr>
                <w:sz w:val="18"/>
                <w:szCs w:val="18"/>
              </w:rPr>
              <w:t>38.1</w:t>
            </w:r>
          </w:p>
        </w:tc>
        <w:tc>
          <w:tcPr>
            <w:cnfStyle w:val="000001000000" w:firstRow="0" w:lastRow="0" w:firstColumn="0" w:lastColumn="0" w:oddVBand="0" w:evenVBand="1" w:oddHBand="0" w:evenHBand="0" w:firstRowFirstColumn="0" w:firstRowLastColumn="0" w:lastRowFirstColumn="0" w:lastRowLastColumn="0"/>
            <w:tcW w:w="755" w:type="pct"/>
          </w:tcPr>
          <w:p w14:paraId="5F95F675" w14:textId="77777777" w:rsidR="00A30E61" w:rsidRPr="00CF3E3D" w:rsidRDefault="00A30E61" w:rsidP="007007AC">
            <w:pPr>
              <w:spacing w:before="85" w:line="288" w:lineRule="auto"/>
              <w:jc w:val="center"/>
              <w:rPr>
                <w:sz w:val="18"/>
                <w:szCs w:val="18"/>
              </w:rPr>
            </w:pPr>
            <w:r w:rsidRPr="00CF3E3D">
              <w:rPr>
                <w:sz w:val="18"/>
                <w:szCs w:val="18"/>
              </w:rPr>
              <w:t>37.0</w:t>
            </w:r>
          </w:p>
        </w:tc>
        <w:tc>
          <w:tcPr>
            <w:cnfStyle w:val="000010000000" w:firstRow="0" w:lastRow="0" w:firstColumn="0" w:lastColumn="0" w:oddVBand="1" w:evenVBand="0" w:oddHBand="0" w:evenHBand="0" w:firstRowFirstColumn="0" w:firstRowLastColumn="0" w:lastRowFirstColumn="0" w:lastRowLastColumn="0"/>
            <w:tcW w:w="755" w:type="pct"/>
          </w:tcPr>
          <w:p w14:paraId="171CE270" w14:textId="77777777" w:rsidR="00A30E61" w:rsidRPr="00CF3E3D" w:rsidRDefault="00A30E61" w:rsidP="007007AC">
            <w:pPr>
              <w:spacing w:before="85" w:line="288" w:lineRule="auto"/>
              <w:jc w:val="center"/>
              <w:rPr>
                <w:sz w:val="18"/>
                <w:szCs w:val="18"/>
              </w:rPr>
            </w:pPr>
            <w:r w:rsidRPr="00CF3E3D">
              <w:rPr>
                <w:sz w:val="18"/>
                <w:szCs w:val="18"/>
              </w:rPr>
              <w:t>37.3</w:t>
            </w:r>
          </w:p>
        </w:tc>
      </w:tr>
      <w:tr w:rsidR="00A30E61" w:rsidRPr="00CF3E3D" w14:paraId="4ECFC4D7"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E36BE38" w14:textId="77777777" w:rsidR="00A30E61" w:rsidRPr="00D002F3" w:rsidRDefault="00A30E61" w:rsidP="007007AC">
            <w:pPr>
              <w:spacing w:before="85" w:line="288" w:lineRule="auto"/>
              <w:rPr>
                <w:b/>
                <w:bCs/>
                <w:sz w:val="18"/>
                <w:szCs w:val="18"/>
              </w:rPr>
            </w:pPr>
            <w:r w:rsidRPr="00D002F3">
              <w:rPr>
                <w:b/>
                <w:bCs/>
                <w:sz w:val="18"/>
                <w:szCs w:val="18"/>
              </w:rPr>
              <w:t>Holmes Institute</w:t>
            </w:r>
          </w:p>
        </w:tc>
        <w:tc>
          <w:tcPr>
            <w:cnfStyle w:val="000001000000" w:firstRow="0" w:lastRow="0" w:firstColumn="0" w:lastColumn="0" w:oddVBand="0" w:evenVBand="1" w:oddHBand="0" w:evenHBand="0" w:firstRowFirstColumn="0" w:firstRowLastColumn="0" w:lastRowFirstColumn="0" w:lastRowLastColumn="0"/>
            <w:tcW w:w="709" w:type="pct"/>
          </w:tcPr>
          <w:p w14:paraId="452C4994" w14:textId="77777777" w:rsidR="00A30E61" w:rsidRPr="00CF3E3D" w:rsidRDefault="00A30E61" w:rsidP="007007AC">
            <w:pPr>
              <w:spacing w:before="85" w:line="288" w:lineRule="auto"/>
              <w:jc w:val="center"/>
              <w:rPr>
                <w:sz w:val="18"/>
                <w:szCs w:val="18"/>
              </w:rPr>
            </w:pPr>
            <w:r w:rsidRPr="00CF3E3D">
              <w:rPr>
                <w:sz w:val="18"/>
                <w:szCs w:val="18"/>
              </w:rPr>
              <w:t>29.5</w:t>
            </w:r>
          </w:p>
        </w:tc>
        <w:tc>
          <w:tcPr>
            <w:cnfStyle w:val="000010000000" w:firstRow="0" w:lastRow="0" w:firstColumn="0" w:lastColumn="0" w:oddVBand="1" w:evenVBand="0" w:oddHBand="0" w:evenHBand="0" w:firstRowFirstColumn="0" w:firstRowLastColumn="0" w:lastRowFirstColumn="0" w:lastRowLastColumn="0"/>
            <w:tcW w:w="755" w:type="pct"/>
          </w:tcPr>
          <w:p w14:paraId="4F0F8782"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21CE70C7" w14:textId="77777777" w:rsidR="00A30E61" w:rsidRPr="00CF3E3D" w:rsidRDefault="00A30E61" w:rsidP="007007AC">
            <w:pPr>
              <w:spacing w:before="85" w:line="288" w:lineRule="auto"/>
              <w:jc w:val="center"/>
              <w:rPr>
                <w:sz w:val="18"/>
                <w:szCs w:val="18"/>
              </w:rPr>
            </w:pPr>
            <w:r w:rsidRPr="00CF3E3D">
              <w:rPr>
                <w:sz w:val="18"/>
                <w:szCs w:val="18"/>
              </w:rPr>
              <w:t>32.5</w:t>
            </w:r>
          </w:p>
        </w:tc>
        <w:tc>
          <w:tcPr>
            <w:cnfStyle w:val="000010000000" w:firstRow="0" w:lastRow="0" w:firstColumn="0" w:lastColumn="0" w:oddVBand="1" w:evenVBand="0" w:oddHBand="0" w:evenHBand="0" w:firstRowFirstColumn="0" w:firstRowLastColumn="0" w:lastRowFirstColumn="0" w:lastRowLastColumn="0"/>
            <w:tcW w:w="755" w:type="pct"/>
          </w:tcPr>
          <w:p w14:paraId="07C94103" w14:textId="77777777" w:rsidR="00A30E61" w:rsidRPr="00CF3E3D" w:rsidRDefault="00A30E61" w:rsidP="007007AC">
            <w:pPr>
              <w:spacing w:before="85" w:line="288" w:lineRule="auto"/>
              <w:jc w:val="center"/>
              <w:rPr>
                <w:sz w:val="18"/>
                <w:szCs w:val="18"/>
              </w:rPr>
            </w:pPr>
            <w:r w:rsidRPr="00CF3E3D">
              <w:rPr>
                <w:sz w:val="18"/>
                <w:szCs w:val="18"/>
              </w:rPr>
              <w:t>30.8</w:t>
            </w:r>
          </w:p>
        </w:tc>
      </w:tr>
      <w:tr w:rsidR="00A30E61" w:rsidRPr="00CF3E3D" w14:paraId="7FB8B40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3BF4127" w14:textId="77777777" w:rsidR="00A30E61" w:rsidRPr="00D002F3" w:rsidRDefault="00A30E61" w:rsidP="007007AC">
            <w:pPr>
              <w:spacing w:before="85" w:line="288" w:lineRule="auto"/>
              <w:rPr>
                <w:b/>
                <w:bCs/>
                <w:sz w:val="18"/>
                <w:szCs w:val="18"/>
              </w:rPr>
            </w:pPr>
            <w:r w:rsidRPr="00D002F3">
              <w:rPr>
                <w:b/>
                <w:bCs/>
                <w:sz w:val="18"/>
                <w:szCs w:val="18"/>
              </w:rPr>
              <w:t>Holmesglen Institute</w:t>
            </w:r>
          </w:p>
        </w:tc>
        <w:tc>
          <w:tcPr>
            <w:cnfStyle w:val="000001000000" w:firstRow="0" w:lastRow="0" w:firstColumn="0" w:lastColumn="0" w:oddVBand="0" w:evenVBand="1" w:oddHBand="0" w:evenHBand="0" w:firstRowFirstColumn="0" w:firstRowLastColumn="0" w:lastRowFirstColumn="0" w:lastRowLastColumn="0"/>
            <w:tcW w:w="709" w:type="pct"/>
          </w:tcPr>
          <w:p w14:paraId="2B332EDD" w14:textId="77777777" w:rsidR="00A30E61" w:rsidRPr="00CF3E3D" w:rsidRDefault="00A30E61" w:rsidP="007007AC">
            <w:pPr>
              <w:spacing w:before="85" w:line="288" w:lineRule="auto"/>
              <w:jc w:val="center"/>
              <w:rPr>
                <w:sz w:val="18"/>
                <w:szCs w:val="18"/>
              </w:rPr>
            </w:pPr>
            <w:r w:rsidRPr="00CF3E3D">
              <w:rPr>
                <w:sz w:val="18"/>
                <w:szCs w:val="18"/>
              </w:rPr>
              <w:t>17.9</w:t>
            </w:r>
          </w:p>
        </w:tc>
        <w:tc>
          <w:tcPr>
            <w:cnfStyle w:val="000010000000" w:firstRow="0" w:lastRow="0" w:firstColumn="0" w:lastColumn="0" w:oddVBand="1" w:evenVBand="0" w:oddHBand="0" w:evenHBand="0" w:firstRowFirstColumn="0" w:firstRowLastColumn="0" w:lastRowFirstColumn="0" w:lastRowLastColumn="0"/>
            <w:tcW w:w="755" w:type="pct"/>
          </w:tcPr>
          <w:p w14:paraId="6599A8E1" w14:textId="77777777" w:rsidR="00A30E61" w:rsidRPr="00CF3E3D" w:rsidRDefault="00A30E61" w:rsidP="007007AC">
            <w:pPr>
              <w:spacing w:before="85" w:line="288" w:lineRule="auto"/>
              <w:jc w:val="center"/>
              <w:rPr>
                <w:sz w:val="18"/>
                <w:szCs w:val="18"/>
              </w:rPr>
            </w:pPr>
            <w:r w:rsidRPr="00CF3E3D">
              <w:rPr>
                <w:sz w:val="18"/>
                <w:szCs w:val="18"/>
              </w:rPr>
              <w:t>42.9</w:t>
            </w:r>
          </w:p>
        </w:tc>
        <w:tc>
          <w:tcPr>
            <w:cnfStyle w:val="000001000000" w:firstRow="0" w:lastRow="0" w:firstColumn="0" w:lastColumn="0" w:oddVBand="0" w:evenVBand="1" w:oddHBand="0" w:evenHBand="0" w:firstRowFirstColumn="0" w:firstRowLastColumn="0" w:lastRowFirstColumn="0" w:lastRowLastColumn="0"/>
            <w:tcW w:w="755" w:type="pct"/>
          </w:tcPr>
          <w:p w14:paraId="52F09C59" w14:textId="77777777" w:rsidR="00A30E61" w:rsidRPr="00CF3E3D" w:rsidRDefault="00A30E61" w:rsidP="007007AC">
            <w:pPr>
              <w:spacing w:before="85" w:line="288" w:lineRule="auto"/>
              <w:jc w:val="center"/>
              <w:rPr>
                <w:sz w:val="18"/>
                <w:szCs w:val="18"/>
              </w:rPr>
            </w:pPr>
            <w:r w:rsidRPr="00CF3E3D">
              <w:rPr>
                <w:sz w:val="18"/>
                <w:szCs w:val="18"/>
              </w:rPr>
              <w:t>37.9</w:t>
            </w:r>
          </w:p>
        </w:tc>
        <w:tc>
          <w:tcPr>
            <w:cnfStyle w:val="000010000000" w:firstRow="0" w:lastRow="0" w:firstColumn="0" w:lastColumn="0" w:oddVBand="1" w:evenVBand="0" w:oddHBand="0" w:evenHBand="0" w:firstRowFirstColumn="0" w:firstRowLastColumn="0" w:lastRowFirstColumn="0" w:lastRowLastColumn="0"/>
            <w:tcW w:w="755" w:type="pct"/>
          </w:tcPr>
          <w:p w14:paraId="73AAEFA6" w14:textId="77777777" w:rsidR="00A30E61" w:rsidRPr="00CF3E3D" w:rsidRDefault="00A30E61" w:rsidP="007007AC">
            <w:pPr>
              <w:spacing w:before="85" w:line="288" w:lineRule="auto"/>
              <w:jc w:val="center"/>
              <w:rPr>
                <w:sz w:val="18"/>
                <w:szCs w:val="18"/>
              </w:rPr>
            </w:pPr>
            <w:r w:rsidRPr="00CF3E3D">
              <w:rPr>
                <w:sz w:val="18"/>
                <w:szCs w:val="18"/>
              </w:rPr>
              <w:t>32.5</w:t>
            </w:r>
          </w:p>
        </w:tc>
      </w:tr>
      <w:tr w:rsidR="00A30E61" w:rsidRPr="00CF3E3D" w14:paraId="77D1884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BDF7324" w14:textId="77777777" w:rsidR="00A30E61" w:rsidRPr="00D002F3" w:rsidRDefault="00A30E61" w:rsidP="007007AC">
            <w:pPr>
              <w:spacing w:before="85" w:line="288" w:lineRule="auto"/>
              <w:rPr>
                <w:b/>
                <w:bCs/>
                <w:sz w:val="18"/>
                <w:szCs w:val="18"/>
              </w:rPr>
            </w:pPr>
            <w:r w:rsidRPr="00D002F3">
              <w:rPr>
                <w:b/>
                <w:bCs/>
                <w:sz w:val="18"/>
                <w:szCs w:val="18"/>
              </w:rPr>
              <w:t>ICHM</w:t>
            </w:r>
          </w:p>
        </w:tc>
        <w:tc>
          <w:tcPr>
            <w:cnfStyle w:val="000001000000" w:firstRow="0" w:lastRow="0" w:firstColumn="0" w:lastColumn="0" w:oddVBand="0" w:evenVBand="1" w:oddHBand="0" w:evenHBand="0" w:firstRowFirstColumn="0" w:firstRowLastColumn="0" w:lastRowFirstColumn="0" w:lastRowLastColumn="0"/>
            <w:tcW w:w="709" w:type="pct"/>
          </w:tcPr>
          <w:p w14:paraId="76511CFE" w14:textId="77777777" w:rsidR="00A30E61" w:rsidRPr="00CF3E3D" w:rsidRDefault="00A30E61" w:rsidP="007007AC">
            <w:pPr>
              <w:spacing w:before="85" w:line="288" w:lineRule="auto"/>
              <w:jc w:val="center"/>
              <w:rPr>
                <w:sz w:val="18"/>
                <w:szCs w:val="18"/>
              </w:rPr>
            </w:pPr>
            <w:r w:rsidRPr="00CF3E3D">
              <w:rPr>
                <w:sz w:val="18"/>
                <w:szCs w:val="18"/>
              </w:rPr>
              <w:t>40.4</w:t>
            </w:r>
          </w:p>
        </w:tc>
        <w:tc>
          <w:tcPr>
            <w:cnfStyle w:val="000010000000" w:firstRow="0" w:lastRow="0" w:firstColumn="0" w:lastColumn="0" w:oddVBand="1" w:evenVBand="0" w:oddHBand="0" w:evenHBand="0" w:firstRowFirstColumn="0" w:firstRowLastColumn="0" w:lastRowFirstColumn="0" w:lastRowLastColumn="0"/>
            <w:tcW w:w="755" w:type="pct"/>
          </w:tcPr>
          <w:p w14:paraId="20D2324A"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ADFF7A8"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3D2CB967" w14:textId="77777777" w:rsidR="00A30E61" w:rsidRPr="00CF3E3D" w:rsidRDefault="00A30E61" w:rsidP="007007AC">
            <w:pPr>
              <w:spacing w:before="85" w:line="288" w:lineRule="auto"/>
              <w:jc w:val="center"/>
              <w:rPr>
                <w:sz w:val="18"/>
                <w:szCs w:val="18"/>
              </w:rPr>
            </w:pPr>
            <w:r w:rsidRPr="00CF3E3D">
              <w:rPr>
                <w:sz w:val="18"/>
                <w:szCs w:val="18"/>
              </w:rPr>
              <w:t>40.4</w:t>
            </w:r>
          </w:p>
        </w:tc>
      </w:tr>
      <w:tr w:rsidR="00A30E61" w:rsidRPr="00CF3E3D" w14:paraId="3304916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C66AA52" w14:textId="77777777" w:rsidR="00A30E61" w:rsidRPr="00D002F3" w:rsidRDefault="00A30E61" w:rsidP="007007AC">
            <w:pPr>
              <w:spacing w:before="85" w:line="288" w:lineRule="auto"/>
              <w:rPr>
                <w:b/>
                <w:bCs/>
                <w:sz w:val="18"/>
                <w:szCs w:val="18"/>
              </w:rPr>
            </w:pPr>
            <w:r w:rsidRPr="00D002F3">
              <w:rPr>
                <w:b/>
                <w:bCs/>
                <w:sz w:val="18"/>
                <w:szCs w:val="18"/>
              </w:rPr>
              <w:t>Ikon Institute of Australia</w:t>
            </w:r>
          </w:p>
        </w:tc>
        <w:tc>
          <w:tcPr>
            <w:cnfStyle w:val="000001000000" w:firstRow="0" w:lastRow="0" w:firstColumn="0" w:lastColumn="0" w:oddVBand="0" w:evenVBand="1" w:oddHBand="0" w:evenHBand="0" w:firstRowFirstColumn="0" w:firstRowLastColumn="0" w:lastRowFirstColumn="0" w:lastRowLastColumn="0"/>
            <w:tcW w:w="709" w:type="pct"/>
          </w:tcPr>
          <w:p w14:paraId="49A0D60B" w14:textId="77777777" w:rsidR="00A30E61" w:rsidRPr="00CF3E3D" w:rsidRDefault="00A30E61" w:rsidP="007007AC">
            <w:pPr>
              <w:spacing w:before="85" w:line="288" w:lineRule="auto"/>
              <w:jc w:val="center"/>
              <w:rPr>
                <w:sz w:val="18"/>
                <w:szCs w:val="18"/>
              </w:rPr>
            </w:pPr>
            <w:r w:rsidRPr="00CF3E3D">
              <w:rPr>
                <w:sz w:val="18"/>
                <w:szCs w:val="18"/>
              </w:rPr>
              <w:t>45.0</w:t>
            </w:r>
          </w:p>
        </w:tc>
        <w:tc>
          <w:tcPr>
            <w:cnfStyle w:val="000010000000" w:firstRow="0" w:lastRow="0" w:firstColumn="0" w:lastColumn="0" w:oddVBand="1" w:evenVBand="0" w:oddHBand="0" w:evenHBand="0" w:firstRowFirstColumn="0" w:firstRowLastColumn="0" w:lastRowFirstColumn="0" w:lastRowLastColumn="0"/>
            <w:tcW w:w="755" w:type="pct"/>
          </w:tcPr>
          <w:p w14:paraId="3A403E10" w14:textId="77777777" w:rsidR="00A30E61" w:rsidRPr="00CF3E3D" w:rsidRDefault="00A30E61" w:rsidP="007007AC">
            <w:pPr>
              <w:spacing w:before="85" w:line="288" w:lineRule="auto"/>
              <w:jc w:val="center"/>
              <w:rPr>
                <w:sz w:val="18"/>
                <w:szCs w:val="18"/>
              </w:rPr>
            </w:pPr>
            <w:r w:rsidRPr="00CF3E3D">
              <w:rPr>
                <w:sz w:val="18"/>
                <w:szCs w:val="18"/>
              </w:rPr>
              <w:t>60.0</w:t>
            </w:r>
          </w:p>
        </w:tc>
        <w:tc>
          <w:tcPr>
            <w:cnfStyle w:val="000001000000" w:firstRow="0" w:lastRow="0" w:firstColumn="0" w:lastColumn="0" w:oddVBand="0" w:evenVBand="1" w:oddHBand="0" w:evenHBand="0" w:firstRowFirstColumn="0" w:firstRowLastColumn="0" w:lastRowFirstColumn="0" w:lastRowLastColumn="0"/>
            <w:tcW w:w="755" w:type="pct"/>
          </w:tcPr>
          <w:p w14:paraId="4D99AC07" w14:textId="77777777" w:rsidR="00A30E61" w:rsidRPr="00CF3E3D" w:rsidRDefault="00A30E61" w:rsidP="007007AC">
            <w:pPr>
              <w:spacing w:before="85" w:line="288" w:lineRule="auto"/>
              <w:jc w:val="center"/>
              <w:rPr>
                <w:sz w:val="18"/>
                <w:szCs w:val="18"/>
              </w:rPr>
            </w:pPr>
            <w:r w:rsidRPr="00CF3E3D">
              <w:rPr>
                <w:sz w:val="18"/>
                <w:szCs w:val="18"/>
              </w:rPr>
              <w:t>60.0</w:t>
            </w:r>
          </w:p>
        </w:tc>
        <w:tc>
          <w:tcPr>
            <w:cnfStyle w:val="000010000000" w:firstRow="0" w:lastRow="0" w:firstColumn="0" w:lastColumn="0" w:oddVBand="1" w:evenVBand="0" w:oddHBand="0" w:evenHBand="0" w:firstRowFirstColumn="0" w:firstRowLastColumn="0" w:lastRowFirstColumn="0" w:lastRowLastColumn="0"/>
            <w:tcW w:w="755" w:type="pct"/>
          </w:tcPr>
          <w:p w14:paraId="1B695592" w14:textId="77777777" w:rsidR="00A30E61" w:rsidRPr="00CF3E3D" w:rsidRDefault="00A30E61" w:rsidP="007007AC">
            <w:pPr>
              <w:spacing w:before="85" w:line="288" w:lineRule="auto"/>
              <w:jc w:val="center"/>
              <w:rPr>
                <w:sz w:val="18"/>
                <w:szCs w:val="18"/>
              </w:rPr>
            </w:pPr>
            <w:r w:rsidRPr="00CF3E3D">
              <w:rPr>
                <w:sz w:val="18"/>
                <w:szCs w:val="18"/>
              </w:rPr>
              <w:t>56.5</w:t>
            </w:r>
          </w:p>
        </w:tc>
      </w:tr>
      <w:tr w:rsidR="00A30E61" w:rsidRPr="00CF3E3D" w14:paraId="5E78FB9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514A6A84" w14:textId="77777777" w:rsidR="00A30E61" w:rsidRPr="00D002F3" w:rsidRDefault="00A30E61" w:rsidP="007007AC">
            <w:pPr>
              <w:spacing w:before="85" w:line="288" w:lineRule="auto"/>
              <w:rPr>
                <w:b/>
                <w:bCs/>
                <w:sz w:val="18"/>
                <w:szCs w:val="18"/>
              </w:rPr>
            </w:pPr>
            <w:r w:rsidRPr="00D002F3">
              <w:rPr>
                <w:b/>
                <w:bCs/>
                <w:sz w:val="18"/>
                <w:szCs w:val="18"/>
              </w:rPr>
              <w:t>Institute of Health &amp; Management Pty Ltd</w:t>
            </w:r>
          </w:p>
        </w:tc>
        <w:tc>
          <w:tcPr>
            <w:cnfStyle w:val="000001000000" w:firstRow="0" w:lastRow="0" w:firstColumn="0" w:lastColumn="0" w:oddVBand="0" w:evenVBand="1" w:oddHBand="0" w:evenHBand="0" w:firstRowFirstColumn="0" w:firstRowLastColumn="0" w:lastRowFirstColumn="0" w:lastRowLastColumn="0"/>
            <w:tcW w:w="709" w:type="pct"/>
          </w:tcPr>
          <w:p w14:paraId="2EE524D8" w14:textId="77777777" w:rsidR="00A30E61" w:rsidRPr="00CF3E3D" w:rsidRDefault="00A30E61" w:rsidP="007007AC">
            <w:pPr>
              <w:spacing w:before="85" w:line="288" w:lineRule="auto"/>
              <w:jc w:val="center"/>
              <w:rPr>
                <w:sz w:val="18"/>
                <w:szCs w:val="18"/>
              </w:rPr>
            </w:pPr>
            <w:r w:rsidRPr="00CF3E3D">
              <w:rPr>
                <w:sz w:val="18"/>
                <w:szCs w:val="18"/>
              </w:rPr>
              <w:t>48.6</w:t>
            </w:r>
          </w:p>
        </w:tc>
        <w:tc>
          <w:tcPr>
            <w:cnfStyle w:val="000010000000" w:firstRow="0" w:lastRow="0" w:firstColumn="0" w:lastColumn="0" w:oddVBand="1" w:evenVBand="0" w:oddHBand="0" w:evenHBand="0" w:firstRowFirstColumn="0" w:firstRowLastColumn="0" w:lastRowFirstColumn="0" w:lastRowLastColumn="0"/>
            <w:tcW w:w="755" w:type="pct"/>
          </w:tcPr>
          <w:p w14:paraId="27C3329C" w14:textId="77777777" w:rsidR="00A30E61" w:rsidRPr="00CF3E3D" w:rsidRDefault="00A30E61" w:rsidP="007007AC">
            <w:pPr>
              <w:spacing w:before="85" w:line="288" w:lineRule="auto"/>
              <w:jc w:val="center"/>
              <w:rPr>
                <w:sz w:val="18"/>
                <w:szCs w:val="18"/>
              </w:rPr>
            </w:pPr>
            <w:r w:rsidRPr="00CF3E3D">
              <w:rPr>
                <w:sz w:val="18"/>
                <w:szCs w:val="18"/>
              </w:rPr>
              <w:t>42.1</w:t>
            </w:r>
          </w:p>
        </w:tc>
        <w:tc>
          <w:tcPr>
            <w:cnfStyle w:val="000001000000" w:firstRow="0" w:lastRow="0" w:firstColumn="0" w:lastColumn="0" w:oddVBand="0" w:evenVBand="1" w:oddHBand="0" w:evenHBand="0" w:firstRowFirstColumn="0" w:firstRowLastColumn="0" w:lastRowFirstColumn="0" w:lastRowLastColumn="0"/>
            <w:tcW w:w="755" w:type="pct"/>
          </w:tcPr>
          <w:p w14:paraId="067950BC" w14:textId="77777777" w:rsidR="00A30E61" w:rsidRPr="00CF3E3D" w:rsidRDefault="00A30E61" w:rsidP="007007AC">
            <w:pPr>
              <w:spacing w:before="85" w:line="288" w:lineRule="auto"/>
              <w:jc w:val="center"/>
              <w:rPr>
                <w:sz w:val="18"/>
                <w:szCs w:val="18"/>
              </w:rPr>
            </w:pPr>
            <w:r w:rsidRPr="00CF3E3D">
              <w:rPr>
                <w:sz w:val="18"/>
                <w:szCs w:val="18"/>
              </w:rPr>
              <w:t>48.1</w:t>
            </w:r>
          </w:p>
        </w:tc>
        <w:tc>
          <w:tcPr>
            <w:cnfStyle w:val="000010000000" w:firstRow="0" w:lastRow="0" w:firstColumn="0" w:lastColumn="0" w:oddVBand="1" w:evenVBand="0" w:oddHBand="0" w:evenHBand="0" w:firstRowFirstColumn="0" w:firstRowLastColumn="0" w:lastRowFirstColumn="0" w:lastRowLastColumn="0"/>
            <w:tcW w:w="755" w:type="pct"/>
          </w:tcPr>
          <w:p w14:paraId="771AE967" w14:textId="77777777" w:rsidR="00A30E61" w:rsidRPr="00CF3E3D" w:rsidRDefault="00A30E61" w:rsidP="007007AC">
            <w:pPr>
              <w:spacing w:before="85" w:line="288" w:lineRule="auto"/>
              <w:jc w:val="center"/>
              <w:rPr>
                <w:sz w:val="18"/>
                <w:szCs w:val="18"/>
              </w:rPr>
            </w:pPr>
            <w:r w:rsidRPr="00CF3E3D">
              <w:rPr>
                <w:sz w:val="18"/>
                <w:szCs w:val="18"/>
              </w:rPr>
              <w:t>47.6</w:t>
            </w:r>
          </w:p>
        </w:tc>
      </w:tr>
      <w:tr w:rsidR="00A30E61" w:rsidRPr="00CF3E3D" w14:paraId="6455CB1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258D4B4" w14:textId="77777777" w:rsidR="00A30E61" w:rsidRPr="00D002F3" w:rsidRDefault="00A30E61" w:rsidP="007007AC">
            <w:pPr>
              <w:spacing w:before="85" w:line="288" w:lineRule="auto"/>
              <w:rPr>
                <w:b/>
                <w:bCs/>
                <w:sz w:val="18"/>
                <w:szCs w:val="18"/>
              </w:rPr>
            </w:pPr>
            <w:r w:rsidRPr="00D002F3">
              <w:rPr>
                <w:b/>
                <w:bCs/>
                <w:sz w:val="18"/>
                <w:szCs w:val="18"/>
              </w:rPr>
              <w:t>International College of Management, Sydney</w:t>
            </w:r>
          </w:p>
        </w:tc>
        <w:tc>
          <w:tcPr>
            <w:cnfStyle w:val="000001000000" w:firstRow="0" w:lastRow="0" w:firstColumn="0" w:lastColumn="0" w:oddVBand="0" w:evenVBand="1" w:oddHBand="0" w:evenHBand="0" w:firstRowFirstColumn="0" w:firstRowLastColumn="0" w:lastRowFirstColumn="0" w:lastRowLastColumn="0"/>
            <w:tcW w:w="709" w:type="pct"/>
          </w:tcPr>
          <w:p w14:paraId="04E4D91B" w14:textId="77777777" w:rsidR="00A30E61" w:rsidRPr="00CF3E3D" w:rsidRDefault="00A30E61" w:rsidP="007007AC">
            <w:pPr>
              <w:spacing w:before="85" w:line="288" w:lineRule="auto"/>
              <w:jc w:val="center"/>
              <w:rPr>
                <w:sz w:val="18"/>
                <w:szCs w:val="18"/>
              </w:rPr>
            </w:pPr>
            <w:r w:rsidRPr="00CF3E3D">
              <w:rPr>
                <w:sz w:val="18"/>
                <w:szCs w:val="18"/>
              </w:rPr>
              <w:t>31.0</w:t>
            </w:r>
          </w:p>
        </w:tc>
        <w:tc>
          <w:tcPr>
            <w:cnfStyle w:val="000010000000" w:firstRow="0" w:lastRow="0" w:firstColumn="0" w:lastColumn="0" w:oddVBand="1" w:evenVBand="0" w:oddHBand="0" w:evenHBand="0" w:firstRowFirstColumn="0" w:firstRowLastColumn="0" w:lastRowFirstColumn="0" w:lastRowLastColumn="0"/>
            <w:tcW w:w="755" w:type="pct"/>
          </w:tcPr>
          <w:p w14:paraId="5A69A0DF" w14:textId="77777777" w:rsidR="00A30E61" w:rsidRPr="00CF3E3D" w:rsidRDefault="00A30E61" w:rsidP="007007AC">
            <w:pPr>
              <w:spacing w:before="85" w:line="288" w:lineRule="auto"/>
              <w:jc w:val="center"/>
              <w:rPr>
                <w:sz w:val="18"/>
                <w:szCs w:val="18"/>
              </w:rPr>
            </w:pPr>
            <w:r w:rsidRPr="00CF3E3D">
              <w:rPr>
                <w:sz w:val="18"/>
                <w:szCs w:val="18"/>
              </w:rPr>
              <w:t>19.0</w:t>
            </w:r>
          </w:p>
        </w:tc>
        <w:tc>
          <w:tcPr>
            <w:cnfStyle w:val="000001000000" w:firstRow="0" w:lastRow="0" w:firstColumn="0" w:lastColumn="0" w:oddVBand="0" w:evenVBand="1" w:oddHBand="0" w:evenHBand="0" w:firstRowFirstColumn="0" w:firstRowLastColumn="0" w:lastRowFirstColumn="0" w:lastRowLastColumn="0"/>
            <w:tcW w:w="755" w:type="pct"/>
          </w:tcPr>
          <w:p w14:paraId="214D7078" w14:textId="77777777" w:rsidR="00A30E61" w:rsidRPr="00CF3E3D" w:rsidRDefault="00A30E61" w:rsidP="007007AC">
            <w:pPr>
              <w:spacing w:before="85" w:line="288" w:lineRule="auto"/>
              <w:jc w:val="center"/>
              <w:rPr>
                <w:sz w:val="18"/>
                <w:szCs w:val="18"/>
              </w:rPr>
            </w:pPr>
            <w:r w:rsidRPr="00CF3E3D">
              <w:rPr>
                <w:sz w:val="18"/>
                <w:szCs w:val="18"/>
              </w:rPr>
              <w:t>31.4</w:t>
            </w:r>
          </w:p>
        </w:tc>
        <w:tc>
          <w:tcPr>
            <w:cnfStyle w:val="000010000000" w:firstRow="0" w:lastRow="0" w:firstColumn="0" w:lastColumn="0" w:oddVBand="1" w:evenVBand="0" w:oddHBand="0" w:evenHBand="0" w:firstRowFirstColumn="0" w:firstRowLastColumn="0" w:lastRowFirstColumn="0" w:lastRowLastColumn="0"/>
            <w:tcW w:w="755" w:type="pct"/>
          </w:tcPr>
          <w:p w14:paraId="32E05CD3" w14:textId="77777777" w:rsidR="00A30E61" w:rsidRPr="00CF3E3D" w:rsidRDefault="00A30E61" w:rsidP="007007AC">
            <w:pPr>
              <w:spacing w:before="85" w:line="288" w:lineRule="auto"/>
              <w:jc w:val="center"/>
              <w:rPr>
                <w:sz w:val="18"/>
                <w:szCs w:val="18"/>
              </w:rPr>
            </w:pPr>
            <w:r w:rsidRPr="00CF3E3D">
              <w:rPr>
                <w:sz w:val="18"/>
                <w:szCs w:val="18"/>
              </w:rPr>
              <w:t>27.5</w:t>
            </w:r>
          </w:p>
        </w:tc>
      </w:tr>
      <w:tr w:rsidR="00A30E61" w:rsidRPr="00CF3E3D" w14:paraId="511EAE1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A5D1349" w14:textId="77777777" w:rsidR="00A30E61" w:rsidRPr="00D002F3" w:rsidRDefault="00A30E61" w:rsidP="007007AC">
            <w:pPr>
              <w:spacing w:before="85" w:line="288" w:lineRule="auto"/>
              <w:rPr>
                <w:b/>
                <w:bCs/>
                <w:sz w:val="18"/>
                <w:szCs w:val="18"/>
              </w:rPr>
            </w:pPr>
            <w:r w:rsidRPr="00D002F3">
              <w:rPr>
                <w:b/>
                <w:bCs/>
                <w:sz w:val="18"/>
                <w:szCs w:val="18"/>
              </w:rPr>
              <w:t>International Institute of Business and Technology</w:t>
            </w:r>
          </w:p>
        </w:tc>
        <w:tc>
          <w:tcPr>
            <w:cnfStyle w:val="000001000000" w:firstRow="0" w:lastRow="0" w:firstColumn="0" w:lastColumn="0" w:oddVBand="0" w:evenVBand="1" w:oddHBand="0" w:evenHBand="0" w:firstRowFirstColumn="0" w:firstRowLastColumn="0" w:lastRowFirstColumn="0" w:lastRowLastColumn="0"/>
            <w:tcW w:w="709" w:type="pct"/>
          </w:tcPr>
          <w:p w14:paraId="6FB9C0DE" w14:textId="77777777" w:rsidR="00A30E61" w:rsidRPr="00CF3E3D" w:rsidRDefault="00A30E61" w:rsidP="007007AC">
            <w:pPr>
              <w:spacing w:before="85" w:line="288" w:lineRule="auto"/>
              <w:jc w:val="center"/>
              <w:rPr>
                <w:sz w:val="18"/>
                <w:szCs w:val="18"/>
              </w:rPr>
            </w:pPr>
            <w:r w:rsidRPr="00CF3E3D">
              <w:rPr>
                <w:sz w:val="18"/>
                <w:szCs w:val="18"/>
              </w:rPr>
              <w:t>20.0</w:t>
            </w:r>
          </w:p>
        </w:tc>
        <w:tc>
          <w:tcPr>
            <w:cnfStyle w:val="000010000000" w:firstRow="0" w:lastRow="0" w:firstColumn="0" w:lastColumn="0" w:oddVBand="1" w:evenVBand="0" w:oddHBand="0" w:evenHBand="0" w:firstRowFirstColumn="0" w:firstRowLastColumn="0" w:lastRowFirstColumn="0" w:lastRowLastColumn="0"/>
            <w:tcW w:w="755" w:type="pct"/>
          </w:tcPr>
          <w:p w14:paraId="4428ED53"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125598C" w14:textId="77777777" w:rsidR="00A30E61" w:rsidRPr="00CF3E3D" w:rsidRDefault="00A30E61" w:rsidP="007007AC">
            <w:pPr>
              <w:spacing w:before="85" w:line="288" w:lineRule="auto"/>
              <w:jc w:val="center"/>
              <w:rPr>
                <w:sz w:val="18"/>
                <w:szCs w:val="18"/>
              </w:rPr>
            </w:pPr>
            <w:r w:rsidRPr="00CF3E3D">
              <w:rPr>
                <w:sz w:val="18"/>
                <w:szCs w:val="18"/>
              </w:rPr>
              <w:t>16.7</w:t>
            </w:r>
          </w:p>
        </w:tc>
        <w:tc>
          <w:tcPr>
            <w:cnfStyle w:val="000010000000" w:firstRow="0" w:lastRow="0" w:firstColumn="0" w:lastColumn="0" w:oddVBand="1" w:evenVBand="0" w:oddHBand="0" w:evenHBand="0" w:firstRowFirstColumn="0" w:firstRowLastColumn="0" w:lastRowFirstColumn="0" w:lastRowLastColumn="0"/>
            <w:tcW w:w="755" w:type="pct"/>
          </w:tcPr>
          <w:p w14:paraId="40E94C3E" w14:textId="77777777" w:rsidR="00A30E61" w:rsidRPr="00CF3E3D" w:rsidRDefault="00A30E61" w:rsidP="007007AC">
            <w:pPr>
              <w:spacing w:before="85" w:line="288" w:lineRule="auto"/>
              <w:jc w:val="center"/>
              <w:rPr>
                <w:sz w:val="18"/>
                <w:szCs w:val="18"/>
              </w:rPr>
            </w:pPr>
            <w:r w:rsidRPr="00CF3E3D">
              <w:rPr>
                <w:sz w:val="18"/>
                <w:szCs w:val="18"/>
              </w:rPr>
              <w:t>19.0</w:t>
            </w:r>
          </w:p>
        </w:tc>
      </w:tr>
      <w:tr w:rsidR="00A30E61" w:rsidRPr="00CF3E3D" w14:paraId="50A93BA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1092104" w14:textId="77777777" w:rsidR="00A30E61" w:rsidRPr="00D002F3" w:rsidRDefault="00A30E61" w:rsidP="007007AC">
            <w:pPr>
              <w:spacing w:before="85" w:line="288" w:lineRule="auto"/>
              <w:rPr>
                <w:b/>
                <w:bCs/>
                <w:sz w:val="18"/>
                <w:szCs w:val="18"/>
              </w:rPr>
            </w:pPr>
            <w:r w:rsidRPr="00D002F3">
              <w:rPr>
                <w:b/>
                <w:bCs/>
                <w:sz w:val="18"/>
                <w:szCs w:val="18"/>
              </w:rPr>
              <w:t>ISN Psychology Pty Ltd</w:t>
            </w:r>
          </w:p>
        </w:tc>
        <w:tc>
          <w:tcPr>
            <w:cnfStyle w:val="000001000000" w:firstRow="0" w:lastRow="0" w:firstColumn="0" w:lastColumn="0" w:oddVBand="0" w:evenVBand="1" w:oddHBand="0" w:evenHBand="0" w:firstRowFirstColumn="0" w:firstRowLastColumn="0" w:lastRowFirstColumn="0" w:lastRowLastColumn="0"/>
            <w:tcW w:w="709" w:type="pct"/>
          </w:tcPr>
          <w:p w14:paraId="76445192" w14:textId="77777777" w:rsidR="00A30E61" w:rsidRPr="00CF3E3D" w:rsidRDefault="00A30E61" w:rsidP="007007AC">
            <w:pPr>
              <w:spacing w:before="85" w:line="288" w:lineRule="auto"/>
              <w:jc w:val="center"/>
              <w:rPr>
                <w:sz w:val="18"/>
                <w:szCs w:val="18"/>
              </w:rPr>
            </w:pPr>
            <w:r w:rsidRPr="00CF3E3D">
              <w:rPr>
                <w:sz w:val="18"/>
                <w:szCs w:val="18"/>
              </w:rPr>
              <w:t>51.4</w:t>
            </w:r>
          </w:p>
        </w:tc>
        <w:tc>
          <w:tcPr>
            <w:cnfStyle w:val="000010000000" w:firstRow="0" w:lastRow="0" w:firstColumn="0" w:lastColumn="0" w:oddVBand="1" w:evenVBand="0" w:oddHBand="0" w:evenHBand="0" w:firstRowFirstColumn="0" w:firstRowLastColumn="0" w:lastRowFirstColumn="0" w:lastRowLastColumn="0"/>
            <w:tcW w:w="755" w:type="pct"/>
          </w:tcPr>
          <w:p w14:paraId="35FA33F1" w14:textId="77777777" w:rsidR="00A30E61" w:rsidRPr="00CF3E3D" w:rsidRDefault="00A30E61" w:rsidP="007007AC">
            <w:pPr>
              <w:spacing w:before="85" w:line="288" w:lineRule="auto"/>
              <w:jc w:val="center"/>
              <w:rPr>
                <w:sz w:val="18"/>
                <w:szCs w:val="18"/>
              </w:rPr>
            </w:pPr>
            <w:r w:rsidRPr="00CF3E3D">
              <w:rPr>
                <w:sz w:val="18"/>
                <w:szCs w:val="18"/>
              </w:rPr>
              <w:t>40.0</w:t>
            </w:r>
          </w:p>
        </w:tc>
        <w:tc>
          <w:tcPr>
            <w:cnfStyle w:val="000001000000" w:firstRow="0" w:lastRow="0" w:firstColumn="0" w:lastColumn="0" w:oddVBand="0" w:evenVBand="1" w:oddHBand="0" w:evenHBand="0" w:firstRowFirstColumn="0" w:firstRowLastColumn="0" w:lastRowFirstColumn="0" w:lastRowLastColumn="0"/>
            <w:tcW w:w="755" w:type="pct"/>
          </w:tcPr>
          <w:p w14:paraId="5AA77F96" w14:textId="77777777" w:rsidR="00A30E61" w:rsidRPr="00CF3E3D" w:rsidRDefault="00A30E61" w:rsidP="007007AC">
            <w:pPr>
              <w:spacing w:before="85" w:line="288" w:lineRule="auto"/>
              <w:jc w:val="center"/>
              <w:rPr>
                <w:sz w:val="18"/>
                <w:szCs w:val="18"/>
              </w:rPr>
            </w:pPr>
            <w:r w:rsidRPr="00CF3E3D">
              <w:rPr>
                <w:sz w:val="18"/>
                <w:szCs w:val="18"/>
              </w:rPr>
              <w:t>38.3</w:t>
            </w:r>
          </w:p>
        </w:tc>
        <w:tc>
          <w:tcPr>
            <w:cnfStyle w:val="000010000000" w:firstRow="0" w:lastRow="0" w:firstColumn="0" w:lastColumn="0" w:oddVBand="1" w:evenVBand="0" w:oddHBand="0" w:evenHBand="0" w:firstRowFirstColumn="0" w:firstRowLastColumn="0" w:lastRowFirstColumn="0" w:lastRowLastColumn="0"/>
            <w:tcW w:w="755" w:type="pct"/>
          </w:tcPr>
          <w:p w14:paraId="66D691EE" w14:textId="77777777" w:rsidR="00A30E61" w:rsidRPr="00CF3E3D" w:rsidRDefault="00A30E61" w:rsidP="007007AC">
            <w:pPr>
              <w:spacing w:before="85" w:line="288" w:lineRule="auto"/>
              <w:jc w:val="center"/>
              <w:rPr>
                <w:sz w:val="18"/>
                <w:szCs w:val="18"/>
              </w:rPr>
            </w:pPr>
            <w:r w:rsidRPr="00CF3E3D">
              <w:rPr>
                <w:sz w:val="18"/>
                <w:szCs w:val="18"/>
              </w:rPr>
              <w:t>42.3</w:t>
            </w:r>
          </w:p>
        </w:tc>
      </w:tr>
      <w:tr w:rsidR="00A30E61" w:rsidRPr="00CF3E3D" w14:paraId="5697FE1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761D6CD" w14:textId="77777777" w:rsidR="00A30E61" w:rsidRPr="00D002F3" w:rsidRDefault="00A30E61" w:rsidP="007007AC">
            <w:pPr>
              <w:spacing w:before="85" w:line="288" w:lineRule="auto"/>
              <w:rPr>
                <w:b/>
                <w:bCs/>
                <w:sz w:val="18"/>
                <w:szCs w:val="18"/>
              </w:rPr>
            </w:pPr>
            <w:r w:rsidRPr="00D002F3">
              <w:rPr>
                <w:b/>
                <w:bCs/>
                <w:sz w:val="18"/>
                <w:szCs w:val="18"/>
              </w:rPr>
              <w:t>Jazz Music Institute</w:t>
            </w:r>
          </w:p>
        </w:tc>
        <w:tc>
          <w:tcPr>
            <w:cnfStyle w:val="000001000000" w:firstRow="0" w:lastRow="0" w:firstColumn="0" w:lastColumn="0" w:oddVBand="0" w:evenVBand="1" w:oddHBand="0" w:evenHBand="0" w:firstRowFirstColumn="0" w:firstRowLastColumn="0" w:lastRowFirstColumn="0" w:lastRowLastColumn="0"/>
            <w:tcW w:w="709" w:type="pct"/>
          </w:tcPr>
          <w:p w14:paraId="4F7A303E"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1D999617"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281FA27C" w14:textId="77777777" w:rsidR="00A30E61" w:rsidRPr="00CF3E3D" w:rsidRDefault="00A30E61" w:rsidP="007007AC">
            <w:pPr>
              <w:spacing w:before="85" w:line="288" w:lineRule="auto"/>
              <w:jc w:val="center"/>
              <w:rPr>
                <w:sz w:val="18"/>
                <w:szCs w:val="18"/>
              </w:rPr>
            </w:pPr>
            <w:r w:rsidRPr="00CF3E3D">
              <w:rPr>
                <w:sz w:val="18"/>
                <w:szCs w:val="18"/>
              </w:rPr>
              <w:t>40.0</w:t>
            </w:r>
          </w:p>
        </w:tc>
        <w:tc>
          <w:tcPr>
            <w:cnfStyle w:val="000010000000" w:firstRow="0" w:lastRow="0" w:firstColumn="0" w:lastColumn="0" w:oddVBand="1" w:evenVBand="0" w:oddHBand="0" w:evenHBand="0" w:firstRowFirstColumn="0" w:firstRowLastColumn="0" w:lastRowFirstColumn="0" w:lastRowLastColumn="0"/>
            <w:tcW w:w="755" w:type="pct"/>
          </w:tcPr>
          <w:p w14:paraId="60A93660" w14:textId="77777777" w:rsidR="00A30E61" w:rsidRPr="00CF3E3D" w:rsidRDefault="00A30E61" w:rsidP="007007AC">
            <w:pPr>
              <w:spacing w:before="85" w:line="288" w:lineRule="auto"/>
              <w:jc w:val="center"/>
              <w:rPr>
                <w:sz w:val="18"/>
                <w:szCs w:val="18"/>
              </w:rPr>
            </w:pPr>
            <w:r w:rsidRPr="00CF3E3D">
              <w:rPr>
                <w:sz w:val="18"/>
                <w:szCs w:val="18"/>
              </w:rPr>
              <w:t>40.0</w:t>
            </w:r>
          </w:p>
        </w:tc>
      </w:tr>
      <w:tr w:rsidR="00A30E61" w:rsidRPr="00CF3E3D" w14:paraId="6923D56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FFB331D" w14:textId="77777777" w:rsidR="00A30E61" w:rsidRPr="00D002F3" w:rsidRDefault="00A30E61" w:rsidP="007007AC">
            <w:pPr>
              <w:spacing w:before="85" w:line="288" w:lineRule="auto"/>
              <w:rPr>
                <w:b/>
                <w:bCs/>
                <w:sz w:val="18"/>
                <w:szCs w:val="18"/>
              </w:rPr>
            </w:pPr>
            <w:r w:rsidRPr="00D002F3">
              <w:rPr>
                <w:b/>
                <w:bCs/>
                <w:sz w:val="18"/>
                <w:szCs w:val="18"/>
              </w:rPr>
              <w:lastRenderedPageBreak/>
              <w:t>Kaplan Business School</w:t>
            </w:r>
          </w:p>
        </w:tc>
        <w:tc>
          <w:tcPr>
            <w:cnfStyle w:val="000001000000" w:firstRow="0" w:lastRow="0" w:firstColumn="0" w:lastColumn="0" w:oddVBand="0" w:evenVBand="1" w:oddHBand="0" w:evenHBand="0" w:firstRowFirstColumn="0" w:firstRowLastColumn="0" w:lastRowFirstColumn="0" w:lastRowLastColumn="0"/>
            <w:tcW w:w="709" w:type="pct"/>
          </w:tcPr>
          <w:p w14:paraId="02E49DF4" w14:textId="77777777" w:rsidR="00A30E61" w:rsidRPr="00CF3E3D" w:rsidRDefault="00A30E61" w:rsidP="007007AC">
            <w:pPr>
              <w:spacing w:before="85" w:line="288" w:lineRule="auto"/>
              <w:jc w:val="center"/>
              <w:rPr>
                <w:sz w:val="18"/>
                <w:szCs w:val="18"/>
              </w:rPr>
            </w:pPr>
            <w:r w:rsidRPr="00CF3E3D">
              <w:rPr>
                <w:sz w:val="18"/>
                <w:szCs w:val="18"/>
              </w:rPr>
              <w:t>41.4</w:t>
            </w:r>
          </w:p>
        </w:tc>
        <w:tc>
          <w:tcPr>
            <w:cnfStyle w:val="000010000000" w:firstRow="0" w:lastRow="0" w:firstColumn="0" w:lastColumn="0" w:oddVBand="1" w:evenVBand="0" w:oddHBand="0" w:evenHBand="0" w:firstRowFirstColumn="0" w:firstRowLastColumn="0" w:lastRowFirstColumn="0" w:lastRowLastColumn="0"/>
            <w:tcW w:w="755" w:type="pct"/>
          </w:tcPr>
          <w:p w14:paraId="178C58E2" w14:textId="77777777" w:rsidR="00A30E61" w:rsidRPr="00CF3E3D" w:rsidRDefault="00A30E61" w:rsidP="007007AC">
            <w:pPr>
              <w:spacing w:before="85" w:line="288" w:lineRule="auto"/>
              <w:jc w:val="center"/>
              <w:rPr>
                <w:sz w:val="18"/>
                <w:szCs w:val="18"/>
              </w:rPr>
            </w:pPr>
            <w:r w:rsidRPr="00CF3E3D">
              <w:rPr>
                <w:sz w:val="18"/>
                <w:szCs w:val="18"/>
              </w:rPr>
              <w:t>38.7</w:t>
            </w:r>
          </w:p>
        </w:tc>
        <w:tc>
          <w:tcPr>
            <w:cnfStyle w:val="000001000000" w:firstRow="0" w:lastRow="0" w:firstColumn="0" w:lastColumn="0" w:oddVBand="0" w:evenVBand="1" w:oddHBand="0" w:evenHBand="0" w:firstRowFirstColumn="0" w:firstRowLastColumn="0" w:lastRowFirstColumn="0" w:lastRowLastColumn="0"/>
            <w:tcW w:w="755" w:type="pct"/>
          </w:tcPr>
          <w:p w14:paraId="7E3A9544" w14:textId="77777777" w:rsidR="00A30E61" w:rsidRPr="00CF3E3D" w:rsidRDefault="00A30E61" w:rsidP="007007AC">
            <w:pPr>
              <w:spacing w:before="85" w:line="288" w:lineRule="auto"/>
              <w:jc w:val="center"/>
              <w:rPr>
                <w:sz w:val="18"/>
                <w:szCs w:val="18"/>
              </w:rPr>
            </w:pPr>
            <w:r w:rsidRPr="00CF3E3D">
              <w:rPr>
                <w:sz w:val="18"/>
                <w:szCs w:val="18"/>
              </w:rPr>
              <w:t>41.4</w:t>
            </w:r>
          </w:p>
        </w:tc>
        <w:tc>
          <w:tcPr>
            <w:cnfStyle w:val="000010000000" w:firstRow="0" w:lastRow="0" w:firstColumn="0" w:lastColumn="0" w:oddVBand="1" w:evenVBand="0" w:oddHBand="0" w:evenHBand="0" w:firstRowFirstColumn="0" w:firstRowLastColumn="0" w:lastRowFirstColumn="0" w:lastRowLastColumn="0"/>
            <w:tcW w:w="755" w:type="pct"/>
          </w:tcPr>
          <w:p w14:paraId="287D4744" w14:textId="77777777" w:rsidR="00A30E61" w:rsidRPr="00CF3E3D" w:rsidRDefault="00A30E61" w:rsidP="007007AC">
            <w:pPr>
              <w:spacing w:before="85" w:line="288" w:lineRule="auto"/>
              <w:jc w:val="center"/>
              <w:rPr>
                <w:sz w:val="18"/>
                <w:szCs w:val="18"/>
              </w:rPr>
            </w:pPr>
            <w:r w:rsidRPr="00CF3E3D">
              <w:rPr>
                <w:sz w:val="18"/>
                <w:szCs w:val="18"/>
              </w:rPr>
              <w:t>40.4</w:t>
            </w:r>
          </w:p>
        </w:tc>
      </w:tr>
      <w:tr w:rsidR="00A30E61" w:rsidRPr="00CF3E3D" w14:paraId="4CE1528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EBE476E" w14:textId="77777777" w:rsidR="00A30E61" w:rsidRPr="00D002F3" w:rsidRDefault="00A30E61" w:rsidP="007007AC">
            <w:pPr>
              <w:spacing w:before="85" w:line="288" w:lineRule="auto"/>
              <w:rPr>
                <w:b/>
                <w:bCs/>
                <w:sz w:val="18"/>
                <w:szCs w:val="18"/>
              </w:rPr>
            </w:pPr>
            <w:r w:rsidRPr="00D002F3">
              <w:rPr>
                <w:b/>
                <w:bCs/>
                <w:sz w:val="18"/>
                <w:szCs w:val="18"/>
              </w:rPr>
              <w:t>Kaplan Higher Education Pty Ltd</w:t>
            </w:r>
          </w:p>
        </w:tc>
        <w:tc>
          <w:tcPr>
            <w:cnfStyle w:val="000001000000" w:firstRow="0" w:lastRow="0" w:firstColumn="0" w:lastColumn="0" w:oddVBand="0" w:evenVBand="1" w:oddHBand="0" w:evenHBand="0" w:firstRowFirstColumn="0" w:firstRowLastColumn="0" w:lastRowFirstColumn="0" w:lastRowLastColumn="0"/>
            <w:tcW w:w="709" w:type="pct"/>
          </w:tcPr>
          <w:p w14:paraId="04C7023C" w14:textId="77777777" w:rsidR="00A30E61" w:rsidRPr="00CF3E3D" w:rsidRDefault="00A30E61" w:rsidP="007007AC">
            <w:pPr>
              <w:spacing w:before="85" w:line="288" w:lineRule="auto"/>
              <w:jc w:val="center"/>
              <w:rPr>
                <w:sz w:val="18"/>
                <w:szCs w:val="18"/>
              </w:rPr>
            </w:pPr>
            <w:r w:rsidRPr="00CF3E3D">
              <w:rPr>
                <w:sz w:val="18"/>
                <w:szCs w:val="18"/>
              </w:rPr>
              <w:t>35.2</w:t>
            </w:r>
          </w:p>
        </w:tc>
        <w:tc>
          <w:tcPr>
            <w:cnfStyle w:val="000010000000" w:firstRow="0" w:lastRow="0" w:firstColumn="0" w:lastColumn="0" w:oddVBand="1" w:evenVBand="0" w:oddHBand="0" w:evenHBand="0" w:firstRowFirstColumn="0" w:firstRowLastColumn="0" w:lastRowFirstColumn="0" w:lastRowLastColumn="0"/>
            <w:tcW w:w="755" w:type="pct"/>
          </w:tcPr>
          <w:p w14:paraId="61AD5EE8" w14:textId="77777777" w:rsidR="00A30E61" w:rsidRPr="00CF3E3D" w:rsidRDefault="00A30E61" w:rsidP="007007AC">
            <w:pPr>
              <w:spacing w:before="85" w:line="288" w:lineRule="auto"/>
              <w:jc w:val="center"/>
              <w:rPr>
                <w:sz w:val="18"/>
                <w:szCs w:val="18"/>
              </w:rPr>
            </w:pPr>
            <w:r w:rsidRPr="00CF3E3D">
              <w:rPr>
                <w:sz w:val="18"/>
                <w:szCs w:val="18"/>
              </w:rPr>
              <w:t>28.5</w:t>
            </w:r>
          </w:p>
        </w:tc>
        <w:tc>
          <w:tcPr>
            <w:cnfStyle w:val="000001000000" w:firstRow="0" w:lastRow="0" w:firstColumn="0" w:lastColumn="0" w:oddVBand="0" w:evenVBand="1" w:oddHBand="0" w:evenHBand="0" w:firstRowFirstColumn="0" w:firstRowLastColumn="0" w:lastRowFirstColumn="0" w:lastRowLastColumn="0"/>
            <w:tcW w:w="755" w:type="pct"/>
          </w:tcPr>
          <w:p w14:paraId="531EE371" w14:textId="77777777" w:rsidR="00A30E61" w:rsidRPr="00CF3E3D" w:rsidRDefault="00A30E61" w:rsidP="007007AC">
            <w:pPr>
              <w:spacing w:before="85" w:line="288" w:lineRule="auto"/>
              <w:jc w:val="center"/>
              <w:rPr>
                <w:sz w:val="18"/>
                <w:szCs w:val="18"/>
              </w:rPr>
            </w:pPr>
            <w:r w:rsidRPr="00CF3E3D">
              <w:rPr>
                <w:sz w:val="18"/>
                <w:szCs w:val="18"/>
              </w:rPr>
              <w:t>34.4</w:t>
            </w:r>
          </w:p>
        </w:tc>
        <w:tc>
          <w:tcPr>
            <w:cnfStyle w:val="000010000000" w:firstRow="0" w:lastRow="0" w:firstColumn="0" w:lastColumn="0" w:oddVBand="1" w:evenVBand="0" w:oddHBand="0" w:evenHBand="0" w:firstRowFirstColumn="0" w:firstRowLastColumn="0" w:lastRowFirstColumn="0" w:lastRowLastColumn="0"/>
            <w:tcW w:w="755" w:type="pct"/>
          </w:tcPr>
          <w:p w14:paraId="630834E0" w14:textId="77777777" w:rsidR="00A30E61" w:rsidRPr="00CF3E3D" w:rsidRDefault="00A30E61" w:rsidP="007007AC">
            <w:pPr>
              <w:spacing w:before="85" w:line="288" w:lineRule="auto"/>
              <w:jc w:val="center"/>
              <w:rPr>
                <w:sz w:val="18"/>
                <w:szCs w:val="18"/>
              </w:rPr>
            </w:pPr>
            <w:r w:rsidRPr="00CF3E3D">
              <w:rPr>
                <w:sz w:val="18"/>
                <w:szCs w:val="18"/>
              </w:rPr>
              <w:t>33.7</w:t>
            </w:r>
          </w:p>
        </w:tc>
      </w:tr>
      <w:tr w:rsidR="00A30E61" w:rsidRPr="00CF3E3D" w14:paraId="64A0CB9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B273CF5" w14:textId="77777777" w:rsidR="00A30E61" w:rsidRPr="00D002F3" w:rsidRDefault="00A30E61" w:rsidP="007007AC">
            <w:pPr>
              <w:spacing w:before="85" w:line="288" w:lineRule="auto"/>
              <w:rPr>
                <w:b/>
                <w:bCs/>
                <w:sz w:val="18"/>
                <w:szCs w:val="18"/>
              </w:rPr>
            </w:pPr>
            <w:r w:rsidRPr="00D002F3">
              <w:rPr>
                <w:b/>
                <w:bCs/>
                <w:sz w:val="18"/>
                <w:szCs w:val="18"/>
              </w:rPr>
              <w:t>Kent Institute Australia</w:t>
            </w:r>
          </w:p>
        </w:tc>
        <w:tc>
          <w:tcPr>
            <w:cnfStyle w:val="000001000000" w:firstRow="0" w:lastRow="0" w:firstColumn="0" w:lastColumn="0" w:oddVBand="0" w:evenVBand="1" w:oddHBand="0" w:evenHBand="0" w:firstRowFirstColumn="0" w:firstRowLastColumn="0" w:lastRowFirstColumn="0" w:lastRowLastColumn="0"/>
            <w:tcW w:w="709" w:type="pct"/>
          </w:tcPr>
          <w:p w14:paraId="2B5A8D40" w14:textId="77777777" w:rsidR="00A30E61" w:rsidRPr="00CF3E3D" w:rsidRDefault="00A30E61" w:rsidP="007007AC">
            <w:pPr>
              <w:spacing w:before="85" w:line="288" w:lineRule="auto"/>
              <w:jc w:val="center"/>
              <w:rPr>
                <w:sz w:val="18"/>
                <w:szCs w:val="18"/>
              </w:rPr>
            </w:pPr>
            <w:r w:rsidRPr="00CF3E3D">
              <w:rPr>
                <w:sz w:val="18"/>
                <w:szCs w:val="18"/>
              </w:rPr>
              <w:t>31.4</w:t>
            </w:r>
          </w:p>
        </w:tc>
        <w:tc>
          <w:tcPr>
            <w:cnfStyle w:val="000010000000" w:firstRow="0" w:lastRow="0" w:firstColumn="0" w:lastColumn="0" w:oddVBand="1" w:evenVBand="0" w:oddHBand="0" w:evenHBand="0" w:firstRowFirstColumn="0" w:firstRowLastColumn="0" w:lastRowFirstColumn="0" w:lastRowLastColumn="0"/>
            <w:tcW w:w="755" w:type="pct"/>
          </w:tcPr>
          <w:p w14:paraId="4BE988AC"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592CFFB5"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2E5A98B3" w14:textId="77777777" w:rsidR="00A30E61" w:rsidRPr="00CF3E3D" w:rsidRDefault="00A30E61" w:rsidP="007007AC">
            <w:pPr>
              <w:spacing w:before="85" w:line="288" w:lineRule="auto"/>
              <w:jc w:val="center"/>
              <w:rPr>
                <w:sz w:val="18"/>
                <w:szCs w:val="18"/>
              </w:rPr>
            </w:pPr>
            <w:r w:rsidRPr="00CF3E3D">
              <w:rPr>
                <w:sz w:val="18"/>
                <w:szCs w:val="18"/>
              </w:rPr>
              <w:t>31.4</w:t>
            </w:r>
          </w:p>
        </w:tc>
      </w:tr>
      <w:tr w:rsidR="00A30E61" w:rsidRPr="00CF3E3D" w14:paraId="0282CDE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7B035E8" w14:textId="77777777" w:rsidR="00A30E61" w:rsidRPr="00D002F3" w:rsidRDefault="00A30E61" w:rsidP="007007AC">
            <w:pPr>
              <w:spacing w:before="85" w:line="288" w:lineRule="auto"/>
              <w:rPr>
                <w:b/>
                <w:bCs/>
                <w:sz w:val="18"/>
                <w:szCs w:val="18"/>
              </w:rPr>
            </w:pPr>
            <w:r w:rsidRPr="00D002F3">
              <w:rPr>
                <w:b/>
                <w:bCs/>
                <w:sz w:val="18"/>
                <w:szCs w:val="18"/>
              </w:rPr>
              <w:t>King's Own Institute</w:t>
            </w:r>
          </w:p>
        </w:tc>
        <w:tc>
          <w:tcPr>
            <w:cnfStyle w:val="000001000000" w:firstRow="0" w:lastRow="0" w:firstColumn="0" w:lastColumn="0" w:oddVBand="0" w:evenVBand="1" w:oddHBand="0" w:evenHBand="0" w:firstRowFirstColumn="0" w:firstRowLastColumn="0" w:lastRowFirstColumn="0" w:lastRowLastColumn="0"/>
            <w:tcW w:w="709" w:type="pct"/>
          </w:tcPr>
          <w:p w14:paraId="0E10C007" w14:textId="77777777" w:rsidR="00A30E61" w:rsidRPr="00CF3E3D" w:rsidRDefault="00A30E61" w:rsidP="007007AC">
            <w:pPr>
              <w:spacing w:before="85" w:line="288" w:lineRule="auto"/>
              <w:jc w:val="center"/>
              <w:rPr>
                <w:sz w:val="18"/>
                <w:szCs w:val="18"/>
              </w:rPr>
            </w:pPr>
            <w:r w:rsidRPr="00CF3E3D">
              <w:rPr>
                <w:sz w:val="18"/>
                <w:szCs w:val="18"/>
              </w:rPr>
              <w:t>35.4</w:t>
            </w:r>
          </w:p>
        </w:tc>
        <w:tc>
          <w:tcPr>
            <w:cnfStyle w:val="000010000000" w:firstRow="0" w:lastRow="0" w:firstColumn="0" w:lastColumn="0" w:oddVBand="1" w:evenVBand="0" w:oddHBand="0" w:evenHBand="0" w:firstRowFirstColumn="0" w:firstRowLastColumn="0" w:lastRowFirstColumn="0" w:lastRowLastColumn="0"/>
            <w:tcW w:w="755" w:type="pct"/>
          </w:tcPr>
          <w:p w14:paraId="33A38F9B"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24C8F697" w14:textId="77777777" w:rsidR="00A30E61" w:rsidRPr="00CF3E3D" w:rsidRDefault="00A30E61" w:rsidP="007007AC">
            <w:pPr>
              <w:spacing w:before="85" w:line="288" w:lineRule="auto"/>
              <w:jc w:val="center"/>
              <w:rPr>
                <w:sz w:val="18"/>
                <w:szCs w:val="18"/>
              </w:rPr>
            </w:pPr>
            <w:r w:rsidRPr="00CF3E3D">
              <w:rPr>
                <w:sz w:val="18"/>
                <w:szCs w:val="18"/>
              </w:rPr>
              <w:t>36.8</w:t>
            </w:r>
          </w:p>
        </w:tc>
        <w:tc>
          <w:tcPr>
            <w:cnfStyle w:val="000010000000" w:firstRow="0" w:lastRow="0" w:firstColumn="0" w:lastColumn="0" w:oddVBand="1" w:evenVBand="0" w:oddHBand="0" w:evenHBand="0" w:firstRowFirstColumn="0" w:firstRowLastColumn="0" w:lastRowFirstColumn="0" w:lastRowLastColumn="0"/>
            <w:tcW w:w="755" w:type="pct"/>
          </w:tcPr>
          <w:p w14:paraId="4CA8CB0F" w14:textId="77777777" w:rsidR="00A30E61" w:rsidRPr="00CF3E3D" w:rsidRDefault="00A30E61" w:rsidP="007007AC">
            <w:pPr>
              <w:spacing w:before="85" w:line="288" w:lineRule="auto"/>
              <w:jc w:val="center"/>
              <w:rPr>
                <w:sz w:val="18"/>
                <w:szCs w:val="18"/>
              </w:rPr>
            </w:pPr>
            <w:r w:rsidRPr="00CF3E3D">
              <w:rPr>
                <w:sz w:val="18"/>
                <w:szCs w:val="18"/>
              </w:rPr>
              <w:t>36.1</w:t>
            </w:r>
          </w:p>
        </w:tc>
      </w:tr>
      <w:tr w:rsidR="00A30E61" w:rsidRPr="00CF3E3D" w14:paraId="3454707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F20D287" w14:textId="77777777" w:rsidR="00A30E61" w:rsidRPr="00D002F3" w:rsidRDefault="00A30E61" w:rsidP="007007AC">
            <w:pPr>
              <w:spacing w:before="85" w:line="288" w:lineRule="auto"/>
              <w:rPr>
                <w:b/>
                <w:bCs/>
                <w:sz w:val="18"/>
                <w:szCs w:val="18"/>
              </w:rPr>
            </w:pPr>
            <w:r w:rsidRPr="00D002F3">
              <w:rPr>
                <w:b/>
                <w:bCs/>
                <w:sz w:val="18"/>
                <w:szCs w:val="18"/>
              </w:rPr>
              <w:t>LCI Melbourne</w:t>
            </w:r>
          </w:p>
        </w:tc>
        <w:tc>
          <w:tcPr>
            <w:cnfStyle w:val="000001000000" w:firstRow="0" w:lastRow="0" w:firstColumn="0" w:lastColumn="0" w:oddVBand="0" w:evenVBand="1" w:oddHBand="0" w:evenHBand="0" w:firstRowFirstColumn="0" w:firstRowLastColumn="0" w:lastRowFirstColumn="0" w:lastRowLastColumn="0"/>
            <w:tcW w:w="709" w:type="pct"/>
          </w:tcPr>
          <w:p w14:paraId="5939822D" w14:textId="77777777" w:rsidR="00A30E61" w:rsidRPr="00CF3E3D" w:rsidRDefault="00A30E61" w:rsidP="007007AC">
            <w:pPr>
              <w:spacing w:before="85" w:line="288" w:lineRule="auto"/>
              <w:jc w:val="center"/>
              <w:rPr>
                <w:sz w:val="18"/>
                <w:szCs w:val="18"/>
              </w:rPr>
            </w:pPr>
            <w:r w:rsidRPr="00CF3E3D">
              <w:rPr>
                <w:sz w:val="18"/>
                <w:szCs w:val="18"/>
              </w:rPr>
              <w:t>55.8</w:t>
            </w:r>
          </w:p>
        </w:tc>
        <w:tc>
          <w:tcPr>
            <w:cnfStyle w:val="000010000000" w:firstRow="0" w:lastRow="0" w:firstColumn="0" w:lastColumn="0" w:oddVBand="1" w:evenVBand="0" w:oddHBand="0" w:evenHBand="0" w:firstRowFirstColumn="0" w:firstRowLastColumn="0" w:lastRowFirstColumn="0" w:lastRowLastColumn="0"/>
            <w:tcW w:w="755" w:type="pct"/>
          </w:tcPr>
          <w:p w14:paraId="0E43CFF1"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5A8D10FD"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70D19BD7" w14:textId="77777777" w:rsidR="00A30E61" w:rsidRPr="00CF3E3D" w:rsidRDefault="00A30E61" w:rsidP="007007AC">
            <w:pPr>
              <w:spacing w:before="85" w:line="288" w:lineRule="auto"/>
              <w:jc w:val="center"/>
              <w:rPr>
                <w:sz w:val="18"/>
                <w:szCs w:val="18"/>
              </w:rPr>
            </w:pPr>
            <w:r w:rsidRPr="00CF3E3D">
              <w:rPr>
                <w:sz w:val="18"/>
                <w:szCs w:val="18"/>
              </w:rPr>
              <w:t>55.8</w:t>
            </w:r>
          </w:p>
        </w:tc>
      </w:tr>
      <w:tr w:rsidR="00A30E61" w:rsidRPr="00CF3E3D" w14:paraId="11696F8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66AFAF8" w14:textId="77777777" w:rsidR="00A30E61" w:rsidRPr="00D002F3" w:rsidRDefault="00A30E61" w:rsidP="007007AC">
            <w:pPr>
              <w:spacing w:before="85" w:line="288" w:lineRule="auto"/>
              <w:rPr>
                <w:b/>
                <w:bCs/>
                <w:sz w:val="18"/>
                <w:szCs w:val="18"/>
              </w:rPr>
            </w:pPr>
            <w:r w:rsidRPr="00D002F3">
              <w:rPr>
                <w:b/>
                <w:bCs/>
                <w:sz w:val="18"/>
                <w:szCs w:val="18"/>
              </w:rPr>
              <w:t>Le Cordon Bleu Australia</w:t>
            </w:r>
          </w:p>
        </w:tc>
        <w:tc>
          <w:tcPr>
            <w:cnfStyle w:val="000001000000" w:firstRow="0" w:lastRow="0" w:firstColumn="0" w:lastColumn="0" w:oddVBand="0" w:evenVBand="1" w:oddHBand="0" w:evenHBand="0" w:firstRowFirstColumn="0" w:firstRowLastColumn="0" w:lastRowFirstColumn="0" w:lastRowLastColumn="0"/>
            <w:tcW w:w="709" w:type="pct"/>
          </w:tcPr>
          <w:p w14:paraId="712AB3FD" w14:textId="77777777" w:rsidR="00A30E61" w:rsidRPr="00CF3E3D" w:rsidRDefault="00A30E61" w:rsidP="007007AC">
            <w:pPr>
              <w:spacing w:before="85" w:line="288" w:lineRule="auto"/>
              <w:jc w:val="center"/>
              <w:rPr>
                <w:sz w:val="18"/>
                <w:szCs w:val="18"/>
              </w:rPr>
            </w:pPr>
            <w:r w:rsidRPr="00CF3E3D">
              <w:rPr>
                <w:sz w:val="18"/>
                <w:szCs w:val="18"/>
              </w:rPr>
              <w:t>32.4</w:t>
            </w:r>
          </w:p>
        </w:tc>
        <w:tc>
          <w:tcPr>
            <w:cnfStyle w:val="000010000000" w:firstRow="0" w:lastRow="0" w:firstColumn="0" w:lastColumn="0" w:oddVBand="1" w:evenVBand="0" w:oddHBand="0" w:evenHBand="0" w:firstRowFirstColumn="0" w:firstRowLastColumn="0" w:lastRowFirstColumn="0" w:lastRowLastColumn="0"/>
            <w:tcW w:w="755" w:type="pct"/>
          </w:tcPr>
          <w:p w14:paraId="0E47DE16" w14:textId="77777777" w:rsidR="00A30E61" w:rsidRPr="00CF3E3D" w:rsidRDefault="00A30E61" w:rsidP="007007AC">
            <w:pPr>
              <w:spacing w:before="85" w:line="288" w:lineRule="auto"/>
              <w:jc w:val="center"/>
              <w:rPr>
                <w:sz w:val="18"/>
                <w:szCs w:val="18"/>
              </w:rPr>
            </w:pPr>
            <w:r w:rsidRPr="00CF3E3D">
              <w:rPr>
                <w:sz w:val="18"/>
                <w:szCs w:val="18"/>
              </w:rPr>
              <w:t>37.5</w:t>
            </w:r>
          </w:p>
        </w:tc>
        <w:tc>
          <w:tcPr>
            <w:cnfStyle w:val="000001000000" w:firstRow="0" w:lastRow="0" w:firstColumn="0" w:lastColumn="0" w:oddVBand="0" w:evenVBand="1" w:oddHBand="0" w:evenHBand="0" w:firstRowFirstColumn="0" w:firstRowLastColumn="0" w:lastRowFirstColumn="0" w:lastRowLastColumn="0"/>
            <w:tcW w:w="755" w:type="pct"/>
          </w:tcPr>
          <w:p w14:paraId="761F9821" w14:textId="77777777" w:rsidR="00A30E61" w:rsidRPr="00CF3E3D" w:rsidRDefault="00A30E61" w:rsidP="007007AC">
            <w:pPr>
              <w:spacing w:before="85" w:line="288" w:lineRule="auto"/>
              <w:jc w:val="center"/>
              <w:rPr>
                <w:sz w:val="18"/>
                <w:szCs w:val="18"/>
              </w:rPr>
            </w:pPr>
            <w:r w:rsidRPr="00CF3E3D">
              <w:rPr>
                <w:sz w:val="18"/>
                <w:szCs w:val="18"/>
              </w:rPr>
              <w:t>24.0</w:t>
            </w:r>
          </w:p>
        </w:tc>
        <w:tc>
          <w:tcPr>
            <w:cnfStyle w:val="000010000000" w:firstRow="0" w:lastRow="0" w:firstColumn="0" w:lastColumn="0" w:oddVBand="1" w:evenVBand="0" w:oddHBand="0" w:evenHBand="0" w:firstRowFirstColumn="0" w:firstRowLastColumn="0" w:lastRowFirstColumn="0" w:lastRowLastColumn="0"/>
            <w:tcW w:w="755" w:type="pct"/>
          </w:tcPr>
          <w:p w14:paraId="351C1549" w14:textId="77777777" w:rsidR="00A30E61" w:rsidRPr="00CF3E3D" w:rsidRDefault="00A30E61" w:rsidP="007007AC">
            <w:pPr>
              <w:spacing w:before="85" w:line="288" w:lineRule="auto"/>
              <w:jc w:val="center"/>
              <w:rPr>
                <w:sz w:val="18"/>
                <w:szCs w:val="18"/>
              </w:rPr>
            </w:pPr>
            <w:r w:rsidRPr="00CF3E3D">
              <w:rPr>
                <w:sz w:val="18"/>
                <w:szCs w:val="18"/>
              </w:rPr>
              <w:t>30.0</w:t>
            </w:r>
          </w:p>
        </w:tc>
      </w:tr>
      <w:tr w:rsidR="00A30E61" w:rsidRPr="00CF3E3D" w14:paraId="09AF4D0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4E972DB" w14:textId="77777777" w:rsidR="00A30E61" w:rsidRPr="00D002F3" w:rsidRDefault="00A30E61" w:rsidP="007007AC">
            <w:pPr>
              <w:spacing w:before="85" w:line="288" w:lineRule="auto"/>
              <w:rPr>
                <w:b/>
                <w:bCs/>
                <w:sz w:val="18"/>
                <w:szCs w:val="18"/>
              </w:rPr>
            </w:pPr>
            <w:r w:rsidRPr="00D002F3">
              <w:rPr>
                <w:b/>
                <w:bCs/>
                <w:sz w:val="18"/>
                <w:szCs w:val="18"/>
              </w:rPr>
              <w:t>Leaders Institute</w:t>
            </w:r>
          </w:p>
        </w:tc>
        <w:tc>
          <w:tcPr>
            <w:cnfStyle w:val="000001000000" w:firstRow="0" w:lastRow="0" w:firstColumn="0" w:lastColumn="0" w:oddVBand="0" w:evenVBand="1" w:oddHBand="0" w:evenHBand="0" w:firstRowFirstColumn="0" w:firstRowLastColumn="0" w:lastRowFirstColumn="0" w:lastRowLastColumn="0"/>
            <w:tcW w:w="709" w:type="pct"/>
          </w:tcPr>
          <w:p w14:paraId="5AE7EDFC"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EA1BFC1"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6E461578" w14:textId="77777777" w:rsidR="00A30E61" w:rsidRPr="00CF3E3D" w:rsidRDefault="00A30E61" w:rsidP="007007AC">
            <w:pPr>
              <w:spacing w:before="85" w:line="288" w:lineRule="auto"/>
              <w:jc w:val="center"/>
              <w:rPr>
                <w:sz w:val="18"/>
                <w:szCs w:val="18"/>
              </w:rPr>
            </w:pPr>
            <w:r w:rsidRPr="00CF3E3D">
              <w:rPr>
                <w:sz w:val="18"/>
                <w:szCs w:val="18"/>
              </w:rPr>
              <w:t>9.1</w:t>
            </w:r>
          </w:p>
        </w:tc>
        <w:tc>
          <w:tcPr>
            <w:cnfStyle w:val="000010000000" w:firstRow="0" w:lastRow="0" w:firstColumn="0" w:lastColumn="0" w:oddVBand="1" w:evenVBand="0" w:oddHBand="0" w:evenHBand="0" w:firstRowFirstColumn="0" w:firstRowLastColumn="0" w:lastRowFirstColumn="0" w:lastRowLastColumn="0"/>
            <w:tcW w:w="755" w:type="pct"/>
          </w:tcPr>
          <w:p w14:paraId="11B28BF1" w14:textId="77777777" w:rsidR="00A30E61" w:rsidRPr="00CF3E3D" w:rsidRDefault="00A30E61" w:rsidP="007007AC">
            <w:pPr>
              <w:spacing w:before="85" w:line="288" w:lineRule="auto"/>
              <w:jc w:val="center"/>
              <w:rPr>
                <w:sz w:val="18"/>
                <w:szCs w:val="18"/>
              </w:rPr>
            </w:pPr>
            <w:r w:rsidRPr="00CF3E3D">
              <w:rPr>
                <w:sz w:val="18"/>
                <w:szCs w:val="18"/>
              </w:rPr>
              <w:t>9.1</w:t>
            </w:r>
          </w:p>
        </w:tc>
      </w:tr>
      <w:tr w:rsidR="00A30E61" w:rsidRPr="00CF3E3D" w14:paraId="7B5C82B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52AF364" w14:textId="77777777" w:rsidR="00A30E61" w:rsidRPr="00D002F3" w:rsidRDefault="00A30E61" w:rsidP="007007AC">
            <w:pPr>
              <w:spacing w:before="85" w:line="288" w:lineRule="auto"/>
              <w:rPr>
                <w:b/>
                <w:bCs/>
                <w:sz w:val="18"/>
                <w:szCs w:val="18"/>
              </w:rPr>
            </w:pPr>
            <w:r w:rsidRPr="00D002F3">
              <w:rPr>
                <w:b/>
                <w:bCs/>
                <w:sz w:val="18"/>
                <w:szCs w:val="18"/>
              </w:rPr>
              <w:t xml:space="preserve">Leo </w:t>
            </w:r>
            <w:proofErr w:type="spellStart"/>
            <w:r w:rsidRPr="00D002F3">
              <w:rPr>
                <w:b/>
                <w:bCs/>
                <w:sz w:val="18"/>
                <w:szCs w:val="18"/>
              </w:rPr>
              <w:t>Cussen</w:t>
            </w:r>
            <w:proofErr w:type="spellEnd"/>
            <w:r w:rsidRPr="00D002F3">
              <w:rPr>
                <w:b/>
                <w:bCs/>
                <w:sz w:val="18"/>
                <w:szCs w:val="18"/>
              </w:rPr>
              <w:t xml:space="preserve"> Centre for Law</w:t>
            </w:r>
          </w:p>
        </w:tc>
        <w:tc>
          <w:tcPr>
            <w:cnfStyle w:val="000001000000" w:firstRow="0" w:lastRow="0" w:firstColumn="0" w:lastColumn="0" w:oddVBand="0" w:evenVBand="1" w:oddHBand="0" w:evenHBand="0" w:firstRowFirstColumn="0" w:firstRowLastColumn="0" w:lastRowFirstColumn="0" w:lastRowLastColumn="0"/>
            <w:tcW w:w="709" w:type="pct"/>
          </w:tcPr>
          <w:p w14:paraId="7BC801BD" w14:textId="77777777" w:rsidR="00A30E61" w:rsidRPr="00CF3E3D" w:rsidRDefault="00A30E61" w:rsidP="007007AC">
            <w:pPr>
              <w:spacing w:before="85" w:line="288" w:lineRule="auto"/>
              <w:jc w:val="center"/>
              <w:rPr>
                <w:sz w:val="18"/>
                <w:szCs w:val="18"/>
              </w:rPr>
            </w:pPr>
            <w:r w:rsidRPr="00CF3E3D">
              <w:rPr>
                <w:sz w:val="18"/>
                <w:szCs w:val="18"/>
              </w:rPr>
              <w:t>41.4</w:t>
            </w:r>
          </w:p>
        </w:tc>
        <w:tc>
          <w:tcPr>
            <w:cnfStyle w:val="000010000000" w:firstRow="0" w:lastRow="0" w:firstColumn="0" w:lastColumn="0" w:oddVBand="1" w:evenVBand="0" w:oddHBand="0" w:evenHBand="0" w:firstRowFirstColumn="0" w:firstRowLastColumn="0" w:lastRowFirstColumn="0" w:lastRowLastColumn="0"/>
            <w:tcW w:w="755" w:type="pct"/>
          </w:tcPr>
          <w:p w14:paraId="42F7BBA0"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4E5CEA7"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6F35BB3A" w14:textId="77777777" w:rsidR="00A30E61" w:rsidRPr="00CF3E3D" w:rsidRDefault="00A30E61" w:rsidP="007007AC">
            <w:pPr>
              <w:spacing w:before="85" w:line="288" w:lineRule="auto"/>
              <w:jc w:val="center"/>
              <w:rPr>
                <w:sz w:val="18"/>
                <w:szCs w:val="18"/>
              </w:rPr>
            </w:pPr>
            <w:r w:rsidRPr="00CF3E3D">
              <w:rPr>
                <w:sz w:val="18"/>
                <w:szCs w:val="18"/>
              </w:rPr>
              <w:t>41.4</w:t>
            </w:r>
          </w:p>
        </w:tc>
      </w:tr>
      <w:tr w:rsidR="00A30E61" w:rsidRPr="00CF3E3D" w14:paraId="678CEC8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710E222" w14:textId="77777777" w:rsidR="00A30E61" w:rsidRPr="00D002F3" w:rsidRDefault="00A30E61" w:rsidP="007007AC">
            <w:pPr>
              <w:spacing w:before="85" w:line="288" w:lineRule="auto"/>
              <w:rPr>
                <w:b/>
                <w:bCs/>
                <w:sz w:val="18"/>
                <w:szCs w:val="18"/>
              </w:rPr>
            </w:pPr>
            <w:r w:rsidRPr="00D002F3">
              <w:rPr>
                <w:b/>
                <w:bCs/>
                <w:sz w:val="18"/>
                <w:szCs w:val="18"/>
              </w:rPr>
              <w:t>Macleay College</w:t>
            </w:r>
          </w:p>
        </w:tc>
        <w:tc>
          <w:tcPr>
            <w:cnfStyle w:val="000001000000" w:firstRow="0" w:lastRow="0" w:firstColumn="0" w:lastColumn="0" w:oddVBand="0" w:evenVBand="1" w:oddHBand="0" w:evenHBand="0" w:firstRowFirstColumn="0" w:firstRowLastColumn="0" w:lastRowFirstColumn="0" w:lastRowLastColumn="0"/>
            <w:tcW w:w="709" w:type="pct"/>
          </w:tcPr>
          <w:p w14:paraId="4DBFF8DC" w14:textId="77777777" w:rsidR="00A30E61" w:rsidRPr="00CF3E3D" w:rsidRDefault="00A30E61" w:rsidP="007007AC">
            <w:pPr>
              <w:spacing w:before="85" w:line="288" w:lineRule="auto"/>
              <w:jc w:val="center"/>
              <w:rPr>
                <w:sz w:val="18"/>
                <w:szCs w:val="18"/>
              </w:rPr>
            </w:pPr>
            <w:r w:rsidRPr="00CF3E3D">
              <w:rPr>
                <w:sz w:val="18"/>
                <w:szCs w:val="18"/>
              </w:rPr>
              <w:t>27.8</w:t>
            </w:r>
          </w:p>
        </w:tc>
        <w:tc>
          <w:tcPr>
            <w:cnfStyle w:val="000010000000" w:firstRow="0" w:lastRow="0" w:firstColumn="0" w:lastColumn="0" w:oddVBand="1" w:evenVBand="0" w:oddHBand="0" w:evenHBand="0" w:firstRowFirstColumn="0" w:firstRowLastColumn="0" w:lastRowFirstColumn="0" w:lastRowLastColumn="0"/>
            <w:tcW w:w="755" w:type="pct"/>
          </w:tcPr>
          <w:p w14:paraId="58BAE6D6" w14:textId="77777777" w:rsidR="00A30E61" w:rsidRPr="00CF3E3D" w:rsidRDefault="00A30E61" w:rsidP="007007AC">
            <w:pPr>
              <w:spacing w:before="85" w:line="288" w:lineRule="auto"/>
              <w:jc w:val="center"/>
              <w:rPr>
                <w:sz w:val="18"/>
                <w:szCs w:val="18"/>
              </w:rPr>
            </w:pPr>
            <w:r w:rsidRPr="00CF3E3D">
              <w:rPr>
                <w:sz w:val="18"/>
                <w:szCs w:val="18"/>
              </w:rPr>
              <w:t>20.0</w:t>
            </w:r>
          </w:p>
        </w:tc>
        <w:tc>
          <w:tcPr>
            <w:cnfStyle w:val="000001000000" w:firstRow="0" w:lastRow="0" w:firstColumn="0" w:lastColumn="0" w:oddVBand="0" w:evenVBand="1" w:oddHBand="0" w:evenHBand="0" w:firstRowFirstColumn="0" w:firstRowLastColumn="0" w:lastRowFirstColumn="0" w:lastRowLastColumn="0"/>
            <w:tcW w:w="755" w:type="pct"/>
          </w:tcPr>
          <w:p w14:paraId="1536948F"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69EDEC3E" w14:textId="77777777" w:rsidR="00A30E61" w:rsidRPr="00CF3E3D" w:rsidRDefault="00A30E61" w:rsidP="007007AC">
            <w:pPr>
              <w:spacing w:before="85" w:line="288" w:lineRule="auto"/>
              <w:jc w:val="center"/>
              <w:rPr>
                <w:sz w:val="18"/>
                <w:szCs w:val="18"/>
              </w:rPr>
            </w:pPr>
            <w:r w:rsidRPr="00CF3E3D">
              <w:rPr>
                <w:sz w:val="18"/>
                <w:szCs w:val="18"/>
              </w:rPr>
              <w:t>25.0</w:t>
            </w:r>
          </w:p>
        </w:tc>
      </w:tr>
      <w:tr w:rsidR="00A30E61" w:rsidRPr="00CF3E3D" w14:paraId="4E531A59"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459CC82" w14:textId="77777777" w:rsidR="00A30E61" w:rsidRPr="00D002F3" w:rsidRDefault="00A30E61" w:rsidP="007007AC">
            <w:pPr>
              <w:spacing w:before="85" w:line="288" w:lineRule="auto"/>
              <w:rPr>
                <w:b/>
                <w:bCs/>
                <w:sz w:val="18"/>
                <w:szCs w:val="18"/>
              </w:rPr>
            </w:pPr>
            <w:r w:rsidRPr="00D002F3">
              <w:rPr>
                <w:b/>
                <w:bCs/>
                <w:sz w:val="18"/>
                <w:szCs w:val="18"/>
              </w:rPr>
              <w:t>Marcus Oldham College</w:t>
            </w:r>
          </w:p>
        </w:tc>
        <w:tc>
          <w:tcPr>
            <w:cnfStyle w:val="000001000000" w:firstRow="0" w:lastRow="0" w:firstColumn="0" w:lastColumn="0" w:oddVBand="0" w:evenVBand="1" w:oddHBand="0" w:evenHBand="0" w:firstRowFirstColumn="0" w:firstRowLastColumn="0" w:lastRowFirstColumn="0" w:lastRowLastColumn="0"/>
            <w:tcW w:w="709" w:type="pct"/>
          </w:tcPr>
          <w:p w14:paraId="2407612F" w14:textId="77777777" w:rsidR="00A30E61" w:rsidRPr="00CF3E3D" w:rsidRDefault="00A30E61" w:rsidP="007007AC">
            <w:pPr>
              <w:spacing w:before="85" w:line="288" w:lineRule="auto"/>
              <w:jc w:val="center"/>
              <w:rPr>
                <w:sz w:val="18"/>
                <w:szCs w:val="18"/>
              </w:rPr>
            </w:pPr>
            <w:r w:rsidRPr="00CF3E3D">
              <w:rPr>
                <w:sz w:val="18"/>
                <w:szCs w:val="18"/>
              </w:rPr>
              <w:t>26.7</w:t>
            </w:r>
          </w:p>
        </w:tc>
        <w:tc>
          <w:tcPr>
            <w:cnfStyle w:val="000010000000" w:firstRow="0" w:lastRow="0" w:firstColumn="0" w:lastColumn="0" w:oddVBand="1" w:evenVBand="0" w:oddHBand="0" w:evenHBand="0" w:firstRowFirstColumn="0" w:firstRowLastColumn="0" w:lastRowFirstColumn="0" w:lastRowLastColumn="0"/>
            <w:tcW w:w="755" w:type="pct"/>
          </w:tcPr>
          <w:p w14:paraId="4A280644"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C852F66" w14:textId="77777777" w:rsidR="00A30E61" w:rsidRPr="00CF3E3D" w:rsidRDefault="00A30E61" w:rsidP="007007AC">
            <w:pPr>
              <w:spacing w:before="85" w:line="288" w:lineRule="auto"/>
              <w:jc w:val="center"/>
              <w:rPr>
                <w:sz w:val="18"/>
                <w:szCs w:val="18"/>
              </w:rPr>
            </w:pPr>
            <w:r w:rsidRPr="00CF3E3D">
              <w:rPr>
                <w:sz w:val="18"/>
                <w:szCs w:val="18"/>
              </w:rPr>
              <w:t>54.8</w:t>
            </w:r>
          </w:p>
        </w:tc>
        <w:tc>
          <w:tcPr>
            <w:cnfStyle w:val="000010000000" w:firstRow="0" w:lastRow="0" w:firstColumn="0" w:lastColumn="0" w:oddVBand="1" w:evenVBand="0" w:oddHBand="0" w:evenHBand="0" w:firstRowFirstColumn="0" w:firstRowLastColumn="0" w:lastRowFirstColumn="0" w:lastRowLastColumn="0"/>
            <w:tcW w:w="755" w:type="pct"/>
          </w:tcPr>
          <w:p w14:paraId="1C784DF3" w14:textId="77777777" w:rsidR="00A30E61" w:rsidRPr="00CF3E3D" w:rsidRDefault="00A30E61" w:rsidP="007007AC">
            <w:pPr>
              <w:spacing w:before="85" w:line="288" w:lineRule="auto"/>
              <w:jc w:val="center"/>
              <w:rPr>
                <w:sz w:val="18"/>
                <w:szCs w:val="18"/>
              </w:rPr>
            </w:pPr>
            <w:r w:rsidRPr="00CF3E3D">
              <w:rPr>
                <w:sz w:val="18"/>
                <w:szCs w:val="18"/>
              </w:rPr>
              <w:t>51.5</w:t>
            </w:r>
          </w:p>
        </w:tc>
      </w:tr>
      <w:tr w:rsidR="00A30E61" w:rsidRPr="00CF3E3D" w14:paraId="0696188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526B593" w14:textId="77777777" w:rsidR="00A30E61" w:rsidRPr="00D002F3" w:rsidRDefault="00A30E61" w:rsidP="007007AC">
            <w:pPr>
              <w:spacing w:before="85" w:line="288" w:lineRule="auto"/>
              <w:rPr>
                <w:b/>
                <w:bCs/>
                <w:sz w:val="18"/>
                <w:szCs w:val="18"/>
              </w:rPr>
            </w:pPr>
            <w:r w:rsidRPr="00D002F3">
              <w:rPr>
                <w:b/>
                <w:bCs/>
                <w:sz w:val="18"/>
                <w:szCs w:val="18"/>
              </w:rPr>
              <w:t>Melbourne Institute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1910C22A" w14:textId="77777777" w:rsidR="00A30E61" w:rsidRPr="00CF3E3D" w:rsidRDefault="00A30E61" w:rsidP="007007AC">
            <w:pPr>
              <w:spacing w:before="85" w:line="288" w:lineRule="auto"/>
              <w:jc w:val="center"/>
              <w:rPr>
                <w:sz w:val="18"/>
                <w:szCs w:val="18"/>
              </w:rPr>
            </w:pPr>
            <w:r w:rsidRPr="00CF3E3D">
              <w:rPr>
                <w:sz w:val="18"/>
                <w:szCs w:val="18"/>
              </w:rPr>
              <w:t>25.8</w:t>
            </w:r>
          </w:p>
        </w:tc>
        <w:tc>
          <w:tcPr>
            <w:cnfStyle w:val="000010000000" w:firstRow="0" w:lastRow="0" w:firstColumn="0" w:lastColumn="0" w:oddVBand="1" w:evenVBand="0" w:oddHBand="0" w:evenHBand="0" w:firstRowFirstColumn="0" w:firstRowLastColumn="0" w:lastRowFirstColumn="0" w:lastRowLastColumn="0"/>
            <w:tcW w:w="755" w:type="pct"/>
          </w:tcPr>
          <w:p w14:paraId="32F57F1B" w14:textId="77777777" w:rsidR="00A30E61" w:rsidRPr="00CF3E3D" w:rsidRDefault="00A30E61" w:rsidP="007007AC">
            <w:pPr>
              <w:spacing w:before="85" w:line="288" w:lineRule="auto"/>
              <w:jc w:val="center"/>
              <w:rPr>
                <w:sz w:val="18"/>
                <w:szCs w:val="18"/>
              </w:rPr>
            </w:pPr>
            <w:r w:rsidRPr="00CF3E3D">
              <w:rPr>
                <w:sz w:val="18"/>
                <w:szCs w:val="18"/>
              </w:rPr>
              <w:t>25.0</w:t>
            </w:r>
          </w:p>
        </w:tc>
        <w:tc>
          <w:tcPr>
            <w:cnfStyle w:val="000001000000" w:firstRow="0" w:lastRow="0" w:firstColumn="0" w:lastColumn="0" w:oddVBand="0" w:evenVBand="1" w:oddHBand="0" w:evenHBand="0" w:firstRowFirstColumn="0" w:firstRowLastColumn="0" w:lastRowFirstColumn="0" w:lastRowLastColumn="0"/>
            <w:tcW w:w="755" w:type="pct"/>
          </w:tcPr>
          <w:p w14:paraId="0F19EAFB" w14:textId="77777777" w:rsidR="00A30E61" w:rsidRPr="00CF3E3D" w:rsidRDefault="00A30E61" w:rsidP="007007AC">
            <w:pPr>
              <w:spacing w:before="85" w:line="288" w:lineRule="auto"/>
              <w:jc w:val="center"/>
              <w:rPr>
                <w:sz w:val="18"/>
                <w:szCs w:val="18"/>
              </w:rPr>
            </w:pPr>
            <w:r w:rsidRPr="00CF3E3D">
              <w:rPr>
                <w:sz w:val="18"/>
                <w:szCs w:val="18"/>
              </w:rPr>
              <w:t>45.3</w:t>
            </w:r>
          </w:p>
        </w:tc>
        <w:tc>
          <w:tcPr>
            <w:cnfStyle w:val="000010000000" w:firstRow="0" w:lastRow="0" w:firstColumn="0" w:lastColumn="0" w:oddVBand="1" w:evenVBand="0" w:oddHBand="0" w:evenHBand="0" w:firstRowFirstColumn="0" w:firstRowLastColumn="0" w:lastRowFirstColumn="0" w:lastRowLastColumn="0"/>
            <w:tcW w:w="755" w:type="pct"/>
          </w:tcPr>
          <w:p w14:paraId="70584D30" w14:textId="77777777" w:rsidR="00A30E61" w:rsidRPr="00CF3E3D" w:rsidRDefault="00A30E61" w:rsidP="007007AC">
            <w:pPr>
              <w:spacing w:before="85" w:line="288" w:lineRule="auto"/>
              <w:jc w:val="center"/>
              <w:rPr>
                <w:sz w:val="18"/>
                <w:szCs w:val="18"/>
              </w:rPr>
            </w:pPr>
            <w:r w:rsidRPr="00CF3E3D">
              <w:rPr>
                <w:sz w:val="18"/>
                <w:szCs w:val="18"/>
              </w:rPr>
              <w:t>38.7</w:t>
            </w:r>
          </w:p>
        </w:tc>
      </w:tr>
      <w:tr w:rsidR="00A30E61" w:rsidRPr="00CF3E3D" w14:paraId="1924CF8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737069F" w14:textId="77777777" w:rsidR="00A30E61" w:rsidRPr="00D002F3" w:rsidRDefault="00A30E61" w:rsidP="007007AC">
            <w:pPr>
              <w:spacing w:before="85" w:line="288" w:lineRule="auto"/>
              <w:rPr>
                <w:b/>
                <w:bCs/>
                <w:sz w:val="18"/>
                <w:szCs w:val="18"/>
              </w:rPr>
            </w:pPr>
            <w:r w:rsidRPr="00D002F3">
              <w:rPr>
                <w:b/>
                <w:bCs/>
                <w:sz w:val="18"/>
                <w:szCs w:val="18"/>
              </w:rPr>
              <w:t>Melbourne Polytechnic</w:t>
            </w:r>
          </w:p>
        </w:tc>
        <w:tc>
          <w:tcPr>
            <w:cnfStyle w:val="000001000000" w:firstRow="0" w:lastRow="0" w:firstColumn="0" w:lastColumn="0" w:oddVBand="0" w:evenVBand="1" w:oddHBand="0" w:evenHBand="0" w:firstRowFirstColumn="0" w:firstRowLastColumn="0" w:lastRowFirstColumn="0" w:lastRowLastColumn="0"/>
            <w:tcW w:w="709" w:type="pct"/>
          </w:tcPr>
          <w:p w14:paraId="2505E1F9" w14:textId="77777777" w:rsidR="00A30E61" w:rsidRPr="00CF3E3D" w:rsidRDefault="00A30E61" w:rsidP="007007AC">
            <w:pPr>
              <w:spacing w:before="85" w:line="288" w:lineRule="auto"/>
              <w:jc w:val="center"/>
              <w:rPr>
                <w:sz w:val="18"/>
                <w:szCs w:val="18"/>
              </w:rPr>
            </w:pPr>
            <w:r w:rsidRPr="00CF3E3D">
              <w:rPr>
                <w:sz w:val="18"/>
                <w:szCs w:val="18"/>
              </w:rPr>
              <w:t>39.7</w:t>
            </w:r>
          </w:p>
        </w:tc>
        <w:tc>
          <w:tcPr>
            <w:cnfStyle w:val="000010000000" w:firstRow="0" w:lastRow="0" w:firstColumn="0" w:lastColumn="0" w:oddVBand="1" w:evenVBand="0" w:oddHBand="0" w:evenHBand="0" w:firstRowFirstColumn="0" w:firstRowLastColumn="0" w:lastRowFirstColumn="0" w:lastRowLastColumn="0"/>
            <w:tcW w:w="755" w:type="pct"/>
          </w:tcPr>
          <w:p w14:paraId="6DBAC99F" w14:textId="77777777" w:rsidR="00A30E61" w:rsidRPr="00CF3E3D" w:rsidRDefault="00A30E61" w:rsidP="007007AC">
            <w:pPr>
              <w:spacing w:before="85" w:line="288" w:lineRule="auto"/>
              <w:jc w:val="center"/>
              <w:rPr>
                <w:sz w:val="18"/>
                <w:szCs w:val="18"/>
              </w:rPr>
            </w:pPr>
            <w:r w:rsidRPr="00CF3E3D">
              <w:rPr>
                <w:sz w:val="18"/>
                <w:szCs w:val="18"/>
              </w:rPr>
              <w:t>28.6</w:t>
            </w:r>
          </w:p>
        </w:tc>
        <w:tc>
          <w:tcPr>
            <w:cnfStyle w:val="000001000000" w:firstRow="0" w:lastRow="0" w:firstColumn="0" w:lastColumn="0" w:oddVBand="0" w:evenVBand="1" w:oddHBand="0" w:evenHBand="0" w:firstRowFirstColumn="0" w:firstRowLastColumn="0" w:lastRowFirstColumn="0" w:lastRowLastColumn="0"/>
            <w:tcW w:w="755" w:type="pct"/>
          </w:tcPr>
          <w:p w14:paraId="31D5D37F" w14:textId="77777777" w:rsidR="00A30E61" w:rsidRPr="00CF3E3D" w:rsidRDefault="00A30E61" w:rsidP="007007AC">
            <w:pPr>
              <w:spacing w:before="85" w:line="288" w:lineRule="auto"/>
              <w:jc w:val="center"/>
              <w:rPr>
                <w:sz w:val="18"/>
                <w:szCs w:val="18"/>
              </w:rPr>
            </w:pPr>
            <w:r w:rsidRPr="00CF3E3D">
              <w:rPr>
                <w:sz w:val="18"/>
                <w:szCs w:val="18"/>
              </w:rPr>
              <w:t>39.8</w:t>
            </w:r>
          </w:p>
        </w:tc>
        <w:tc>
          <w:tcPr>
            <w:cnfStyle w:val="000010000000" w:firstRow="0" w:lastRow="0" w:firstColumn="0" w:lastColumn="0" w:oddVBand="1" w:evenVBand="0" w:oddHBand="0" w:evenHBand="0" w:firstRowFirstColumn="0" w:firstRowLastColumn="0" w:lastRowFirstColumn="0" w:lastRowLastColumn="0"/>
            <w:tcW w:w="755" w:type="pct"/>
          </w:tcPr>
          <w:p w14:paraId="731F76FD" w14:textId="77777777" w:rsidR="00A30E61" w:rsidRPr="00CF3E3D" w:rsidRDefault="00A30E61" w:rsidP="007007AC">
            <w:pPr>
              <w:spacing w:before="85" w:line="288" w:lineRule="auto"/>
              <w:jc w:val="center"/>
              <w:rPr>
                <w:sz w:val="18"/>
                <w:szCs w:val="18"/>
              </w:rPr>
            </w:pPr>
            <w:r w:rsidRPr="00CF3E3D">
              <w:rPr>
                <w:sz w:val="18"/>
                <w:szCs w:val="18"/>
              </w:rPr>
              <w:t>39.5</w:t>
            </w:r>
          </w:p>
        </w:tc>
      </w:tr>
      <w:tr w:rsidR="00A30E61" w:rsidRPr="00CF3E3D" w14:paraId="3FE5F82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43A658E" w14:textId="77777777" w:rsidR="00A30E61" w:rsidRPr="00D002F3" w:rsidRDefault="00A30E61" w:rsidP="007007AC">
            <w:pPr>
              <w:spacing w:before="85" w:line="288" w:lineRule="auto"/>
              <w:rPr>
                <w:b/>
                <w:bCs/>
                <w:sz w:val="18"/>
                <w:szCs w:val="18"/>
              </w:rPr>
            </w:pPr>
            <w:r w:rsidRPr="00D002F3">
              <w:rPr>
                <w:b/>
                <w:bCs/>
                <w:sz w:val="18"/>
                <w:szCs w:val="18"/>
              </w:rPr>
              <w:t>Montessori World Educational Institute (Australia)</w:t>
            </w:r>
          </w:p>
        </w:tc>
        <w:tc>
          <w:tcPr>
            <w:cnfStyle w:val="000001000000" w:firstRow="0" w:lastRow="0" w:firstColumn="0" w:lastColumn="0" w:oddVBand="0" w:evenVBand="1" w:oddHBand="0" w:evenHBand="0" w:firstRowFirstColumn="0" w:firstRowLastColumn="0" w:lastRowFirstColumn="0" w:lastRowLastColumn="0"/>
            <w:tcW w:w="709" w:type="pct"/>
          </w:tcPr>
          <w:p w14:paraId="3F56C790"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7F32A405"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54CB434F" w14:textId="77777777" w:rsidR="00A30E61" w:rsidRPr="00CF3E3D" w:rsidRDefault="00A30E61" w:rsidP="007007AC">
            <w:pPr>
              <w:spacing w:before="85" w:line="288" w:lineRule="auto"/>
              <w:jc w:val="center"/>
              <w:rPr>
                <w:sz w:val="18"/>
                <w:szCs w:val="18"/>
              </w:rPr>
            </w:pPr>
            <w:r w:rsidRPr="00CF3E3D">
              <w:rPr>
                <w:sz w:val="18"/>
                <w:szCs w:val="18"/>
              </w:rPr>
              <w:t>57.1</w:t>
            </w:r>
          </w:p>
        </w:tc>
        <w:tc>
          <w:tcPr>
            <w:cnfStyle w:val="000010000000" w:firstRow="0" w:lastRow="0" w:firstColumn="0" w:lastColumn="0" w:oddVBand="1" w:evenVBand="0" w:oddHBand="0" w:evenHBand="0" w:firstRowFirstColumn="0" w:firstRowLastColumn="0" w:lastRowFirstColumn="0" w:lastRowLastColumn="0"/>
            <w:tcW w:w="755" w:type="pct"/>
          </w:tcPr>
          <w:p w14:paraId="14E21255" w14:textId="77777777" w:rsidR="00A30E61" w:rsidRPr="00CF3E3D" w:rsidRDefault="00A30E61" w:rsidP="007007AC">
            <w:pPr>
              <w:spacing w:before="85" w:line="288" w:lineRule="auto"/>
              <w:jc w:val="center"/>
              <w:rPr>
                <w:sz w:val="18"/>
                <w:szCs w:val="18"/>
              </w:rPr>
            </w:pPr>
            <w:r w:rsidRPr="00CF3E3D">
              <w:rPr>
                <w:sz w:val="18"/>
                <w:szCs w:val="18"/>
              </w:rPr>
              <w:t>57.1</w:t>
            </w:r>
          </w:p>
        </w:tc>
      </w:tr>
      <w:tr w:rsidR="00A30E61" w:rsidRPr="00CF3E3D" w14:paraId="68A5666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46EEA7A" w14:textId="77777777" w:rsidR="00A30E61" w:rsidRPr="00D002F3" w:rsidRDefault="00A30E61" w:rsidP="007007AC">
            <w:pPr>
              <w:spacing w:before="85" w:line="288" w:lineRule="auto"/>
              <w:rPr>
                <w:b/>
                <w:bCs/>
                <w:sz w:val="18"/>
                <w:szCs w:val="18"/>
              </w:rPr>
            </w:pPr>
            <w:r w:rsidRPr="00D002F3">
              <w:rPr>
                <w:b/>
                <w:bCs/>
                <w:sz w:val="18"/>
                <w:szCs w:val="18"/>
              </w:rPr>
              <w:t>Moore Theological College</w:t>
            </w:r>
          </w:p>
        </w:tc>
        <w:tc>
          <w:tcPr>
            <w:cnfStyle w:val="000001000000" w:firstRow="0" w:lastRow="0" w:firstColumn="0" w:lastColumn="0" w:oddVBand="0" w:evenVBand="1" w:oddHBand="0" w:evenHBand="0" w:firstRowFirstColumn="0" w:firstRowLastColumn="0" w:lastRowFirstColumn="0" w:lastRowLastColumn="0"/>
            <w:tcW w:w="709" w:type="pct"/>
          </w:tcPr>
          <w:p w14:paraId="5E264E7E"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7E9E217E"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1377EA4B" w14:textId="77777777" w:rsidR="00A30E61" w:rsidRPr="00CF3E3D" w:rsidRDefault="00A30E61" w:rsidP="007007AC">
            <w:pPr>
              <w:spacing w:before="85" w:line="288" w:lineRule="auto"/>
              <w:jc w:val="center"/>
              <w:rPr>
                <w:sz w:val="18"/>
                <w:szCs w:val="18"/>
              </w:rPr>
            </w:pPr>
            <w:r w:rsidRPr="00CF3E3D">
              <w:rPr>
                <w:sz w:val="18"/>
                <w:szCs w:val="18"/>
              </w:rPr>
              <w:t>52.6</w:t>
            </w:r>
          </w:p>
        </w:tc>
        <w:tc>
          <w:tcPr>
            <w:cnfStyle w:val="000010000000" w:firstRow="0" w:lastRow="0" w:firstColumn="0" w:lastColumn="0" w:oddVBand="1" w:evenVBand="0" w:oddHBand="0" w:evenHBand="0" w:firstRowFirstColumn="0" w:firstRowLastColumn="0" w:lastRowFirstColumn="0" w:lastRowLastColumn="0"/>
            <w:tcW w:w="755" w:type="pct"/>
          </w:tcPr>
          <w:p w14:paraId="7A63FB1C" w14:textId="77777777" w:rsidR="00A30E61" w:rsidRPr="00CF3E3D" w:rsidRDefault="00A30E61" w:rsidP="007007AC">
            <w:pPr>
              <w:spacing w:before="85" w:line="288" w:lineRule="auto"/>
              <w:jc w:val="center"/>
              <w:rPr>
                <w:sz w:val="18"/>
                <w:szCs w:val="18"/>
              </w:rPr>
            </w:pPr>
            <w:r w:rsidRPr="00CF3E3D">
              <w:rPr>
                <w:sz w:val="18"/>
                <w:szCs w:val="18"/>
              </w:rPr>
              <w:t>52.6</w:t>
            </w:r>
          </w:p>
        </w:tc>
      </w:tr>
      <w:tr w:rsidR="00A30E61" w:rsidRPr="00CF3E3D" w14:paraId="0F78C4A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C560909" w14:textId="77777777" w:rsidR="00A30E61" w:rsidRPr="00D002F3" w:rsidRDefault="00A30E61" w:rsidP="007007AC">
            <w:pPr>
              <w:spacing w:before="85" w:line="288" w:lineRule="auto"/>
              <w:rPr>
                <w:b/>
                <w:bCs/>
                <w:sz w:val="18"/>
                <w:szCs w:val="18"/>
              </w:rPr>
            </w:pPr>
            <w:proofErr w:type="spellStart"/>
            <w:r w:rsidRPr="00D002F3">
              <w:rPr>
                <w:b/>
                <w:bCs/>
                <w:sz w:val="18"/>
                <w:szCs w:val="18"/>
              </w:rPr>
              <w:lastRenderedPageBreak/>
              <w:t>Morling</w:t>
            </w:r>
            <w:proofErr w:type="spellEnd"/>
            <w:r w:rsidRPr="00D002F3">
              <w:rPr>
                <w:b/>
                <w:bCs/>
                <w:sz w:val="18"/>
                <w:szCs w:val="18"/>
              </w:rPr>
              <w:t xml:space="preserve"> College</w:t>
            </w:r>
          </w:p>
        </w:tc>
        <w:tc>
          <w:tcPr>
            <w:cnfStyle w:val="000001000000" w:firstRow="0" w:lastRow="0" w:firstColumn="0" w:lastColumn="0" w:oddVBand="0" w:evenVBand="1" w:oddHBand="0" w:evenHBand="0" w:firstRowFirstColumn="0" w:firstRowLastColumn="0" w:lastRowFirstColumn="0" w:lastRowLastColumn="0"/>
            <w:tcW w:w="709" w:type="pct"/>
          </w:tcPr>
          <w:p w14:paraId="7BA557A9"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1120F3D8"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8376C47" w14:textId="77777777" w:rsidR="00A30E61" w:rsidRPr="00CF3E3D" w:rsidRDefault="00A30E61" w:rsidP="007007AC">
            <w:pPr>
              <w:spacing w:before="85" w:line="288" w:lineRule="auto"/>
              <w:jc w:val="center"/>
              <w:rPr>
                <w:sz w:val="18"/>
                <w:szCs w:val="18"/>
              </w:rPr>
            </w:pPr>
            <w:r w:rsidRPr="00CF3E3D">
              <w:rPr>
                <w:sz w:val="18"/>
                <w:szCs w:val="18"/>
              </w:rPr>
              <w:t>62.9</w:t>
            </w:r>
          </w:p>
        </w:tc>
        <w:tc>
          <w:tcPr>
            <w:cnfStyle w:val="000010000000" w:firstRow="0" w:lastRow="0" w:firstColumn="0" w:lastColumn="0" w:oddVBand="1" w:evenVBand="0" w:oddHBand="0" w:evenHBand="0" w:firstRowFirstColumn="0" w:firstRowLastColumn="0" w:lastRowFirstColumn="0" w:lastRowLastColumn="0"/>
            <w:tcW w:w="755" w:type="pct"/>
          </w:tcPr>
          <w:p w14:paraId="4141AC38" w14:textId="77777777" w:rsidR="00A30E61" w:rsidRPr="00CF3E3D" w:rsidRDefault="00A30E61" w:rsidP="007007AC">
            <w:pPr>
              <w:spacing w:before="85" w:line="288" w:lineRule="auto"/>
              <w:jc w:val="center"/>
              <w:rPr>
                <w:sz w:val="18"/>
                <w:szCs w:val="18"/>
              </w:rPr>
            </w:pPr>
            <w:r w:rsidRPr="00CF3E3D">
              <w:rPr>
                <w:sz w:val="18"/>
                <w:szCs w:val="18"/>
              </w:rPr>
              <w:t>62.9</w:t>
            </w:r>
          </w:p>
        </w:tc>
      </w:tr>
      <w:tr w:rsidR="00A30E61" w:rsidRPr="00CF3E3D" w14:paraId="43AA5C5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71DDCA4" w14:textId="77777777" w:rsidR="00A30E61" w:rsidRPr="00D002F3" w:rsidRDefault="00A30E61" w:rsidP="007007AC">
            <w:pPr>
              <w:spacing w:before="85" w:line="288" w:lineRule="auto"/>
              <w:rPr>
                <w:b/>
                <w:bCs/>
                <w:sz w:val="18"/>
                <w:szCs w:val="18"/>
              </w:rPr>
            </w:pPr>
            <w:r w:rsidRPr="00D002F3">
              <w:rPr>
                <w:b/>
                <w:bCs/>
                <w:sz w:val="18"/>
                <w:szCs w:val="18"/>
              </w:rPr>
              <w:t>Nan Tien Institute</w:t>
            </w:r>
          </w:p>
        </w:tc>
        <w:tc>
          <w:tcPr>
            <w:cnfStyle w:val="000001000000" w:firstRow="0" w:lastRow="0" w:firstColumn="0" w:lastColumn="0" w:oddVBand="0" w:evenVBand="1" w:oddHBand="0" w:evenHBand="0" w:firstRowFirstColumn="0" w:firstRowLastColumn="0" w:lastRowFirstColumn="0" w:lastRowLastColumn="0"/>
            <w:tcW w:w="709" w:type="pct"/>
          </w:tcPr>
          <w:p w14:paraId="3FA65778" w14:textId="77777777" w:rsidR="00A30E61" w:rsidRPr="00CF3E3D" w:rsidRDefault="00A30E61" w:rsidP="007007AC">
            <w:pPr>
              <w:spacing w:before="85" w:line="288" w:lineRule="auto"/>
              <w:jc w:val="center"/>
              <w:rPr>
                <w:sz w:val="18"/>
                <w:szCs w:val="18"/>
              </w:rPr>
            </w:pPr>
            <w:r w:rsidRPr="00CF3E3D">
              <w:rPr>
                <w:sz w:val="18"/>
                <w:szCs w:val="18"/>
              </w:rPr>
              <w:t>62.5</w:t>
            </w:r>
          </w:p>
        </w:tc>
        <w:tc>
          <w:tcPr>
            <w:cnfStyle w:val="000010000000" w:firstRow="0" w:lastRow="0" w:firstColumn="0" w:lastColumn="0" w:oddVBand="1" w:evenVBand="0" w:oddHBand="0" w:evenHBand="0" w:firstRowFirstColumn="0" w:firstRowLastColumn="0" w:lastRowFirstColumn="0" w:lastRowLastColumn="0"/>
            <w:tcW w:w="755" w:type="pct"/>
          </w:tcPr>
          <w:p w14:paraId="6B7672E7" w14:textId="77777777" w:rsidR="00A30E61" w:rsidRPr="00CF3E3D" w:rsidRDefault="00A30E61" w:rsidP="007007AC">
            <w:pPr>
              <w:spacing w:before="85" w:line="288" w:lineRule="auto"/>
              <w:jc w:val="center"/>
              <w:rPr>
                <w:sz w:val="18"/>
                <w:szCs w:val="18"/>
              </w:rPr>
            </w:pPr>
            <w:r w:rsidRPr="00CF3E3D">
              <w:rPr>
                <w:sz w:val="18"/>
                <w:szCs w:val="18"/>
              </w:rPr>
              <w:t>69.2</w:t>
            </w:r>
          </w:p>
        </w:tc>
        <w:tc>
          <w:tcPr>
            <w:cnfStyle w:val="000001000000" w:firstRow="0" w:lastRow="0" w:firstColumn="0" w:lastColumn="0" w:oddVBand="0" w:evenVBand="1" w:oddHBand="0" w:evenHBand="0" w:firstRowFirstColumn="0" w:firstRowLastColumn="0" w:lastRowFirstColumn="0" w:lastRowLastColumn="0"/>
            <w:tcW w:w="755" w:type="pct"/>
          </w:tcPr>
          <w:p w14:paraId="3A22FFBB" w14:textId="77777777" w:rsidR="00A30E61" w:rsidRPr="00CF3E3D" w:rsidRDefault="00A30E61" w:rsidP="007007AC">
            <w:pPr>
              <w:spacing w:before="85" w:line="288" w:lineRule="auto"/>
              <w:jc w:val="center"/>
              <w:rPr>
                <w:sz w:val="18"/>
                <w:szCs w:val="18"/>
              </w:rPr>
            </w:pPr>
            <w:r w:rsidRPr="00CF3E3D">
              <w:rPr>
                <w:sz w:val="18"/>
                <w:szCs w:val="18"/>
              </w:rPr>
              <w:t>40.0</w:t>
            </w:r>
          </w:p>
        </w:tc>
        <w:tc>
          <w:tcPr>
            <w:cnfStyle w:val="000010000000" w:firstRow="0" w:lastRow="0" w:firstColumn="0" w:lastColumn="0" w:oddVBand="1" w:evenVBand="0" w:oddHBand="0" w:evenHBand="0" w:firstRowFirstColumn="0" w:firstRowLastColumn="0" w:lastRowFirstColumn="0" w:lastRowLastColumn="0"/>
            <w:tcW w:w="755" w:type="pct"/>
          </w:tcPr>
          <w:p w14:paraId="6BB96D7E" w14:textId="77777777" w:rsidR="00A30E61" w:rsidRPr="00CF3E3D" w:rsidRDefault="00A30E61" w:rsidP="007007AC">
            <w:pPr>
              <w:spacing w:before="85" w:line="288" w:lineRule="auto"/>
              <w:jc w:val="center"/>
              <w:rPr>
                <w:sz w:val="18"/>
                <w:szCs w:val="18"/>
              </w:rPr>
            </w:pPr>
            <w:r w:rsidRPr="00CF3E3D">
              <w:rPr>
                <w:sz w:val="18"/>
                <w:szCs w:val="18"/>
              </w:rPr>
              <w:t>61.8</w:t>
            </w:r>
          </w:p>
        </w:tc>
      </w:tr>
      <w:tr w:rsidR="00A30E61" w:rsidRPr="00CF3E3D" w14:paraId="5A8451B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9A4EF88" w14:textId="77777777" w:rsidR="00A30E61" w:rsidRPr="00D002F3" w:rsidRDefault="00A30E61" w:rsidP="007007AC">
            <w:pPr>
              <w:spacing w:before="85" w:line="288" w:lineRule="auto"/>
              <w:rPr>
                <w:b/>
                <w:bCs/>
                <w:sz w:val="18"/>
                <w:szCs w:val="18"/>
              </w:rPr>
            </w:pPr>
            <w:r w:rsidRPr="00D002F3">
              <w:rPr>
                <w:b/>
                <w:bCs/>
                <w:sz w:val="18"/>
                <w:szCs w:val="18"/>
              </w:rPr>
              <w:t>National Art School</w:t>
            </w:r>
          </w:p>
        </w:tc>
        <w:tc>
          <w:tcPr>
            <w:cnfStyle w:val="000001000000" w:firstRow="0" w:lastRow="0" w:firstColumn="0" w:lastColumn="0" w:oddVBand="0" w:evenVBand="1" w:oddHBand="0" w:evenHBand="0" w:firstRowFirstColumn="0" w:firstRowLastColumn="0" w:lastRowFirstColumn="0" w:lastRowLastColumn="0"/>
            <w:tcW w:w="709" w:type="pct"/>
          </w:tcPr>
          <w:p w14:paraId="47863F9F"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443A37D"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1E39507" w14:textId="77777777" w:rsidR="00A30E61" w:rsidRPr="00CF3E3D" w:rsidRDefault="00A30E61" w:rsidP="007007AC">
            <w:pPr>
              <w:spacing w:before="85" w:line="288" w:lineRule="auto"/>
              <w:jc w:val="center"/>
              <w:rPr>
                <w:sz w:val="18"/>
                <w:szCs w:val="18"/>
              </w:rPr>
            </w:pPr>
            <w:r w:rsidRPr="00CF3E3D">
              <w:rPr>
                <w:sz w:val="18"/>
                <w:szCs w:val="18"/>
              </w:rPr>
              <w:t>50.4</w:t>
            </w:r>
          </w:p>
        </w:tc>
        <w:tc>
          <w:tcPr>
            <w:cnfStyle w:val="000010000000" w:firstRow="0" w:lastRow="0" w:firstColumn="0" w:lastColumn="0" w:oddVBand="1" w:evenVBand="0" w:oddHBand="0" w:evenHBand="0" w:firstRowFirstColumn="0" w:firstRowLastColumn="0" w:lastRowFirstColumn="0" w:lastRowLastColumn="0"/>
            <w:tcW w:w="755" w:type="pct"/>
          </w:tcPr>
          <w:p w14:paraId="02D9043D" w14:textId="77777777" w:rsidR="00A30E61" w:rsidRPr="00CF3E3D" w:rsidRDefault="00A30E61" w:rsidP="007007AC">
            <w:pPr>
              <w:spacing w:before="85" w:line="288" w:lineRule="auto"/>
              <w:jc w:val="center"/>
              <w:rPr>
                <w:sz w:val="18"/>
                <w:szCs w:val="18"/>
              </w:rPr>
            </w:pPr>
            <w:r w:rsidRPr="00CF3E3D">
              <w:rPr>
                <w:sz w:val="18"/>
                <w:szCs w:val="18"/>
              </w:rPr>
              <w:t>50.4</w:t>
            </w:r>
          </w:p>
        </w:tc>
      </w:tr>
      <w:tr w:rsidR="00A30E61" w:rsidRPr="00CF3E3D" w14:paraId="1457CDD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13F536A" w14:textId="77777777" w:rsidR="00A30E61" w:rsidRPr="00D002F3" w:rsidRDefault="00A30E61" w:rsidP="007007AC">
            <w:pPr>
              <w:spacing w:before="85" w:line="288" w:lineRule="auto"/>
              <w:rPr>
                <w:b/>
                <w:bCs/>
                <w:sz w:val="18"/>
                <w:szCs w:val="18"/>
              </w:rPr>
            </w:pPr>
            <w:r w:rsidRPr="00D002F3">
              <w:rPr>
                <w:b/>
                <w:bCs/>
                <w:sz w:val="18"/>
                <w:szCs w:val="18"/>
              </w:rPr>
              <w:t>National Institute of Organisation Dynamics Australia</w:t>
            </w:r>
          </w:p>
        </w:tc>
        <w:tc>
          <w:tcPr>
            <w:cnfStyle w:val="000001000000" w:firstRow="0" w:lastRow="0" w:firstColumn="0" w:lastColumn="0" w:oddVBand="0" w:evenVBand="1" w:oddHBand="0" w:evenHBand="0" w:firstRowFirstColumn="0" w:firstRowLastColumn="0" w:lastRowFirstColumn="0" w:lastRowLastColumn="0"/>
            <w:tcW w:w="709" w:type="pct"/>
          </w:tcPr>
          <w:p w14:paraId="156FDF01"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7FCAE680"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25F9C519" w14:textId="77777777" w:rsidR="00A30E61" w:rsidRPr="00CF3E3D" w:rsidRDefault="00A30E61" w:rsidP="007007AC">
            <w:pPr>
              <w:spacing w:before="85" w:line="288" w:lineRule="auto"/>
              <w:jc w:val="center"/>
              <w:rPr>
                <w:sz w:val="18"/>
                <w:szCs w:val="18"/>
              </w:rPr>
            </w:pPr>
            <w:r w:rsidRPr="00CF3E3D">
              <w:rPr>
                <w:sz w:val="18"/>
                <w:szCs w:val="18"/>
              </w:rPr>
              <w:t>66.7</w:t>
            </w:r>
          </w:p>
        </w:tc>
        <w:tc>
          <w:tcPr>
            <w:cnfStyle w:val="000010000000" w:firstRow="0" w:lastRow="0" w:firstColumn="0" w:lastColumn="0" w:oddVBand="1" w:evenVBand="0" w:oddHBand="0" w:evenHBand="0" w:firstRowFirstColumn="0" w:firstRowLastColumn="0" w:lastRowFirstColumn="0" w:lastRowLastColumn="0"/>
            <w:tcW w:w="755" w:type="pct"/>
          </w:tcPr>
          <w:p w14:paraId="7A0B08A6" w14:textId="77777777" w:rsidR="00A30E61" w:rsidRPr="00CF3E3D" w:rsidRDefault="00A30E61" w:rsidP="007007AC">
            <w:pPr>
              <w:spacing w:before="85" w:line="288" w:lineRule="auto"/>
              <w:jc w:val="center"/>
              <w:rPr>
                <w:sz w:val="18"/>
                <w:szCs w:val="18"/>
              </w:rPr>
            </w:pPr>
            <w:r w:rsidRPr="00CF3E3D">
              <w:rPr>
                <w:sz w:val="18"/>
                <w:szCs w:val="18"/>
              </w:rPr>
              <w:t>66.7</w:t>
            </w:r>
          </w:p>
        </w:tc>
      </w:tr>
      <w:tr w:rsidR="00A30E61" w:rsidRPr="00CF3E3D" w14:paraId="72670DC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7800BDF" w14:textId="77777777" w:rsidR="00A30E61" w:rsidRPr="00D002F3" w:rsidRDefault="00A30E61" w:rsidP="007007AC">
            <w:pPr>
              <w:spacing w:before="85" w:line="288" w:lineRule="auto"/>
              <w:rPr>
                <w:b/>
                <w:bCs/>
                <w:sz w:val="18"/>
                <w:szCs w:val="18"/>
              </w:rPr>
            </w:pPr>
            <w:proofErr w:type="spellStart"/>
            <w:r w:rsidRPr="00D002F3">
              <w:rPr>
                <w:b/>
                <w:bCs/>
                <w:sz w:val="18"/>
                <w:szCs w:val="18"/>
              </w:rPr>
              <w:t>Ozford</w:t>
            </w:r>
            <w:proofErr w:type="spellEnd"/>
            <w:r w:rsidRPr="00D002F3">
              <w:rPr>
                <w:b/>
                <w:bCs/>
                <w:sz w:val="18"/>
                <w:szCs w:val="18"/>
              </w:rPr>
              <w:t xml:space="preserve"> Institute of Higher Education</w:t>
            </w:r>
          </w:p>
        </w:tc>
        <w:tc>
          <w:tcPr>
            <w:cnfStyle w:val="000001000000" w:firstRow="0" w:lastRow="0" w:firstColumn="0" w:lastColumn="0" w:oddVBand="0" w:evenVBand="1" w:oddHBand="0" w:evenHBand="0" w:firstRowFirstColumn="0" w:firstRowLastColumn="0" w:lastRowFirstColumn="0" w:lastRowLastColumn="0"/>
            <w:tcW w:w="709" w:type="pct"/>
          </w:tcPr>
          <w:p w14:paraId="565412EC" w14:textId="77777777" w:rsidR="00A30E61" w:rsidRPr="00CF3E3D" w:rsidRDefault="00A30E61" w:rsidP="007007AC">
            <w:pPr>
              <w:spacing w:before="85" w:line="288" w:lineRule="auto"/>
              <w:jc w:val="center"/>
              <w:rPr>
                <w:sz w:val="18"/>
                <w:szCs w:val="18"/>
              </w:rPr>
            </w:pPr>
            <w:r w:rsidRPr="00CF3E3D">
              <w:rPr>
                <w:sz w:val="18"/>
                <w:szCs w:val="18"/>
              </w:rPr>
              <w:t>22.2</w:t>
            </w:r>
          </w:p>
        </w:tc>
        <w:tc>
          <w:tcPr>
            <w:cnfStyle w:val="000010000000" w:firstRow="0" w:lastRow="0" w:firstColumn="0" w:lastColumn="0" w:oddVBand="1" w:evenVBand="0" w:oddHBand="0" w:evenHBand="0" w:firstRowFirstColumn="0" w:firstRowLastColumn="0" w:lastRowFirstColumn="0" w:lastRowLastColumn="0"/>
            <w:tcW w:w="755" w:type="pct"/>
          </w:tcPr>
          <w:p w14:paraId="7266C850"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6C1FAA6F"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15DA4A74" w14:textId="77777777" w:rsidR="00A30E61" w:rsidRPr="00CF3E3D" w:rsidRDefault="00A30E61" w:rsidP="007007AC">
            <w:pPr>
              <w:spacing w:before="85" w:line="288" w:lineRule="auto"/>
              <w:jc w:val="center"/>
              <w:rPr>
                <w:sz w:val="18"/>
                <w:szCs w:val="18"/>
              </w:rPr>
            </w:pPr>
            <w:r w:rsidRPr="00CF3E3D">
              <w:rPr>
                <w:sz w:val="18"/>
                <w:szCs w:val="18"/>
              </w:rPr>
              <w:t>22.2</w:t>
            </w:r>
          </w:p>
        </w:tc>
      </w:tr>
      <w:tr w:rsidR="00A30E61" w:rsidRPr="00CF3E3D" w14:paraId="6EB3C35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68913C9" w14:textId="77777777" w:rsidR="00A30E61" w:rsidRPr="00D002F3" w:rsidRDefault="00A30E61" w:rsidP="007007AC">
            <w:pPr>
              <w:spacing w:before="85" w:line="288" w:lineRule="auto"/>
              <w:rPr>
                <w:b/>
                <w:bCs/>
                <w:sz w:val="18"/>
                <w:szCs w:val="18"/>
              </w:rPr>
            </w:pPr>
            <w:r w:rsidRPr="00D002F3">
              <w:rPr>
                <w:b/>
                <w:bCs/>
                <w:sz w:val="18"/>
                <w:szCs w:val="18"/>
              </w:rPr>
              <w:t>Perth Bible College</w:t>
            </w:r>
          </w:p>
        </w:tc>
        <w:tc>
          <w:tcPr>
            <w:cnfStyle w:val="000001000000" w:firstRow="0" w:lastRow="0" w:firstColumn="0" w:lastColumn="0" w:oddVBand="0" w:evenVBand="1" w:oddHBand="0" w:evenHBand="0" w:firstRowFirstColumn="0" w:firstRowLastColumn="0" w:lastRowFirstColumn="0" w:lastRowLastColumn="0"/>
            <w:tcW w:w="709" w:type="pct"/>
          </w:tcPr>
          <w:p w14:paraId="03C90DB8" w14:textId="77777777" w:rsidR="00A30E61" w:rsidRPr="00CF3E3D" w:rsidRDefault="00A30E61" w:rsidP="007007AC">
            <w:pPr>
              <w:spacing w:before="85" w:line="288" w:lineRule="auto"/>
              <w:jc w:val="center"/>
              <w:rPr>
                <w:sz w:val="18"/>
                <w:szCs w:val="18"/>
              </w:rPr>
            </w:pPr>
            <w:r w:rsidRPr="00CF3E3D">
              <w:rPr>
                <w:sz w:val="18"/>
                <w:szCs w:val="18"/>
              </w:rPr>
              <w:t>50.0</w:t>
            </w:r>
          </w:p>
        </w:tc>
        <w:tc>
          <w:tcPr>
            <w:cnfStyle w:val="000010000000" w:firstRow="0" w:lastRow="0" w:firstColumn="0" w:lastColumn="0" w:oddVBand="1" w:evenVBand="0" w:oddHBand="0" w:evenHBand="0" w:firstRowFirstColumn="0" w:firstRowLastColumn="0" w:lastRowFirstColumn="0" w:lastRowLastColumn="0"/>
            <w:tcW w:w="755" w:type="pct"/>
          </w:tcPr>
          <w:p w14:paraId="531FFD85"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0D4DC191" w14:textId="77777777" w:rsidR="00A30E61" w:rsidRPr="00CF3E3D" w:rsidRDefault="00A30E61" w:rsidP="007007AC">
            <w:pPr>
              <w:spacing w:before="85" w:line="288" w:lineRule="auto"/>
              <w:jc w:val="center"/>
              <w:rPr>
                <w:sz w:val="18"/>
                <w:szCs w:val="18"/>
              </w:rPr>
            </w:pPr>
            <w:r w:rsidRPr="00CF3E3D">
              <w:rPr>
                <w:sz w:val="18"/>
                <w:szCs w:val="18"/>
              </w:rPr>
              <w:t>66.7</w:t>
            </w:r>
          </w:p>
        </w:tc>
        <w:tc>
          <w:tcPr>
            <w:cnfStyle w:val="000010000000" w:firstRow="0" w:lastRow="0" w:firstColumn="0" w:lastColumn="0" w:oddVBand="1" w:evenVBand="0" w:oddHBand="0" w:evenHBand="0" w:firstRowFirstColumn="0" w:firstRowLastColumn="0" w:lastRowFirstColumn="0" w:lastRowLastColumn="0"/>
            <w:tcW w:w="755" w:type="pct"/>
          </w:tcPr>
          <w:p w14:paraId="7B07A0E1" w14:textId="77777777" w:rsidR="00A30E61" w:rsidRPr="00CF3E3D" w:rsidRDefault="00A30E61" w:rsidP="007007AC">
            <w:pPr>
              <w:spacing w:before="85" w:line="288" w:lineRule="auto"/>
              <w:jc w:val="center"/>
              <w:rPr>
                <w:sz w:val="18"/>
                <w:szCs w:val="18"/>
              </w:rPr>
            </w:pPr>
            <w:r w:rsidRPr="00CF3E3D">
              <w:rPr>
                <w:sz w:val="18"/>
                <w:szCs w:val="18"/>
              </w:rPr>
              <w:t>64.3</w:t>
            </w:r>
          </w:p>
        </w:tc>
      </w:tr>
      <w:tr w:rsidR="00A30E61" w:rsidRPr="00CF3E3D" w14:paraId="0E77A4F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1598DCB" w14:textId="77777777" w:rsidR="00A30E61" w:rsidRPr="00D002F3" w:rsidRDefault="00A30E61" w:rsidP="007007AC">
            <w:pPr>
              <w:spacing w:before="85" w:line="288" w:lineRule="auto"/>
              <w:rPr>
                <w:b/>
                <w:bCs/>
                <w:sz w:val="18"/>
                <w:szCs w:val="18"/>
              </w:rPr>
            </w:pPr>
            <w:r w:rsidRPr="00D002F3">
              <w:rPr>
                <w:b/>
                <w:bCs/>
                <w:sz w:val="18"/>
                <w:szCs w:val="18"/>
              </w:rPr>
              <w:t>Photography Studies College (Melbourne)</w:t>
            </w:r>
          </w:p>
        </w:tc>
        <w:tc>
          <w:tcPr>
            <w:cnfStyle w:val="000001000000" w:firstRow="0" w:lastRow="0" w:firstColumn="0" w:lastColumn="0" w:oddVBand="0" w:evenVBand="1" w:oddHBand="0" w:evenHBand="0" w:firstRowFirstColumn="0" w:firstRowLastColumn="0" w:lastRowFirstColumn="0" w:lastRowLastColumn="0"/>
            <w:tcW w:w="709" w:type="pct"/>
          </w:tcPr>
          <w:p w14:paraId="63A1463D"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3D10736B"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B28AC55" w14:textId="77777777" w:rsidR="00A30E61" w:rsidRPr="00CF3E3D" w:rsidRDefault="00A30E61" w:rsidP="007007AC">
            <w:pPr>
              <w:spacing w:before="85" w:line="288" w:lineRule="auto"/>
              <w:jc w:val="center"/>
              <w:rPr>
                <w:sz w:val="18"/>
                <w:szCs w:val="18"/>
              </w:rPr>
            </w:pPr>
            <w:r w:rsidRPr="00CF3E3D">
              <w:rPr>
                <w:sz w:val="18"/>
                <w:szCs w:val="18"/>
              </w:rPr>
              <w:t>55.6</w:t>
            </w:r>
          </w:p>
        </w:tc>
        <w:tc>
          <w:tcPr>
            <w:cnfStyle w:val="000010000000" w:firstRow="0" w:lastRow="0" w:firstColumn="0" w:lastColumn="0" w:oddVBand="1" w:evenVBand="0" w:oddHBand="0" w:evenHBand="0" w:firstRowFirstColumn="0" w:firstRowLastColumn="0" w:lastRowFirstColumn="0" w:lastRowLastColumn="0"/>
            <w:tcW w:w="755" w:type="pct"/>
          </w:tcPr>
          <w:p w14:paraId="22681844" w14:textId="77777777" w:rsidR="00A30E61" w:rsidRPr="00CF3E3D" w:rsidRDefault="00A30E61" w:rsidP="007007AC">
            <w:pPr>
              <w:spacing w:before="85" w:line="288" w:lineRule="auto"/>
              <w:jc w:val="center"/>
              <w:rPr>
                <w:sz w:val="18"/>
                <w:szCs w:val="18"/>
              </w:rPr>
            </w:pPr>
            <w:r w:rsidRPr="00CF3E3D">
              <w:rPr>
                <w:sz w:val="18"/>
                <w:szCs w:val="18"/>
              </w:rPr>
              <w:t>55.6</w:t>
            </w:r>
          </w:p>
        </w:tc>
      </w:tr>
      <w:tr w:rsidR="00A30E61" w:rsidRPr="00CF3E3D" w14:paraId="50C87AC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EFFB341" w14:textId="77777777" w:rsidR="00A30E61" w:rsidRPr="00D002F3" w:rsidRDefault="00A30E61" w:rsidP="007007AC">
            <w:pPr>
              <w:spacing w:before="85" w:line="288" w:lineRule="auto"/>
              <w:rPr>
                <w:b/>
                <w:bCs/>
                <w:sz w:val="18"/>
                <w:szCs w:val="18"/>
              </w:rPr>
            </w:pPr>
            <w:r w:rsidRPr="00D002F3">
              <w:rPr>
                <w:b/>
                <w:bCs/>
                <w:sz w:val="18"/>
                <w:szCs w:val="18"/>
              </w:rPr>
              <w:t>Polytechnic Institute Australia Pty Ltd</w:t>
            </w:r>
          </w:p>
        </w:tc>
        <w:tc>
          <w:tcPr>
            <w:cnfStyle w:val="000001000000" w:firstRow="0" w:lastRow="0" w:firstColumn="0" w:lastColumn="0" w:oddVBand="0" w:evenVBand="1" w:oddHBand="0" w:evenHBand="0" w:firstRowFirstColumn="0" w:firstRowLastColumn="0" w:lastRowFirstColumn="0" w:lastRowLastColumn="0"/>
            <w:tcW w:w="709" w:type="pct"/>
          </w:tcPr>
          <w:p w14:paraId="528C8833" w14:textId="77777777" w:rsidR="00A30E61" w:rsidRPr="00CF3E3D" w:rsidRDefault="00A30E61" w:rsidP="007007AC">
            <w:pPr>
              <w:spacing w:before="85" w:line="288" w:lineRule="auto"/>
              <w:jc w:val="center"/>
              <w:rPr>
                <w:sz w:val="18"/>
                <w:szCs w:val="18"/>
              </w:rPr>
            </w:pPr>
            <w:r w:rsidRPr="00CF3E3D">
              <w:rPr>
                <w:sz w:val="18"/>
                <w:szCs w:val="18"/>
              </w:rPr>
              <w:t>15.8</w:t>
            </w:r>
          </w:p>
        </w:tc>
        <w:tc>
          <w:tcPr>
            <w:cnfStyle w:val="000010000000" w:firstRow="0" w:lastRow="0" w:firstColumn="0" w:lastColumn="0" w:oddVBand="1" w:evenVBand="0" w:oddHBand="0" w:evenHBand="0" w:firstRowFirstColumn="0" w:firstRowLastColumn="0" w:lastRowFirstColumn="0" w:lastRowLastColumn="0"/>
            <w:tcW w:w="755" w:type="pct"/>
          </w:tcPr>
          <w:p w14:paraId="7451E038" w14:textId="77777777" w:rsidR="00A30E61" w:rsidRPr="00CF3E3D" w:rsidRDefault="00A30E61" w:rsidP="007007AC">
            <w:pPr>
              <w:spacing w:before="85" w:line="288" w:lineRule="auto"/>
              <w:jc w:val="center"/>
              <w:rPr>
                <w:sz w:val="18"/>
                <w:szCs w:val="18"/>
              </w:rPr>
            </w:pPr>
            <w:r w:rsidRPr="00CF3E3D">
              <w:rPr>
                <w:sz w:val="18"/>
                <w:szCs w:val="18"/>
              </w:rPr>
              <w:t>30.0</w:t>
            </w:r>
          </w:p>
        </w:tc>
        <w:tc>
          <w:tcPr>
            <w:cnfStyle w:val="000001000000" w:firstRow="0" w:lastRow="0" w:firstColumn="0" w:lastColumn="0" w:oddVBand="0" w:evenVBand="1" w:oddHBand="0" w:evenHBand="0" w:firstRowFirstColumn="0" w:firstRowLastColumn="0" w:lastRowFirstColumn="0" w:lastRowLastColumn="0"/>
            <w:tcW w:w="755" w:type="pct"/>
          </w:tcPr>
          <w:p w14:paraId="0413C06E"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4C9E7A6" w14:textId="77777777" w:rsidR="00A30E61" w:rsidRPr="00CF3E3D" w:rsidRDefault="00A30E61" w:rsidP="007007AC">
            <w:pPr>
              <w:spacing w:before="85" w:line="288" w:lineRule="auto"/>
              <w:jc w:val="center"/>
              <w:rPr>
                <w:sz w:val="18"/>
                <w:szCs w:val="18"/>
              </w:rPr>
            </w:pPr>
            <w:r w:rsidRPr="00CF3E3D">
              <w:rPr>
                <w:sz w:val="18"/>
                <w:szCs w:val="18"/>
              </w:rPr>
              <w:t>26.6</w:t>
            </w:r>
          </w:p>
        </w:tc>
      </w:tr>
      <w:tr w:rsidR="00A30E61" w:rsidRPr="00CF3E3D" w14:paraId="274C8B7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61C372F" w14:textId="77777777" w:rsidR="00A30E61" w:rsidRPr="00D002F3" w:rsidRDefault="00A30E61" w:rsidP="007007AC">
            <w:pPr>
              <w:spacing w:before="85" w:line="288" w:lineRule="auto"/>
              <w:rPr>
                <w:b/>
                <w:bCs/>
                <w:sz w:val="18"/>
                <w:szCs w:val="18"/>
              </w:rPr>
            </w:pPr>
            <w:r w:rsidRPr="00D002F3">
              <w:rPr>
                <w:b/>
                <w:bCs/>
                <w:sz w:val="18"/>
                <w:szCs w:val="18"/>
              </w:rPr>
              <w:t>SAE Institute</w:t>
            </w:r>
          </w:p>
        </w:tc>
        <w:tc>
          <w:tcPr>
            <w:cnfStyle w:val="000001000000" w:firstRow="0" w:lastRow="0" w:firstColumn="0" w:lastColumn="0" w:oddVBand="0" w:evenVBand="1" w:oddHBand="0" w:evenHBand="0" w:firstRowFirstColumn="0" w:firstRowLastColumn="0" w:lastRowFirstColumn="0" w:lastRowLastColumn="0"/>
            <w:tcW w:w="709" w:type="pct"/>
          </w:tcPr>
          <w:p w14:paraId="737DD3B2" w14:textId="77777777" w:rsidR="00A30E61" w:rsidRPr="00CF3E3D" w:rsidRDefault="00A30E61" w:rsidP="007007AC">
            <w:pPr>
              <w:spacing w:before="85" w:line="288" w:lineRule="auto"/>
              <w:jc w:val="center"/>
              <w:rPr>
                <w:sz w:val="18"/>
                <w:szCs w:val="18"/>
              </w:rPr>
            </w:pPr>
            <w:r w:rsidRPr="00CF3E3D">
              <w:rPr>
                <w:sz w:val="18"/>
                <w:szCs w:val="18"/>
              </w:rPr>
              <w:t>40.0</w:t>
            </w:r>
          </w:p>
        </w:tc>
        <w:tc>
          <w:tcPr>
            <w:cnfStyle w:val="000010000000" w:firstRow="0" w:lastRow="0" w:firstColumn="0" w:lastColumn="0" w:oddVBand="1" w:evenVBand="0" w:oddHBand="0" w:evenHBand="0" w:firstRowFirstColumn="0" w:firstRowLastColumn="0" w:lastRowFirstColumn="0" w:lastRowLastColumn="0"/>
            <w:tcW w:w="755" w:type="pct"/>
          </w:tcPr>
          <w:p w14:paraId="3D2F5AC3" w14:textId="77777777" w:rsidR="00A30E61" w:rsidRPr="00CF3E3D" w:rsidRDefault="00A30E61" w:rsidP="007007AC">
            <w:pPr>
              <w:spacing w:before="85" w:line="288" w:lineRule="auto"/>
              <w:jc w:val="center"/>
              <w:rPr>
                <w:sz w:val="18"/>
                <w:szCs w:val="18"/>
              </w:rPr>
            </w:pPr>
            <w:r w:rsidRPr="00CF3E3D">
              <w:rPr>
                <w:sz w:val="18"/>
                <w:szCs w:val="18"/>
              </w:rPr>
              <w:t>39.9</w:t>
            </w:r>
          </w:p>
        </w:tc>
        <w:tc>
          <w:tcPr>
            <w:cnfStyle w:val="000001000000" w:firstRow="0" w:lastRow="0" w:firstColumn="0" w:lastColumn="0" w:oddVBand="0" w:evenVBand="1" w:oddHBand="0" w:evenHBand="0" w:firstRowFirstColumn="0" w:firstRowLastColumn="0" w:lastRowFirstColumn="0" w:lastRowLastColumn="0"/>
            <w:tcW w:w="755" w:type="pct"/>
          </w:tcPr>
          <w:p w14:paraId="5CB9B17F" w14:textId="77777777" w:rsidR="00A30E61" w:rsidRPr="00CF3E3D" w:rsidRDefault="00A30E61" w:rsidP="007007AC">
            <w:pPr>
              <w:spacing w:before="85" w:line="288" w:lineRule="auto"/>
              <w:jc w:val="center"/>
              <w:rPr>
                <w:sz w:val="18"/>
                <w:szCs w:val="18"/>
              </w:rPr>
            </w:pPr>
            <w:r w:rsidRPr="00CF3E3D">
              <w:rPr>
                <w:sz w:val="18"/>
                <w:szCs w:val="18"/>
              </w:rPr>
              <w:t>40.7</w:t>
            </w:r>
          </w:p>
        </w:tc>
        <w:tc>
          <w:tcPr>
            <w:cnfStyle w:val="000010000000" w:firstRow="0" w:lastRow="0" w:firstColumn="0" w:lastColumn="0" w:oddVBand="1" w:evenVBand="0" w:oddHBand="0" w:evenHBand="0" w:firstRowFirstColumn="0" w:firstRowLastColumn="0" w:lastRowFirstColumn="0" w:lastRowLastColumn="0"/>
            <w:tcW w:w="755" w:type="pct"/>
          </w:tcPr>
          <w:p w14:paraId="5ADB39FD" w14:textId="77777777" w:rsidR="00A30E61" w:rsidRPr="00CF3E3D" w:rsidRDefault="00A30E61" w:rsidP="007007AC">
            <w:pPr>
              <w:spacing w:before="85" w:line="288" w:lineRule="auto"/>
              <w:jc w:val="center"/>
              <w:rPr>
                <w:sz w:val="18"/>
                <w:szCs w:val="18"/>
              </w:rPr>
            </w:pPr>
            <w:r w:rsidRPr="00CF3E3D">
              <w:rPr>
                <w:sz w:val="18"/>
                <w:szCs w:val="18"/>
              </w:rPr>
              <w:t>40.2</w:t>
            </w:r>
          </w:p>
        </w:tc>
      </w:tr>
      <w:tr w:rsidR="00A30E61" w:rsidRPr="00CF3E3D" w14:paraId="126A799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E8FCF17" w14:textId="77777777" w:rsidR="00A30E61" w:rsidRPr="00D002F3" w:rsidRDefault="00A30E61" w:rsidP="007007AC">
            <w:pPr>
              <w:spacing w:before="85" w:line="288" w:lineRule="auto"/>
              <w:rPr>
                <w:b/>
                <w:bCs/>
                <w:sz w:val="18"/>
                <w:szCs w:val="18"/>
              </w:rPr>
            </w:pPr>
            <w:r w:rsidRPr="00D002F3">
              <w:rPr>
                <w:b/>
                <w:bCs/>
                <w:sz w:val="18"/>
                <w:szCs w:val="18"/>
              </w:rPr>
              <w:t>Sheridan College Inc.</w:t>
            </w:r>
          </w:p>
        </w:tc>
        <w:tc>
          <w:tcPr>
            <w:cnfStyle w:val="000001000000" w:firstRow="0" w:lastRow="0" w:firstColumn="0" w:lastColumn="0" w:oddVBand="0" w:evenVBand="1" w:oddHBand="0" w:evenHBand="0" w:firstRowFirstColumn="0" w:firstRowLastColumn="0" w:lastRowFirstColumn="0" w:lastRowLastColumn="0"/>
            <w:tcW w:w="709" w:type="pct"/>
          </w:tcPr>
          <w:p w14:paraId="2E08844B" w14:textId="77777777" w:rsidR="00A30E61" w:rsidRPr="00CF3E3D" w:rsidRDefault="00A30E61" w:rsidP="007007AC">
            <w:pPr>
              <w:spacing w:before="85" w:line="288" w:lineRule="auto"/>
              <w:jc w:val="center"/>
              <w:rPr>
                <w:sz w:val="18"/>
                <w:szCs w:val="18"/>
              </w:rPr>
            </w:pPr>
            <w:r w:rsidRPr="00CF3E3D">
              <w:rPr>
                <w:sz w:val="18"/>
                <w:szCs w:val="18"/>
              </w:rPr>
              <w:t>100.0</w:t>
            </w:r>
          </w:p>
        </w:tc>
        <w:tc>
          <w:tcPr>
            <w:cnfStyle w:val="000010000000" w:firstRow="0" w:lastRow="0" w:firstColumn="0" w:lastColumn="0" w:oddVBand="1" w:evenVBand="0" w:oddHBand="0" w:evenHBand="0" w:firstRowFirstColumn="0" w:firstRowLastColumn="0" w:lastRowFirstColumn="0" w:lastRowLastColumn="0"/>
            <w:tcW w:w="755" w:type="pct"/>
          </w:tcPr>
          <w:p w14:paraId="17C7EA0B" w14:textId="77777777" w:rsidR="00A30E61" w:rsidRPr="00CF3E3D" w:rsidRDefault="00A30E61" w:rsidP="007007AC">
            <w:pPr>
              <w:spacing w:before="85" w:line="288" w:lineRule="auto"/>
              <w:jc w:val="center"/>
              <w:rPr>
                <w:sz w:val="18"/>
                <w:szCs w:val="18"/>
              </w:rPr>
            </w:pPr>
            <w:r w:rsidRPr="00CF3E3D">
              <w:rPr>
                <w:sz w:val="18"/>
                <w:szCs w:val="18"/>
              </w:rPr>
              <w:t>28.6</w:t>
            </w:r>
          </w:p>
        </w:tc>
        <w:tc>
          <w:tcPr>
            <w:cnfStyle w:val="000001000000" w:firstRow="0" w:lastRow="0" w:firstColumn="0" w:lastColumn="0" w:oddVBand="0" w:evenVBand="1" w:oddHBand="0" w:evenHBand="0" w:firstRowFirstColumn="0" w:firstRowLastColumn="0" w:lastRowFirstColumn="0" w:lastRowLastColumn="0"/>
            <w:tcW w:w="755" w:type="pct"/>
          </w:tcPr>
          <w:p w14:paraId="6B6A75B2" w14:textId="77777777" w:rsidR="00A30E61" w:rsidRPr="00CF3E3D" w:rsidRDefault="00A30E61" w:rsidP="007007AC">
            <w:pPr>
              <w:spacing w:before="85" w:line="288" w:lineRule="auto"/>
              <w:jc w:val="center"/>
              <w:rPr>
                <w:sz w:val="18"/>
                <w:szCs w:val="18"/>
              </w:rPr>
            </w:pPr>
            <w:r w:rsidRPr="00CF3E3D">
              <w:rPr>
                <w:sz w:val="18"/>
                <w:szCs w:val="18"/>
              </w:rPr>
              <w:t>62.5</w:t>
            </w:r>
          </w:p>
        </w:tc>
        <w:tc>
          <w:tcPr>
            <w:cnfStyle w:val="000010000000" w:firstRow="0" w:lastRow="0" w:firstColumn="0" w:lastColumn="0" w:oddVBand="1" w:evenVBand="0" w:oddHBand="0" w:evenHBand="0" w:firstRowFirstColumn="0" w:firstRowLastColumn="0" w:lastRowFirstColumn="0" w:lastRowLastColumn="0"/>
            <w:tcW w:w="755" w:type="pct"/>
          </w:tcPr>
          <w:p w14:paraId="6E32155D" w14:textId="77777777" w:rsidR="00A30E61" w:rsidRPr="00CF3E3D" w:rsidRDefault="00A30E61" w:rsidP="007007AC">
            <w:pPr>
              <w:spacing w:before="85" w:line="288" w:lineRule="auto"/>
              <w:jc w:val="center"/>
              <w:rPr>
                <w:sz w:val="18"/>
                <w:szCs w:val="18"/>
              </w:rPr>
            </w:pPr>
            <w:r w:rsidRPr="00CF3E3D">
              <w:rPr>
                <w:sz w:val="18"/>
                <w:szCs w:val="18"/>
              </w:rPr>
              <w:t>57.9</w:t>
            </w:r>
          </w:p>
        </w:tc>
      </w:tr>
      <w:tr w:rsidR="00A30E61" w:rsidRPr="00CF3E3D" w14:paraId="4495D3A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9C83402" w14:textId="77777777" w:rsidR="00A30E61" w:rsidRPr="00D002F3" w:rsidRDefault="00A30E61" w:rsidP="007007AC">
            <w:pPr>
              <w:spacing w:before="85" w:line="288" w:lineRule="auto"/>
              <w:rPr>
                <w:b/>
                <w:bCs/>
                <w:sz w:val="18"/>
                <w:szCs w:val="18"/>
              </w:rPr>
            </w:pPr>
            <w:r w:rsidRPr="00D002F3">
              <w:rPr>
                <w:b/>
                <w:bCs/>
                <w:sz w:val="18"/>
                <w:szCs w:val="18"/>
              </w:rPr>
              <w:t>SP Jain School of Management</w:t>
            </w:r>
          </w:p>
        </w:tc>
        <w:tc>
          <w:tcPr>
            <w:cnfStyle w:val="000001000000" w:firstRow="0" w:lastRow="0" w:firstColumn="0" w:lastColumn="0" w:oddVBand="0" w:evenVBand="1" w:oddHBand="0" w:evenHBand="0" w:firstRowFirstColumn="0" w:firstRowLastColumn="0" w:lastRowFirstColumn="0" w:lastRowLastColumn="0"/>
            <w:tcW w:w="709" w:type="pct"/>
          </w:tcPr>
          <w:p w14:paraId="307FFE81" w14:textId="77777777" w:rsidR="00A30E61" w:rsidRPr="00CF3E3D" w:rsidRDefault="00A30E61" w:rsidP="007007AC">
            <w:pPr>
              <w:spacing w:before="85" w:line="288" w:lineRule="auto"/>
              <w:jc w:val="center"/>
              <w:rPr>
                <w:sz w:val="18"/>
                <w:szCs w:val="18"/>
              </w:rPr>
            </w:pPr>
            <w:r w:rsidRPr="00CF3E3D">
              <w:rPr>
                <w:sz w:val="18"/>
                <w:szCs w:val="18"/>
              </w:rPr>
              <w:t>43.3</w:t>
            </w:r>
          </w:p>
        </w:tc>
        <w:tc>
          <w:tcPr>
            <w:cnfStyle w:val="000010000000" w:firstRow="0" w:lastRow="0" w:firstColumn="0" w:lastColumn="0" w:oddVBand="1" w:evenVBand="0" w:oddHBand="0" w:evenHBand="0" w:firstRowFirstColumn="0" w:firstRowLastColumn="0" w:lastRowFirstColumn="0" w:lastRowLastColumn="0"/>
            <w:tcW w:w="755" w:type="pct"/>
          </w:tcPr>
          <w:p w14:paraId="3953632B"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4F104D53"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3F7347CA" w14:textId="77777777" w:rsidR="00A30E61" w:rsidRPr="00CF3E3D" w:rsidRDefault="00A30E61" w:rsidP="007007AC">
            <w:pPr>
              <w:spacing w:before="85" w:line="288" w:lineRule="auto"/>
              <w:jc w:val="center"/>
              <w:rPr>
                <w:sz w:val="18"/>
                <w:szCs w:val="18"/>
              </w:rPr>
            </w:pPr>
            <w:r w:rsidRPr="00CF3E3D">
              <w:rPr>
                <w:sz w:val="18"/>
                <w:szCs w:val="18"/>
              </w:rPr>
              <w:t>43.3</w:t>
            </w:r>
          </w:p>
        </w:tc>
      </w:tr>
      <w:tr w:rsidR="00A30E61" w:rsidRPr="00CF3E3D" w14:paraId="10FC4953"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2E6254E" w14:textId="77777777" w:rsidR="00A30E61" w:rsidRPr="00D002F3" w:rsidRDefault="00A30E61" w:rsidP="007007AC">
            <w:pPr>
              <w:spacing w:before="85" w:line="288" w:lineRule="auto"/>
              <w:rPr>
                <w:b/>
                <w:bCs/>
                <w:sz w:val="18"/>
                <w:szCs w:val="18"/>
              </w:rPr>
            </w:pPr>
            <w:r w:rsidRPr="00D002F3">
              <w:rPr>
                <w:b/>
                <w:bCs/>
                <w:sz w:val="18"/>
                <w:szCs w:val="18"/>
              </w:rPr>
              <w:t>Stott's College</w:t>
            </w:r>
          </w:p>
        </w:tc>
        <w:tc>
          <w:tcPr>
            <w:cnfStyle w:val="000001000000" w:firstRow="0" w:lastRow="0" w:firstColumn="0" w:lastColumn="0" w:oddVBand="0" w:evenVBand="1" w:oddHBand="0" w:evenHBand="0" w:firstRowFirstColumn="0" w:firstRowLastColumn="0" w:lastRowFirstColumn="0" w:lastRowLastColumn="0"/>
            <w:tcW w:w="709" w:type="pct"/>
          </w:tcPr>
          <w:p w14:paraId="1232078B" w14:textId="77777777" w:rsidR="00A30E61" w:rsidRPr="00CF3E3D" w:rsidRDefault="00A30E61" w:rsidP="007007AC">
            <w:pPr>
              <w:spacing w:before="85" w:line="288" w:lineRule="auto"/>
              <w:jc w:val="center"/>
              <w:rPr>
                <w:sz w:val="18"/>
                <w:szCs w:val="18"/>
              </w:rPr>
            </w:pPr>
            <w:r w:rsidRPr="00CF3E3D">
              <w:rPr>
                <w:sz w:val="18"/>
                <w:szCs w:val="18"/>
              </w:rPr>
              <w:t>28.4</w:t>
            </w:r>
          </w:p>
        </w:tc>
        <w:tc>
          <w:tcPr>
            <w:cnfStyle w:val="000010000000" w:firstRow="0" w:lastRow="0" w:firstColumn="0" w:lastColumn="0" w:oddVBand="1" w:evenVBand="0" w:oddHBand="0" w:evenHBand="0" w:firstRowFirstColumn="0" w:firstRowLastColumn="0" w:lastRowFirstColumn="0" w:lastRowLastColumn="0"/>
            <w:tcW w:w="755" w:type="pct"/>
          </w:tcPr>
          <w:p w14:paraId="245809AF" w14:textId="77777777" w:rsidR="00A30E61" w:rsidRPr="00CF3E3D" w:rsidRDefault="00A30E61" w:rsidP="007007AC">
            <w:pPr>
              <w:spacing w:before="85" w:line="288" w:lineRule="auto"/>
              <w:jc w:val="center"/>
              <w:rPr>
                <w:sz w:val="18"/>
                <w:szCs w:val="18"/>
              </w:rPr>
            </w:pPr>
            <w:r w:rsidRPr="00CF3E3D">
              <w:rPr>
                <w:sz w:val="18"/>
                <w:szCs w:val="18"/>
              </w:rPr>
              <w:t>17.4</w:t>
            </w:r>
          </w:p>
        </w:tc>
        <w:tc>
          <w:tcPr>
            <w:cnfStyle w:val="000001000000" w:firstRow="0" w:lastRow="0" w:firstColumn="0" w:lastColumn="0" w:oddVBand="0" w:evenVBand="1" w:oddHBand="0" w:evenHBand="0" w:firstRowFirstColumn="0" w:firstRowLastColumn="0" w:lastRowFirstColumn="0" w:lastRowLastColumn="0"/>
            <w:tcW w:w="755" w:type="pct"/>
          </w:tcPr>
          <w:p w14:paraId="60783C2A" w14:textId="77777777" w:rsidR="00A30E61" w:rsidRPr="00CF3E3D" w:rsidRDefault="00A30E61" w:rsidP="007007AC">
            <w:pPr>
              <w:spacing w:before="85" w:line="288" w:lineRule="auto"/>
              <w:jc w:val="center"/>
              <w:rPr>
                <w:sz w:val="18"/>
                <w:szCs w:val="18"/>
              </w:rPr>
            </w:pPr>
            <w:r w:rsidRPr="00CF3E3D">
              <w:rPr>
                <w:sz w:val="18"/>
                <w:szCs w:val="18"/>
              </w:rPr>
              <w:t>42.3</w:t>
            </w:r>
          </w:p>
        </w:tc>
        <w:tc>
          <w:tcPr>
            <w:cnfStyle w:val="000010000000" w:firstRow="0" w:lastRow="0" w:firstColumn="0" w:lastColumn="0" w:oddVBand="1" w:evenVBand="0" w:oddHBand="0" w:evenHBand="0" w:firstRowFirstColumn="0" w:firstRowLastColumn="0" w:lastRowFirstColumn="0" w:lastRowLastColumn="0"/>
            <w:tcW w:w="755" w:type="pct"/>
          </w:tcPr>
          <w:p w14:paraId="7FA8FCEF" w14:textId="77777777" w:rsidR="00A30E61" w:rsidRPr="00CF3E3D" w:rsidRDefault="00A30E61" w:rsidP="007007AC">
            <w:pPr>
              <w:spacing w:before="85" w:line="288" w:lineRule="auto"/>
              <w:jc w:val="center"/>
              <w:rPr>
                <w:sz w:val="18"/>
                <w:szCs w:val="18"/>
              </w:rPr>
            </w:pPr>
            <w:r w:rsidRPr="00CF3E3D">
              <w:rPr>
                <w:sz w:val="18"/>
                <w:szCs w:val="18"/>
              </w:rPr>
              <w:t>33.7</w:t>
            </w:r>
          </w:p>
        </w:tc>
      </w:tr>
      <w:tr w:rsidR="00A30E61" w:rsidRPr="00CF3E3D" w14:paraId="565F654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995A93A" w14:textId="77777777" w:rsidR="00A30E61" w:rsidRPr="00D002F3" w:rsidRDefault="00A30E61" w:rsidP="007007AC">
            <w:pPr>
              <w:spacing w:before="85" w:line="288" w:lineRule="auto"/>
              <w:rPr>
                <w:b/>
                <w:bCs/>
                <w:sz w:val="18"/>
                <w:szCs w:val="18"/>
              </w:rPr>
            </w:pPr>
            <w:r w:rsidRPr="00D002F3">
              <w:rPr>
                <w:b/>
                <w:bCs/>
                <w:sz w:val="18"/>
                <w:szCs w:val="18"/>
              </w:rPr>
              <w:t>Sydney College of Divinity</w:t>
            </w:r>
          </w:p>
        </w:tc>
        <w:tc>
          <w:tcPr>
            <w:cnfStyle w:val="000001000000" w:firstRow="0" w:lastRow="0" w:firstColumn="0" w:lastColumn="0" w:oddVBand="0" w:evenVBand="1" w:oddHBand="0" w:evenHBand="0" w:firstRowFirstColumn="0" w:firstRowLastColumn="0" w:lastRowFirstColumn="0" w:lastRowLastColumn="0"/>
            <w:tcW w:w="709" w:type="pct"/>
          </w:tcPr>
          <w:p w14:paraId="3D89F920" w14:textId="77777777" w:rsidR="00A30E61" w:rsidRPr="00CF3E3D" w:rsidRDefault="00A30E61" w:rsidP="007007AC">
            <w:pPr>
              <w:spacing w:before="85" w:line="288" w:lineRule="auto"/>
              <w:jc w:val="center"/>
              <w:rPr>
                <w:sz w:val="18"/>
                <w:szCs w:val="18"/>
              </w:rPr>
            </w:pPr>
            <w:r w:rsidRPr="00CF3E3D">
              <w:rPr>
                <w:sz w:val="18"/>
                <w:szCs w:val="18"/>
              </w:rPr>
              <w:t>45.6</w:t>
            </w:r>
          </w:p>
        </w:tc>
        <w:tc>
          <w:tcPr>
            <w:cnfStyle w:val="000010000000" w:firstRow="0" w:lastRow="0" w:firstColumn="0" w:lastColumn="0" w:oddVBand="1" w:evenVBand="0" w:oddHBand="0" w:evenHBand="0" w:firstRowFirstColumn="0" w:firstRowLastColumn="0" w:lastRowFirstColumn="0" w:lastRowLastColumn="0"/>
            <w:tcW w:w="755" w:type="pct"/>
          </w:tcPr>
          <w:p w14:paraId="71271F68"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04ECD05F"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C027C18" w14:textId="77777777" w:rsidR="00A30E61" w:rsidRPr="00CF3E3D" w:rsidRDefault="00A30E61" w:rsidP="007007AC">
            <w:pPr>
              <w:spacing w:before="85" w:line="288" w:lineRule="auto"/>
              <w:jc w:val="center"/>
              <w:rPr>
                <w:sz w:val="18"/>
                <w:szCs w:val="18"/>
              </w:rPr>
            </w:pPr>
            <w:r w:rsidRPr="00CF3E3D">
              <w:rPr>
                <w:sz w:val="18"/>
                <w:szCs w:val="18"/>
              </w:rPr>
              <w:t>45.6</w:t>
            </w:r>
          </w:p>
        </w:tc>
      </w:tr>
      <w:tr w:rsidR="00A30E61" w:rsidRPr="00CF3E3D" w14:paraId="5FF4A02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4BE5135" w14:textId="77777777" w:rsidR="00A30E61" w:rsidRPr="00D002F3" w:rsidRDefault="00A30E61" w:rsidP="007007AC">
            <w:pPr>
              <w:spacing w:before="85" w:line="288" w:lineRule="auto"/>
              <w:rPr>
                <w:b/>
                <w:bCs/>
                <w:sz w:val="18"/>
                <w:szCs w:val="18"/>
              </w:rPr>
            </w:pPr>
            <w:r w:rsidRPr="00D002F3">
              <w:rPr>
                <w:b/>
                <w:bCs/>
                <w:sz w:val="18"/>
                <w:szCs w:val="18"/>
              </w:rPr>
              <w:t>Tabor College of Higher Education</w:t>
            </w:r>
          </w:p>
        </w:tc>
        <w:tc>
          <w:tcPr>
            <w:cnfStyle w:val="000001000000" w:firstRow="0" w:lastRow="0" w:firstColumn="0" w:lastColumn="0" w:oddVBand="0" w:evenVBand="1" w:oddHBand="0" w:evenHBand="0" w:firstRowFirstColumn="0" w:firstRowLastColumn="0" w:lastRowFirstColumn="0" w:lastRowLastColumn="0"/>
            <w:tcW w:w="709" w:type="pct"/>
          </w:tcPr>
          <w:p w14:paraId="343E1900" w14:textId="77777777" w:rsidR="00A30E61" w:rsidRPr="00CF3E3D" w:rsidRDefault="00A30E61" w:rsidP="007007AC">
            <w:pPr>
              <w:spacing w:before="85" w:line="288" w:lineRule="auto"/>
              <w:jc w:val="center"/>
              <w:rPr>
                <w:sz w:val="18"/>
                <w:szCs w:val="18"/>
              </w:rPr>
            </w:pPr>
            <w:r w:rsidRPr="00CF3E3D">
              <w:rPr>
                <w:sz w:val="18"/>
                <w:szCs w:val="18"/>
              </w:rPr>
              <w:t>37.0</w:t>
            </w:r>
          </w:p>
        </w:tc>
        <w:tc>
          <w:tcPr>
            <w:cnfStyle w:val="000010000000" w:firstRow="0" w:lastRow="0" w:firstColumn="0" w:lastColumn="0" w:oddVBand="1" w:evenVBand="0" w:oddHBand="0" w:evenHBand="0" w:firstRowFirstColumn="0" w:firstRowLastColumn="0" w:lastRowFirstColumn="0" w:lastRowLastColumn="0"/>
            <w:tcW w:w="755" w:type="pct"/>
          </w:tcPr>
          <w:p w14:paraId="4D51D80F" w14:textId="77777777" w:rsidR="00A30E61" w:rsidRPr="00CF3E3D" w:rsidRDefault="00A30E61" w:rsidP="007007AC">
            <w:pPr>
              <w:spacing w:before="85" w:line="288" w:lineRule="auto"/>
              <w:jc w:val="center"/>
              <w:rPr>
                <w:sz w:val="18"/>
                <w:szCs w:val="18"/>
              </w:rPr>
            </w:pPr>
            <w:r w:rsidRPr="00CF3E3D">
              <w:rPr>
                <w:sz w:val="18"/>
                <w:szCs w:val="18"/>
              </w:rPr>
              <w:t>48.0</w:t>
            </w:r>
          </w:p>
        </w:tc>
        <w:tc>
          <w:tcPr>
            <w:cnfStyle w:val="000001000000" w:firstRow="0" w:lastRow="0" w:firstColumn="0" w:lastColumn="0" w:oddVBand="0" w:evenVBand="1" w:oddHBand="0" w:evenHBand="0" w:firstRowFirstColumn="0" w:firstRowLastColumn="0" w:lastRowFirstColumn="0" w:lastRowLastColumn="0"/>
            <w:tcW w:w="755" w:type="pct"/>
          </w:tcPr>
          <w:p w14:paraId="57DAA717" w14:textId="77777777" w:rsidR="00A30E61" w:rsidRPr="00CF3E3D" w:rsidRDefault="00A30E61" w:rsidP="007007AC">
            <w:pPr>
              <w:spacing w:before="85" w:line="288" w:lineRule="auto"/>
              <w:jc w:val="center"/>
              <w:rPr>
                <w:sz w:val="18"/>
                <w:szCs w:val="18"/>
              </w:rPr>
            </w:pPr>
            <w:r w:rsidRPr="00CF3E3D">
              <w:rPr>
                <w:sz w:val="18"/>
                <w:szCs w:val="18"/>
              </w:rPr>
              <w:t>66.7</w:t>
            </w:r>
          </w:p>
        </w:tc>
        <w:tc>
          <w:tcPr>
            <w:cnfStyle w:val="000010000000" w:firstRow="0" w:lastRow="0" w:firstColumn="0" w:lastColumn="0" w:oddVBand="1" w:evenVBand="0" w:oddHBand="0" w:evenHBand="0" w:firstRowFirstColumn="0" w:firstRowLastColumn="0" w:lastRowFirstColumn="0" w:lastRowLastColumn="0"/>
            <w:tcW w:w="755" w:type="pct"/>
          </w:tcPr>
          <w:p w14:paraId="7A490FEB" w14:textId="77777777" w:rsidR="00A30E61" w:rsidRPr="00CF3E3D" w:rsidRDefault="00A30E61" w:rsidP="007007AC">
            <w:pPr>
              <w:spacing w:before="85" w:line="288" w:lineRule="auto"/>
              <w:jc w:val="center"/>
              <w:rPr>
                <w:sz w:val="18"/>
                <w:szCs w:val="18"/>
              </w:rPr>
            </w:pPr>
            <w:r w:rsidRPr="00CF3E3D">
              <w:rPr>
                <w:sz w:val="18"/>
                <w:szCs w:val="18"/>
              </w:rPr>
              <w:t>57.4</w:t>
            </w:r>
          </w:p>
        </w:tc>
      </w:tr>
      <w:tr w:rsidR="00A30E61" w:rsidRPr="00CF3E3D" w14:paraId="4369CB2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6B10D0D" w14:textId="77777777" w:rsidR="00A30E61" w:rsidRPr="00D002F3" w:rsidRDefault="00A30E61" w:rsidP="007007AC">
            <w:pPr>
              <w:spacing w:before="85" w:line="288" w:lineRule="auto"/>
              <w:rPr>
                <w:b/>
                <w:bCs/>
                <w:sz w:val="18"/>
                <w:szCs w:val="18"/>
              </w:rPr>
            </w:pPr>
            <w:r w:rsidRPr="00D002F3">
              <w:rPr>
                <w:b/>
                <w:bCs/>
                <w:sz w:val="18"/>
                <w:szCs w:val="18"/>
              </w:rPr>
              <w:lastRenderedPageBreak/>
              <w:t>TAFE NSW</w:t>
            </w:r>
          </w:p>
        </w:tc>
        <w:tc>
          <w:tcPr>
            <w:cnfStyle w:val="000001000000" w:firstRow="0" w:lastRow="0" w:firstColumn="0" w:lastColumn="0" w:oddVBand="0" w:evenVBand="1" w:oddHBand="0" w:evenHBand="0" w:firstRowFirstColumn="0" w:firstRowLastColumn="0" w:lastRowFirstColumn="0" w:lastRowLastColumn="0"/>
            <w:tcW w:w="709" w:type="pct"/>
          </w:tcPr>
          <w:p w14:paraId="114E827E" w14:textId="77777777" w:rsidR="00A30E61" w:rsidRPr="00CF3E3D" w:rsidRDefault="00A30E61" w:rsidP="007007AC">
            <w:pPr>
              <w:spacing w:before="85" w:line="288" w:lineRule="auto"/>
              <w:jc w:val="center"/>
              <w:rPr>
                <w:sz w:val="18"/>
                <w:szCs w:val="18"/>
              </w:rPr>
            </w:pPr>
            <w:r w:rsidRPr="00CF3E3D">
              <w:rPr>
                <w:sz w:val="18"/>
                <w:szCs w:val="18"/>
              </w:rPr>
              <w:t>39.8</w:t>
            </w:r>
          </w:p>
        </w:tc>
        <w:tc>
          <w:tcPr>
            <w:cnfStyle w:val="000010000000" w:firstRow="0" w:lastRow="0" w:firstColumn="0" w:lastColumn="0" w:oddVBand="1" w:evenVBand="0" w:oddHBand="0" w:evenHBand="0" w:firstRowFirstColumn="0" w:firstRowLastColumn="0" w:lastRowFirstColumn="0" w:lastRowLastColumn="0"/>
            <w:tcW w:w="755" w:type="pct"/>
          </w:tcPr>
          <w:p w14:paraId="0BF0DC4A"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23FC56C" w14:textId="77777777" w:rsidR="00A30E61" w:rsidRPr="00CF3E3D" w:rsidRDefault="00A30E61" w:rsidP="007007AC">
            <w:pPr>
              <w:spacing w:before="85" w:line="288" w:lineRule="auto"/>
              <w:jc w:val="center"/>
              <w:rPr>
                <w:sz w:val="18"/>
                <w:szCs w:val="18"/>
              </w:rPr>
            </w:pPr>
            <w:r w:rsidRPr="00CF3E3D">
              <w:rPr>
                <w:sz w:val="18"/>
                <w:szCs w:val="18"/>
              </w:rPr>
              <w:t>42.2</w:t>
            </w:r>
          </w:p>
        </w:tc>
        <w:tc>
          <w:tcPr>
            <w:cnfStyle w:val="000010000000" w:firstRow="0" w:lastRow="0" w:firstColumn="0" w:lastColumn="0" w:oddVBand="1" w:evenVBand="0" w:oddHBand="0" w:evenHBand="0" w:firstRowFirstColumn="0" w:firstRowLastColumn="0" w:lastRowFirstColumn="0" w:lastRowLastColumn="0"/>
            <w:tcW w:w="755" w:type="pct"/>
          </w:tcPr>
          <w:p w14:paraId="53857F19" w14:textId="77777777" w:rsidR="00A30E61" w:rsidRPr="00CF3E3D" w:rsidRDefault="00A30E61" w:rsidP="007007AC">
            <w:pPr>
              <w:spacing w:before="85" w:line="288" w:lineRule="auto"/>
              <w:jc w:val="center"/>
              <w:rPr>
                <w:sz w:val="18"/>
                <w:szCs w:val="18"/>
              </w:rPr>
            </w:pPr>
            <w:r w:rsidRPr="00CF3E3D">
              <w:rPr>
                <w:sz w:val="18"/>
                <w:szCs w:val="18"/>
              </w:rPr>
              <w:t>41.2</w:t>
            </w:r>
          </w:p>
        </w:tc>
      </w:tr>
      <w:tr w:rsidR="00A30E61" w:rsidRPr="00CF3E3D" w14:paraId="74E681A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CA2A427" w14:textId="77777777" w:rsidR="00A30E61" w:rsidRPr="00D002F3" w:rsidRDefault="00A30E61" w:rsidP="007007AC">
            <w:pPr>
              <w:spacing w:before="85" w:line="288" w:lineRule="auto"/>
              <w:rPr>
                <w:b/>
                <w:bCs/>
                <w:sz w:val="18"/>
                <w:szCs w:val="18"/>
              </w:rPr>
            </w:pPr>
            <w:r w:rsidRPr="00D002F3">
              <w:rPr>
                <w:b/>
                <w:bCs/>
                <w:sz w:val="18"/>
                <w:szCs w:val="18"/>
              </w:rPr>
              <w:t>TAFE Queensland</w:t>
            </w:r>
          </w:p>
        </w:tc>
        <w:tc>
          <w:tcPr>
            <w:cnfStyle w:val="000001000000" w:firstRow="0" w:lastRow="0" w:firstColumn="0" w:lastColumn="0" w:oddVBand="0" w:evenVBand="1" w:oddHBand="0" w:evenHBand="0" w:firstRowFirstColumn="0" w:firstRowLastColumn="0" w:lastRowFirstColumn="0" w:lastRowLastColumn="0"/>
            <w:tcW w:w="709" w:type="pct"/>
          </w:tcPr>
          <w:p w14:paraId="16804CFA" w14:textId="77777777" w:rsidR="00A30E61" w:rsidRPr="00CF3E3D" w:rsidRDefault="00A30E61" w:rsidP="007007AC">
            <w:pPr>
              <w:spacing w:before="85" w:line="288" w:lineRule="auto"/>
              <w:jc w:val="center"/>
              <w:rPr>
                <w:sz w:val="18"/>
                <w:szCs w:val="18"/>
              </w:rPr>
            </w:pPr>
            <w:r w:rsidRPr="00CF3E3D">
              <w:rPr>
                <w:sz w:val="18"/>
                <w:szCs w:val="18"/>
              </w:rPr>
              <w:t>44.8</w:t>
            </w:r>
          </w:p>
        </w:tc>
        <w:tc>
          <w:tcPr>
            <w:cnfStyle w:val="000010000000" w:firstRow="0" w:lastRow="0" w:firstColumn="0" w:lastColumn="0" w:oddVBand="1" w:evenVBand="0" w:oddHBand="0" w:evenHBand="0" w:firstRowFirstColumn="0" w:firstRowLastColumn="0" w:lastRowFirstColumn="0" w:lastRowLastColumn="0"/>
            <w:tcW w:w="755" w:type="pct"/>
          </w:tcPr>
          <w:p w14:paraId="5315E05F" w14:textId="77777777" w:rsidR="00A30E61" w:rsidRPr="00CF3E3D" w:rsidRDefault="00A30E61" w:rsidP="007007AC">
            <w:pPr>
              <w:spacing w:before="85" w:line="288" w:lineRule="auto"/>
              <w:jc w:val="center"/>
              <w:rPr>
                <w:sz w:val="18"/>
                <w:szCs w:val="18"/>
              </w:rPr>
            </w:pPr>
            <w:r w:rsidRPr="00CF3E3D">
              <w:rPr>
                <w:sz w:val="18"/>
                <w:szCs w:val="18"/>
              </w:rPr>
              <w:t>100.0</w:t>
            </w:r>
          </w:p>
        </w:tc>
        <w:tc>
          <w:tcPr>
            <w:cnfStyle w:val="000001000000" w:firstRow="0" w:lastRow="0" w:firstColumn="0" w:lastColumn="0" w:oddVBand="0" w:evenVBand="1" w:oddHBand="0" w:evenHBand="0" w:firstRowFirstColumn="0" w:firstRowLastColumn="0" w:lastRowFirstColumn="0" w:lastRowLastColumn="0"/>
            <w:tcW w:w="755" w:type="pct"/>
          </w:tcPr>
          <w:p w14:paraId="094D7648" w14:textId="77777777" w:rsidR="00A30E61" w:rsidRPr="00CF3E3D" w:rsidRDefault="00A30E61" w:rsidP="007007AC">
            <w:pPr>
              <w:spacing w:before="85" w:line="288" w:lineRule="auto"/>
              <w:jc w:val="center"/>
              <w:rPr>
                <w:sz w:val="18"/>
                <w:szCs w:val="18"/>
              </w:rPr>
            </w:pPr>
            <w:r w:rsidRPr="00CF3E3D">
              <w:rPr>
                <w:sz w:val="18"/>
                <w:szCs w:val="18"/>
              </w:rPr>
              <w:t>41.2</w:t>
            </w:r>
          </w:p>
        </w:tc>
        <w:tc>
          <w:tcPr>
            <w:cnfStyle w:val="000010000000" w:firstRow="0" w:lastRow="0" w:firstColumn="0" w:lastColumn="0" w:oddVBand="1" w:evenVBand="0" w:oddHBand="0" w:evenHBand="0" w:firstRowFirstColumn="0" w:firstRowLastColumn="0" w:lastRowFirstColumn="0" w:lastRowLastColumn="0"/>
            <w:tcW w:w="755" w:type="pct"/>
          </w:tcPr>
          <w:p w14:paraId="7BBF4C7E" w14:textId="77777777" w:rsidR="00A30E61" w:rsidRPr="00CF3E3D" w:rsidRDefault="00A30E61" w:rsidP="007007AC">
            <w:pPr>
              <w:spacing w:before="85" w:line="288" w:lineRule="auto"/>
              <w:jc w:val="center"/>
              <w:rPr>
                <w:sz w:val="18"/>
                <w:szCs w:val="18"/>
              </w:rPr>
            </w:pPr>
            <w:r w:rsidRPr="00CF3E3D">
              <w:rPr>
                <w:sz w:val="18"/>
                <w:szCs w:val="18"/>
              </w:rPr>
              <w:t>43.2</w:t>
            </w:r>
          </w:p>
        </w:tc>
      </w:tr>
      <w:tr w:rsidR="00A30E61" w:rsidRPr="00CF3E3D" w14:paraId="1D2C149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A088B28" w14:textId="77777777" w:rsidR="00A30E61" w:rsidRPr="00D002F3" w:rsidRDefault="00A30E61" w:rsidP="007007AC">
            <w:pPr>
              <w:spacing w:before="85" w:line="288" w:lineRule="auto"/>
              <w:rPr>
                <w:b/>
                <w:bCs/>
                <w:sz w:val="18"/>
                <w:szCs w:val="18"/>
              </w:rPr>
            </w:pPr>
            <w:r w:rsidRPr="00D002F3">
              <w:rPr>
                <w:b/>
                <w:bCs/>
                <w:sz w:val="18"/>
                <w:szCs w:val="18"/>
              </w:rPr>
              <w:t>TAFE South Australia</w:t>
            </w:r>
          </w:p>
        </w:tc>
        <w:tc>
          <w:tcPr>
            <w:cnfStyle w:val="000001000000" w:firstRow="0" w:lastRow="0" w:firstColumn="0" w:lastColumn="0" w:oddVBand="0" w:evenVBand="1" w:oddHBand="0" w:evenHBand="0" w:firstRowFirstColumn="0" w:firstRowLastColumn="0" w:lastRowFirstColumn="0" w:lastRowLastColumn="0"/>
            <w:tcW w:w="709" w:type="pct"/>
          </w:tcPr>
          <w:p w14:paraId="44CF4CE1" w14:textId="77777777" w:rsidR="00A30E61" w:rsidRPr="00CF3E3D" w:rsidRDefault="00A30E61" w:rsidP="007007AC">
            <w:pPr>
              <w:spacing w:before="85" w:line="288" w:lineRule="auto"/>
              <w:jc w:val="center"/>
              <w:rPr>
                <w:sz w:val="18"/>
                <w:szCs w:val="18"/>
              </w:rPr>
            </w:pPr>
            <w:r w:rsidRPr="00CF3E3D">
              <w:rPr>
                <w:sz w:val="18"/>
                <w:szCs w:val="18"/>
              </w:rPr>
              <w:t>35.9</w:t>
            </w:r>
          </w:p>
        </w:tc>
        <w:tc>
          <w:tcPr>
            <w:cnfStyle w:val="000010000000" w:firstRow="0" w:lastRow="0" w:firstColumn="0" w:lastColumn="0" w:oddVBand="1" w:evenVBand="0" w:oddHBand="0" w:evenHBand="0" w:firstRowFirstColumn="0" w:firstRowLastColumn="0" w:lastRowFirstColumn="0" w:lastRowLastColumn="0"/>
            <w:tcW w:w="755" w:type="pct"/>
          </w:tcPr>
          <w:p w14:paraId="5FC53B4A" w14:textId="77777777" w:rsidR="00A30E61" w:rsidRPr="00CF3E3D" w:rsidRDefault="00A30E61" w:rsidP="007007AC">
            <w:pPr>
              <w:spacing w:before="85" w:line="288" w:lineRule="auto"/>
              <w:jc w:val="center"/>
              <w:rPr>
                <w:sz w:val="18"/>
                <w:szCs w:val="18"/>
              </w:rPr>
            </w:pPr>
            <w:r w:rsidRPr="00CF3E3D">
              <w:rPr>
                <w:sz w:val="18"/>
                <w:szCs w:val="18"/>
              </w:rPr>
              <w:t>53.3</w:t>
            </w:r>
          </w:p>
        </w:tc>
        <w:tc>
          <w:tcPr>
            <w:cnfStyle w:val="000001000000" w:firstRow="0" w:lastRow="0" w:firstColumn="0" w:lastColumn="0" w:oddVBand="0" w:evenVBand="1" w:oddHBand="0" w:evenHBand="0" w:firstRowFirstColumn="0" w:firstRowLastColumn="0" w:lastRowFirstColumn="0" w:lastRowLastColumn="0"/>
            <w:tcW w:w="755" w:type="pct"/>
          </w:tcPr>
          <w:p w14:paraId="2C8060C6" w14:textId="77777777" w:rsidR="00A30E61" w:rsidRPr="00CF3E3D" w:rsidRDefault="00A30E61" w:rsidP="007007AC">
            <w:pPr>
              <w:spacing w:before="85" w:line="288" w:lineRule="auto"/>
              <w:jc w:val="center"/>
              <w:rPr>
                <w:sz w:val="18"/>
                <w:szCs w:val="18"/>
              </w:rPr>
            </w:pPr>
            <w:r w:rsidRPr="00CF3E3D">
              <w:rPr>
                <w:sz w:val="18"/>
                <w:szCs w:val="18"/>
              </w:rPr>
              <w:t>42.4</w:t>
            </w:r>
          </w:p>
        </w:tc>
        <w:tc>
          <w:tcPr>
            <w:cnfStyle w:val="000010000000" w:firstRow="0" w:lastRow="0" w:firstColumn="0" w:lastColumn="0" w:oddVBand="1" w:evenVBand="0" w:oddHBand="0" w:evenHBand="0" w:firstRowFirstColumn="0" w:firstRowLastColumn="0" w:lastRowFirstColumn="0" w:lastRowLastColumn="0"/>
            <w:tcW w:w="755" w:type="pct"/>
          </w:tcPr>
          <w:p w14:paraId="540D4C11" w14:textId="77777777" w:rsidR="00A30E61" w:rsidRPr="00CF3E3D" w:rsidRDefault="00A30E61" w:rsidP="007007AC">
            <w:pPr>
              <w:spacing w:before="85" w:line="288" w:lineRule="auto"/>
              <w:jc w:val="center"/>
              <w:rPr>
                <w:sz w:val="18"/>
                <w:szCs w:val="18"/>
              </w:rPr>
            </w:pPr>
            <w:r w:rsidRPr="00CF3E3D">
              <w:rPr>
                <w:sz w:val="18"/>
                <w:szCs w:val="18"/>
              </w:rPr>
              <w:t>41.4</w:t>
            </w:r>
          </w:p>
        </w:tc>
      </w:tr>
      <w:tr w:rsidR="00A30E61" w:rsidRPr="00CF3E3D" w14:paraId="3EF0A0F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F1F050D" w14:textId="77777777" w:rsidR="00A30E61" w:rsidRPr="00D002F3" w:rsidRDefault="00A30E61" w:rsidP="007007AC">
            <w:pPr>
              <w:spacing w:before="85" w:line="288" w:lineRule="auto"/>
              <w:rPr>
                <w:b/>
                <w:bCs/>
                <w:sz w:val="18"/>
                <w:szCs w:val="18"/>
              </w:rPr>
            </w:pPr>
            <w:r w:rsidRPr="00D002F3">
              <w:rPr>
                <w:b/>
                <w:bCs/>
                <w:sz w:val="18"/>
                <w:szCs w:val="18"/>
              </w:rPr>
              <w:t>The Australian College of Physical Education</w:t>
            </w:r>
          </w:p>
        </w:tc>
        <w:tc>
          <w:tcPr>
            <w:cnfStyle w:val="000001000000" w:firstRow="0" w:lastRow="0" w:firstColumn="0" w:lastColumn="0" w:oddVBand="0" w:evenVBand="1" w:oddHBand="0" w:evenHBand="0" w:firstRowFirstColumn="0" w:firstRowLastColumn="0" w:lastRowFirstColumn="0" w:lastRowLastColumn="0"/>
            <w:tcW w:w="709" w:type="pct"/>
          </w:tcPr>
          <w:p w14:paraId="2411AAE7" w14:textId="77777777" w:rsidR="00A30E61" w:rsidRPr="00CF3E3D" w:rsidRDefault="00A30E61" w:rsidP="007007AC">
            <w:pPr>
              <w:spacing w:before="85" w:line="288" w:lineRule="auto"/>
              <w:jc w:val="center"/>
              <w:rPr>
                <w:sz w:val="18"/>
                <w:szCs w:val="18"/>
              </w:rPr>
            </w:pPr>
            <w:r w:rsidRPr="00CF3E3D">
              <w:rPr>
                <w:sz w:val="18"/>
                <w:szCs w:val="18"/>
              </w:rPr>
              <w:t>48.3</w:t>
            </w:r>
          </w:p>
        </w:tc>
        <w:tc>
          <w:tcPr>
            <w:cnfStyle w:val="000010000000" w:firstRow="0" w:lastRow="0" w:firstColumn="0" w:lastColumn="0" w:oddVBand="1" w:evenVBand="0" w:oddHBand="0" w:evenHBand="0" w:firstRowFirstColumn="0" w:firstRowLastColumn="0" w:lastRowFirstColumn="0" w:lastRowLastColumn="0"/>
            <w:tcW w:w="755" w:type="pct"/>
          </w:tcPr>
          <w:p w14:paraId="54D617F7"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462337A" w14:textId="77777777" w:rsidR="00A30E61" w:rsidRPr="00CF3E3D" w:rsidRDefault="00A30E61" w:rsidP="007007AC">
            <w:pPr>
              <w:spacing w:before="85" w:line="288" w:lineRule="auto"/>
              <w:jc w:val="center"/>
              <w:rPr>
                <w:sz w:val="18"/>
                <w:szCs w:val="18"/>
              </w:rPr>
            </w:pPr>
            <w:r w:rsidRPr="00CF3E3D">
              <w:rPr>
                <w:sz w:val="18"/>
                <w:szCs w:val="18"/>
              </w:rPr>
              <w:t>34.9</w:t>
            </w:r>
          </w:p>
        </w:tc>
        <w:tc>
          <w:tcPr>
            <w:cnfStyle w:val="000010000000" w:firstRow="0" w:lastRow="0" w:firstColumn="0" w:lastColumn="0" w:oddVBand="1" w:evenVBand="0" w:oddHBand="0" w:evenHBand="0" w:firstRowFirstColumn="0" w:firstRowLastColumn="0" w:lastRowFirstColumn="0" w:lastRowLastColumn="0"/>
            <w:tcW w:w="755" w:type="pct"/>
          </w:tcPr>
          <w:p w14:paraId="365D9382" w14:textId="77777777" w:rsidR="00A30E61" w:rsidRPr="00CF3E3D" w:rsidRDefault="00A30E61" w:rsidP="007007AC">
            <w:pPr>
              <w:spacing w:before="85" w:line="288" w:lineRule="auto"/>
              <w:jc w:val="center"/>
              <w:rPr>
                <w:sz w:val="18"/>
                <w:szCs w:val="18"/>
              </w:rPr>
            </w:pPr>
            <w:r w:rsidRPr="00CF3E3D">
              <w:rPr>
                <w:sz w:val="18"/>
                <w:szCs w:val="18"/>
              </w:rPr>
              <w:t>40.3</w:t>
            </w:r>
          </w:p>
        </w:tc>
      </w:tr>
      <w:tr w:rsidR="00A30E61" w:rsidRPr="00CF3E3D" w14:paraId="1FA07DFF"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05B18AA" w14:textId="77777777" w:rsidR="00A30E61" w:rsidRPr="00D002F3" w:rsidRDefault="00A30E61" w:rsidP="007007AC">
            <w:pPr>
              <w:spacing w:before="85" w:line="288" w:lineRule="auto"/>
              <w:rPr>
                <w:b/>
                <w:bCs/>
                <w:sz w:val="18"/>
                <w:szCs w:val="18"/>
              </w:rPr>
            </w:pPr>
            <w:r w:rsidRPr="00D002F3">
              <w:rPr>
                <w:b/>
                <w:bCs/>
                <w:sz w:val="18"/>
                <w:szCs w:val="18"/>
              </w:rPr>
              <w:t>The Australian Institute of Music</w:t>
            </w:r>
          </w:p>
        </w:tc>
        <w:tc>
          <w:tcPr>
            <w:cnfStyle w:val="000001000000" w:firstRow="0" w:lastRow="0" w:firstColumn="0" w:lastColumn="0" w:oddVBand="0" w:evenVBand="1" w:oddHBand="0" w:evenHBand="0" w:firstRowFirstColumn="0" w:firstRowLastColumn="0" w:lastRowFirstColumn="0" w:lastRowLastColumn="0"/>
            <w:tcW w:w="709" w:type="pct"/>
          </w:tcPr>
          <w:p w14:paraId="31CE06CD" w14:textId="77777777" w:rsidR="00A30E61" w:rsidRPr="00CF3E3D" w:rsidRDefault="00A30E61" w:rsidP="007007AC">
            <w:pPr>
              <w:spacing w:before="85" w:line="288" w:lineRule="auto"/>
              <w:jc w:val="center"/>
              <w:rPr>
                <w:sz w:val="18"/>
                <w:szCs w:val="18"/>
              </w:rPr>
            </w:pPr>
            <w:r w:rsidRPr="00CF3E3D">
              <w:rPr>
                <w:sz w:val="18"/>
                <w:szCs w:val="18"/>
              </w:rPr>
              <w:t>42.9</w:t>
            </w:r>
          </w:p>
        </w:tc>
        <w:tc>
          <w:tcPr>
            <w:cnfStyle w:val="000010000000" w:firstRow="0" w:lastRow="0" w:firstColumn="0" w:lastColumn="0" w:oddVBand="1" w:evenVBand="0" w:oddHBand="0" w:evenHBand="0" w:firstRowFirstColumn="0" w:firstRowLastColumn="0" w:lastRowFirstColumn="0" w:lastRowLastColumn="0"/>
            <w:tcW w:w="755" w:type="pct"/>
          </w:tcPr>
          <w:p w14:paraId="47E7C688" w14:textId="77777777" w:rsidR="00A30E61" w:rsidRPr="00CF3E3D" w:rsidRDefault="00A30E61" w:rsidP="007007AC">
            <w:pPr>
              <w:spacing w:before="85" w:line="288" w:lineRule="auto"/>
              <w:jc w:val="center"/>
              <w:rPr>
                <w:sz w:val="18"/>
                <w:szCs w:val="18"/>
              </w:rPr>
            </w:pPr>
            <w:r w:rsidRPr="00CF3E3D">
              <w:rPr>
                <w:sz w:val="18"/>
                <w:szCs w:val="18"/>
              </w:rPr>
              <w:t>47.7</w:t>
            </w:r>
          </w:p>
        </w:tc>
        <w:tc>
          <w:tcPr>
            <w:cnfStyle w:val="000001000000" w:firstRow="0" w:lastRow="0" w:firstColumn="0" w:lastColumn="0" w:oddVBand="0" w:evenVBand="1" w:oddHBand="0" w:evenHBand="0" w:firstRowFirstColumn="0" w:firstRowLastColumn="0" w:lastRowFirstColumn="0" w:lastRowLastColumn="0"/>
            <w:tcW w:w="755" w:type="pct"/>
          </w:tcPr>
          <w:p w14:paraId="21B82401" w14:textId="77777777" w:rsidR="00A30E61" w:rsidRPr="00CF3E3D" w:rsidRDefault="00A30E61" w:rsidP="007007AC">
            <w:pPr>
              <w:spacing w:before="85" w:line="288" w:lineRule="auto"/>
              <w:jc w:val="center"/>
              <w:rPr>
                <w:sz w:val="18"/>
                <w:szCs w:val="18"/>
              </w:rPr>
            </w:pPr>
            <w:r w:rsidRPr="00CF3E3D">
              <w:rPr>
                <w:sz w:val="18"/>
                <w:szCs w:val="18"/>
              </w:rPr>
              <w:t>43.5</w:t>
            </w:r>
          </w:p>
        </w:tc>
        <w:tc>
          <w:tcPr>
            <w:cnfStyle w:val="000010000000" w:firstRow="0" w:lastRow="0" w:firstColumn="0" w:lastColumn="0" w:oddVBand="1" w:evenVBand="0" w:oddHBand="0" w:evenHBand="0" w:firstRowFirstColumn="0" w:firstRowLastColumn="0" w:lastRowFirstColumn="0" w:lastRowLastColumn="0"/>
            <w:tcW w:w="755" w:type="pct"/>
          </w:tcPr>
          <w:p w14:paraId="3049F09D" w14:textId="77777777" w:rsidR="00A30E61" w:rsidRPr="00CF3E3D" w:rsidRDefault="00A30E61" w:rsidP="007007AC">
            <w:pPr>
              <w:spacing w:before="85" w:line="288" w:lineRule="auto"/>
              <w:jc w:val="center"/>
              <w:rPr>
                <w:sz w:val="18"/>
                <w:szCs w:val="18"/>
              </w:rPr>
            </w:pPr>
            <w:r w:rsidRPr="00CF3E3D">
              <w:rPr>
                <w:sz w:val="18"/>
                <w:szCs w:val="18"/>
              </w:rPr>
              <w:t>44.2</w:t>
            </w:r>
          </w:p>
        </w:tc>
      </w:tr>
      <w:tr w:rsidR="00A30E61" w:rsidRPr="00CF3E3D" w14:paraId="57765766"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B0E53A2" w14:textId="77777777" w:rsidR="00A30E61" w:rsidRPr="00D002F3" w:rsidRDefault="00A30E61" w:rsidP="007007AC">
            <w:pPr>
              <w:spacing w:before="85" w:line="288" w:lineRule="auto"/>
              <w:rPr>
                <w:b/>
                <w:bCs/>
                <w:sz w:val="18"/>
                <w:szCs w:val="18"/>
              </w:rPr>
            </w:pPr>
            <w:r w:rsidRPr="00D002F3">
              <w:rPr>
                <w:b/>
                <w:bCs/>
                <w:sz w:val="18"/>
                <w:szCs w:val="18"/>
              </w:rPr>
              <w:t xml:space="preserve">The </w:t>
            </w:r>
            <w:proofErr w:type="spellStart"/>
            <w:r w:rsidRPr="00D002F3">
              <w:rPr>
                <w:b/>
                <w:bCs/>
                <w:sz w:val="18"/>
                <w:szCs w:val="18"/>
              </w:rPr>
              <w:t>Cairnmillar</w:t>
            </w:r>
            <w:proofErr w:type="spellEnd"/>
            <w:r w:rsidRPr="00D002F3">
              <w:rPr>
                <w:b/>
                <w:bCs/>
                <w:sz w:val="18"/>
                <w:szCs w:val="18"/>
              </w:rPr>
              <w:t xml:space="preserve"> Institute</w:t>
            </w:r>
          </w:p>
        </w:tc>
        <w:tc>
          <w:tcPr>
            <w:cnfStyle w:val="000001000000" w:firstRow="0" w:lastRow="0" w:firstColumn="0" w:lastColumn="0" w:oddVBand="0" w:evenVBand="1" w:oddHBand="0" w:evenHBand="0" w:firstRowFirstColumn="0" w:firstRowLastColumn="0" w:lastRowFirstColumn="0" w:lastRowLastColumn="0"/>
            <w:tcW w:w="709" w:type="pct"/>
          </w:tcPr>
          <w:p w14:paraId="1FAB704E"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0F001CF5"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12639476" w14:textId="77777777" w:rsidR="00A30E61" w:rsidRPr="00CF3E3D" w:rsidRDefault="00A30E61" w:rsidP="007007AC">
            <w:pPr>
              <w:spacing w:before="85" w:line="288" w:lineRule="auto"/>
              <w:jc w:val="center"/>
              <w:rPr>
                <w:sz w:val="18"/>
                <w:szCs w:val="18"/>
              </w:rPr>
            </w:pPr>
            <w:r w:rsidRPr="00CF3E3D">
              <w:rPr>
                <w:sz w:val="18"/>
                <w:szCs w:val="18"/>
              </w:rPr>
              <w:t>50.7</w:t>
            </w:r>
          </w:p>
        </w:tc>
        <w:tc>
          <w:tcPr>
            <w:cnfStyle w:val="000010000000" w:firstRow="0" w:lastRow="0" w:firstColumn="0" w:lastColumn="0" w:oddVBand="1" w:evenVBand="0" w:oddHBand="0" w:evenHBand="0" w:firstRowFirstColumn="0" w:firstRowLastColumn="0" w:lastRowFirstColumn="0" w:lastRowLastColumn="0"/>
            <w:tcW w:w="755" w:type="pct"/>
          </w:tcPr>
          <w:p w14:paraId="114321DA" w14:textId="77777777" w:rsidR="00A30E61" w:rsidRPr="00CF3E3D" w:rsidRDefault="00A30E61" w:rsidP="007007AC">
            <w:pPr>
              <w:spacing w:before="85" w:line="288" w:lineRule="auto"/>
              <w:jc w:val="center"/>
              <w:rPr>
                <w:sz w:val="18"/>
                <w:szCs w:val="18"/>
              </w:rPr>
            </w:pPr>
            <w:r w:rsidRPr="00CF3E3D">
              <w:rPr>
                <w:sz w:val="18"/>
                <w:szCs w:val="18"/>
              </w:rPr>
              <w:t>50.7</w:t>
            </w:r>
          </w:p>
        </w:tc>
      </w:tr>
      <w:tr w:rsidR="00A30E61" w:rsidRPr="00CF3E3D" w14:paraId="299AF33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203CE86" w14:textId="77777777" w:rsidR="00A30E61" w:rsidRPr="00D002F3" w:rsidRDefault="00A30E61" w:rsidP="007007AC">
            <w:pPr>
              <w:spacing w:before="85" w:line="288" w:lineRule="auto"/>
              <w:rPr>
                <w:b/>
                <w:bCs/>
                <w:sz w:val="18"/>
                <w:szCs w:val="18"/>
              </w:rPr>
            </w:pPr>
            <w:r w:rsidRPr="00D002F3">
              <w:rPr>
                <w:b/>
                <w:bCs/>
                <w:sz w:val="18"/>
                <w:szCs w:val="18"/>
              </w:rPr>
              <w:t>The College of Law Limited</w:t>
            </w:r>
          </w:p>
        </w:tc>
        <w:tc>
          <w:tcPr>
            <w:cnfStyle w:val="000001000000" w:firstRow="0" w:lastRow="0" w:firstColumn="0" w:lastColumn="0" w:oddVBand="0" w:evenVBand="1" w:oddHBand="0" w:evenHBand="0" w:firstRowFirstColumn="0" w:firstRowLastColumn="0" w:lastRowFirstColumn="0" w:lastRowLastColumn="0"/>
            <w:tcW w:w="709" w:type="pct"/>
          </w:tcPr>
          <w:p w14:paraId="1716EF28" w14:textId="77777777" w:rsidR="00A30E61" w:rsidRPr="00CF3E3D" w:rsidRDefault="00A30E61" w:rsidP="007007AC">
            <w:pPr>
              <w:spacing w:before="85" w:line="288" w:lineRule="auto"/>
              <w:jc w:val="center"/>
              <w:rPr>
                <w:sz w:val="18"/>
                <w:szCs w:val="18"/>
              </w:rPr>
            </w:pPr>
            <w:r w:rsidRPr="00CF3E3D">
              <w:rPr>
                <w:sz w:val="18"/>
                <w:szCs w:val="18"/>
              </w:rPr>
              <w:t>32.6</w:t>
            </w:r>
          </w:p>
        </w:tc>
        <w:tc>
          <w:tcPr>
            <w:cnfStyle w:val="000010000000" w:firstRow="0" w:lastRow="0" w:firstColumn="0" w:lastColumn="0" w:oddVBand="1" w:evenVBand="0" w:oddHBand="0" w:evenHBand="0" w:firstRowFirstColumn="0" w:firstRowLastColumn="0" w:lastRowFirstColumn="0" w:lastRowLastColumn="0"/>
            <w:tcW w:w="755" w:type="pct"/>
          </w:tcPr>
          <w:p w14:paraId="65E18A66" w14:textId="77777777" w:rsidR="00A30E61" w:rsidRPr="00CF3E3D" w:rsidRDefault="00A30E61" w:rsidP="007007AC">
            <w:pPr>
              <w:spacing w:before="85" w:line="288" w:lineRule="auto"/>
              <w:jc w:val="center"/>
              <w:rPr>
                <w:sz w:val="18"/>
                <w:szCs w:val="18"/>
              </w:rPr>
            </w:pPr>
            <w:r w:rsidRPr="00CF3E3D">
              <w:rPr>
                <w:sz w:val="18"/>
                <w:szCs w:val="18"/>
              </w:rPr>
              <w:t>30.8</w:t>
            </w:r>
          </w:p>
        </w:tc>
        <w:tc>
          <w:tcPr>
            <w:cnfStyle w:val="000001000000" w:firstRow="0" w:lastRow="0" w:firstColumn="0" w:lastColumn="0" w:oddVBand="0" w:evenVBand="1" w:oddHBand="0" w:evenHBand="0" w:firstRowFirstColumn="0" w:firstRowLastColumn="0" w:lastRowFirstColumn="0" w:lastRowLastColumn="0"/>
            <w:tcW w:w="755" w:type="pct"/>
          </w:tcPr>
          <w:p w14:paraId="18876617" w14:textId="77777777" w:rsidR="00A30E61" w:rsidRPr="00CF3E3D" w:rsidRDefault="00A30E61" w:rsidP="007007AC">
            <w:pPr>
              <w:spacing w:before="85" w:line="288" w:lineRule="auto"/>
              <w:jc w:val="center"/>
              <w:rPr>
                <w:sz w:val="18"/>
                <w:szCs w:val="18"/>
              </w:rPr>
            </w:pPr>
            <w:r w:rsidRPr="00CF3E3D">
              <w:rPr>
                <w:sz w:val="18"/>
                <w:szCs w:val="18"/>
              </w:rPr>
              <w:t>30.3</w:t>
            </w:r>
          </w:p>
        </w:tc>
        <w:tc>
          <w:tcPr>
            <w:cnfStyle w:val="000010000000" w:firstRow="0" w:lastRow="0" w:firstColumn="0" w:lastColumn="0" w:oddVBand="1" w:evenVBand="0" w:oddHBand="0" w:evenHBand="0" w:firstRowFirstColumn="0" w:firstRowLastColumn="0" w:lastRowFirstColumn="0" w:lastRowLastColumn="0"/>
            <w:tcW w:w="755" w:type="pct"/>
          </w:tcPr>
          <w:p w14:paraId="1D643D93" w14:textId="77777777" w:rsidR="00A30E61" w:rsidRPr="00CF3E3D" w:rsidRDefault="00A30E61" w:rsidP="007007AC">
            <w:pPr>
              <w:spacing w:before="85" w:line="288" w:lineRule="auto"/>
              <w:jc w:val="center"/>
              <w:rPr>
                <w:sz w:val="18"/>
                <w:szCs w:val="18"/>
              </w:rPr>
            </w:pPr>
            <w:r w:rsidRPr="00CF3E3D">
              <w:rPr>
                <w:sz w:val="18"/>
                <w:szCs w:val="18"/>
              </w:rPr>
              <w:t>31.4</w:t>
            </w:r>
          </w:p>
        </w:tc>
      </w:tr>
      <w:tr w:rsidR="00A30E61" w:rsidRPr="00CF3E3D" w14:paraId="549CF8E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387245E6" w14:textId="77777777" w:rsidR="00A30E61" w:rsidRPr="00D002F3" w:rsidRDefault="00A30E61" w:rsidP="007007AC">
            <w:pPr>
              <w:spacing w:before="85" w:line="288" w:lineRule="auto"/>
              <w:rPr>
                <w:b/>
                <w:bCs/>
                <w:sz w:val="18"/>
                <w:szCs w:val="18"/>
              </w:rPr>
            </w:pPr>
            <w:r w:rsidRPr="00D002F3">
              <w:rPr>
                <w:b/>
                <w:bCs/>
                <w:sz w:val="18"/>
                <w:szCs w:val="18"/>
              </w:rPr>
              <w:t>The Institute of Internal Auditors - Australia</w:t>
            </w:r>
          </w:p>
        </w:tc>
        <w:tc>
          <w:tcPr>
            <w:cnfStyle w:val="000001000000" w:firstRow="0" w:lastRow="0" w:firstColumn="0" w:lastColumn="0" w:oddVBand="0" w:evenVBand="1" w:oddHBand="0" w:evenHBand="0" w:firstRowFirstColumn="0" w:firstRowLastColumn="0" w:lastRowFirstColumn="0" w:lastRowLastColumn="0"/>
            <w:tcW w:w="709" w:type="pct"/>
          </w:tcPr>
          <w:p w14:paraId="12F0611F"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2ACAB090"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CE45709" w14:textId="77777777" w:rsidR="00A30E61" w:rsidRPr="00CF3E3D" w:rsidRDefault="00A30E61" w:rsidP="007007AC">
            <w:pPr>
              <w:spacing w:before="85" w:line="288" w:lineRule="auto"/>
              <w:jc w:val="center"/>
              <w:rPr>
                <w:sz w:val="18"/>
                <w:szCs w:val="18"/>
              </w:rPr>
            </w:pPr>
            <w:r w:rsidRPr="00CF3E3D">
              <w:rPr>
                <w:sz w:val="18"/>
                <w:szCs w:val="18"/>
              </w:rPr>
              <w:t>81.3</w:t>
            </w:r>
          </w:p>
        </w:tc>
        <w:tc>
          <w:tcPr>
            <w:cnfStyle w:val="000010000000" w:firstRow="0" w:lastRow="0" w:firstColumn="0" w:lastColumn="0" w:oddVBand="1" w:evenVBand="0" w:oddHBand="0" w:evenHBand="0" w:firstRowFirstColumn="0" w:firstRowLastColumn="0" w:lastRowFirstColumn="0" w:lastRowLastColumn="0"/>
            <w:tcW w:w="755" w:type="pct"/>
          </w:tcPr>
          <w:p w14:paraId="1EEBBC21" w14:textId="77777777" w:rsidR="00A30E61" w:rsidRPr="00CF3E3D" w:rsidRDefault="00A30E61" w:rsidP="007007AC">
            <w:pPr>
              <w:spacing w:before="85" w:line="288" w:lineRule="auto"/>
              <w:jc w:val="center"/>
              <w:rPr>
                <w:sz w:val="18"/>
                <w:szCs w:val="18"/>
              </w:rPr>
            </w:pPr>
            <w:r w:rsidRPr="00CF3E3D">
              <w:rPr>
                <w:sz w:val="18"/>
                <w:szCs w:val="18"/>
              </w:rPr>
              <w:t>81.3</w:t>
            </w:r>
          </w:p>
        </w:tc>
      </w:tr>
      <w:tr w:rsidR="00A30E61" w:rsidRPr="00CF3E3D" w14:paraId="53365BF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504C71A" w14:textId="77777777" w:rsidR="00A30E61" w:rsidRPr="00D002F3" w:rsidRDefault="00A30E61" w:rsidP="007007AC">
            <w:pPr>
              <w:spacing w:before="85" w:line="288" w:lineRule="auto"/>
              <w:rPr>
                <w:b/>
                <w:bCs/>
                <w:sz w:val="18"/>
                <w:szCs w:val="18"/>
              </w:rPr>
            </w:pPr>
            <w:r w:rsidRPr="00D002F3">
              <w:rPr>
                <w:b/>
                <w:bCs/>
                <w:sz w:val="18"/>
                <w:szCs w:val="18"/>
              </w:rPr>
              <w:t>The Institute of International Studies (TIIS)</w:t>
            </w:r>
          </w:p>
        </w:tc>
        <w:tc>
          <w:tcPr>
            <w:cnfStyle w:val="000001000000" w:firstRow="0" w:lastRow="0" w:firstColumn="0" w:lastColumn="0" w:oddVBand="0" w:evenVBand="1" w:oddHBand="0" w:evenHBand="0" w:firstRowFirstColumn="0" w:firstRowLastColumn="0" w:lastRowFirstColumn="0" w:lastRowLastColumn="0"/>
            <w:tcW w:w="709" w:type="pct"/>
          </w:tcPr>
          <w:p w14:paraId="4356F17C" w14:textId="77777777" w:rsidR="00A30E61" w:rsidRPr="00CF3E3D" w:rsidRDefault="00A30E61" w:rsidP="007007AC">
            <w:pPr>
              <w:spacing w:before="85" w:line="288" w:lineRule="auto"/>
              <w:jc w:val="center"/>
              <w:rPr>
                <w:sz w:val="18"/>
                <w:szCs w:val="18"/>
              </w:rPr>
            </w:pPr>
            <w:r w:rsidRPr="00CF3E3D">
              <w:rPr>
                <w:sz w:val="18"/>
                <w:szCs w:val="18"/>
              </w:rPr>
              <w:t>66.7</w:t>
            </w:r>
          </w:p>
        </w:tc>
        <w:tc>
          <w:tcPr>
            <w:cnfStyle w:val="000010000000" w:firstRow="0" w:lastRow="0" w:firstColumn="0" w:lastColumn="0" w:oddVBand="1" w:evenVBand="0" w:oddHBand="0" w:evenHBand="0" w:firstRowFirstColumn="0" w:firstRowLastColumn="0" w:lastRowFirstColumn="0" w:lastRowLastColumn="0"/>
            <w:tcW w:w="755" w:type="pct"/>
          </w:tcPr>
          <w:p w14:paraId="797AEEFF"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C2F9B61"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4968C40F" w14:textId="77777777" w:rsidR="00A30E61" w:rsidRPr="00CF3E3D" w:rsidRDefault="00A30E61" w:rsidP="007007AC">
            <w:pPr>
              <w:spacing w:before="85" w:line="288" w:lineRule="auto"/>
              <w:jc w:val="center"/>
              <w:rPr>
                <w:sz w:val="18"/>
                <w:szCs w:val="18"/>
              </w:rPr>
            </w:pPr>
            <w:r w:rsidRPr="00CF3E3D">
              <w:rPr>
                <w:sz w:val="18"/>
                <w:szCs w:val="18"/>
              </w:rPr>
              <w:t>66.7</w:t>
            </w:r>
          </w:p>
        </w:tc>
      </w:tr>
      <w:tr w:rsidR="00A30E61" w:rsidRPr="00CF3E3D" w14:paraId="4641D2B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7734834" w14:textId="77777777" w:rsidR="00A30E61" w:rsidRPr="00D002F3" w:rsidRDefault="00A30E61" w:rsidP="007007AC">
            <w:pPr>
              <w:spacing w:before="85" w:line="288" w:lineRule="auto"/>
              <w:rPr>
                <w:b/>
                <w:bCs/>
                <w:sz w:val="18"/>
                <w:szCs w:val="18"/>
              </w:rPr>
            </w:pPr>
            <w:r w:rsidRPr="00D002F3">
              <w:rPr>
                <w:b/>
                <w:bCs/>
                <w:sz w:val="18"/>
                <w:szCs w:val="18"/>
              </w:rPr>
              <w:t>The MIECAT Institute</w:t>
            </w:r>
          </w:p>
        </w:tc>
        <w:tc>
          <w:tcPr>
            <w:cnfStyle w:val="000001000000" w:firstRow="0" w:lastRow="0" w:firstColumn="0" w:lastColumn="0" w:oddVBand="0" w:evenVBand="1" w:oddHBand="0" w:evenHBand="0" w:firstRowFirstColumn="0" w:firstRowLastColumn="0" w:lastRowFirstColumn="0" w:lastRowLastColumn="0"/>
            <w:tcW w:w="709" w:type="pct"/>
          </w:tcPr>
          <w:p w14:paraId="4CA5F08B" w14:textId="77777777" w:rsidR="00A30E61" w:rsidRPr="00CF3E3D" w:rsidRDefault="00A30E61" w:rsidP="007007AC">
            <w:pPr>
              <w:spacing w:before="85" w:line="288" w:lineRule="auto"/>
              <w:jc w:val="center"/>
              <w:rPr>
                <w:sz w:val="18"/>
                <w:szCs w:val="18"/>
              </w:rPr>
            </w:pPr>
            <w:r w:rsidRPr="00CF3E3D">
              <w:rPr>
                <w:sz w:val="18"/>
                <w:szCs w:val="18"/>
              </w:rPr>
              <w:t>33.3</w:t>
            </w:r>
          </w:p>
        </w:tc>
        <w:tc>
          <w:tcPr>
            <w:cnfStyle w:val="000010000000" w:firstRow="0" w:lastRow="0" w:firstColumn="0" w:lastColumn="0" w:oddVBand="1" w:evenVBand="0" w:oddHBand="0" w:evenHBand="0" w:firstRowFirstColumn="0" w:firstRowLastColumn="0" w:lastRowFirstColumn="0" w:lastRowLastColumn="0"/>
            <w:tcW w:w="755" w:type="pct"/>
          </w:tcPr>
          <w:p w14:paraId="1509F5CA"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A271270" w14:textId="77777777" w:rsidR="00A30E61" w:rsidRPr="00CF3E3D" w:rsidRDefault="00A30E61" w:rsidP="007007AC">
            <w:pPr>
              <w:spacing w:before="85" w:line="288" w:lineRule="auto"/>
              <w:jc w:val="center"/>
              <w:rPr>
                <w:sz w:val="18"/>
                <w:szCs w:val="18"/>
              </w:rPr>
            </w:pPr>
            <w:r w:rsidRPr="00CF3E3D">
              <w:rPr>
                <w:sz w:val="18"/>
                <w:szCs w:val="18"/>
              </w:rPr>
              <w:t>63.3</w:t>
            </w:r>
          </w:p>
        </w:tc>
        <w:tc>
          <w:tcPr>
            <w:cnfStyle w:val="000010000000" w:firstRow="0" w:lastRow="0" w:firstColumn="0" w:lastColumn="0" w:oddVBand="1" w:evenVBand="0" w:oddHBand="0" w:evenHBand="0" w:firstRowFirstColumn="0" w:firstRowLastColumn="0" w:lastRowFirstColumn="0" w:lastRowLastColumn="0"/>
            <w:tcW w:w="755" w:type="pct"/>
          </w:tcPr>
          <w:p w14:paraId="07FB142E" w14:textId="77777777" w:rsidR="00A30E61" w:rsidRPr="00CF3E3D" w:rsidRDefault="00A30E61" w:rsidP="007007AC">
            <w:pPr>
              <w:spacing w:before="85" w:line="288" w:lineRule="auto"/>
              <w:jc w:val="center"/>
              <w:rPr>
                <w:sz w:val="18"/>
                <w:szCs w:val="18"/>
              </w:rPr>
            </w:pPr>
            <w:r w:rsidRPr="00CF3E3D">
              <w:rPr>
                <w:sz w:val="18"/>
                <w:szCs w:val="18"/>
              </w:rPr>
              <w:t>60.6</w:t>
            </w:r>
          </w:p>
        </w:tc>
      </w:tr>
      <w:tr w:rsidR="00A30E61" w:rsidRPr="00CF3E3D" w14:paraId="1BE1F57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63EBF67" w14:textId="77777777" w:rsidR="00A30E61" w:rsidRPr="00D002F3" w:rsidRDefault="00A30E61" w:rsidP="007007AC">
            <w:pPr>
              <w:spacing w:before="85" w:line="288" w:lineRule="auto"/>
              <w:rPr>
                <w:b/>
                <w:bCs/>
                <w:sz w:val="18"/>
                <w:szCs w:val="18"/>
              </w:rPr>
            </w:pPr>
            <w:r w:rsidRPr="00D002F3">
              <w:rPr>
                <w:b/>
                <w:bCs/>
                <w:sz w:val="18"/>
                <w:szCs w:val="18"/>
              </w:rPr>
              <w:t>HEPCO The Tax Institute Higher Education</w:t>
            </w:r>
          </w:p>
        </w:tc>
        <w:tc>
          <w:tcPr>
            <w:cnfStyle w:val="000001000000" w:firstRow="0" w:lastRow="0" w:firstColumn="0" w:lastColumn="0" w:oddVBand="0" w:evenVBand="1" w:oddHBand="0" w:evenHBand="0" w:firstRowFirstColumn="0" w:firstRowLastColumn="0" w:lastRowFirstColumn="0" w:lastRowLastColumn="0"/>
            <w:tcW w:w="709" w:type="pct"/>
          </w:tcPr>
          <w:p w14:paraId="1041C057" w14:textId="77777777" w:rsidR="00A30E61" w:rsidRPr="00CF3E3D" w:rsidRDefault="00A30E61" w:rsidP="007007AC">
            <w:pPr>
              <w:spacing w:before="85" w:line="288" w:lineRule="auto"/>
              <w:jc w:val="center"/>
              <w:rPr>
                <w:sz w:val="18"/>
                <w:szCs w:val="18"/>
              </w:rPr>
            </w:pPr>
            <w:r w:rsidRPr="00CF3E3D">
              <w:rPr>
                <w:sz w:val="18"/>
                <w:szCs w:val="18"/>
              </w:rPr>
              <w:t>11.1</w:t>
            </w:r>
          </w:p>
        </w:tc>
        <w:tc>
          <w:tcPr>
            <w:cnfStyle w:val="000010000000" w:firstRow="0" w:lastRow="0" w:firstColumn="0" w:lastColumn="0" w:oddVBand="1" w:evenVBand="0" w:oddHBand="0" w:evenHBand="0" w:firstRowFirstColumn="0" w:firstRowLastColumn="0" w:lastRowFirstColumn="0" w:lastRowLastColumn="0"/>
            <w:tcW w:w="755" w:type="pct"/>
          </w:tcPr>
          <w:p w14:paraId="457C8EFD" w14:textId="77777777" w:rsidR="00A30E61" w:rsidRPr="00CF3E3D" w:rsidRDefault="00A30E61" w:rsidP="007007AC">
            <w:pPr>
              <w:spacing w:before="85" w:line="288" w:lineRule="auto"/>
              <w:jc w:val="center"/>
              <w:rPr>
                <w:sz w:val="18"/>
                <w:szCs w:val="18"/>
              </w:rPr>
            </w:pPr>
            <w:r w:rsidRPr="00CF3E3D">
              <w:rPr>
                <w:sz w:val="18"/>
                <w:szCs w:val="18"/>
              </w:rPr>
              <w:t>63.6</w:t>
            </w:r>
          </w:p>
        </w:tc>
        <w:tc>
          <w:tcPr>
            <w:cnfStyle w:val="000001000000" w:firstRow="0" w:lastRow="0" w:firstColumn="0" w:lastColumn="0" w:oddVBand="0" w:evenVBand="1" w:oddHBand="0" w:evenHBand="0" w:firstRowFirstColumn="0" w:firstRowLastColumn="0" w:lastRowFirstColumn="0" w:lastRowLastColumn="0"/>
            <w:tcW w:w="755" w:type="pct"/>
          </w:tcPr>
          <w:p w14:paraId="56866164" w14:textId="77777777" w:rsidR="00A30E61" w:rsidRPr="00CF3E3D" w:rsidRDefault="00A30E61" w:rsidP="007007AC">
            <w:pPr>
              <w:spacing w:before="85" w:line="288" w:lineRule="auto"/>
              <w:jc w:val="center"/>
              <w:rPr>
                <w:sz w:val="18"/>
                <w:szCs w:val="18"/>
              </w:rPr>
            </w:pPr>
            <w:r w:rsidRPr="00CF3E3D">
              <w:rPr>
                <w:sz w:val="18"/>
                <w:szCs w:val="18"/>
              </w:rPr>
              <w:t>80.0</w:t>
            </w:r>
          </w:p>
        </w:tc>
        <w:tc>
          <w:tcPr>
            <w:cnfStyle w:val="000010000000" w:firstRow="0" w:lastRow="0" w:firstColumn="0" w:lastColumn="0" w:oddVBand="1" w:evenVBand="0" w:oddHBand="0" w:evenHBand="0" w:firstRowFirstColumn="0" w:firstRowLastColumn="0" w:lastRowFirstColumn="0" w:lastRowLastColumn="0"/>
            <w:tcW w:w="755" w:type="pct"/>
          </w:tcPr>
          <w:p w14:paraId="7C531F3A" w14:textId="77777777" w:rsidR="00A30E61" w:rsidRPr="00CF3E3D" w:rsidRDefault="00A30E61" w:rsidP="007007AC">
            <w:pPr>
              <w:spacing w:before="85" w:line="288" w:lineRule="auto"/>
              <w:jc w:val="center"/>
              <w:rPr>
                <w:sz w:val="18"/>
                <w:szCs w:val="18"/>
              </w:rPr>
            </w:pPr>
            <w:r w:rsidRPr="00CF3E3D">
              <w:rPr>
                <w:sz w:val="18"/>
                <w:szCs w:val="18"/>
              </w:rPr>
              <w:t>53.3</w:t>
            </w:r>
          </w:p>
        </w:tc>
      </w:tr>
      <w:tr w:rsidR="00A30E61" w:rsidRPr="00CF3E3D" w14:paraId="256D0889"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692F11B" w14:textId="77777777" w:rsidR="00A30E61" w:rsidRPr="00D002F3" w:rsidRDefault="00A30E61" w:rsidP="007007AC">
            <w:pPr>
              <w:spacing w:before="85" w:line="288" w:lineRule="auto"/>
              <w:rPr>
                <w:b/>
                <w:bCs/>
                <w:sz w:val="18"/>
                <w:szCs w:val="18"/>
              </w:rPr>
            </w:pPr>
            <w:r w:rsidRPr="00D002F3">
              <w:rPr>
                <w:b/>
                <w:bCs/>
                <w:sz w:val="18"/>
                <w:szCs w:val="18"/>
              </w:rPr>
              <w:t>Think Education</w:t>
            </w:r>
          </w:p>
        </w:tc>
        <w:tc>
          <w:tcPr>
            <w:cnfStyle w:val="000001000000" w:firstRow="0" w:lastRow="0" w:firstColumn="0" w:lastColumn="0" w:oddVBand="0" w:evenVBand="1" w:oddHBand="0" w:evenHBand="0" w:firstRowFirstColumn="0" w:firstRowLastColumn="0" w:lastRowFirstColumn="0" w:lastRowLastColumn="0"/>
            <w:tcW w:w="709" w:type="pct"/>
          </w:tcPr>
          <w:p w14:paraId="0E3883F6" w14:textId="77777777" w:rsidR="00A30E61" w:rsidRPr="00CF3E3D" w:rsidRDefault="00A30E61" w:rsidP="007007AC">
            <w:pPr>
              <w:spacing w:before="85" w:line="288" w:lineRule="auto"/>
              <w:jc w:val="center"/>
              <w:rPr>
                <w:sz w:val="18"/>
                <w:szCs w:val="18"/>
              </w:rPr>
            </w:pPr>
            <w:r w:rsidRPr="00CF3E3D">
              <w:rPr>
                <w:sz w:val="18"/>
                <w:szCs w:val="18"/>
              </w:rPr>
              <w:t>56.3</w:t>
            </w:r>
          </w:p>
        </w:tc>
        <w:tc>
          <w:tcPr>
            <w:cnfStyle w:val="000010000000" w:firstRow="0" w:lastRow="0" w:firstColumn="0" w:lastColumn="0" w:oddVBand="1" w:evenVBand="0" w:oddHBand="0" w:evenHBand="0" w:firstRowFirstColumn="0" w:firstRowLastColumn="0" w:lastRowFirstColumn="0" w:lastRowLastColumn="0"/>
            <w:tcW w:w="755" w:type="pct"/>
          </w:tcPr>
          <w:p w14:paraId="292B1E1B" w14:textId="77777777" w:rsidR="00A30E61" w:rsidRPr="00CF3E3D" w:rsidRDefault="00A30E61" w:rsidP="007007AC">
            <w:pPr>
              <w:spacing w:before="85" w:line="288" w:lineRule="auto"/>
              <w:jc w:val="center"/>
              <w:rPr>
                <w:sz w:val="18"/>
                <w:szCs w:val="18"/>
              </w:rPr>
            </w:pPr>
            <w:r w:rsidRPr="00CF3E3D">
              <w:rPr>
                <w:sz w:val="18"/>
                <w:szCs w:val="18"/>
              </w:rPr>
              <w:t>59.0</w:t>
            </w:r>
          </w:p>
        </w:tc>
        <w:tc>
          <w:tcPr>
            <w:cnfStyle w:val="000001000000" w:firstRow="0" w:lastRow="0" w:firstColumn="0" w:lastColumn="0" w:oddVBand="0" w:evenVBand="1" w:oddHBand="0" w:evenHBand="0" w:firstRowFirstColumn="0" w:firstRowLastColumn="0" w:lastRowFirstColumn="0" w:lastRowLastColumn="0"/>
            <w:tcW w:w="755" w:type="pct"/>
          </w:tcPr>
          <w:p w14:paraId="762EABF3" w14:textId="77777777" w:rsidR="00A30E61" w:rsidRPr="00CF3E3D" w:rsidRDefault="00A30E61" w:rsidP="007007AC">
            <w:pPr>
              <w:spacing w:before="85" w:line="288" w:lineRule="auto"/>
              <w:jc w:val="center"/>
              <w:rPr>
                <w:sz w:val="18"/>
                <w:szCs w:val="18"/>
              </w:rPr>
            </w:pPr>
            <w:r w:rsidRPr="00CF3E3D">
              <w:rPr>
                <w:sz w:val="18"/>
                <w:szCs w:val="18"/>
              </w:rPr>
              <w:t>62.7</w:t>
            </w:r>
          </w:p>
        </w:tc>
        <w:tc>
          <w:tcPr>
            <w:cnfStyle w:val="000010000000" w:firstRow="0" w:lastRow="0" w:firstColumn="0" w:lastColumn="0" w:oddVBand="1" w:evenVBand="0" w:oddHBand="0" w:evenHBand="0" w:firstRowFirstColumn="0" w:firstRowLastColumn="0" w:lastRowFirstColumn="0" w:lastRowLastColumn="0"/>
            <w:tcW w:w="755" w:type="pct"/>
          </w:tcPr>
          <w:p w14:paraId="778787AE" w14:textId="77777777" w:rsidR="00A30E61" w:rsidRPr="00CF3E3D" w:rsidRDefault="00A30E61" w:rsidP="007007AC">
            <w:pPr>
              <w:spacing w:before="85" w:line="288" w:lineRule="auto"/>
              <w:jc w:val="center"/>
              <w:rPr>
                <w:sz w:val="18"/>
                <w:szCs w:val="18"/>
              </w:rPr>
            </w:pPr>
            <w:r w:rsidRPr="00CF3E3D">
              <w:rPr>
                <w:sz w:val="18"/>
                <w:szCs w:val="18"/>
              </w:rPr>
              <w:t>59.4</w:t>
            </w:r>
          </w:p>
        </w:tc>
      </w:tr>
      <w:tr w:rsidR="00A30E61" w:rsidRPr="00CF3E3D" w14:paraId="25FE367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2ED4004" w14:textId="77777777" w:rsidR="00A30E61" w:rsidRPr="00D002F3" w:rsidRDefault="00A30E61" w:rsidP="007007AC">
            <w:pPr>
              <w:spacing w:before="85" w:line="288" w:lineRule="auto"/>
              <w:rPr>
                <w:b/>
                <w:bCs/>
                <w:sz w:val="18"/>
                <w:szCs w:val="18"/>
              </w:rPr>
            </w:pPr>
            <w:r w:rsidRPr="00D002F3">
              <w:rPr>
                <w:b/>
                <w:bCs/>
                <w:sz w:val="18"/>
                <w:szCs w:val="18"/>
              </w:rPr>
              <w:t>UOW College</w:t>
            </w:r>
          </w:p>
        </w:tc>
        <w:tc>
          <w:tcPr>
            <w:cnfStyle w:val="000001000000" w:firstRow="0" w:lastRow="0" w:firstColumn="0" w:lastColumn="0" w:oddVBand="0" w:evenVBand="1" w:oddHBand="0" w:evenHBand="0" w:firstRowFirstColumn="0" w:firstRowLastColumn="0" w:lastRowFirstColumn="0" w:lastRowLastColumn="0"/>
            <w:tcW w:w="709" w:type="pct"/>
          </w:tcPr>
          <w:p w14:paraId="42BDC7E6" w14:textId="77777777" w:rsidR="00A30E61" w:rsidRPr="00CF3E3D" w:rsidRDefault="00A30E61" w:rsidP="007007AC">
            <w:pPr>
              <w:spacing w:before="85" w:line="288" w:lineRule="auto"/>
              <w:jc w:val="center"/>
              <w:rPr>
                <w:sz w:val="18"/>
                <w:szCs w:val="18"/>
              </w:rPr>
            </w:pPr>
            <w:r w:rsidRPr="00CF3E3D">
              <w:rPr>
                <w:sz w:val="18"/>
                <w:szCs w:val="18"/>
              </w:rPr>
              <w:t>16.0</w:t>
            </w:r>
          </w:p>
        </w:tc>
        <w:tc>
          <w:tcPr>
            <w:cnfStyle w:val="000010000000" w:firstRow="0" w:lastRow="0" w:firstColumn="0" w:lastColumn="0" w:oddVBand="1" w:evenVBand="0" w:oddHBand="0" w:evenHBand="0" w:firstRowFirstColumn="0" w:firstRowLastColumn="0" w:lastRowFirstColumn="0" w:lastRowLastColumn="0"/>
            <w:tcW w:w="755" w:type="pct"/>
          </w:tcPr>
          <w:p w14:paraId="05AA925B" w14:textId="77777777" w:rsidR="00A30E61" w:rsidRPr="00CF3E3D" w:rsidRDefault="00A30E61" w:rsidP="007007AC">
            <w:pPr>
              <w:spacing w:before="85" w:line="288" w:lineRule="auto"/>
              <w:jc w:val="center"/>
              <w:rPr>
                <w:sz w:val="18"/>
                <w:szCs w:val="18"/>
              </w:rPr>
            </w:pPr>
            <w:r w:rsidRPr="00FE7C3A">
              <w:rPr>
                <w:sz w:val="18"/>
                <w:szCs w:val="18"/>
              </w:rPr>
              <w:t>N</w:t>
            </w:r>
            <w:r>
              <w:rPr>
                <w:sz w:val="18"/>
                <w:szCs w:val="18"/>
              </w:rPr>
              <w:t>/</w:t>
            </w:r>
            <w:r w:rsidRPr="00FE7C3A">
              <w:rPr>
                <w:sz w:val="18"/>
                <w:szCs w:val="18"/>
              </w:rPr>
              <w:t>A</w:t>
            </w:r>
          </w:p>
        </w:tc>
        <w:tc>
          <w:tcPr>
            <w:cnfStyle w:val="000001000000" w:firstRow="0" w:lastRow="0" w:firstColumn="0" w:lastColumn="0" w:oddVBand="0" w:evenVBand="1" w:oddHBand="0" w:evenHBand="0" w:firstRowFirstColumn="0" w:firstRowLastColumn="0" w:lastRowFirstColumn="0" w:lastRowLastColumn="0"/>
            <w:tcW w:w="755" w:type="pct"/>
          </w:tcPr>
          <w:p w14:paraId="7BBD71B1" w14:textId="77777777" w:rsidR="00A30E61" w:rsidRPr="00CF3E3D" w:rsidRDefault="00A30E61" w:rsidP="007007AC">
            <w:pPr>
              <w:spacing w:before="85" w:line="288" w:lineRule="auto"/>
              <w:jc w:val="center"/>
              <w:rPr>
                <w:sz w:val="18"/>
                <w:szCs w:val="18"/>
              </w:rPr>
            </w:pPr>
            <w:r w:rsidRPr="00CF3E3D">
              <w:rPr>
                <w:sz w:val="18"/>
                <w:szCs w:val="18"/>
              </w:rPr>
              <w:t>34.8</w:t>
            </w:r>
          </w:p>
        </w:tc>
        <w:tc>
          <w:tcPr>
            <w:cnfStyle w:val="000010000000" w:firstRow="0" w:lastRow="0" w:firstColumn="0" w:lastColumn="0" w:oddVBand="1" w:evenVBand="0" w:oddHBand="0" w:evenHBand="0" w:firstRowFirstColumn="0" w:firstRowLastColumn="0" w:lastRowFirstColumn="0" w:lastRowLastColumn="0"/>
            <w:tcW w:w="755" w:type="pct"/>
          </w:tcPr>
          <w:p w14:paraId="2DBF7BD4" w14:textId="77777777" w:rsidR="00A30E61" w:rsidRPr="00CF3E3D" w:rsidRDefault="00A30E61" w:rsidP="007007AC">
            <w:pPr>
              <w:spacing w:before="85" w:line="288" w:lineRule="auto"/>
              <w:jc w:val="center"/>
              <w:rPr>
                <w:sz w:val="18"/>
                <w:szCs w:val="18"/>
              </w:rPr>
            </w:pPr>
            <w:r w:rsidRPr="00CF3E3D">
              <w:rPr>
                <w:sz w:val="18"/>
                <w:szCs w:val="18"/>
              </w:rPr>
              <w:t>25.0</w:t>
            </w:r>
          </w:p>
        </w:tc>
      </w:tr>
      <w:tr w:rsidR="00A30E61" w:rsidRPr="00CF3E3D" w14:paraId="76676270"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247CC495" w14:textId="77777777" w:rsidR="00A30E61" w:rsidRPr="00D002F3" w:rsidRDefault="00A30E61" w:rsidP="007007AC">
            <w:pPr>
              <w:spacing w:before="85" w:line="288" w:lineRule="auto"/>
              <w:rPr>
                <w:b/>
                <w:bCs/>
                <w:sz w:val="18"/>
                <w:szCs w:val="18"/>
              </w:rPr>
            </w:pPr>
            <w:r w:rsidRPr="00D002F3">
              <w:rPr>
                <w:b/>
                <w:bCs/>
                <w:sz w:val="18"/>
                <w:szCs w:val="18"/>
              </w:rPr>
              <w:t>UTS College</w:t>
            </w:r>
          </w:p>
        </w:tc>
        <w:tc>
          <w:tcPr>
            <w:cnfStyle w:val="000001000000" w:firstRow="0" w:lastRow="0" w:firstColumn="0" w:lastColumn="0" w:oddVBand="0" w:evenVBand="1" w:oddHBand="0" w:evenHBand="0" w:firstRowFirstColumn="0" w:firstRowLastColumn="0" w:lastRowFirstColumn="0" w:lastRowLastColumn="0"/>
            <w:tcW w:w="709" w:type="pct"/>
          </w:tcPr>
          <w:p w14:paraId="618E4EEF" w14:textId="77777777" w:rsidR="00A30E61" w:rsidRPr="00CF3E3D" w:rsidRDefault="00A30E61" w:rsidP="007007AC">
            <w:pPr>
              <w:spacing w:before="85" w:line="288" w:lineRule="auto"/>
              <w:jc w:val="center"/>
              <w:rPr>
                <w:sz w:val="18"/>
                <w:szCs w:val="18"/>
              </w:rPr>
            </w:pPr>
            <w:r w:rsidRPr="00CF3E3D">
              <w:rPr>
                <w:sz w:val="18"/>
                <w:szCs w:val="18"/>
              </w:rPr>
              <w:t>19.3</w:t>
            </w:r>
          </w:p>
        </w:tc>
        <w:tc>
          <w:tcPr>
            <w:cnfStyle w:val="000010000000" w:firstRow="0" w:lastRow="0" w:firstColumn="0" w:lastColumn="0" w:oddVBand="1" w:evenVBand="0" w:oddHBand="0" w:evenHBand="0" w:firstRowFirstColumn="0" w:firstRowLastColumn="0" w:lastRowFirstColumn="0" w:lastRowLastColumn="0"/>
            <w:tcW w:w="755" w:type="pct"/>
          </w:tcPr>
          <w:p w14:paraId="2B77199E" w14:textId="77777777" w:rsidR="00A30E61" w:rsidRPr="00CF3E3D" w:rsidRDefault="00A30E61" w:rsidP="007007AC">
            <w:pPr>
              <w:spacing w:before="85" w:line="288" w:lineRule="auto"/>
              <w:jc w:val="center"/>
              <w:rPr>
                <w:sz w:val="18"/>
                <w:szCs w:val="18"/>
              </w:rPr>
            </w:pPr>
            <w:r w:rsidRPr="00CF3E3D">
              <w:rPr>
                <w:sz w:val="18"/>
                <w:szCs w:val="18"/>
              </w:rPr>
              <w:t>29.7</w:t>
            </w:r>
          </w:p>
        </w:tc>
        <w:tc>
          <w:tcPr>
            <w:cnfStyle w:val="000001000000" w:firstRow="0" w:lastRow="0" w:firstColumn="0" w:lastColumn="0" w:oddVBand="0" w:evenVBand="1" w:oddHBand="0" w:evenHBand="0" w:firstRowFirstColumn="0" w:firstRowLastColumn="0" w:lastRowFirstColumn="0" w:lastRowLastColumn="0"/>
            <w:tcW w:w="755" w:type="pct"/>
          </w:tcPr>
          <w:p w14:paraId="131E805E" w14:textId="77777777" w:rsidR="00A30E61" w:rsidRPr="00CF3E3D" w:rsidRDefault="00A30E61" w:rsidP="007007AC">
            <w:pPr>
              <w:spacing w:before="85" w:line="288" w:lineRule="auto"/>
              <w:jc w:val="center"/>
              <w:rPr>
                <w:sz w:val="18"/>
                <w:szCs w:val="18"/>
              </w:rPr>
            </w:pPr>
            <w:r w:rsidRPr="00CF3E3D">
              <w:rPr>
                <w:sz w:val="18"/>
                <w:szCs w:val="18"/>
              </w:rPr>
              <w:t>21.4</w:t>
            </w:r>
          </w:p>
        </w:tc>
        <w:tc>
          <w:tcPr>
            <w:cnfStyle w:val="000010000000" w:firstRow="0" w:lastRow="0" w:firstColumn="0" w:lastColumn="0" w:oddVBand="1" w:evenVBand="0" w:oddHBand="0" w:evenHBand="0" w:firstRowFirstColumn="0" w:firstRowLastColumn="0" w:lastRowFirstColumn="0" w:lastRowLastColumn="0"/>
            <w:tcW w:w="755" w:type="pct"/>
          </w:tcPr>
          <w:p w14:paraId="142F51F2" w14:textId="77777777" w:rsidR="00A30E61" w:rsidRPr="00CF3E3D" w:rsidRDefault="00A30E61" w:rsidP="007007AC">
            <w:pPr>
              <w:spacing w:before="85" w:line="288" w:lineRule="auto"/>
              <w:jc w:val="center"/>
              <w:rPr>
                <w:sz w:val="18"/>
                <w:szCs w:val="18"/>
              </w:rPr>
            </w:pPr>
            <w:r w:rsidRPr="00CF3E3D">
              <w:rPr>
                <w:sz w:val="18"/>
                <w:szCs w:val="18"/>
              </w:rPr>
              <w:t>21.7</w:t>
            </w:r>
          </w:p>
        </w:tc>
      </w:tr>
      <w:tr w:rsidR="00A30E61" w:rsidRPr="00CF3E3D" w14:paraId="18A1E233"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7738655C" w14:textId="77777777" w:rsidR="00A30E61" w:rsidRPr="00D002F3" w:rsidRDefault="00A30E61" w:rsidP="007007AC">
            <w:pPr>
              <w:spacing w:before="85" w:line="288" w:lineRule="auto"/>
              <w:rPr>
                <w:b/>
                <w:bCs/>
                <w:sz w:val="18"/>
                <w:szCs w:val="18"/>
              </w:rPr>
            </w:pPr>
            <w:r w:rsidRPr="00D002F3">
              <w:rPr>
                <w:b/>
                <w:bCs/>
                <w:sz w:val="18"/>
                <w:szCs w:val="18"/>
              </w:rPr>
              <w:lastRenderedPageBreak/>
              <w:t>VIT (Victorian Institute of Technology)</w:t>
            </w:r>
          </w:p>
        </w:tc>
        <w:tc>
          <w:tcPr>
            <w:cnfStyle w:val="000001000000" w:firstRow="0" w:lastRow="0" w:firstColumn="0" w:lastColumn="0" w:oddVBand="0" w:evenVBand="1" w:oddHBand="0" w:evenHBand="0" w:firstRowFirstColumn="0" w:firstRowLastColumn="0" w:lastRowFirstColumn="0" w:lastRowLastColumn="0"/>
            <w:tcW w:w="709" w:type="pct"/>
          </w:tcPr>
          <w:p w14:paraId="4995723B" w14:textId="77777777" w:rsidR="00A30E61" w:rsidRPr="00CF3E3D" w:rsidRDefault="00A30E61" w:rsidP="007007AC">
            <w:pPr>
              <w:spacing w:before="85" w:line="288" w:lineRule="auto"/>
              <w:jc w:val="center"/>
              <w:rPr>
                <w:sz w:val="18"/>
                <w:szCs w:val="18"/>
              </w:rPr>
            </w:pPr>
            <w:r w:rsidRPr="00CF3E3D">
              <w:rPr>
                <w:sz w:val="18"/>
                <w:szCs w:val="18"/>
              </w:rPr>
              <w:t>71.8</w:t>
            </w:r>
          </w:p>
        </w:tc>
        <w:tc>
          <w:tcPr>
            <w:cnfStyle w:val="000010000000" w:firstRow="0" w:lastRow="0" w:firstColumn="0" w:lastColumn="0" w:oddVBand="1" w:evenVBand="0" w:oddHBand="0" w:evenHBand="0" w:firstRowFirstColumn="0" w:firstRowLastColumn="0" w:lastRowFirstColumn="0" w:lastRowLastColumn="0"/>
            <w:tcW w:w="755" w:type="pct"/>
          </w:tcPr>
          <w:p w14:paraId="054C2C5C" w14:textId="77777777" w:rsidR="00A30E61" w:rsidRPr="00CF3E3D" w:rsidRDefault="00A30E61" w:rsidP="007007AC">
            <w:pPr>
              <w:spacing w:before="85" w:line="288" w:lineRule="auto"/>
              <w:jc w:val="center"/>
              <w:rPr>
                <w:sz w:val="18"/>
                <w:szCs w:val="18"/>
              </w:rPr>
            </w:pPr>
            <w:r w:rsidRPr="00CF3E3D">
              <w:rPr>
                <w:sz w:val="18"/>
                <w:szCs w:val="18"/>
              </w:rPr>
              <w:t>66.7</w:t>
            </w:r>
          </w:p>
        </w:tc>
        <w:tc>
          <w:tcPr>
            <w:cnfStyle w:val="000001000000" w:firstRow="0" w:lastRow="0" w:firstColumn="0" w:lastColumn="0" w:oddVBand="0" w:evenVBand="1" w:oddHBand="0" w:evenHBand="0" w:firstRowFirstColumn="0" w:firstRowLastColumn="0" w:lastRowFirstColumn="0" w:lastRowLastColumn="0"/>
            <w:tcW w:w="755" w:type="pct"/>
          </w:tcPr>
          <w:p w14:paraId="564E809D" w14:textId="77777777" w:rsidR="00A30E61" w:rsidRPr="00CF3E3D" w:rsidRDefault="00A30E61" w:rsidP="007007AC">
            <w:pPr>
              <w:spacing w:before="85" w:line="288" w:lineRule="auto"/>
              <w:jc w:val="center"/>
              <w:rPr>
                <w:sz w:val="18"/>
                <w:szCs w:val="18"/>
              </w:rPr>
            </w:pPr>
            <w:r w:rsidRPr="00CF3E3D">
              <w:rPr>
                <w:sz w:val="18"/>
                <w:szCs w:val="18"/>
              </w:rPr>
              <w:t>49.7</w:t>
            </w:r>
          </w:p>
        </w:tc>
        <w:tc>
          <w:tcPr>
            <w:cnfStyle w:val="000010000000" w:firstRow="0" w:lastRow="0" w:firstColumn="0" w:lastColumn="0" w:oddVBand="1" w:evenVBand="0" w:oddHBand="0" w:evenHBand="0" w:firstRowFirstColumn="0" w:firstRowLastColumn="0" w:lastRowFirstColumn="0" w:lastRowLastColumn="0"/>
            <w:tcW w:w="755" w:type="pct"/>
          </w:tcPr>
          <w:p w14:paraId="1CA8F3E9" w14:textId="77777777" w:rsidR="00A30E61" w:rsidRPr="00CF3E3D" w:rsidRDefault="00A30E61" w:rsidP="007007AC">
            <w:pPr>
              <w:spacing w:before="85" w:line="288" w:lineRule="auto"/>
              <w:jc w:val="center"/>
              <w:rPr>
                <w:sz w:val="18"/>
                <w:szCs w:val="18"/>
              </w:rPr>
            </w:pPr>
            <w:r w:rsidRPr="00CF3E3D">
              <w:rPr>
                <w:sz w:val="18"/>
                <w:szCs w:val="18"/>
              </w:rPr>
              <w:t>61.6</w:t>
            </w:r>
          </w:p>
        </w:tc>
      </w:tr>
      <w:tr w:rsidR="00A30E61" w:rsidRPr="00CF3E3D" w14:paraId="0903BC2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156F8CFB" w14:textId="77777777" w:rsidR="00A30E61" w:rsidRPr="00D002F3" w:rsidRDefault="00A30E61" w:rsidP="007007AC">
            <w:pPr>
              <w:spacing w:before="85" w:line="288" w:lineRule="auto"/>
              <w:rPr>
                <w:b/>
                <w:bCs/>
                <w:sz w:val="18"/>
                <w:szCs w:val="18"/>
              </w:rPr>
            </w:pPr>
            <w:r w:rsidRPr="00D002F3">
              <w:rPr>
                <w:b/>
                <w:bCs/>
                <w:sz w:val="18"/>
                <w:szCs w:val="18"/>
              </w:rPr>
              <w:t>Wentworth Institute of Higher Education</w:t>
            </w:r>
          </w:p>
        </w:tc>
        <w:tc>
          <w:tcPr>
            <w:cnfStyle w:val="000001000000" w:firstRow="0" w:lastRow="0" w:firstColumn="0" w:lastColumn="0" w:oddVBand="0" w:evenVBand="1" w:oddHBand="0" w:evenHBand="0" w:firstRowFirstColumn="0" w:firstRowLastColumn="0" w:lastRowFirstColumn="0" w:lastRowLastColumn="0"/>
            <w:tcW w:w="709" w:type="pct"/>
          </w:tcPr>
          <w:p w14:paraId="7380337A" w14:textId="77777777" w:rsidR="00A30E61" w:rsidRPr="00CF3E3D" w:rsidRDefault="00A30E61" w:rsidP="007007AC">
            <w:pPr>
              <w:spacing w:before="85" w:line="288" w:lineRule="auto"/>
              <w:jc w:val="center"/>
              <w:rPr>
                <w:sz w:val="18"/>
                <w:szCs w:val="18"/>
              </w:rPr>
            </w:pPr>
            <w:r w:rsidRPr="00CF3E3D">
              <w:rPr>
                <w:sz w:val="18"/>
                <w:szCs w:val="18"/>
              </w:rPr>
              <w:t>41.2</w:t>
            </w:r>
          </w:p>
        </w:tc>
        <w:tc>
          <w:tcPr>
            <w:cnfStyle w:val="000010000000" w:firstRow="0" w:lastRow="0" w:firstColumn="0" w:lastColumn="0" w:oddVBand="1" w:evenVBand="0" w:oddHBand="0" w:evenHBand="0" w:firstRowFirstColumn="0" w:firstRowLastColumn="0" w:lastRowFirstColumn="0" w:lastRowLastColumn="0"/>
            <w:tcW w:w="755" w:type="pct"/>
          </w:tcPr>
          <w:p w14:paraId="1843B54D"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788F06B0" w14:textId="77777777" w:rsidR="00A30E61" w:rsidRPr="00CF3E3D" w:rsidRDefault="00A30E61" w:rsidP="007007AC">
            <w:pPr>
              <w:spacing w:before="85" w:line="288" w:lineRule="auto"/>
              <w:jc w:val="center"/>
              <w:rPr>
                <w:sz w:val="18"/>
                <w:szCs w:val="18"/>
              </w:rPr>
            </w:pPr>
            <w:r w:rsidRPr="00CF3E3D">
              <w:rPr>
                <w:sz w:val="18"/>
                <w:szCs w:val="18"/>
              </w:rPr>
              <w:t>48.2</w:t>
            </w:r>
          </w:p>
        </w:tc>
        <w:tc>
          <w:tcPr>
            <w:cnfStyle w:val="000010000000" w:firstRow="0" w:lastRow="0" w:firstColumn="0" w:lastColumn="0" w:oddVBand="1" w:evenVBand="0" w:oddHBand="0" w:evenHBand="0" w:firstRowFirstColumn="0" w:firstRowLastColumn="0" w:lastRowFirstColumn="0" w:lastRowLastColumn="0"/>
            <w:tcW w:w="755" w:type="pct"/>
          </w:tcPr>
          <w:p w14:paraId="2200853A" w14:textId="77777777" w:rsidR="00A30E61" w:rsidRPr="00CF3E3D" w:rsidRDefault="00A30E61" w:rsidP="007007AC">
            <w:pPr>
              <w:spacing w:before="85" w:line="288" w:lineRule="auto"/>
              <w:jc w:val="center"/>
              <w:rPr>
                <w:sz w:val="18"/>
                <w:szCs w:val="18"/>
              </w:rPr>
            </w:pPr>
            <w:r w:rsidRPr="00CF3E3D">
              <w:rPr>
                <w:sz w:val="18"/>
                <w:szCs w:val="18"/>
              </w:rPr>
              <w:t>44.7</w:t>
            </w:r>
          </w:p>
        </w:tc>
      </w:tr>
      <w:tr w:rsidR="00A30E61" w:rsidRPr="00CF3E3D" w14:paraId="44DBE0B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6F558226" w14:textId="77777777" w:rsidR="00A30E61" w:rsidRPr="00D002F3" w:rsidRDefault="00A30E61" w:rsidP="007007AC">
            <w:pPr>
              <w:spacing w:before="85" w:line="288" w:lineRule="auto"/>
              <w:rPr>
                <w:b/>
                <w:bCs/>
                <w:sz w:val="18"/>
                <w:szCs w:val="18"/>
              </w:rPr>
            </w:pPr>
            <w:r w:rsidRPr="00D002F3">
              <w:rPr>
                <w:b/>
                <w:bCs/>
                <w:sz w:val="18"/>
                <w:szCs w:val="18"/>
              </w:rPr>
              <w:t>Whitehouse Institute of Design, Australia</w:t>
            </w:r>
          </w:p>
        </w:tc>
        <w:tc>
          <w:tcPr>
            <w:cnfStyle w:val="000001000000" w:firstRow="0" w:lastRow="0" w:firstColumn="0" w:lastColumn="0" w:oddVBand="0" w:evenVBand="1" w:oddHBand="0" w:evenHBand="0" w:firstRowFirstColumn="0" w:firstRowLastColumn="0" w:lastRowFirstColumn="0" w:lastRowLastColumn="0"/>
            <w:tcW w:w="709" w:type="pct"/>
          </w:tcPr>
          <w:p w14:paraId="3E6EDA2D" w14:textId="77777777" w:rsidR="00A30E61" w:rsidRPr="00CF3E3D" w:rsidRDefault="00A30E61" w:rsidP="007007AC">
            <w:pPr>
              <w:spacing w:before="85" w:line="288" w:lineRule="auto"/>
              <w:jc w:val="center"/>
              <w:rPr>
                <w:sz w:val="18"/>
                <w:szCs w:val="18"/>
              </w:rPr>
            </w:pPr>
            <w:r>
              <w:rPr>
                <w:sz w:val="18"/>
                <w:szCs w:val="18"/>
              </w:rPr>
              <w:t>-</w:t>
            </w:r>
          </w:p>
        </w:tc>
        <w:tc>
          <w:tcPr>
            <w:cnfStyle w:val="000010000000" w:firstRow="0" w:lastRow="0" w:firstColumn="0" w:lastColumn="0" w:oddVBand="1" w:evenVBand="0" w:oddHBand="0" w:evenHBand="0" w:firstRowFirstColumn="0" w:firstRowLastColumn="0" w:lastRowFirstColumn="0" w:lastRowLastColumn="0"/>
            <w:tcW w:w="755" w:type="pct"/>
          </w:tcPr>
          <w:p w14:paraId="3DB4B941"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5933C256" w14:textId="77777777" w:rsidR="00A30E61" w:rsidRPr="00CF3E3D" w:rsidRDefault="00A30E61" w:rsidP="007007AC">
            <w:pPr>
              <w:spacing w:before="85" w:line="288" w:lineRule="auto"/>
              <w:jc w:val="center"/>
              <w:rPr>
                <w:sz w:val="18"/>
                <w:szCs w:val="18"/>
              </w:rPr>
            </w:pPr>
            <w:r w:rsidRPr="00CF3E3D">
              <w:rPr>
                <w:sz w:val="18"/>
                <w:szCs w:val="18"/>
              </w:rPr>
              <w:t>41.7</w:t>
            </w:r>
          </w:p>
        </w:tc>
        <w:tc>
          <w:tcPr>
            <w:cnfStyle w:val="000010000000" w:firstRow="0" w:lastRow="0" w:firstColumn="0" w:lastColumn="0" w:oddVBand="1" w:evenVBand="0" w:oddHBand="0" w:evenHBand="0" w:firstRowFirstColumn="0" w:firstRowLastColumn="0" w:lastRowFirstColumn="0" w:lastRowLastColumn="0"/>
            <w:tcW w:w="755" w:type="pct"/>
          </w:tcPr>
          <w:p w14:paraId="31B34146" w14:textId="77777777" w:rsidR="00A30E61" w:rsidRPr="00CF3E3D" w:rsidRDefault="00A30E61" w:rsidP="007007AC">
            <w:pPr>
              <w:spacing w:before="85" w:line="288" w:lineRule="auto"/>
              <w:jc w:val="center"/>
              <w:rPr>
                <w:sz w:val="18"/>
                <w:szCs w:val="18"/>
              </w:rPr>
            </w:pPr>
            <w:r w:rsidRPr="00CF3E3D">
              <w:rPr>
                <w:sz w:val="18"/>
                <w:szCs w:val="18"/>
              </w:rPr>
              <w:t>41.7</w:t>
            </w:r>
          </w:p>
        </w:tc>
      </w:tr>
      <w:tr w:rsidR="00A30E61" w:rsidRPr="00CF3E3D" w14:paraId="71BD748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42488E7E" w14:textId="77777777" w:rsidR="00A30E61" w:rsidRPr="00D002F3" w:rsidRDefault="00A30E61" w:rsidP="007007AC">
            <w:pPr>
              <w:spacing w:before="85" w:line="288" w:lineRule="auto"/>
              <w:rPr>
                <w:b/>
                <w:bCs/>
                <w:sz w:val="18"/>
                <w:szCs w:val="18"/>
              </w:rPr>
            </w:pPr>
            <w:r w:rsidRPr="00D002F3">
              <w:rPr>
                <w:b/>
                <w:bCs/>
                <w:sz w:val="18"/>
                <w:szCs w:val="18"/>
              </w:rPr>
              <w:t>William Angliss Institute</w:t>
            </w:r>
          </w:p>
        </w:tc>
        <w:tc>
          <w:tcPr>
            <w:cnfStyle w:val="000001000000" w:firstRow="0" w:lastRow="0" w:firstColumn="0" w:lastColumn="0" w:oddVBand="0" w:evenVBand="1" w:oddHBand="0" w:evenHBand="0" w:firstRowFirstColumn="0" w:firstRowLastColumn="0" w:lastRowFirstColumn="0" w:lastRowLastColumn="0"/>
            <w:tcW w:w="709" w:type="pct"/>
          </w:tcPr>
          <w:p w14:paraId="748F5295" w14:textId="77777777" w:rsidR="00A30E61" w:rsidRPr="00CF3E3D" w:rsidRDefault="00A30E61" w:rsidP="007007AC">
            <w:pPr>
              <w:spacing w:before="85" w:line="288" w:lineRule="auto"/>
              <w:jc w:val="center"/>
              <w:rPr>
                <w:sz w:val="18"/>
                <w:szCs w:val="18"/>
              </w:rPr>
            </w:pPr>
            <w:r w:rsidRPr="00CF3E3D">
              <w:rPr>
                <w:sz w:val="18"/>
                <w:szCs w:val="18"/>
              </w:rPr>
              <w:t>20.2</w:t>
            </w:r>
          </w:p>
        </w:tc>
        <w:tc>
          <w:tcPr>
            <w:cnfStyle w:val="000010000000" w:firstRow="0" w:lastRow="0" w:firstColumn="0" w:lastColumn="0" w:oddVBand="1" w:evenVBand="0" w:oddHBand="0" w:evenHBand="0" w:firstRowFirstColumn="0" w:firstRowLastColumn="0" w:lastRowFirstColumn="0" w:lastRowLastColumn="0"/>
            <w:tcW w:w="755" w:type="pct"/>
          </w:tcPr>
          <w:p w14:paraId="39602407" w14:textId="77777777" w:rsidR="00A30E61" w:rsidRPr="00CF3E3D" w:rsidRDefault="00A30E61" w:rsidP="007007AC">
            <w:pPr>
              <w:spacing w:before="85" w:line="288" w:lineRule="auto"/>
              <w:jc w:val="center"/>
              <w:rPr>
                <w:sz w:val="18"/>
                <w:szCs w:val="18"/>
              </w:rPr>
            </w:pPr>
            <w:r>
              <w:rPr>
                <w:sz w:val="18"/>
                <w:szCs w:val="18"/>
              </w:rPr>
              <w:t>-</w:t>
            </w:r>
          </w:p>
        </w:tc>
        <w:tc>
          <w:tcPr>
            <w:cnfStyle w:val="000001000000" w:firstRow="0" w:lastRow="0" w:firstColumn="0" w:lastColumn="0" w:oddVBand="0" w:evenVBand="1" w:oddHBand="0" w:evenHBand="0" w:firstRowFirstColumn="0" w:firstRowLastColumn="0" w:lastRowFirstColumn="0" w:lastRowLastColumn="0"/>
            <w:tcW w:w="755" w:type="pct"/>
          </w:tcPr>
          <w:p w14:paraId="3852EACC" w14:textId="77777777" w:rsidR="00A30E61" w:rsidRPr="00CF3E3D" w:rsidRDefault="00A30E61" w:rsidP="007007AC">
            <w:pPr>
              <w:spacing w:before="85" w:line="288" w:lineRule="auto"/>
              <w:jc w:val="center"/>
              <w:rPr>
                <w:sz w:val="18"/>
                <w:szCs w:val="18"/>
              </w:rPr>
            </w:pPr>
            <w:r w:rsidRPr="00CF3E3D">
              <w:rPr>
                <w:sz w:val="18"/>
                <w:szCs w:val="18"/>
              </w:rPr>
              <w:t>30.9</w:t>
            </w:r>
          </w:p>
        </w:tc>
        <w:tc>
          <w:tcPr>
            <w:cnfStyle w:val="000010000000" w:firstRow="0" w:lastRow="0" w:firstColumn="0" w:lastColumn="0" w:oddVBand="1" w:evenVBand="0" w:oddHBand="0" w:evenHBand="0" w:firstRowFirstColumn="0" w:firstRowLastColumn="0" w:lastRowFirstColumn="0" w:lastRowLastColumn="0"/>
            <w:tcW w:w="755" w:type="pct"/>
          </w:tcPr>
          <w:p w14:paraId="60066E2C" w14:textId="77777777" w:rsidR="00A30E61" w:rsidRPr="00CF3E3D" w:rsidRDefault="00A30E61" w:rsidP="007007AC">
            <w:pPr>
              <w:spacing w:before="85" w:line="288" w:lineRule="auto"/>
              <w:jc w:val="center"/>
              <w:rPr>
                <w:sz w:val="18"/>
                <w:szCs w:val="18"/>
              </w:rPr>
            </w:pPr>
            <w:r w:rsidRPr="00CF3E3D">
              <w:rPr>
                <w:sz w:val="18"/>
                <w:szCs w:val="18"/>
              </w:rPr>
              <w:t>25.3</w:t>
            </w:r>
          </w:p>
        </w:tc>
      </w:tr>
      <w:tr w:rsidR="00A30E61" w:rsidRPr="00CF3E3D" w14:paraId="7C14361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26" w:type="pct"/>
          </w:tcPr>
          <w:p w14:paraId="0C2D8558" w14:textId="77777777" w:rsidR="00A30E61" w:rsidRPr="00CF3E3D" w:rsidRDefault="00A30E61" w:rsidP="007007AC">
            <w:pPr>
              <w:spacing w:before="85" w:line="288" w:lineRule="auto"/>
              <w:rPr>
                <w:b/>
                <w:bCs/>
                <w:sz w:val="18"/>
                <w:szCs w:val="18"/>
              </w:rPr>
            </w:pPr>
            <w:r w:rsidRPr="00CF3E3D">
              <w:rPr>
                <w:b/>
                <w:bCs/>
                <w:sz w:val="18"/>
                <w:szCs w:val="18"/>
              </w:rPr>
              <w:t>All NUHEIs</w:t>
            </w:r>
          </w:p>
        </w:tc>
        <w:tc>
          <w:tcPr>
            <w:cnfStyle w:val="000001000000" w:firstRow="0" w:lastRow="0" w:firstColumn="0" w:lastColumn="0" w:oddVBand="0" w:evenVBand="1" w:oddHBand="0" w:evenHBand="0" w:firstRowFirstColumn="0" w:firstRowLastColumn="0" w:lastRowFirstColumn="0" w:lastRowLastColumn="0"/>
            <w:tcW w:w="709" w:type="pct"/>
          </w:tcPr>
          <w:p w14:paraId="496129F4" w14:textId="77777777" w:rsidR="00A30E61" w:rsidRPr="00CF3E3D" w:rsidRDefault="00A30E61" w:rsidP="007007AC">
            <w:pPr>
              <w:spacing w:before="85" w:line="288" w:lineRule="auto"/>
              <w:jc w:val="center"/>
              <w:rPr>
                <w:b/>
                <w:bCs/>
                <w:sz w:val="18"/>
                <w:szCs w:val="18"/>
              </w:rPr>
            </w:pPr>
            <w:r w:rsidRPr="00CF3E3D">
              <w:rPr>
                <w:b/>
                <w:bCs/>
                <w:sz w:val="18"/>
                <w:szCs w:val="18"/>
              </w:rPr>
              <w:t>37.4</w:t>
            </w:r>
          </w:p>
        </w:tc>
        <w:tc>
          <w:tcPr>
            <w:cnfStyle w:val="000010000000" w:firstRow="0" w:lastRow="0" w:firstColumn="0" w:lastColumn="0" w:oddVBand="1" w:evenVBand="0" w:oddHBand="0" w:evenHBand="0" w:firstRowFirstColumn="0" w:firstRowLastColumn="0" w:lastRowFirstColumn="0" w:lastRowLastColumn="0"/>
            <w:tcW w:w="755" w:type="pct"/>
          </w:tcPr>
          <w:p w14:paraId="2F935D31" w14:textId="77777777" w:rsidR="00A30E61" w:rsidRPr="00CF3E3D" w:rsidRDefault="00A30E61" w:rsidP="007007AC">
            <w:pPr>
              <w:spacing w:before="85" w:line="288" w:lineRule="auto"/>
              <w:jc w:val="center"/>
              <w:rPr>
                <w:b/>
                <w:bCs/>
                <w:sz w:val="18"/>
                <w:szCs w:val="18"/>
              </w:rPr>
            </w:pPr>
            <w:r w:rsidRPr="00CF3E3D">
              <w:rPr>
                <w:b/>
                <w:bCs/>
                <w:sz w:val="18"/>
                <w:szCs w:val="18"/>
              </w:rPr>
              <w:t>35.7</w:t>
            </w:r>
          </w:p>
        </w:tc>
        <w:tc>
          <w:tcPr>
            <w:cnfStyle w:val="000001000000" w:firstRow="0" w:lastRow="0" w:firstColumn="0" w:lastColumn="0" w:oddVBand="0" w:evenVBand="1" w:oddHBand="0" w:evenHBand="0" w:firstRowFirstColumn="0" w:firstRowLastColumn="0" w:lastRowFirstColumn="0" w:lastRowLastColumn="0"/>
            <w:tcW w:w="755" w:type="pct"/>
          </w:tcPr>
          <w:p w14:paraId="436AFBB0" w14:textId="77777777" w:rsidR="00A30E61" w:rsidRPr="00CF3E3D" w:rsidRDefault="00A30E61" w:rsidP="007007AC">
            <w:pPr>
              <w:spacing w:before="85" w:line="288" w:lineRule="auto"/>
              <w:jc w:val="center"/>
              <w:rPr>
                <w:b/>
                <w:bCs/>
                <w:sz w:val="18"/>
                <w:szCs w:val="18"/>
              </w:rPr>
            </w:pPr>
            <w:r w:rsidRPr="00CF3E3D">
              <w:rPr>
                <w:b/>
                <w:bCs/>
                <w:sz w:val="18"/>
                <w:szCs w:val="18"/>
              </w:rPr>
              <w:t>41.4</w:t>
            </w:r>
          </w:p>
        </w:tc>
        <w:tc>
          <w:tcPr>
            <w:cnfStyle w:val="000010000000" w:firstRow="0" w:lastRow="0" w:firstColumn="0" w:lastColumn="0" w:oddVBand="1" w:evenVBand="0" w:oddHBand="0" w:evenHBand="0" w:firstRowFirstColumn="0" w:firstRowLastColumn="0" w:lastRowFirstColumn="0" w:lastRowLastColumn="0"/>
            <w:tcW w:w="755" w:type="pct"/>
          </w:tcPr>
          <w:p w14:paraId="7A467570" w14:textId="77777777" w:rsidR="00A30E61" w:rsidRPr="00CF3E3D" w:rsidRDefault="00A30E61" w:rsidP="007007AC">
            <w:pPr>
              <w:spacing w:before="85" w:line="288" w:lineRule="auto"/>
              <w:jc w:val="center"/>
              <w:rPr>
                <w:b/>
                <w:bCs/>
                <w:sz w:val="18"/>
                <w:szCs w:val="18"/>
              </w:rPr>
            </w:pPr>
            <w:r w:rsidRPr="00CF3E3D">
              <w:rPr>
                <w:b/>
                <w:bCs/>
                <w:sz w:val="18"/>
                <w:szCs w:val="18"/>
              </w:rPr>
              <w:t>38.9</w:t>
            </w:r>
          </w:p>
        </w:tc>
      </w:tr>
    </w:tbl>
    <w:p w14:paraId="496FDC96" w14:textId="2F569336" w:rsidR="006A79B6" w:rsidRDefault="006A79B6" w:rsidP="00904CE0">
      <w:pPr>
        <w:pStyle w:val="Note"/>
        <w:spacing w:after="60"/>
        <w:rPr>
          <w:szCs w:val="16"/>
        </w:rPr>
      </w:pPr>
      <w:r w:rsidRPr="00CF3E3D">
        <w:rPr>
          <w:szCs w:val="16"/>
        </w:rPr>
        <w:t xml:space="preserve">Note: </w:t>
      </w:r>
      <w:r w:rsidRPr="00CF3E3D">
        <w:t xml:space="preserve">A </w:t>
      </w:r>
      <w:r>
        <w:t xml:space="preserve">‘-‘ </w:t>
      </w:r>
      <w:r w:rsidRPr="00CF3E3D">
        <w:t xml:space="preserve">indicates </w:t>
      </w:r>
      <w:r w:rsidRPr="00CF3E3D">
        <w:rPr>
          <w:szCs w:val="16"/>
        </w:rPr>
        <w:t>institution did not participate in that collection period.</w:t>
      </w:r>
    </w:p>
    <w:p w14:paraId="275A4BCC" w14:textId="77777777" w:rsidR="006A79B6" w:rsidRDefault="006A79B6" w:rsidP="006A79B6">
      <w:pPr>
        <w:pStyle w:val="Note"/>
        <w:spacing w:after="960"/>
        <w:rPr>
          <w:szCs w:val="16"/>
        </w:rPr>
      </w:pPr>
    </w:p>
    <w:p w14:paraId="0B3FF2E9" w14:textId="77777777" w:rsidR="006A79B6" w:rsidRDefault="006A79B6" w:rsidP="006A79B6">
      <w:pPr>
        <w:pStyle w:val="Note"/>
        <w:spacing w:after="960"/>
        <w:rPr>
          <w:szCs w:val="16"/>
        </w:rPr>
        <w:sectPr w:rsidR="006A79B6" w:rsidSect="0084792E">
          <w:pgSz w:w="16838" w:h="11906" w:orient="landscape" w:code="9"/>
          <w:pgMar w:top="1418" w:right="1418" w:bottom="1418" w:left="1418" w:header="567" w:footer="567" w:gutter="0"/>
          <w:cols w:space="708"/>
          <w:docGrid w:linePitch="360"/>
        </w:sectPr>
      </w:pPr>
    </w:p>
    <w:p w14:paraId="07AC17AC" w14:textId="77777777" w:rsidR="006A79B6" w:rsidRPr="006A79B6" w:rsidRDefault="006A79B6" w:rsidP="006A79B6">
      <w:pPr>
        <w:pStyle w:val="Heading2"/>
        <w:numPr>
          <w:ilvl w:val="0"/>
          <w:numId w:val="0"/>
        </w:numPr>
        <w:ind w:left="851" w:hanging="851"/>
        <w:rPr>
          <w:color w:val="000000" w:themeColor="text1"/>
        </w:rPr>
      </w:pPr>
      <w:bookmarkStart w:id="206" w:name="_Toc116035559"/>
      <w:bookmarkStart w:id="207" w:name="_Toc116039914"/>
      <w:r w:rsidRPr="006A79B6">
        <w:rPr>
          <w:color w:val="000000" w:themeColor="text1"/>
        </w:rPr>
        <w:lastRenderedPageBreak/>
        <w:t>1.4 Data representativeness</w:t>
      </w:r>
      <w:bookmarkEnd w:id="206"/>
      <w:bookmarkEnd w:id="207"/>
    </w:p>
    <w:p w14:paraId="7014C765" w14:textId="2B8C2518" w:rsidR="006A79B6" w:rsidRPr="00CF3E3D" w:rsidRDefault="00D1398B" w:rsidP="006A79B6">
      <w:pPr>
        <w:pStyle w:val="Body"/>
      </w:pPr>
      <w:r w:rsidRPr="009F01AF">
        <w:t>In terms of Total Survey Error, response rates are less important tha</w:t>
      </w:r>
      <w:r>
        <w:t>n</w:t>
      </w:r>
      <w:r w:rsidRPr="009F01AF">
        <w:t xml:space="preserve"> the representativeness of the respondent profile. To investigate the extent to which those who responded to the </w:t>
      </w:r>
      <w:r>
        <w:t xml:space="preserve">2022 </w:t>
      </w:r>
      <w:r w:rsidRPr="009F01AF">
        <w:t>GOS are representative of the in-scope population</w:t>
      </w:r>
      <w:r>
        <w:t>,</w:t>
      </w:r>
      <w:r w:rsidRPr="009F01AF">
        <w:t xml:space="preserve"> respondent characteristics are presented alongside population parameters in </w:t>
      </w:r>
      <w:r w:rsidR="006A79B6" w:rsidRPr="00CF3E3D">
        <w:fldChar w:fldCharType="begin"/>
      </w:r>
      <w:r w:rsidR="006A79B6" w:rsidRPr="00CF3E3D">
        <w:instrText xml:space="preserve"> REF _Ref77925850 \h </w:instrText>
      </w:r>
      <w:r w:rsidR="006A79B6" w:rsidRPr="00CF3E3D">
        <w:fldChar w:fldCharType="separate"/>
      </w:r>
      <w:r w:rsidR="006A79B6" w:rsidRPr="00CF3E3D">
        <w:t xml:space="preserve">Table </w:t>
      </w:r>
      <w:r w:rsidR="006A79B6">
        <w:rPr>
          <w:noProof/>
        </w:rPr>
        <w:t>27</w:t>
      </w:r>
      <w:r w:rsidR="006A79B6" w:rsidRPr="00CF3E3D">
        <w:fldChar w:fldCharType="end"/>
      </w:r>
      <w:r w:rsidR="006A79B6" w:rsidRPr="00CF3E3D">
        <w:t xml:space="preserve"> below.</w:t>
      </w:r>
    </w:p>
    <w:p w14:paraId="7CB80A55" w14:textId="77777777" w:rsidR="00FE15C8" w:rsidRPr="00FC3765" w:rsidRDefault="00FE15C8" w:rsidP="00FE15C8">
      <w:pPr>
        <w:pStyle w:val="Body"/>
      </w:pPr>
      <w:bookmarkStart w:id="208" w:name="_Hlk120712503"/>
      <w:bookmarkStart w:id="209" w:name="_Ref77925850"/>
      <w:bookmarkStart w:id="210" w:name="_Toc22200720"/>
      <w:bookmarkStart w:id="211" w:name="_Toc116035821"/>
      <w:bookmarkStart w:id="212" w:name="_Toc116040376"/>
      <w:r w:rsidRPr="00FC3765">
        <w:t xml:space="preserve">Some groups in the achieved sample are represented broadly in-line with their sample proportion, </w:t>
      </w:r>
      <w:r>
        <w:t>with</w:t>
      </w:r>
      <w:r w:rsidRPr="00FC3765">
        <w:t xml:space="preserve"> combined course of study indicator and Aboriginal and Torres Strait Islander status particularly well-matched. </w:t>
      </w:r>
    </w:p>
    <w:p w14:paraId="3B716646" w14:textId="77777777" w:rsidR="00FE15C8" w:rsidRPr="00FC3765" w:rsidRDefault="00FE15C8" w:rsidP="00FE15C8">
      <w:pPr>
        <w:pStyle w:val="Body"/>
      </w:pPr>
      <w:r w:rsidRPr="00FC3765">
        <w:t>As with prior years, groups with strong representation in the 202</w:t>
      </w:r>
      <w:r>
        <w:t>2</w:t>
      </w:r>
      <w:r w:rsidRPr="00FC3765">
        <w:t xml:space="preserve"> GOS achieved sample include postgraduate research graduates, females, external</w:t>
      </w:r>
      <w:r>
        <w:t xml:space="preserve"> </w:t>
      </w:r>
      <w:r w:rsidRPr="00FC3765">
        <w:t>/</w:t>
      </w:r>
      <w:r>
        <w:t xml:space="preserve"> </w:t>
      </w:r>
      <w:r w:rsidRPr="00FC3765">
        <w:t xml:space="preserve">distance education graduates, those attending part-time, those who mainly speak English at home, domestic residents, and </w:t>
      </w:r>
      <w:r w:rsidRPr="00891683">
        <w:t>graduates from regional areas.</w:t>
      </w:r>
      <w:r w:rsidRPr="00FC3765">
        <w:t xml:space="preserve"> </w:t>
      </w:r>
    </w:p>
    <w:p w14:paraId="086D6DF7" w14:textId="77777777" w:rsidR="00FE15C8" w:rsidRPr="00FC3765" w:rsidRDefault="00FE15C8" w:rsidP="00FE15C8">
      <w:pPr>
        <w:pStyle w:val="Body"/>
      </w:pPr>
      <w:r w:rsidRPr="00FC3765">
        <w:t xml:space="preserve">Males, those who speak a language other than English at home and international graduates are the most under-represented in the GOS. </w:t>
      </w:r>
      <w:r>
        <w:t>R</w:t>
      </w:r>
      <w:r w:rsidRPr="008F35E7">
        <w:t xml:space="preserve">esponse from males is under-represented by 4.1 per cent in comparison to </w:t>
      </w:r>
      <w:r>
        <w:t xml:space="preserve">females, though </w:t>
      </w:r>
      <w:r w:rsidRPr="00FC3765">
        <w:t xml:space="preserve">this is comparable </w:t>
      </w:r>
      <w:r>
        <w:t>to prior years of the GOS</w:t>
      </w:r>
      <w:r w:rsidRPr="00FC3765">
        <w:t xml:space="preserve">. Engagement activities for future collection cycles </w:t>
      </w:r>
      <w:r>
        <w:t>could</w:t>
      </w:r>
      <w:r w:rsidRPr="00FC3765">
        <w:t xml:space="preserve"> </w:t>
      </w:r>
      <w:r>
        <w:t xml:space="preserve">explore strategies </w:t>
      </w:r>
      <w:r w:rsidRPr="00FC3765">
        <w:t xml:space="preserve">to increase </w:t>
      </w:r>
      <w:r>
        <w:t>response</w:t>
      </w:r>
      <w:r w:rsidRPr="00FC3765">
        <w:t xml:space="preserve"> among males</w:t>
      </w:r>
      <w:r>
        <w:t xml:space="preserve">. </w:t>
      </w:r>
    </w:p>
    <w:bookmarkEnd w:id="208"/>
    <w:p w14:paraId="2EA22592" w14:textId="77777777" w:rsidR="00347229" w:rsidRPr="00FC3765" w:rsidRDefault="00347229" w:rsidP="00347229">
      <w:pPr>
        <w:pStyle w:val="Body"/>
      </w:pPr>
      <w:r w:rsidRPr="00FC3765">
        <w:t xml:space="preserve">International graduates and those who speak a language other than English at home are under-represented by </w:t>
      </w:r>
      <w:r>
        <w:t>6.0</w:t>
      </w:r>
      <w:r w:rsidRPr="00FC3765">
        <w:t xml:space="preserve"> and </w:t>
      </w:r>
      <w:r>
        <w:t>4</w:t>
      </w:r>
      <w:r w:rsidRPr="00FC3765">
        <w:t>.</w:t>
      </w:r>
      <w:r>
        <w:t>5</w:t>
      </w:r>
      <w:r w:rsidRPr="00FC3765">
        <w:t xml:space="preserve"> percentage points respectively. </w:t>
      </w:r>
      <w:r>
        <w:t xml:space="preserve">Tailoring of communications as part of the International Engagement Strategy should be continued in future collections, to try and increase </w:t>
      </w:r>
      <w:r w:rsidRPr="00FC3765">
        <w:t xml:space="preserve">response among these groups. </w:t>
      </w:r>
    </w:p>
    <w:p w14:paraId="753CC6E2" w14:textId="03D66878" w:rsidR="006A79B6" w:rsidRPr="006A79B6" w:rsidRDefault="006A79B6" w:rsidP="006A79B6">
      <w:pPr>
        <w:pStyle w:val="Caption"/>
        <w:rPr>
          <w:color w:val="000000" w:themeColor="text1"/>
        </w:rPr>
      </w:pPr>
      <w:r w:rsidRPr="006A79B6">
        <w:rPr>
          <w:color w:val="000000" w:themeColor="text1"/>
        </w:rPr>
        <w:t xml:space="preserve">Table </w:t>
      </w:r>
      <w:r w:rsidRPr="006A79B6">
        <w:rPr>
          <w:color w:val="000000" w:themeColor="text1"/>
        </w:rPr>
        <w:fldChar w:fldCharType="begin"/>
      </w:r>
      <w:r w:rsidRPr="006A79B6">
        <w:rPr>
          <w:color w:val="000000" w:themeColor="text1"/>
        </w:rPr>
        <w:instrText xml:space="preserve"> SEQ Table \* ARABIC </w:instrText>
      </w:r>
      <w:r w:rsidRPr="006A79B6">
        <w:rPr>
          <w:color w:val="000000" w:themeColor="text1"/>
        </w:rPr>
        <w:fldChar w:fldCharType="separate"/>
      </w:r>
      <w:r w:rsidRPr="006A79B6">
        <w:rPr>
          <w:noProof/>
          <w:color w:val="000000" w:themeColor="text1"/>
        </w:rPr>
        <w:t>27</w:t>
      </w:r>
      <w:r w:rsidRPr="006A79B6">
        <w:rPr>
          <w:color w:val="000000" w:themeColor="text1"/>
        </w:rPr>
        <w:fldChar w:fldCharType="end"/>
      </w:r>
      <w:bookmarkEnd w:id="209"/>
      <w:r w:rsidRPr="006A79B6">
        <w:rPr>
          <w:color w:val="000000" w:themeColor="text1"/>
        </w:rPr>
        <w:t xml:space="preserve"> 2022 GOS </w:t>
      </w:r>
      <w:bookmarkEnd w:id="210"/>
      <w:r w:rsidRPr="006A79B6">
        <w:rPr>
          <w:color w:val="000000" w:themeColor="text1"/>
        </w:rPr>
        <w:t>population parameters by subgroup and response characteristics</w:t>
      </w:r>
      <w:bookmarkEnd w:id="211"/>
      <w:bookmarkEnd w:id="212"/>
    </w:p>
    <w:tbl>
      <w:tblPr>
        <w:tblStyle w:val="SRC1"/>
        <w:tblW w:w="4850" w:type="pct"/>
        <w:tblLayout w:type="fixed"/>
        <w:tblCellMar>
          <w:left w:w="28" w:type="dxa"/>
          <w:right w:w="28" w:type="dxa"/>
        </w:tblCellMar>
        <w:tblLook w:val="0020" w:firstRow="1" w:lastRow="0" w:firstColumn="0" w:lastColumn="0" w:noHBand="0" w:noVBand="0"/>
        <w:tblCaption w:val="Table 5  Short- (2014) and medium-term (2017) outcomes for undergraduates by study area "/>
      </w:tblPr>
      <w:tblGrid>
        <w:gridCol w:w="3024"/>
        <w:gridCol w:w="1443"/>
        <w:gridCol w:w="1443"/>
        <w:gridCol w:w="1443"/>
        <w:gridCol w:w="1445"/>
      </w:tblGrid>
      <w:tr w:rsidR="006A79B6" w:rsidRPr="00CF3E3D" w14:paraId="1BC76363" w14:textId="77777777" w:rsidTr="009D11A2">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719" w:type="pct"/>
          </w:tcPr>
          <w:p w14:paraId="37A6AFD5" w14:textId="33A7771F" w:rsidR="006A79B6" w:rsidRPr="00CF3E3D" w:rsidRDefault="005913F8" w:rsidP="007007AC">
            <w:pPr>
              <w:rPr>
                <w:b w:val="0"/>
                <w:sz w:val="18"/>
                <w:szCs w:val="18"/>
              </w:rPr>
            </w:pPr>
            <w:bookmarkStart w:id="213" w:name="Title27"/>
            <w:bookmarkEnd w:id="213"/>
            <w:r w:rsidRPr="00536AE7">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820" w:type="pct"/>
          </w:tcPr>
          <w:p w14:paraId="10B44F3B"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In-scope sample (n)</w:t>
            </w:r>
          </w:p>
        </w:tc>
        <w:tc>
          <w:tcPr>
            <w:cnfStyle w:val="000010000000" w:firstRow="0" w:lastRow="0" w:firstColumn="0" w:lastColumn="0" w:oddVBand="1" w:evenVBand="0" w:oddHBand="0" w:evenHBand="0" w:firstRowFirstColumn="0" w:firstRowLastColumn="0" w:lastRowFirstColumn="0" w:lastRowLastColumn="0"/>
            <w:tcW w:w="820" w:type="pct"/>
          </w:tcPr>
          <w:p w14:paraId="70503D88"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In-scope sample (%)</w:t>
            </w:r>
          </w:p>
        </w:tc>
        <w:tc>
          <w:tcPr>
            <w:cnfStyle w:val="000001000000" w:firstRow="0" w:lastRow="0" w:firstColumn="0" w:lastColumn="0" w:oddVBand="0" w:evenVBand="1" w:oddHBand="0" w:evenHBand="0" w:firstRowFirstColumn="0" w:firstRowLastColumn="0" w:lastRowFirstColumn="0" w:lastRowLastColumn="0"/>
            <w:tcW w:w="820" w:type="pct"/>
          </w:tcPr>
          <w:p w14:paraId="515585F6"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 xml:space="preserve">Respondents </w:t>
            </w:r>
          </w:p>
          <w:p w14:paraId="59011C70"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(n)</w:t>
            </w:r>
          </w:p>
        </w:tc>
        <w:tc>
          <w:tcPr>
            <w:cnfStyle w:val="000010000000" w:firstRow="0" w:lastRow="0" w:firstColumn="0" w:lastColumn="0" w:oddVBand="1" w:evenVBand="0" w:oddHBand="0" w:evenHBand="0" w:firstRowFirstColumn="0" w:firstRowLastColumn="0" w:lastRowFirstColumn="0" w:lastRowLastColumn="0"/>
            <w:tcW w:w="821" w:type="pct"/>
          </w:tcPr>
          <w:p w14:paraId="1AACC803"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 xml:space="preserve">Respondents </w:t>
            </w:r>
          </w:p>
          <w:p w14:paraId="7181CDF7"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w:t>
            </w:r>
          </w:p>
        </w:tc>
      </w:tr>
      <w:tr w:rsidR="006A79B6" w:rsidRPr="00CF3E3D" w14:paraId="7223FCBA"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4B3C7ABF" w14:textId="77777777" w:rsidR="006A79B6" w:rsidRPr="00CF3E3D" w:rsidRDefault="006A79B6" w:rsidP="007007AC">
            <w:pPr>
              <w:spacing w:before="85" w:line="288" w:lineRule="auto"/>
              <w:rPr>
                <w:b/>
                <w:bCs/>
                <w:sz w:val="18"/>
                <w:szCs w:val="18"/>
              </w:rPr>
            </w:pPr>
            <w:r w:rsidRPr="00CF3E3D">
              <w:rPr>
                <w:b/>
                <w:bCs/>
                <w:sz w:val="18"/>
                <w:szCs w:val="18"/>
              </w:rPr>
              <w:t>Base</w:t>
            </w:r>
            <w:r w:rsidRPr="00CF3E3D">
              <w:rPr>
                <w:rStyle w:val="FootnoteReference"/>
                <w:b/>
                <w:bCs/>
                <w:sz w:val="18"/>
                <w:szCs w:val="18"/>
              </w:rPr>
              <w:footnoteReference w:id="7"/>
            </w:r>
          </w:p>
        </w:tc>
        <w:tc>
          <w:tcPr>
            <w:cnfStyle w:val="000001000000" w:firstRow="0" w:lastRow="0" w:firstColumn="0" w:lastColumn="0" w:oddVBand="0" w:evenVBand="1" w:oddHBand="0" w:evenHBand="0" w:firstRowFirstColumn="0" w:firstRowLastColumn="0" w:lastRowFirstColumn="0" w:lastRowLastColumn="0"/>
            <w:tcW w:w="820" w:type="pct"/>
          </w:tcPr>
          <w:p w14:paraId="6A3DCA8D" w14:textId="77777777" w:rsidR="006A79B6" w:rsidRPr="00CF3E3D" w:rsidRDefault="006A79B6" w:rsidP="007007AC">
            <w:pPr>
              <w:spacing w:before="85" w:line="288" w:lineRule="auto"/>
              <w:jc w:val="center"/>
              <w:rPr>
                <w:sz w:val="18"/>
                <w:szCs w:val="18"/>
              </w:rPr>
            </w:pPr>
            <w:r w:rsidRPr="00CF3E3D">
              <w:rPr>
                <w:sz w:val="18"/>
                <w:szCs w:val="18"/>
              </w:rPr>
              <w:t>333,278</w:t>
            </w:r>
          </w:p>
        </w:tc>
        <w:tc>
          <w:tcPr>
            <w:cnfStyle w:val="000010000000" w:firstRow="0" w:lastRow="0" w:firstColumn="0" w:lastColumn="0" w:oddVBand="1" w:evenVBand="0" w:oddHBand="0" w:evenHBand="0" w:firstRowFirstColumn="0" w:firstRowLastColumn="0" w:lastRowFirstColumn="0" w:lastRowLastColumn="0"/>
            <w:tcW w:w="820" w:type="pct"/>
          </w:tcPr>
          <w:p w14:paraId="5F9062E8" w14:textId="77777777" w:rsidR="006A79B6" w:rsidRPr="00CF3E3D" w:rsidRDefault="006A79B6" w:rsidP="007007AC">
            <w:pPr>
              <w:spacing w:before="85" w:line="288" w:lineRule="auto"/>
              <w:jc w:val="center"/>
              <w:rPr>
                <w:sz w:val="18"/>
                <w:szCs w:val="18"/>
              </w:rPr>
            </w:pPr>
            <w:r w:rsidRPr="00CF3E3D">
              <w:rPr>
                <w:sz w:val="18"/>
                <w:szCs w:val="18"/>
              </w:rPr>
              <w:t>100.0</w:t>
            </w:r>
          </w:p>
        </w:tc>
        <w:tc>
          <w:tcPr>
            <w:cnfStyle w:val="000001000000" w:firstRow="0" w:lastRow="0" w:firstColumn="0" w:lastColumn="0" w:oddVBand="0" w:evenVBand="1" w:oddHBand="0" w:evenHBand="0" w:firstRowFirstColumn="0" w:firstRowLastColumn="0" w:lastRowFirstColumn="0" w:lastRowLastColumn="0"/>
            <w:tcW w:w="820" w:type="pct"/>
          </w:tcPr>
          <w:p w14:paraId="412F3666" w14:textId="77777777" w:rsidR="006A79B6" w:rsidRPr="00CF3E3D" w:rsidRDefault="006A79B6" w:rsidP="007007AC">
            <w:pPr>
              <w:spacing w:before="85" w:line="288" w:lineRule="auto"/>
              <w:jc w:val="center"/>
              <w:rPr>
                <w:sz w:val="18"/>
                <w:szCs w:val="18"/>
              </w:rPr>
            </w:pPr>
            <w:r w:rsidRPr="00CF3E3D">
              <w:rPr>
                <w:sz w:val="18"/>
                <w:szCs w:val="18"/>
              </w:rPr>
              <w:t>131,311</w:t>
            </w:r>
          </w:p>
        </w:tc>
        <w:tc>
          <w:tcPr>
            <w:cnfStyle w:val="000010000000" w:firstRow="0" w:lastRow="0" w:firstColumn="0" w:lastColumn="0" w:oddVBand="1" w:evenVBand="0" w:oddHBand="0" w:evenHBand="0" w:firstRowFirstColumn="0" w:firstRowLastColumn="0" w:lastRowFirstColumn="0" w:lastRowLastColumn="0"/>
            <w:tcW w:w="821" w:type="pct"/>
          </w:tcPr>
          <w:p w14:paraId="4B46B1E8" w14:textId="77777777" w:rsidR="006A79B6" w:rsidRPr="00CF3E3D" w:rsidRDefault="006A79B6" w:rsidP="007007AC">
            <w:pPr>
              <w:spacing w:before="85" w:line="288" w:lineRule="auto"/>
              <w:jc w:val="center"/>
              <w:rPr>
                <w:sz w:val="18"/>
                <w:szCs w:val="18"/>
              </w:rPr>
            </w:pPr>
            <w:r w:rsidRPr="00CF3E3D">
              <w:rPr>
                <w:sz w:val="18"/>
                <w:szCs w:val="18"/>
              </w:rPr>
              <w:t>100.0</w:t>
            </w:r>
          </w:p>
        </w:tc>
      </w:tr>
      <w:tr w:rsidR="006A79B6" w:rsidRPr="00CF3E3D" w14:paraId="5E2669F0"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69A3578A" w14:textId="77777777" w:rsidR="006A79B6" w:rsidRPr="00F54664" w:rsidRDefault="006A79B6" w:rsidP="007007AC">
            <w:pPr>
              <w:spacing w:before="85" w:line="288" w:lineRule="auto"/>
              <w:rPr>
                <w:b/>
                <w:bCs/>
                <w:sz w:val="18"/>
                <w:szCs w:val="18"/>
              </w:rPr>
            </w:pPr>
            <w:r w:rsidRPr="00F54664">
              <w:rPr>
                <w:b/>
                <w:bCs/>
                <w:sz w:val="18"/>
                <w:szCs w:val="18"/>
              </w:rPr>
              <w:t xml:space="preserve">Level - Undergraduate </w:t>
            </w:r>
          </w:p>
        </w:tc>
        <w:tc>
          <w:tcPr>
            <w:cnfStyle w:val="000001000000" w:firstRow="0" w:lastRow="0" w:firstColumn="0" w:lastColumn="0" w:oddVBand="0" w:evenVBand="1" w:oddHBand="0" w:evenHBand="0" w:firstRowFirstColumn="0" w:firstRowLastColumn="0" w:lastRowFirstColumn="0" w:lastRowLastColumn="0"/>
            <w:tcW w:w="820" w:type="pct"/>
          </w:tcPr>
          <w:p w14:paraId="3A623F98" w14:textId="77777777" w:rsidR="006A79B6" w:rsidRPr="00CF3E3D" w:rsidRDefault="006A79B6" w:rsidP="007007AC">
            <w:pPr>
              <w:spacing w:before="85" w:line="288" w:lineRule="auto"/>
              <w:jc w:val="center"/>
              <w:rPr>
                <w:sz w:val="18"/>
                <w:szCs w:val="18"/>
              </w:rPr>
            </w:pPr>
            <w:r w:rsidRPr="00CF3E3D">
              <w:rPr>
                <w:sz w:val="18"/>
                <w:szCs w:val="18"/>
              </w:rPr>
              <w:t>179,059</w:t>
            </w:r>
          </w:p>
        </w:tc>
        <w:tc>
          <w:tcPr>
            <w:cnfStyle w:val="000010000000" w:firstRow="0" w:lastRow="0" w:firstColumn="0" w:lastColumn="0" w:oddVBand="1" w:evenVBand="0" w:oddHBand="0" w:evenHBand="0" w:firstRowFirstColumn="0" w:firstRowLastColumn="0" w:lastRowFirstColumn="0" w:lastRowLastColumn="0"/>
            <w:tcW w:w="820" w:type="pct"/>
          </w:tcPr>
          <w:p w14:paraId="662E8AB9" w14:textId="77777777" w:rsidR="006A79B6" w:rsidRPr="00CF3E3D" w:rsidRDefault="006A79B6" w:rsidP="007007AC">
            <w:pPr>
              <w:spacing w:before="85" w:line="288" w:lineRule="auto"/>
              <w:jc w:val="center"/>
              <w:rPr>
                <w:sz w:val="18"/>
                <w:szCs w:val="18"/>
              </w:rPr>
            </w:pPr>
            <w:r w:rsidRPr="00CF3E3D">
              <w:rPr>
                <w:sz w:val="18"/>
                <w:szCs w:val="18"/>
              </w:rPr>
              <w:t>53.7</w:t>
            </w:r>
          </w:p>
        </w:tc>
        <w:tc>
          <w:tcPr>
            <w:cnfStyle w:val="000001000000" w:firstRow="0" w:lastRow="0" w:firstColumn="0" w:lastColumn="0" w:oddVBand="0" w:evenVBand="1" w:oddHBand="0" w:evenHBand="0" w:firstRowFirstColumn="0" w:firstRowLastColumn="0" w:lastRowFirstColumn="0" w:lastRowLastColumn="0"/>
            <w:tcW w:w="820" w:type="pct"/>
          </w:tcPr>
          <w:p w14:paraId="228CD99D" w14:textId="77777777" w:rsidR="006A79B6" w:rsidRPr="00CF3E3D" w:rsidRDefault="006A79B6" w:rsidP="007007AC">
            <w:pPr>
              <w:spacing w:before="85" w:line="288" w:lineRule="auto"/>
              <w:jc w:val="center"/>
              <w:rPr>
                <w:sz w:val="18"/>
                <w:szCs w:val="18"/>
              </w:rPr>
            </w:pPr>
            <w:r w:rsidRPr="00CF3E3D">
              <w:rPr>
                <w:sz w:val="18"/>
                <w:szCs w:val="18"/>
              </w:rPr>
              <w:t>69,151</w:t>
            </w:r>
          </w:p>
        </w:tc>
        <w:tc>
          <w:tcPr>
            <w:cnfStyle w:val="000010000000" w:firstRow="0" w:lastRow="0" w:firstColumn="0" w:lastColumn="0" w:oddVBand="1" w:evenVBand="0" w:oddHBand="0" w:evenHBand="0" w:firstRowFirstColumn="0" w:firstRowLastColumn="0" w:lastRowFirstColumn="0" w:lastRowLastColumn="0"/>
            <w:tcW w:w="821" w:type="pct"/>
          </w:tcPr>
          <w:p w14:paraId="10851FEC" w14:textId="77777777" w:rsidR="006A79B6" w:rsidRPr="00CF3E3D" w:rsidRDefault="006A79B6" w:rsidP="007007AC">
            <w:pPr>
              <w:spacing w:before="85" w:line="288" w:lineRule="auto"/>
              <w:jc w:val="center"/>
              <w:rPr>
                <w:sz w:val="18"/>
                <w:szCs w:val="18"/>
              </w:rPr>
            </w:pPr>
            <w:r w:rsidRPr="00CF3E3D">
              <w:rPr>
                <w:sz w:val="18"/>
                <w:szCs w:val="18"/>
              </w:rPr>
              <w:t>52.7</w:t>
            </w:r>
          </w:p>
        </w:tc>
      </w:tr>
      <w:tr w:rsidR="006A79B6" w:rsidRPr="00CF3E3D" w14:paraId="75FDCABE"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02BB07CA" w14:textId="77777777" w:rsidR="006A79B6" w:rsidRPr="00F54664" w:rsidRDefault="006A79B6" w:rsidP="007007AC">
            <w:pPr>
              <w:spacing w:before="85" w:line="288" w:lineRule="auto"/>
              <w:rPr>
                <w:b/>
                <w:bCs/>
                <w:sz w:val="18"/>
                <w:szCs w:val="18"/>
              </w:rPr>
            </w:pPr>
            <w:r w:rsidRPr="00F54664">
              <w:rPr>
                <w:b/>
                <w:bCs/>
                <w:sz w:val="18"/>
                <w:szCs w:val="18"/>
              </w:rPr>
              <w:t>Level - Postgraduate coursework</w:t>
            </w:r>
          </w:p>
        </w:tc>
        <w:tc>
          <w:tcPr>
            <w:cnfStyle w:val="000001000000" w:firstRow="0" w:lastRow="0" w:firstColumn="0" w:lastColumn="0" w:oddVBand="0" w:evenVBand="1" w:oddHBand="0" w:evenHBand="0" w:firstRowFirstColumn="0" w:firstRowLastColumn="0" w:lastRowFirstColumn="0" w:lastRowLastColumn="0"/>
            <w:tcW w:w="820" w:type="pct"/>
          </w:tcPr>
          <w:p w14:paraId="5C267D90" w14:textId="77777777" w:rsidR="006A79B6" w:rsidRPr="00CF3E3D" w:rsidRDefault="006A79B6" w:rsidP="007007AC">
            <w:pPr>
              <w:spacing w:before="85" w:line="288" w:lineRule="auto"/>
              <w:jc w:val="center"/>
              <w:rPr>
                <w:sz w:val="18"/>
                <w:szCs w:val="18"/>
              </w:rPr>
            </w:pPr>
            <w:r w:rsidRPr="00CF3E3D">
              <w:rPr>
                <w:sz w:val="18"/>
                <w:szCs w:val="18"/>
              </w:rPr>
              <w:t>143,009</w:t>
            </w:r>
          </w:p>
        </w:tc>
        <w:tc>
          <w:tcPr>
            <w:cnfStyle w:val="000010000000" w:firstRow="0" w:lastRow="0" w:firstColumn="0" w:lastColumn="0" w:oddVBand="1" w:evenVBand="0" w:oddHBand="0" w:evenHBand="0" w:firstRowFirstColumn="0" w:firstRowLastColumn="0" w:lastRowFirstColumn="0" w:lastRowLastColumn="0"/>
            <w:tcW w:w="820" w:type="pct"/>
          </w:tcPr>
          <w:p w14:paraId="4BABEB76" w14:textId="77777777" w:rsidR="006A79B6" w:rsidRPr="00CF3E3D" w:rsidRDefault="006A79B6" w:rsidP="007007AC">
            <w:pPr>
              <w:spacing w:before="85" w:line="288" w:lineRule="auto"/>
              <w:jc w:val="center"/>
              <w:rPr>
                <w:sz w:val="18"/>
                <w:szCs w:val="18"/>
              </w:rPr>
            </w:pPr>
            <w:r w:rsidRPr="00CF3E3D">
              <w:rPr>
                <w:sz w:val="18"/>
                <w:szCs w:val="18"/>
              </w:rPr>
              <w:t>42.9</w:t>
            </w:r>
          </w:p>
        </w:tc>
        <w:tc>
          <w:tcPr>
            <w:cnfStyle w:val="000001000000" w:firstRow="0" w:lastRow="0" w:firstColumn="0" w:lastColumn="0" w:oddVBand="0" w:evenVBand="1" w:oddHBand="0" w:evenHBand="0" w:firstRowFirstColumn="0" w:firstRowLastColumn="0" w:lastRowFirstColumn="0" w:lastRowLastColumn="0"/>
            <w:tcW w:w="820" w:type="pct"/>
          </w:tcPr>
          <w:p w14:paraId="1D74D8CC" w14:textId="77777777" w:rsidR="006A79B6" w:rsidRPr="00CF3E3D" w:rsidRDefault="006A79B6" w:rsidP="007007AC">
            <w:pPr>
              <w:spacing w:before="85" w:line="288" w:lineRule="auto"/>
              <w:jc w:val="center"/>
              <w:rPr>
                <w:sz w:val="18"/>
                <w:szCs w:val="18"/>
              </w:rPr>
            </w:pPr>
            <w:r w:rsidRPr="00CF3E3D">
              <w:rPr>
                <w:sz w:val="18"/>
                <w:szCs w:val="18"/>
              </w:rPr>
              <w:t>55,261</w:t>
            </w:r>
          </w:p>
        </w:tc>
        <w:tc>
          <w:tcPr>
            <w:cnfStyle w:val="000010000000" w:firstRow="0" w:lastRow="0" w:firstColumn="0" w:lastColumn="0" w:oddVBand="1" w:evenVBand="0" w:oddHBand="0" w:evenHBand="0" w:firstRowFirstColumn="0" w:firstRowLastColumn="0" w:lastRowFirstColumn="0" w:lastRowLastColumn="0"/>
            <w:tcW w:w="821" w:type="pct"/>
          </w:tcPr>
          <w:p w14:paraId="26ADD62A" w14:textId="77777777" w:rsidR="006A79B6" w:rsidRPr="00CF3E3D" w:rsidRDefault="006A79B6" w:rsidP="007007AC">
            <w:pPr>
              <w:spacing w:before="85" w:line="288" w:lineRule="auto"/>
              <w:jc w:val="center"/>
              <w:rPr>
                <w:sz w:val="18"/>
                <w:szCs w:val="18"/>
              </w:rPr>
            </w:pPr>
            <w:r w:rsidRPr="00CF3E3D">
              <w:rPr>
                <w:sz w:val="18"/>
                <w:szCs w:val="18"/>
              </w:rPr>
              <w:t>42.1</w:t>
            </w:r>
          </w:p>
        </w:tc>
      </w:tr>
      <w:tr w:rsidR="006A79B6" w:rsidRPr="00CF3E3D" w14:paraId="27686ADC"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2457D1C9" w14:textId="77777777" w:rsidR="006A79B6" w:rsidRPr="00F54664" w:rsidRDefault="006A79B6" w:rsidP="007007AC">
            <w:pPr>
              <w:spacing w:before="85" w:line="288" w:lineRule="auto"/>
              <w:rPr>
                <w:b/>
                <w:bCs/>
                <w:sz w:val="18"/>
                <w:szCs w:val="18"/>
              </w:rPr>
            </w:pPr>
            <w:r w:rsidRPr="00F54664">
              <w:rPr>
                <w:b/>
                <w:bCs/>
                <w:sz w:val="18"/>
                <w:szCs w:val="18"/>
              </w:rPr>
              <w:t>Level - Postgraduate research</w:t>
            </w:r>
          </w:p>
        </w:tc>
        <w:tc>
          <w:tcPr>
            <w:cnfStyle w:val="000001000000" w:firstRow="0" w:lastRow="0" w:firstColumn="0" w:lastColumn="0" w:oddVBand="0" w:evenVBand="1" w:oddHBand="0" w:evenHBand="0" w:firstRowFirstColumn="0" w:firstRowLastColumn="0" w:lastRowFirstColumn="0" w:lastRowLastColumn="0"/>
            <w:tcW w:w="820" w:type="pct"/>
          </w:tcPr>
          <w:p w14:paraId="5817E21C" w14:textId="77777777" w:rsidR="006A79B6" w:rsidRPr="00CF3E3D" w:rsidRDefault="006A79B6" w:rsidP="007007AC">
            <w:pPr>
              <w:spacing w:before="85" w:line="288" w:lineRule="auto"/>
              <w:jc w:val="center"/>
              <w:rPr>
                <w:sz w:val="18"/>
                <w:szCs w:val="18"/>
              </w:rPr>
            </w:pPr>
            <w:r w:rsidRPr="00CF3E3D">
              <w:rPr>
                <w:sz w:val="18"/>
                <w:szCs w:val="18"/>
              </w:rPr>
              <w:t>9,148</w:t>
            </w:r>
          </w:p>
        </w:tc>
        <w:tc>
          <w:tcPr>
            <w:cnfStyle w:val="000010000000" w:firstRow="0" w:lastRow="0" w:firstColumn="0" w:lastColumn="0" w:oddVBand="1" w:evenVBand="0" w:oddHBand="0" w:evenHBand="0" w:firstRowFirstColumn="0" w:firstRowLastColumn="0" w:lastRowFirstColumn="0" w:lastRowLastColumn="0"/>
            <w:tcW w:w="820" w:type="pct"/>
          </w:tcPr>
          <w:p w14:paraId="274A4110" w14:textId="77777777" w:rsidR="006A79B6" w:rsidRPr="00CF3E3D" w:rsidRDefault="006A79B6" w:rsidP="007007AC">
            <w:pPr>
              <w:spacing w:before="85" w:line="288" w:lineRule="auto"/>
              <w:jc w:val="center"/>
              <w:rPr>
                <w:sz w:val="18"/>
                <w:szCs w:val="18"/>
              </w:rPr>
            </w:pPr>
            <w:r w:rsidRPr="00CF3E3D">
              <w:rPr>
                <w:sz w:val="18"/>
                <w:szCs w:val="18"/>
              </w:rPr>
              <w:t>2.7</w:t>
            </w:r>
          </w:p>
        </w:tc>
        <w:tc>
          <w:tcPr>
            <w:cnfStyle w:val="000001000000" w:firstRow="0" w:lastRow="0" w:firstColumn="0" w:lastColumn="0" w:oddVBand="0" w:evenVBand="1" w:oddHBand="0" w:evenHBand="0" w:firstRowFirstColumn="0" w:firstRowLastColumn="0" w:lastRowFirstColumn="0" w:lastRowLastColumn="0"/>
            <w:tcW w:w="820" w:type="pct"/>
          </w:tcPr>
          <w:p w14:paraId="66AEC413" w14:textId="77777777" w:rsidR="006A79B6" w:rsidRPr="00CF3E3D" w:rsidRDefault="006A79B6" w:rsidP="007007AC">
            <w:pPr>
              <w:spacing w:before="85" w:line="288" w:lineRule="auto"/>
              <w:jc w:val="center"/>
              <w:rPr>
                <w:sz w:val="18"/>
                <w:szCs w:val="18"/>
              </w:rPr>
            </w:pPr>
            <w:r w:rsidRPr="00CF3E3D">
              <w:rPr>
                <w:sz w:val="18"/>
                <w:szCs w:val="18"/>
              </w:rPr>
              <w:t>5,979</w:t>
            </w:r>
          </w:p>
        </w:tc>
        <w:tc>
          <w:tcPr>
            <w:cnfStyle w:val="000010000000" w:firstRow="0" w:lastRow="0" w:firstColumn="0" w:lastColumn="0" w:oddVBand="1" w:evenVBand="0" w:oddHBand="0" w:evenHBand="0" w:firstRowFirstColumn="0" w:firstRowLastColumn="0" w:lastRowFirstColumn="0" w:lastRowLastColumn="0"/>
            <w:tcW w:w="821" w:type="pct"/>
          </w:tcPr>
          <w:p w14:paraId="59A4EEC2" w14:textId="77777777" w:rsidR="006A79B6" w:rsidRPr="00CF3E3D" w:rsidRDefault="006A79B6" w:rsidP="007007AC">
            <w:pPr>
              <w:spacing w:before="85" w:line="288" w:lineRule="auto"/>
              <w:jc w:val="center"/>
              <w:rPr>
                <w:sz w:val="18"/>
                <w:szCs w:val="18"/>
              </w:rPr>
            </w:pPr>
            <w:r w:rsidRPr="00CF3E3D">
              <w:rPr>
                <w:sz w:val="18"/>
                <w:szCs w:val="18"/>
              </w:rPr>
              <w:t>4.6</w:t>
            </w:r>
          </w:p>
        </w:tc>
      </w:tr>
      <w:tr w:rsidR="006A79B6" w:rsidRPr="00CF3E3D" w14:paraId="478B13B5"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6BD8405A" w14:textId="77777777" w:rsidR="006A79B6" w:rsidRPr="00F54664" w:rsidRDefault="006A79B6" w:rsidP="007007AC">
            <w:pPr>
              <w:spacing w:before="85" w:line="288" w:lineRule="auto"/>
              <w:rPr>
                <w:b/>
                <w:bCs/>
                <w:sz w:val="18"/>
                <w:szCs w:val="18"/>
              </w:rPr>
            </w:pPr>
            <w:r w:rsidRPr="00F54664">
              <w:rPr>
                <w:b/>
                <w:bCs/>
                <w:sz w:val="18"/>
                <w:szCs w:val="18"/>
              </w:rPr>
              <w:t>Gender - Male</w:t>
            </w:r>
          </w:p>
        </w:tc>
        <w:tc>
          <w:tcPr>
            <w:cnfStyle w:val="000001000000" w:firstRow="0" w:lastRow="0" w:firstColumn="0" w:lastColumn="0" w:oddVBand="0" w:evenVBand="1" w:oddHBand="0" w:evenHBand="0" w:firstRowFirstColumn="0" w:firstRowLastColumn="0" w:lastRowFirstColumn="0" w:lastRowLastColumn="0"/>
            <w:tcW w:w="820" w:type="pct"/>
          </w:tcPr>
          <w:p w14:paraId="6229B301" w14:textId="77777777" w:rsidR="006A79B6" w:rsidRPr="00CF3E3D" w:rsidRDefault="006A79B6" w:rsidP="007007AC">
            <w:pPr>
              <w:spacing w:before="85" w:line="288" w:lineRule="auto"/>
              <w:jc w:val="center"/>
              <w:rPr>
                <w:sz w:val="18"/>
                <w:szCs w:val="18"/>
              </w:rPr>
            </w:pPr>
            <w:r w:rsidRPr="00CF3E3D">
              <w:rPr>
                <w:sz w:val="18"/>
                <w:szCs w:val="18"/>
              </w:rPr>
              <w:t>140,445</w:t>
            </w:r>
          </w:p>
        </w:tc>
        <w:tc>
          <w:tcPr>
            <w:cnfStyle w:val="000010000000" w:firstRow="0" w:lastRow="0" w:firstColumn="0" w:lastColumn="0" w:oddVBand="1" w:evenVBand="0" w:oddHBand="0" w:evenHBand="0" w:firstRowFirstColumn="0" w:firstRowLastColumn="0" w:lastRowFirstColumn="0" w:lastRowLastColumn="0"/>
            <w:tcW w:w="820" w:type="pct"/>
          </w:tcPr>
          <w:p w14:paraId="74C5265F" w14:textId="77777777" w:rsidR="006A79B6" w:rsidRPr="00CF3E3D" w:rsidRDefault="006A79B6" w:rsidP="007007AC">
            <w:pPr>
              <w:spacing w:before="85" w:line="288" w:lineRule="auto"/>
              <w:jc w:val="center"/>
              <w:rPr>
                <w:sz w:val="18"/>
                <w:szCs w:val="18"/>
              </w:rPr>
            </w:pPr>
            <w:r w:rsidRPr="00CF3E3D">
              <w:rPr>
                <w:sz w:val="18"/>
                <w:szCs w:val="18"/>
              </w:rPr>
              <w:t>42.2</w:t>
            </w:r>
          </w:p>
        </w:tc>
        <w:tc>
          <w:tcPr>
            <w:cnfStyle w:val="000001000000" w:firstRow="0" w:lastRow="0" w:firstColumn="0" w:lastColumn="0" w:oddVBand="0" w:evenVBand="1" w:oddHBand="0" w:evenHBand="0" w:firstRowFirstColumn="0" w:firstRowLastColumn="0" w:lastRowFirstColumn="0" w:lastRowLastColumn="0"/>
            <w:tcW w:w="820" w:type="pct"/>
          </w:tcPr>
          <w:p w14:paraId="4A5DF1C3" w14:textId="77777777" w:rsidR="006A79B6" w:rsidRPr="00CF3E3D" w:rsidRDefault="006A79B6" w:rsidP="007007AC">
            <w:pPr>
              <w:spacing w:before="85" w:line="288" w:lineRule="auto"/>
              <w:jc w:val="center"/>
              <w:rPr>
                <w:sz w:val="18"/>
                <w:szCs w:val="18"/>
              </w:rPr>
            </w:pPr>
            <w:r w:rsidRPr="00CF3E3D">
              <w:rPr>
                <w:sz w:val="18"/>
                <w:szCs w:val="18"/>
              </w:rPr>
              <w:t>50,018</w:t>
            </w:r>
          </w:p>
        </w:tc>
        <w:tc>
          <w:tcPr>
            <w:cnfStyle w:val="000010000000" w:firstRow="0" w:lastRow="0" w:firstColumn="0" w:lastColumn="0" w:oddVBand="1" w:evenVBand="0" w:oddHBand="0" w:evenHBand="0" w:firstRowFirstColumn="0" w:firstRowLastColumn="0" w:lastRowFirstColumn="0" w:lastRowLastColumn="0"/>
            <w:tcW w:w="821" w:type="pct"/>
          </w:tcPr>
          <w:p w14:paraId="1110AB5F" w14:textId="77777777" w:rsidR="006A79B6" w:rsidRPr="00CF3E3D" w:rsidRDefault="006A79B6" w:rsidP="007007AC">
            <w:pPr>
              <w:spacing w:before="85" w:line="288" w:lineRule="auto"/>
              <w:jc w:val="center"/>
              <w:rPr>
                <w:sz w:val="18"/>
                <w:szCs w:val="18"/>
              </w:rPr>
            </w:pPr>
            <w:r w:rsidRPr="00CF3E3D">
              <w:rPr>
                <w:sz w:val="18"/>
                <w:szCs w:val="18"/>
              </w:rPr>
              <w:t>38.1</w:t>
            </w:r>
          </w:p>
        </w:tc>
      </w:tr>
      <w:tr w:rsidR="006A79B6" w:rsidRPr="00CF3E3D" w14:paraId="4267C293"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3D7FE96F" w14:textId="77777777" w:rsidR="006A79B6" w:rsidRPr="00F54664" w:rsidRDefault="006A79B6" w:rsidP="007007AC">
            <w:pPr>
              <w:spacing w:before="85" w:line="288" w:lineRule="auto"/>
              <w:rPr>
                <w:b/>
                <w:bCs/>
                <w:sz w:val="18"/>
                <w:szCs w:val="18"/>
              </w:rPr>
            </w:pPr>
            <w:r w:rsidRPr="00F54664">
              <w:rPr>
                <w:b/>
                <w:bCs/>
                <w:sz w:val="18"/>
                <w:szCs w:val="18"/>
              </w:rPr>
              <w:t>Gender - Female</w:t>
            </w:r>
          </w:p>
        </w:tc>
        <w:tc>
          <w:tcPr>
            <w:cnfStyle w:val="000001000000" w:firstRow="0" w:lastRow="0" w:firstColumn="0" w:lastColumn="0" w:oddVBand="0" w:evenVBand="1" w:oddHBand="0" w:evenHBand="0" w:firstRowFirstColumn="0" w:firstRowLastColumn="0" w:lastRowFirstColumn="0" w:lastRowLastColumn="0"/>
            <w:tcW w:w="820" w:type="pct"/>
          </w:tcPr>
          <w:p w14:paraId="6F2B29A1" w14:textId="77777777" w:rsidR="006A79B6" w:rsidRPr="00CF3E3D" w:rsidRDefault="006A79B6" w:rsidP="007007AC">
            <w:pPr>
              <w:spacing w:before="85" w:line="288" w:lineRule="auto"/>
              <w:jc w:val="center"/>
              <w:rPr>
                <w:sz w:val="18"/>
                <w:szCs w:val="18"/>
              </w:rPr>
            </w:pPr>
            <w:r w:rsidRPr="00CF3E3D">
              <w:rPr>
                <w:sz w:val="18"/>
                <w:szCs w:val="18"/>
              </w:rPr>
              <w:t>192,450</w:t>
            </w:r>
          </w:p>
        </w:tc>
        <w:tc>
          <w:tcPr>
            <w:cnfStyle w:val="000010000000" w:firstRow="0" w:lastRow="0" w:firstColumn="0" w:lastColumn="0" w:oddVBand="1" w:evenVBand="0" w:oddHBand="0" w:evenHBand="0" w:firstRowFirstColumn="0" w:firstRowLastColumn="0" w:lastRowFirstColumn="0" w:lastRowLastColumn="0"/>
            <w:tcW w:w="820" w:type="pct"/>
          </w:tcPr>
          <w:p w14:paraId="65E8EB50" w14:textId="77777777" w:rsidR="006A79B6" w:rsidRPr="00CF3E3D" w:rsidRDefault="006A79B6" w:rsidP="007007AC">
            <w:pPr>
              <w:spacing w:before="85" w:line="288" w:lineRule="auto"/>
              <w:jc w:val="center"/>
              <w:rPr>
                <w:sz w:val="18"/>
                <w:szCs w:val="18"/>
              </w:rPr>
            </w:pPr>
            <w:r w:rsidRPr="00CF3E3D">
              <w:rPr>
                <w:sz w:val="18"/>
                <w:szCs w:val="18"/>
              </w:rPr>
              <w:t>57.8</w:t>
            </w:r>
          </w:p>
        </w:tc>
        <w:tc>
          <w:tcPr>
            <w:cnfStyle w:val="000001000000" w:firstRow="0" w:lastRow="0" w:firstColumn="0" w:lastColumn="0" w:oddVBand="0" w:evenVBand="1" w:oddHBand="0" w:evenHBand="0" w:firstRowFirstColumn="0" w:firstRowLastColumn="0" w:lastRowFirstColumn="0" w:lastRowLastColumn="0"/>
            <w:tcW w:w="820" w:type="pct"/>
          </w:tcPr>
          <w:p w14:paraId="33985692" w14:textId="77777777" w:rsidR="006A79B6" w:rsidRPr="00CF3E3D" w:rsidRDefault="006A79B6" w:rsidP="007007AC">
            <w:pPr>
              <w:spacing w:before="85" w:line="288" w:lineRule="auto"/>
              <w:jc w:val="center"/>
              <w:rPr>
                <w:sz w:val="18"/>
                <w:szCs w:val="18"/>
              </w:rPr>
            </w:pPr>
            <w:r w:rsidRPr="00CF3E3D">
              <w:rPr>
                <w:sz w:val="18"/>
                <w:szCs w:val="18"/>
              </w:rPr>
              <w:t>81,103</w:t>
            </w:r>
          </w:p>
        </w:tc>
        <w:tc>
          <w:tcPr>
            <w:cnfStyle w:val="000010000000" w:firstRow="0" w:lastRow="0" w:firstColumn="0" w:lastColumn="0" w:oddVBand="1" w:evenVBand="0" w:oddHBand="0" w:evenHBand="0" w:firstRowFirstColumn="0" w:firstRowLastColumn="0" w:lastRowFirstColumn="0" w:lastRowLastColumn="0"/>
            <w:tcW w:w="821" w:type="pct"/>
          </w:tcPr>
          <w:p w14:paraId="763DF833" w14:textId="77777777" w:rsidR="006A79B6" w:rsidRPr="00CF3E3D" w:rsidRDefault="006A79B6" w:rsidP="007007AC">
            <w:pPr>
              <w:spacing w:before="85" w:line="288" w:lineRule="auto"/>
              <w:jc w:val="center"/>
              <w:rPr>
                <w:sz w:val="18"/>
                <w:szCs w:val="18"/>
              </w:rPr>
            </w:pPr>
            <w:r w:rsidRPr="00CF3E3D">
              <w:rPr>
                <w:sz w:val="18"/>
                <w:szCs w:val="18"/>
              </w:rPr>
              <w:t>61.9</w:t>
            </w:r>
          </w:p>
        </w:tc>
      </w:tr>
      <w:tr w:rsidR="006A79B6" w:rsidRPr="00CF3E3D" w14:paraId="4B31F534"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21A05998" w14:textId="77777777" w:rsidR="006A79B6" w:rsidRPr="00F54664" w:rsidRDefault="006A79B6" w:rsidP="007007AC">
            <w:pPr>
              <w:spacing w:before="85" w:line="288" w:lineRule="auto"/>
              <w:rPr>
                <w:b/>
                <w:bCs/>
                <w:sz w:val="18"/>
                <w:szCs w:val="18"/>
              </w:rPr>
            </w:pPr>
            <w:r w:rsidRPr="00F54664">
              <w:rPr>
                <w:b/>
                <w:bCs/>
                <w:sz w:val="18"/>
                <w:szCs w:val="18"/>
              </w:rPr>
              <w:t>Combined course of study indicator - Combined / double degree</w:t>
            </w:r>
          </w:p>
        </w:tc>
        <w:tc>
          <w:tcPr>
            <w:cnfStyle w:val="000001000000" w:firstRow="0" w:lastRow="0" w:firstColumn="0" w:lastColumn="0" w:oddVBand="0" w:evenVBand="1" w:oddHBand="0" w:evenHBand="0" w:firstRowFirstColumn="0" w:firstRowLastColumn="0" w:lastRowFirstColumn="0" w:lastRowLastColumn="0"/>
            <w:tcW w:w="820" w:type="pct"/>
          </w:tcPr>
          <w:p w14:paraId="1F99EE0B" w14:textId="77777777" w:rsidR="006A79B6" w:rsidRPr="00CF3E3D" w:rsidRDefault="006A79B6" w:rsidP="007007AC">
            <w:pPr>
              <w:spacing w:before="85" w:line="288" w:lineRule="auto"/>
              <w:jc w:val="center"/>
              <w:rPr>
                <w:sz w:val="18"/>
                <w:szCs w:val="18"/>
              </w:rPr>
            </w:pPr>
            <w:r w:rsidRPr="00CF3E3D">
              <w:rPr>
                <w:sz w:val="18"/>
                <w:szCs w:val="18"/>
              </w:rPr>
              <w:t>17,928</w:t>
            </w:r>
          </w:p>
        </w:tc>
        <w:tc>
          <w:tcPr>
            <w:cnfStyle w:val="000010000000" w:firstRow="0" w:lastRow="0" w:firstColumn="0" w:lastColumn="0" w:oddVBand="1" w:evenVBand="0" w:oddHBand="0" w:evenHBand="0" w:firstRowFirstColumn="0" w:firstRowLastColumn="0" w:lastRowFirstColumn="0" w:lastRowLastColumn="0"/>
            <w:tcW w:w="820" w:type="pct"/>
          </w:tcPr>
          <w:p w14:paraId="6F4DDCF5" w14:textId="77777777" w:rsidR="006A79B6" w:rsidRPr="00CF3E3D" w:rsidRDefault="006A79B6" w:rsidP="007007AC">
            <w:pPr>
              <w:spacing w:before="85" w:line="288" w:lineRule="auto"/>
              <w:jc w:val="center"/>
              <w:rPr>
                <w:sz w:val="18"/>
                <w:szCs w:val="18"/>
              </w:rPr>
            </w:pPr>
            <w:r w:rsidRPr="00CF3E3D">
              <w:rPr>
                <w:sz w:val="18"/>
                <w:szCs w:val="18"/>
              </w:rPr>
              <w:t>5.4</w:t>
            </w:r>
          </w:p>
        </w:tc>
        <w:tc>
          <w:tcPr>
            <w:cnfStyle w:val="000001000000" w:firstRow="0" w:lastRow="0" w:firstColumn="0" w:lastColumn="0" w:oddVBand="0" w:evenVBand="1" w:oddHBand="0" w:evenHBand="0" w:firstRowFirstColumn="0" w:firstRowLastColumn="0" w:lastRowFirstColumn="0" w:lastRowLastColumn="0"/>
            <w:tcW w:w="820" w:type="pct"/>
          </w:tcPr>
          <w:p w14:paraId="19228F5A" w14:textId="77777777" w:rsidR="006A79B6" w:rsidRPr="00CF3E3D" w:rsidRDefault="006A79B6" w:rsidP="007007AC">
            <w:pPr>
              <w:spacing w:before="85" w:line="288" w:lineRule="auto"/>
              <w:jc w:val="center"/>
              <w:rPr>
                <w:sz w:val="18"/>
                <w:szCs w:val="18"/>
              </w:rPr>
            </w:pPr>
            <w:r w:rsidRPr="00CF3E3D">
              <w:rPr>
                <w:sz w:val="18"/>
                <w:szCs w:val="18"/>
              </w:rPr>
              <w:t>7,471</w:t>
            </w:r>
          </w:p>
        </w:tc>
        <w:tc>
          <w:tcPr>
            <w:cnfStyle w:val="000010000000" w:firstRow="0" w:lastRow="0" w:firstColumn="0" w:lastColumn="0" w:oddVBand="1" w:evenVBand="0" w:oddHBand="0" w:evenHBand="0" w:firstRowFirstColumn="0" w:firstRowLastColumn="0" w:lastRowFirstColumn="0" w:lastRowLastColumn="0"/>
            <w:tcW w:w="821" w:type="pct"/>
          </w:tcPr>
          <w:p w14:paraId="5DE23C58" w14:textId="77777777" w:rsidR="006A79B6" w:rsidRPr="00CF3E3D" w:rsidRDefault="006A79B6" w:rsidP="007007AC">
            <w:pPr>
              <w:spacing w:before="85" w:line="288" w:lineRule="auto"/>
              <w:jc w:val="center"/>
              <w:rPr>
                <w:sz w:val="18"/>
                <w:szCs w:val="18"/>
              </w:rPr>
            </w:pPr>
            <w:r w:rsidRPr="00CF3E3D">
              <w:rPr>
                <w:sz w:val="18"/>
                <w:szCs w:val="18"/>
              </w:rPr>
              <w:t>5.7</w:t>
            </w:r>
          </w:p>
        </w:tc>
      </w:tr>
      <w:tr w:rsidR="006A79B6" w:rsidRPr="00CF3E3D" w14:paraId="7CEA9A40"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5698A1AF" w14:textId="77777777" w:rsidR="006A79B6" w:rsidRPr="00F54664" w:rsidRDefault="006A79B6" w:rsidP="007007AC">
            <w:pPr>
              <w:spacing w:before="85" w:line="288" w:lineRule="auto"/>
              <w:rPr>
                <w:b/>
                <w:bCs/>
                <w:sz w:val="18"/>
                <w:szCs w:val="18"/>
              </w:rPr>
            </w:pPr>
            <w:r w:rsidRPr="00F54664">
              <w:rPr>
                <w:b/>
                <w:bCs/>
                <w:sz w:val="18"/>
                <w:szCs w:val="18"/>
              </w:rPr>
              <w:t>Combined course of study indicator - Single degree</w:t>
            </w:r>
          </w:p>
        </w:tc>
        <w:tc>
          <w:tcPr>
            <w:cnfStyle w:val="000001000000" w:firstRow="0" w:lastRow="0" w:firstColumn="0" w:lastColumn="0" w:oddVBand="0" w:evenVBand="1" w:oddHBand="0" w:evenHBand="0" w:firstRowFirstColumn="0" w:firstRowLastColumn="0" w:lastRowFirstColumn="0" w:lastRowLastColumn="0"/>
            <w:tcW w:w="820" w:type="pct"/>
          </w:tcPr>
          <w:p w14:paraId="387F8F97" w14:textId="77777777" w:rsidR="006A79B6" w:rsidRPr="00CF3E3D" w:rsidRDefault="006A79B6" w:rsidP="007007AC">
            <w:pPr>
              <w:spacing w:before="85" w:line="288" w:lineRule="auto"/>
              <w:jc w:val="center"/>
              <w:rPr>
                <w:sz w:val="18"/>
                <w:szCs w:val="18"/>
              </w:rPr>
            </w:pPr>
            <w:r w:rsidRPr="00CF3E3D">
              <w:rPr>
                <w:sz w:val="18"/>
                <w:szCs w:val="18"/>
              </w:rPr>
              <w:t>315,350</w:t>
            </w:r>
          </w:p>
        </w:tc>
        <w:tc>
          <w:tcPr>
            <w:cnfStyle w:val="000010000000" w:firstRow="0" w:lastRow="0" w:firstColumn="0" w:lastColumn="0" w:oddVBand="1" w:evenVBand="0" w:oddHBand="0" w:evenHBand="0" w:firstRowFirstColumn="0" w:firstRowLastColumn="0" w:lastRowFirstColumn="0" w:lastRowLastColumn="0"/>
            <w:tcW w:w="820" w:type="pct"/>
          </w:tcPr>
          <w:p w14:paraId="10B4659B" w14:textId="77777777" w:rsidR="006A79B6" w:rsidRPr="00CF3E3D" w:rsidRDefault="006A79B6" w:rsidP="007007AC">
            <w:pPr>
              <w:spacing w:before="85" w:line="288" w:lineRule="auto"/>
              <w:jc w:val="center"/>
              <w:rPr>
                <w:sz w:val="18"/>
                <w:szCs w:val="18"/>
              </w:rPr>
            </w:pPr>
            <w:r w:rsidRPr="00CF3E3D">
              <w:rPr>
                <w:sz w:val="18"/>
                <w:szCs w:val="18"/>
              </w:rPr>
              <w:t>94.6</w:t>
            </w:r>
          </w:p>
        </w:tc>
        <w:tc>
          <w:tcPr>
            <w:cnfStyle w:val="000001000000" w:firstRow="0" w:lastRow="0" w:firstColumn="0" w:lastColumn="0" w:oddVBand="0" w:evenVBand="1" w:oddHBand="0" w:evenHBand="0" w:firstRowFirstColumn="0" w:firstRowLastColumn="0" w:lastRowFirstColumn="0" w:lastRowLastColumn="0"/>
            <w:tcW w:w="820" w:type="pct"/>
          </w:tcPr>
          <w:p w14:paraId="73AAA54D" w14:textId="77777777" w:rsidR="006A79B6" w:rsidRPr="00CF3E3D" w:rsidRDefault="006A79B6" w:rsidP="007007AC">
            <w:pPr>
              <w:spacing w:before="85" w:line="288" w:lineRule="auto"/>
              <w:jc w:val="center"/>
              <w:rPr>
                <w:sz w:val="18"/>
                <w:szCs w:val="18"/>
              </w:rPr>
            </w:pPr>
            <w:r w:rsidRPr="00CF3E3D">
              <w:rPr>
                <w:sz w:val="18"/>
                <w:szCs w:val="18"/>
              </w:rPr>
              <w:t>123,840</w:t>
            </w:r>
          </w:p>
        </w:tc>
        <w:tc>
          <w:tcPr>
            <w:cnfStyle w:val="000010000000" w:firstRow="0" w:lastRow="0" w:firstColumn="0" w:lastColumn="0" w:oddVBand="1" w:evenVBand="0" w:oddHBand="0" w:evenHBand="0" w:firstRowFirstColumn="0" w:firstRowLastColumn="0" w:lastRowFirstColumn="0" w:lastRowLastColumn="0"/>
            <w:tcW w:w="821" w:type="pct"/>
          </w:tcPr>
          <w:p w14:paraId="74946B70" w14:textId="77777777" w:rsidR="006A79B6" w:rsidRPr="00CF3E3D" w:rsidRDefault="006A79B6" w:rsidP="007007AC">
            <w:pPr>
              <w:spacing w:before="85" w:line="288" w:lineRule="auto"/>
              <w:jc w:val="center"/>
              <w:rPr>
                <w:sz w:val="18"/>
                <w:szCs w:val="18"/>
              </w:rPr>
            </w:pPr>
            <w:r w:rsidRPr="00CF3E3D">
              <w:rPr>
                <w:sz w:val="18"/>
                <w:szCs w:val="18"/>
              </w:rPr>
              <w:t>94.3</w:t>
            </w:r>
          </w:p>
        </w:tc>
      </w:tr>
      <w:tr w:rsidR="006A79B6" w:rsidRPr="00CF3E3D" w14:paraId="3EE12BAD"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4F2C7F1D" w14:textId="77777777" w:rsidR="006A79B6" w:rsidRPr="00F54664" w:rsidRDefault="006A79B6" w:rsidP="007007AC">
            <w:pPr>
              <w:spacing w:before="85" w:line="288" w:lineRule="auto"/>
              <w:rPr>
                <w:b/>
                <w:bCs/>
                <w:sz w:val="18"/>
                <w:szCs w:val="18"/>
              </w:rPr>
            </w:pPr>
            <w:r w:rsidRPr="00F54664">
              <w:rPr>
                <w:b/>
                <w:bCs/>
                <w:sz w:val="18"/>
                <w:szCs w:val="18"/>
              </w:rPr>
              <w:lastRenderedPageBreak/>
              <w:t>Aboriginal and Torres Strait Islander - Indigenous</w:t>
            </w:r>
          </w:p>
        </w:tc>
        <w:tc>
          <w:tcPr>
            <w:cnfStyle w:val="000001000000" w:firstRow="0" w:lastRow="0" w:firstColumn="0" w:lastColumn="0" w:oddVBand="0" w:evenVBand="1" w:oddHBand="0" w:evenHBand="0" w:firstRowFirstColumn="0" w:firstRowLastColumn="0" w:lastRowFirstColumn="0" w:lastRowLastColumn="0"/>
            <w:tcW w:w="820" w:type="pct"/>
          </w:tcPr>
          <w:p w14:paraId="79154ABB" w14:textId="77777777" w:rsidR="006A79B6" w:rsidRPr="00CF3E3D" w:rsidRDefault="006A79B6" w:rsidP="007007AC">
            <w:pPr>
              <w:spacing w:before="85" w:line="288" w:lineRule="auto"/>
              <w:jc w:val="center"/>
              <w:rPr>
                <w:sz w:val="18"/>
                <w:szCs w:val="18"/>
              </w:rPr>
            </w:pPr>
            <w:r w:rsidRPr="00CF3E3D">
              <w:rPr>
                <w:sz w:val="18"/>
                <w:szCs w:val="18"/>
              </w:rPr>
              <w:t>3,151</w:t>
            </w:r>
          </w:p>
        </w:tc>
        <w:tc>
          <w:tcPr>
            <w:cnfStyle w:val="000010000000" w:firstRow="0" w:lastRow="0" w:firstColumn="0" w:lastColumn="0" w:oddVBand="1" w:evenVBand="0" w:oddHBand="0" w:evenHBand="0" w:firstRowFirstColumn="0" w:firstRowLastColumn="0" w:lastRowFirstColumn="0" w:lastRowLastColumn="0"/>
            <w:tcW w:w="820" w:type="pct"/>
          </w:tcPr>
          <w:p w14:paraId="40E0E7E9" w14:textId="77777777" w:rsidR="006A79B6" w:rsidRPr="00CF3E3D" w:rsidRDefault="006A79B6" w:rsidP="007007AC">
            <w:pPr>
              <w:spacing w:before="85" w:line="288" w:lineRule="auto"/>
              <w:jc w:val="center"/>
              <w:rPr>
                <w:sz w:val="18"/>
                <w:szCs w:val="18"/>
              </w:rPr>
            </w:pPr>
            <w:r w:rsidRPr="00CF3E3D">
              <w:rPr>
                <w:sz w:val="18"/>
                <w:szCs w:val="18"/>
              </w:rPr>
              <w:t>0.9</w:t>
            </w:r>
          </w:p>
        </w:tc>
        <w:tc>
          <w:tcPr>
            <w:cnfStyle w:val="000001000000" w:firstRow="0" w:lastRow="0" w:firstColumn="0" w:lastColumn="0" w:oddVBand="0" w:evenVBand="1" w:oddHBand="0" w:evenHBand="0" w:firstRowFirstColumn="0" w:firstRowLastColumn="0" w:lastRowFirstColumn="0" w:lastRowLastColumn="0"/>
            <w:tcW w:w="820" w:type="pct"/>
          </w:tcPr>
          <w:p w14:paraId="0F2DB8C7" w14:textId="77777777" w:rsidR="006A79B6" w:rsidRPr="00CF3E3D" w:rsidRDefault="006A79B6" w:rsidP="007007AC">
            <w:pPr>
              <w:spacing w:before="85" w:line="288" w:lineRule="auto"/>
              <w:jc w:val="center"/>
              <w:rPr>
                <w:sz w:val="18"/>
                <w:szCs w:val="18"/>
              </w:rPr>
            </w:pPr>
            <w:r w:rsidRPr="00CF3E3D">
              <w:rPr>
                <w:sz w:val="18"/>
                <w:szCs w:val="18"/>
              </w:rPr>
              <w:t>1,462</w:t>
            </w:r>
          </w:p>
        </w:tc>
        <w:tc>
          <w:tcPr>
            <w:cnfStyle w:val="000010000000" w:firstRow="0" w:lastRow="0" w:firstColumn="0" w:lastColumn="0" w:oddVBand="1" w:evenVBand="0" w:oddHBand="0" w:evenHBand="0" w:firstRowFirstColumn="0" w:firstRowLastColumn="0" w:lastRowFirstColumn="0" w:lastRowLastColumn="0"/>
            <w:tcW w:w="821" w:type="pct"/>
          </w:tcPr>
          <w:p w14:paraId="681669AE" w14:textId="77777777" w:rsidR="006A79B6" w:rsidRPr="00CF3E3D" w:rsidRDefault="006A79B6" w:rsidP="007007AC">
            <w:pPr>
              <w:spacing w:before="85" w:line="288" w:lineRule="auto"/>
              <w:jc w:val="center"/>
              <w:rPr>
                <w:sz w:val="18"/>
                <w:szCs w:val="18"/>
              </w:rPr>
            </w:pPr>
            <w:r w:rsidRPr="00CF3E3D">
              <w:rPr>
                <w:sz w:val="18"/>
                <w:szCs w:val="18"/>
              </w:rPr>
              <w:t>1.1</w:t>
            </w:r>
          </w:p>
        </w:tc>
      </w:tr>
      <w:tr w:rsidR="006A79B6" w:rsidRPr="00CF3E3D" w14:paraId="58F21057"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5F55622A" w14:textId="77777777" w:rsidR="006A79B6" w:rsidRPr="00F54664" w:rsidRDefault="006A79B6" w:rsidP="007007AC">
            <w:pPr>
              <w:spacing w:before="85" w:line="288" w:lineRule="auto"/>
              <w:rPr>
                <w:b/>
                <w:bCs/>
                <w:sz w:val="18"/>
                <w:szCs w:val="18"/>
              </w:rPr>
            </w:pPr>
            <w:r w:rsidRPr="00F54664">
              <w:rPr>
                <w:b/>
                <w:bCs/>
                <w:sz w:val="18"/>
                <w:szCs w:val="18"/>
              </w:rPr>
              <w:t>Aboriginal and Torres Strait Islander - Non-Indigenous</w:t>
            </w:r>
          </w:p>
        </w:tc>
        <w:tc>
          <w:tcPr>
            <w:cnfStyle w:val="000001000000" w:firstRow="0" w:lastRow="0" w:firstColumn="0" w:lastColumn="0" w:oddVBand="0" w:evenVBand="1" w:oddHBand="0" w:evenHBand="0" w:firstRowFirstColumn="0" w:firstRowLastColumn="0" w:lastRowFirstColumn="0" w:lastRowLastColumn="0"/>
            <w:tcW w:w="820" w:type="pct"/>
          </w:tcPr>
          <w:p w14:paraId="69A3C8AF" w14:textId="77777777" w:rsidR="006A79B6" w:rsidRPr="00CF3E3D" w:rsidRDefault="006A79B6" w:rsidP="007007AC">
            <w:pPr>
              <w:spacing w:before="85" w:line="288" w:lineRule="auto"/>
              <w:jc w:val="center"/>
              <w:rPr>
                <w:sz w:val="18"/>
                <w:szCs w:val="18"/>
              </w:rPr>
            </w:pPr>
            <w:r w:rsidRPr="00CF3E3D">
              <w:rPr>
                <w:sz w:val="18"/>
                <w:szCs w:val="18"/>
              </w:rPr>
              <w:t>330,127</w:t>
            </w:r>
          </w:p>
        </w:tc>
        <w:tc>
          <w:tcPr>
            <w:cnfStyle w:val="000010000000" w:firstRow="0" w:lastRow="0" w:firstColumn="0" w:lastColumn="0" w:oddVBand="1" w:evenVBand="0" w:oddHBand="0" w:evenHBand="0" w:firstRowFirstColumn="0" w:firstRowLastColumn="0" w:lastRowFirstColumn="0" w:lastRowLastColumn="0"/>
            <w:tcW w:w="820" w:type="pct"/>
          </w:tcPr>
          <w:p w14:paraId="4B56E333" w14:textId="77777777" w:rsidR="006A79B6" w:rsidRPr="00CF3E3D" w:rsidRDefault="006A79B6" w:rsidP="007007AC">
            <w:pPr>
              <w:spacing w:before="85" w:line="288" w:lineRule="auto"/>
              <w:jc w:val="center"/>
              <w:rPr>
                <w:sz w:val="18"/>
                <w:szCs w:val="18"/>
              </w:rPr>
            </w:pPr>
            <w:r w:rsidRPr="00CF3E3D">
              <w:rPr>
                <w:sz w:val="18"/>
                <w:szCs w:val="18"/>
              </w:rPr>
              <w:t>99.1</w:t>
            </w:r>
          </w:p>
        </w:tc>
        <w:tc>
          <w:tcPr>
            <w:cnfStyle w:val="000001000000" w:firstRow="0" w:lastRow="0" w:firstColumn="0" w:lastColumn="0" w:oddVBand="0" w:evenVBand="1" w:oddHBand="0" w:evenHBand="0" w:firstRowFirstColumn="0" w:firstRowLastColumn="0" w:lastRowFirstColumn="0" w:lastRowLastColumn="0"/>
            <w:tcW w:w="820" w:type="pct"/>
          </w:tcPr>
          <w:p w14:paraId="5F56FE82" w14:textId="77777777" w:rsidR="006A79B6" w:rsidRPr="00CF3E3D" w:rsidRDefault="006A79B6" w:rsidP="007007AC">
            <w:pPr>
              <w:spacing w:before="85" w:line="288" w:lineRule="auto"/>
              <w:jc w:val="center"/>
              <w:rPr>
                <w:sz w:val="18"/>
                <w:szCs w:val="18"/>
              </w:rPr>
            </w:pPr>
            <w:r w:rsidRPr="00CF3E3D">
              <w:rPr>
                <w:sz w:val="18"/>
                <w:szCs w:val="18"/>
              </w:rPr>
              <w:t>129,849</w:t>
            </w:r>
          </w:p>
        </w:tc>
        <w:tc>
          <w:tcPr>
            <w:cnfStyle w:val="000010000000" w:firstRow="0" w:lastRow="0" w:firstColumn="0" w:lastColumn="0" w:oddVBand="1" w:evenVBand="0" w:oddHBand="0" w:evenHBand="0" w:firstRowFirstColumn="0" w:firstRowLastColumn="0" w:lastRowFirstColumn="0" w:lastRowLastColumn="0"/>
            <w:tcW w:w="821" w:type="pct"/>
          </w:tcPr>
          <w:p w14:paraId="276E990B" w14:textId="77777777" w:rsidR="006A79B6" w:rsidRPr="00CF3E3D" w:rsidRDefault="006A79B6" w:rsidP="007007AC">
            <w:pPr>
              <w:spacing w:before="85" w:line="288" w:lineRule="auto"/>
              <w:jc w:val="center"/>
              <w:rPr>
                <w:sz w:val="18"/>
                <w:szCs w:val="18"/>
              </w:rPr>
            </w:pPr>
            <w:r w:rsidRPr="00CF3E3D">
              <w:rPr>
                <w:sz w:val="18"/>
                <w:szCs w:val="18"/>
              </w:rPr>
              <w:t>98.9</w:t>
            </w:r>
          </w:p>
        </w:tc>
      </w:tr>
      <w:tr w:rsidR="006A79B6" w:rsidRPr="00CF3E3D" w14:paraId="0EB5E7E1"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5969AF2C" w14:textId="77777777" w:rsidR="006A79B6" w:rsidRPr="00F54664" w:rsidRDefault="006A79B6" w:rsidP="007007AC">
            <w:pPr>
              <w:spacing w:before="85" w:line="288" w:lineRule="auto"/>
              <w:rPr>
                <w:b/>
                <w:bCs/>
                <w:sz w:val="18"/>
                <w:szCs w:val="18"/>
              </w:rPr>
            </w:pPr>
            <w:r w:rsidRPr="00F54664">
              <w:rPr>
                <w:b/>
                <w:bCs/>
                <w:sz w:val="18"/>
                <w:szCs w:val="18"/>
              </w:rPr>
              <w:t>Mode of attendance code - Internal / Multi Mode</w:t>
            </w:r>
          </w:p>
        </w:tc>
        <w:tc>
          <w:tcPr>
            <w:cnfStyle w:val="000001000000" w:firstRow="0" w:lastRow="0" w:firstColumn="0" w:lastColumn="0" w:oddVBand="0" w:evenVBand="1" w:oddHBand="0" w:evenHBand="0" w:firstRowFirstColumn="0" w:firstRowLastColumn="0" w:lastRowFirstColumn="0" w:lastRowLastColumn="0"/>
            <w:tcW w:w="820" w:type="pct"/>
          </w:tcPr>
          <w:p w14:paraId="46721575" w14:textId="77777777" w:rsidR="006A79B6" w:rsidRPr="00CF3E3D" w:rsidRDefault="006A79B6" w:rsidP="007007AC">
            <w:pPr>
              <w:spacing w:before="85" w:line="288" w:lineRule="auto"/>
              <w:jc w:val="center"/>
              <w:rPr>
                <w:sz w:val="18"/>
                <w:szCs w:val="18"/>
              </w:rPr>
            </w:pPr>
            <w:r w:rsidRPr="00CF3E3D">
              <w:rPr>
                <w:sz w:val="18"/>
                <w:szCs w:val="18"/>
              </w:rPr>
              <w:t>254,644</w:t>
            </w:r>
          </w:p>
        </w:tc>
        <w:tc>
          <w:tcPr>
            <w:cnfStyle w:val="000010000000" w:firstRow="0" w:lastRow="0" w:firstColumn="0" w:lastColumn="0" w:oddVBand="1" w:evenVBand="0" w:oddHBand="0" w:evenHBand="0" w:firstRowFirstColumn="0" w:firstRowLastColumn="0" w:lastRowFirstColumn="0" w:lastRowLastColumn="0"/>
            <w:tcW w:w="820" w:type="pct"/>
          </w:tcPr>
          <w:p w14:paraId="21AE079E" w14:textId="77777777" w:rsidR="006A79B6" w:rsidRPr="00CF3E3D" w:rsidRDefault="006A79B6" w:rsidP="007007AC">
            <w:pPr>
              <w:spacing w:before="85" w:line="288" w:lineRule="auto"/>
              <w:jc w:val="center"/>
              <w:rPr>
                <w:sz w:val="18"/>
                <w:szCs w:val="18"/>
              </w:rPr>
            </w:pPr>
            <w:r w:rsidRPr="00CF3E3D">
              <w:rPr>
                <w:sz w:val="18"/>
                <w:szCs w:val="18"/>
              </w:rPr>
              <w:t>78.0</w:t>
            </w:r>
          </w:p>
        </w:tc>
        <w:tc>
          <w:tcPr>
            <w:cnfStyle w:val="000001000000" w:firstRow="0" w:lastRow="0" w:firstColumn="0" w:lastColumn="0" w:oddVBand="0" w:evenVBand="1" w:oddHBand="0" w:evenHBand="0" w:firstRowFirstColumn="0" w:firstRowLastColumn="0" w:lastRowFirstColumn="0" w:lastRowLastColumn="0"/>
            <w:tcW w:w="820" w:type="pct"/>
          </w:tcPr>
          <w:p w14:paraId="2C66F145" w14:textId="77777777" w:rsidR="006A79B6" w:rsidRPr="00CF3E3D" w:rsidRDefault="006A79B6" w:rsidP="007007AC">
            <w:pPr>
              <w:spacing w:before="85" w:line="288" w:lineRule="auto"/>
              <w:jc w:val="center"/>
              <w:rPr>
                <w:sz w:val="18"/>
                <w:szCs w:val="18"/>
              </w:rPr>
            </w:pPr>
            <w:r w:rsidRPr="00CF3E3D">
              <w:rPr>
                <w:sz w:val="18"/>
                <w:szCs w:val="18"/>
              </w:rPr>
              <w:t>97,493</w:t>
            </w:r>
          </w:p>
        </w:tc>
        <w:tc>
          <w:tcPr>
            <w:cnfStyle w:val="000010000000" w:firstRow="0" w:lastRow="0" w:firstColumn="0" w:lastColumn="0" w:oddVBand="1" w:evenVBand="0" w:oddHBand="0" w:evenHBand="0" w:firstRowFirstColumn="0" w:firstRowLastColumn="0" w:lastRowFirstColumn="0" w:lastRowLastColumn="0"/>
            <w:tcW w:w="821" w:type="pct"/>
          </w:tcPr>
          <w:p w14:paraId="0442B8BD" w14:textId="77777777" w:rsidR="006A79B6" w:rsidRPr="00CF3E3D" w:rsidRDefault="006A79B6" w:rsidP="007007AC">
            <w:pPr>
              <w:spacing w:before="85" w:line="288" w:lineRule="auto"/>
              <w:jc w:val="center"/>
              <w:rPr>
                <w:sz w:val="18"/>
                <w:szCs w:val="18"/>
              </w:rPr>
            </w:pPr>
            <w:r w:rsidRPr="00CF3E3D">
              <w:rPr>
                <w:sz w:val="18"/>
                <w:szCs w:val="18"/>
              </w:rPr>
              <w:t>75.8</w:t>
            </w:r>
          </w:p>
        </w:tc>
      </w:tr>
      <w:tr w:rsidR="006A79B6" w:rsidRPr="00CF3E3D" w14:paraId="30170DF2"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738D6592" w14:textId="77777777" w:rsidR="006A79B6" w:rsidRPr="00F54664" w:rsidRDefault="006A79B6" w:rsidP="007007AC">
            <w:pPr>
              <w:spacing w:before="85" w:line="288" w:lineRule="auto"/>
              <w:rPr>
                <w:b/>
                <w:bCs/>
                <w:sz w:val="18"/>
                <w:szCs w:val="18"/>
              </w:rPr>
            </w:pPr>
            <w:r w:rsidRPr="00F54664">
              <w:rPr>
                <w:b/>
                <w:bCs/>
                <w:sz w:val="18"/>
                <w:szCs w:val="18"/>
              </w:rPr>
              <w:t>Mode of attendance code - External / Distance</w:t>
            </w:r>
          </w:p>
        </w:tc>
        <w:tc>
          <w:tcPr>
            <w:cnfStyle w:val="000001000000" w:firstRow="0" w:lastRow="0" w:firstColumn="0" w:lastColumn="0" w:oddVBand="0" w:evenVBand="1" w:oddHBand="0" w:evenHBand="0" w:firstRowFirstColumn="0" w:firstRowLastColumn="0" w:lastRowFirstColumn="0" w:lastRowLastColumn="0"/>
            <w:tcW w:w="820" w:type="pct"/>
          </w:tcPr>
          <w:p w14:paraId="127E9325" w14:textId="77777777" w:rsidR="006A79B6" w:rsidRPr="00CF3E3D" w:rsidRDefault="006A79B6" w:rsidP="007007AC">
            <w:pPr>
              <w:spacing w:before="85" w:line="288" w:lineRule="auto"/>
              <w:jc w:val="center"/>
              <w:rPr>
                <w:sz w:val="18"/>
                <w:szCs w:val="18"/>
              </w:rPr>
            </w:pPr>
            <w:r w:rsidRPr="00CF3E3D">
              <w:rPr>
                <w:sz w:val="18"/>
                <w:szCs w:val="18"/>
              </w:rPr>
              <w:t>71,633</w:t>
            </w:r>
          </w:p>
        </w:tc>
        <w:tc>
          <w:tcPr>
            <w:cnfStyle w:val="000010000000" w:firstRow="0" w:lastRow="0" w:firstColumn="0" w:lastColumn="0" w:oddVBand="1" w:evenVBand="0" w:oddHBand="0" w:evenHBand="0" w:firstRowFirstColumn="0" w:firstRowLastColumn="0" w:lastRowFirstColumn="0" w:lastRowLastColumn="0"/>
            <w:tcW w:w="820" w:type="pct"/>
          </w:tcPr>
          <w:p w14:paraId="1CDFA4B9" w14:textId="77777777" w:rsidR="006A79B6" w:rsidRPr="00CF3E3D" w:rsidRDefault="006A79B6" w:rsidP="007007AC">
            <w:pPr>
              <w:spacing w:before="85" w:line="288" w:lineRule="auto"/>
              <w:jc w:val="center"/>
              <w:rPr>
                <w:sz w:val="18"/>
                <w:szCs w:val="18"/>
              </w:rPr>
            </w:pPr>
            <w:r w:rsidRPr="00CF3E3D">
              <w:rPr>
                <w:sz w:val="18"/>
                <w:szCs w:val="18"/>
              </w:rPr>
              <w:t>22.0</w:t>
            </w:r>
          </w:p>
        </w:tc>
        <w:tc>
          <w:tcPr>
            <w:cnfStyle w:val="000001000000" w:firstRow="0" w:lastRow="0" w:firstColumn="0" w:lastColumn="0" w:oddVBand="0" w:evenVBand="1" w:oddHBand="0" w:evenHBand="0" w:firstRowFirstColumn="0" w:firstRowLastColumn="0" w:lastRowFirstColumn="0" w:lastRowLastColumn="0"/>
            <w:tcW w:w="820" w:type="pct"/>
          </w:tcPr>
          <w:p w14:paraId="4ABEFC1D" w14:textId="77777777" w:rsidR="006A79B6" w:rsidRPr="00CF3E3D" w:rsidRDefault="006A79B6" w:rsidP="007007AC">
            <w:pPr>
              <w:spacing w:before="85" w:line="288" w:lineRule="auto"/>
              <w:jc w:val="center"/>
              <w:rPr>
                <w:sz w:val="18"/>
                <w:szCs w:val="18"/>
              </w:rPr>
            </w:pPr>
            <w:r w:rsidRPr="00CF3E3D">
              <w:rPr>
                <w:sz w:val="18"/>
                <w:szCs w:val="18"/>
              </w:rPr>
              <w:t>31,109</w:t>
            </w:r>
          </w:p>
        </w:tc>
        <w:tc>
          <w:tcPr>
            <w:cnfStyle w:val="000010000000" w:firstRow="0" w:lastRow="0" w:firstColumn="0" w:lastColumn="0" w:oddVBand="1" w:evenVBand="0" w:oddHBand="0" w:evenHBand="0" w:firstRowFirstColumn="0" w:firstRowLastColumn="0" w:lastRowFirstColumn="0" w:lastRowLastColumn="0"/>
            <w:tcW w:w="821" w:type="pct"/>
          </w:tcPr>
          <w:p w14:paraId="1BDAB323" w14:textId="77777777" w:rsidR="006A79B6" w:rsidRPr="00CF3E3D" w:rsidRDefault="006A79B6" w:rsidP="007007AC">
            <w:pPr>
              <w:spacing w:before="85" w:line="288" w:lineRule="auto"/>
              <w:jc w:val="center"/>
              <w:rPr>
                <w:sz w:val="18"/>
                <w:szCs w:val="18"/>
              </w:rPr>
            </w:pPr>
            <w:r w:rsidRPr="00CF3E3D">
              <w:rPr>
                <w:sz w:val="18"/>
                <w:szCs w:val="18"/>
              </w:rPr>
              <w:t>24.2</w:t>
            </w:r>
          </w:p>
        </w:tc>
      </w:tr>
      <w:tr w:rsidR="006A79B6" w:rsidRPr="00CF3E3D" w14:paraId="3F1078F6"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7F7EDAA5" w14:textId="77777777" w:rsidR="006A79B6" w:rsidRPr="00F54664" w:rsidRDefault="006A79B6" w:rsidP="007007AC">
            <w:pPr>
              <w:spacing w:before="85" w:line="288" w:lineRule="auto"/>
              <w:rPr>
                <w:b/>
                <w:bCs/>
                <w:sz w:val="18"/>
                <w:szCs w:val="18"/>
              </w:rPr>
            </w:pPr>
            <w:r w:rsidRPr="00F54664">
              <w:rPr>
                <w:b/>
                <w:bCs/>
                <w:sz w:val="18"/>
                <w:szCs w:val="18"/>
              </w:rPr>
              <w:t>Type of attendance code - Full-time</w:t>
            </w:r>
          </w:p>
        </w:tc>
        <w:tc>
          <w:tcPr>
            <w:cnfStyle w:val="000001000000" w:firstRow="0" w:lastRow="0" w:firstColumn="0" w:lastColumn="0" w:oddVBand="0" w:evenVBand="1" w:oddHBand="0" w:evenHBand="0" w:firstRowFirstColumn="0" w:firstRowLastColumn="0" w:lastRowFirstColumn="0" w:lastRowLastColumn="0"/>
            <w:tcW w:w="820" w:type="pct"/>
          </w:tcPr>
          <w:p w14:paraId="4096F50F" w14:textId="77777777" w:rsidR="006A79B6" w:rsidRPr="00CF3E3D" w:rsidRDefault="006A79B6" w:rsidP="007007AC">
            <w:pPr>
              <w:spacing w:before="85" w:line="288" w:lineRule="auto"/>
              <w:jc w:val="center"/>
              <w:rPr>
                <w:sz w:val="18"/>
                <w:szCs w:val="18"/>
              </w:rPr>
            </w:pPr>
            <w:r w:rsidRPr="00CF3E3D">
              <w:rPr>
                <w:sz w:val="18"/>
                <w:szCs w:val="18"/>
              </w:rPr>
              <w:t>240,394</w:t>
            </w:r>
          </w:p>
        </w:tc>
        <w:tc>
          <w:tcPr>
            <w:cnfStyle w:val="000010000000" w:firstRow="0" w:lastRow="0" w:firstColumn="0" w:lastColumn="0" w:oddVBand="1" w:evenVBand="0" w:oddHBand="0" w:evenHBand="0" w:firstRowFirstColumn="0" w:firstRowLastColumn="0" w:lastRowFirstColumn="0" w:lastRowLastColumn="0"/>
            <w:tcW w:w="820" w:type="pct"/>
          </w:tcPr>
          <w:p w14:paraId="7A4429DF" w14:textId="77777777" w:rsidR="006A79B6" w:rsidRPr="00CF3E3D" w:rsidRDefault="006A79B6" w:rsidP="007007AC">
            <w:pPr>
              <w:spacing w:before="85" w:line="288" w:lineRule="auto"/>
              <w:jc w:val="center"/>
              <w:rPr>
                <w:sz w:val="18"/>
                <w:szCs w:val="18"/>
              </w:rPr>
            </w:pPr>
            <w:r w:rsidRPr="00CF3E3D">
              <w:rPr>
                <w:sz w:val="18"/>
                <w:szCs w:val="18"/>
              </w:rPr>
              <w:t>73.3</w:t>
            </w:r>
          </w:p>
        </w:tc>
        <w:tc>
          <w:tcPr>
            <w:cnfStyle w:val="000001000000" w:firstRow="0" w:lastRow="0" w:firstColumn="0" w:lastColumn="0" w:oddVBand="0" w:evenVBand="1" w:oddHBand="0" w:evenHBand="0" w:firstRowFirstColumn="0" w:firstRowLastColumn="0" w:lastRowFirstColumn="0" w:lastRowLastColumn="0"/>
            <w:tcW w:w="820" w:type="pct"/>
          </w:tcPr>
          <w:p w14:paraId="24073FA8" w14:textId="77777777" w:rsidR="006A79B6" w:rsidRPr="00CF3E3D" w:rsidRDefault="006A79B6" w:rsidP="007007AC">
            <w:pPr>
              <w:spacing w:before="85" w:line="288" w:lineRule="auto"/>
              <w:jc w:val="center"/>
              <w:rPr>
                <w:sz w:val="18"/>
                <w:szCs w:val="18"/>
              </w:rPr>
            </w:pPr>
            <w:r w:rsidRPr="00CF3E3D">
              <w:rPr>
                <w:sz w:val="18"/>
                <w:szCs w:val="18"/>
              </w:rPr>
              <w:t>91,010</w:t>
            </w:r>
          </w:p>
        </w:tc>
        <w:tc>
          <w:tcPr>
            <w:cnfStyle w:val="000010000000" w:firstRow="0" w:lastRow="0" w:firstColumn="0" w:lastColumn="0" w:oddVBand="1" w:evenVBand="0" w:oddHBand="0" w:evenHBand="0" w:firstRowFirstColumn="0" w:firstRowLastColumn="0" w:lastRowFirstColumn="0" w:lastRowLastColumn="0"/>
            <w:tcW w:w="821" w:type="pct"/>
          </w:tcPr>
          <w:p w14:paraId="4521DC62" w14:textId="77777777" w:rsidR="006A79B6" w:rsidRPr="00CF3E3D" w:rsidRDefault="006A79B6" w:rsidP="007007AC">
            <w:pPr>
              <w:spacing w:before="85" w:line="288" w:lineRule="auto"/>
              <w:jc w:val="center"/>
              <w:rPr>
                <w:sz w:val="18"/>
                <w:szCs w:val="18"/>
              </w:rPr>
            </w:pPr>
            <w:r w:rsidRPr="00CF3E3D">
              <w:rPr>
                <w:sz w:val="18"/>
                <w:szCs w:val="18"/>
              </w:rPr>
              <w:t>70.5</w:t>
            </w:r>
          </w:p>
        </w:tc>
      </w:tr>
      <w:tr w:rsidR="006A79B6" w:rsidRPr="00CF3E3D" w14:paraId="5C5E979D"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75FD5BA4" w14:textId="77777777" w:rsidR="006A79B6" w:rsidRPr="00F54664" w:rsidRDefault="006A79B6" w:rsidP="007007AC">
            <w:pPr>
              <w:spacing w:before="85" w:line="288" w:lineRule="auto"/>
              <w:rPr>
                <w:b/>
                <w:bCs/>
                <w:sz w:val="18"/>
                <w:szCs w:val="18"/>
              </w:rPr>
            </w:pPr>
            <w:r w:rsidRPr="00F54664">
              <w:rPr>
                <w:b/>
                <w:bCs/>
                <w:sz w:val="18"/>
                <w:szCs w:val="18"/>
              </w:rPr>
              <w:t>Type of attendance code - Part-time</w:t>
            </w:r>
          </w:p>
        </w:tc>
        <w:tc>
          <w:tcPr>
            <w:cnfStyle w:val="000001000000" w:firstRow="0" w:lastRow="0" w:firstColumn="0" w:lastColumn="0" w:oddVBand="0" w:evenVBand="1" w:oddHBand="0" w:evenHBand="0" w:firstRowFirstColumn="0" w:firstRowLastColumn="0" w:lastRowFirstColumn="0" w:lastRowLastColumn="0"/>
            <w:tcW w:w="820" w:type="pct"/>
          </w:tcPr>
          <w:p w14:paraId="13B1A076" w14:textId="77777777" w:rsidR="006A79B6" w:rsidRPr="00CF3E3D" w:rsidRDefault="006A79B6" w:rsidP="007007AC">
            <w:pPr>
              <w:spacing w:before="85" w:line="288" w:lineRule="auto"/>
              <w:jc w:val="center"/>
              <w:rPr>
                <w:sz w:val="18"/>
                <w:szCs w:val="18"/>
              </w:rPr>
            </w:pPr>
            <w:r w:rsidRPr="00CF3E3D">
              <w:rPr>
                <w:sz w:val="18"/>
                <w:szCs w:val="18"/>
              </w:rPr>
              <w:t>87,359</w:t>
            </w:r>
          </w:p>
        </w:tc>
        <w:tc>
          <w:tcPr>
            <w:cnfStyle w:val="000010000000" w:firstRow="0" w:lastRow="0" w:firstColumn="0" w:lastColumn="0" w:oddVBand="1" w:evenVBand="0" w:oddHBand="0" w:evenHBand="0" w:firstRowFirstColumn="0" w:firstRowLastColumn="0" w:lastRowFirstColumn="0" w:lastRowLastColumn="0"/>
            <w:tcW w:w="820" w:type="pct"/>
          </w:tcPr>
          <w:p w14:paraId="20658857" w14:textId="77777777" w:rsidR="006A79B6" w:rsidRPr="00CF3E3D" w:rsidRDefault="006A79B6" w:rsidP="007007AC">
            <w:pPr>
              <w:spacing w:before="85" w:line="288" w:lineRule="auto"/>
              <w:jc w:val="center"/>
              <w:rPr>
                <w:sz w:val="18"/>
                <w:szCs w:val="18"/>
              </w:rPr>
            </w:pPr>
            <w:r w:rsidRPr="00CF3E3D">
              <w:rPr>
                <w:sz w:val="18"/>
                <w:szCs w:val="18"/>
              </w:rPr>
              <w:t>26.7</w:t>
            </w:r>
          </w:p>
        </w:tc>
        <w:tc>
          <w:tcPr>
            <w:cnfStyle w:val="000001000000" w:firstRow="0" w:lastRow="0" w:firstColumn="0" w:lastColumn="0" w:oddVBand="0" w:evenVBand="1" w:oddHBand="0" w:evenHBand="0" w:firstRowFirstColumn="0" w:firstRowLastColumn="0" w:lastRowFirstColumn="0" w:lastRowLastColumn="0"/>
            <w:tcW w:w="820" w:type="pct"/>
          </w:tcPr>
          <w:p w14:paraId="722C314B" w14:textId="77777777" w:rsidR="006A79B6" w:rsidRPr="00CF3E3D" w:rsidRDefault="006A79B6" w:rsidP="007007AC">
            <w:pPr>
              <w:spacing w:before="85" w:line="288" w:lineRule="auto"/>
              <w:jc w:val="center"/>
              <w:rPr>
                <w:sz w:val="18"/>
                <w:szCs w:val="18"/>
              </w:rPr>
            </w:pPr>
            <w:r w:rsidRPr="00CF3E3D">
              <w:rPr>
                <w:sz w:val="18"/>
                <w:szCs w:val="18"/>
              </w:rPr>
              <w:t>38,161</w:t>
            </w:r>
          </w:p>
        </w:tc>
        <w:tc>
          <w:tcPr>
            <w:cnfStyle w:val="000010000000" w:firstRow="0" w:lastRow="0" w:firstColumn="0" w:lastColumn="0" w:oddVBand="1" w:evenVBand="0" w:oddHBand="0" w:evenHBand="0" w:firstRowFirstColumn="0" w:firstRowLastColumn="0" w:lastRowFirstColumn="0" w:lastRowLastColumn="0"/>
            <w:tcW w:w="821" w:type="pct"/>
          </w:tcPr>
          <w:p w14:paraId="246BF339" w14:textId="77777777" w:rsidR="006A79B6" w:rsidRPr="00CF3E3D" w:rsidRDefault="006A79B6" w:rsidP="007007AC">
            <w:pPr>
              <w:spacing w:before="85" w:line="288" w:lineRule="auto"/>
              <w:jc w:val="center"/>
              <w:rPr>
                <w:sz w:val="18"/>
                <w:szCs w:val="18"/>
              </w:rPr>
            </w:pPr>
            <w:r w:rsidRPr="00CF3E3D">
              <w:rPr>
                <w:sz w:val="18"/>
                <w:szCs w:val="18"/>
              </w:rPr>
              <w:t>29.5</w:t>
            </w:r>
          </w:p>
        </w:tc>
      </w:tr>
      <w:tr w:rsidR="006A79B6" w:rsidRPr="00CF3E3D" w14:paraId="689FDFD4"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33EB4DEF" w14:textId="77777777" w:rsidR="006A79B6" w:rsidRPr="00F54664" w:rsidRDefault="006A79B6" w:rsidP="007007AC">
            <w:pPr>
              <w:spacing w:before="85" w:line="288" w:lineRule="auto"/>
              <w:rPr>
                <w:b/>
                <w:bCs/>
                <w:sz w:val="18"/>
                <w:szCs w:val="18"/>
              </w:rPr>
            </w:pPr>
            <w:r w:rsidRPr="00F54664">
              <w:rPr>
                <w:b/>
                <w:bCs/>
                <w:sz w:val="18"/>
                <w:szCs w:val="18"/>
              </w:rPr>
              <w:t>Main language spoken at home - English</w:t>
            </w:r>
          </w:p>
        </w:tc>
        <w:tc>
          <w:tcPr>
            <w:cnfStyle w:val="000001000000" w:firstRow="0" w:lastRow="0" w:firstColumn="0" w:lastColumn="0" w:oddVBand="0" w:evenVBand="1" w:oddHBand="0" w:evenHBand="0" w:firstRowFirstColumn="0" w:firstRowLastColumn="0" w:lastRowFirstColumn="0" w:lastRowLastColumn="0"/>
            <w:tcW w:w="820" w:type="pct"/>
          </w:tcPr>
          <w:p w14:paraId="651992E1" w14:textId="77777777" w:rsidR="006A79B6" w:rsidRPr="00CF3E3D" w:rsidRDefault="006A79B6" w:rsidP="007007AC">
            <w:pPr>
              <w:spacing w:before="85" w:line="288" w:lineRule="auto"/>
              <w:jc w:val="center"/>
              <w:rPr>
                <w:sz w:val="18"/>
                <w:szCs w:val="18"/>
              </w:rPr>
            </w:pPr>
            <w:r w:rsidRPr="00CF3E3D">
              <w:rPr>
                <w:sz w:val="18"/>
                <w:szCs w:val="18"/>
              </w:rPr>
              <w:t>251,092</w:t>
            </w:r>
          </w:p>
        </w:tc>
        <w:tc>
          <w:tcPr>
            <w:cnfStyle w:val="000010000000" w:firstRow="0" w:lastRow="0" w:firstColumn="0" w:lastColumn="0" w:oddVBand="1" w:evenVBand="0" w:oddHBand="0" w:evenHBand="0" w:firstRowFirstColumn="0" w:firstRowLastColumn="0" w:lastRowFirstColumn="0" w:lastRowLastColumn="0"/>
            <w:tcW w:w="820" w:type="pct"/>
          </w:tcPr>
          <w:p w14:paraId="21249F67" w14:textId="77777777" w:rsidR="006A79B6" w:rsidRPr="00CF3E3D" w:rsidRDefault="006A79B6" w:rsidP="007007AC">
            <w:pPr>
              <w:spacing w:before="85" w:line="288" w:lineRule="auto"/>
              <w:jc w:val="center"/>
              <w:rPr>
                <w:sz w:val="18"/>
                <w:szCs w:val="18"/>
              </w:rPr>
            </w:pPr>
            <w:r w:rsidRPr="00CF3E3D">
              <w:rPr>
                <w:sz w:val="18"/>
                <w:szCs w:val="18"/>
              </w:rPr>
              <w:t>75.3</w:t>
            </w:r>
          </w:p>
        </w:tc>
        <w:tc>
          <w:tcPr>
            <w:cnfStyle w:val="000001000000" w:firstRow="0" w:lastRow="0" w:firstColumn="0" w:lastColumn="0" w:oddVBand="0" w:evenVBand="1" w:oddHBand="0" w:evenHBand="0" w:firstRowFirstColumn="0" w:firstRowLastColumn="0" w:lastRowFirstColumn="0" w:lastRowLastColumn="0"/>
            <w:tcW w:w="820" w:type="pct"/>
          </w:tcPr>
          <w:p w14:paraId="1503E7D8" w14:textId="77777777" w:rsidR="006A79B6" w:rsidRPr="00CF3E3D" w:rsidRDefault="006A79B6" w:rsidP="007007AC">
            <w:pPr>
              <w:spacing w:before="85" w:line="288" w:lineRule="auto"/>
              <w:jc w:val="center"/>
              <w:rPr>
                <w:sz w:val="18"/>
                <w:szCs w:val="18"/>
              </w:rPr>
            </w:pPr>
            <w:r w:rsidRPr="00CF3E3D">
              <w:rPr>
                <w:sz w:val="18"/>
                <w:szCs w:val="18"/>
              </w:rPr>
              <w:t>104,847</w:t>
            </w:r>
          </w:p>
        </w:tc>
        <w:tc>
          <w:tcPr>
            <w:cnfStyle w:val="000010000000" w:firstRow="0" w:lastRow="0" w:firstColumn="0" w:lastColumn="0" w:oddVBand="1" w:evenVBand="0" w:oddHBand="0" w:evenHBand="0" w:firstRowFirstColumn="0" w:firstRowLastColumn="0" w:lastRowFirstColumn="0" w:lastRowLastColumn="0"/>
            <w:tcW w:w="821" w:type="pct"/>
          </w:tcPr>
          <w:p w14:paraId="51E21080" w14:textId="77777777" w:rsidR="006A79B6" w:rsidRPr="00CF3E3D" w:rsidRDefault="006A79B6" w:rsidP="007007AC">
            <w:pPr>
              <w:spacing w:before="85" w:line="288" w:lineRule="auto"/>
              <w:jc w:val="center"/>
              <w:rPr>
                <w:sz w:val="18"/>
                <w:szCs w:val="18"/>
              </w:rPr>
            </w:pPr>
            <w:r w:rsidRPr="00CF3E3D">
              <w:rPr>
                <w:sz w:val="18"/>
                <w:szCs w:val="18"/>
              </w:rPr>
              <w:t>79.8</w:t>
            </w:r>
          </w:p>
        </w:tc>
      </w:tr>
      <w:tr w:rsidR="006A79B6" w:rsidRPr="00CF3E3D" w14:paraId="1086C810"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585AC658" w14:textId="77777777" w:rsidR="006A79B6" w:rsidRPr="00F54664" w:rsidRDefault="006A79B6" w:rsidP="007007AC">
            <w:pPr>
              <w:spacing w:before="85" w:line="288" w:lineRule="auto"/>
              <w:rPr>
                <w:b/>
                <w:bCs/>
                <w:sz w:val="18"/>
                <w:szCs w:val="18"/>
              </w:rPr>
            </w:pPr>
            <w:r w:rsidRPr="00F54664">
              <w:rPr>
                <w:b/>
                <w:bCs/>
                <w:sz w:val="18"/>
                <w:szCs w:val="18"/>
              </w:rPr>
              <w:t>Main language spoken at home - Language other than English</w:t>
            </w:r>
          </w:p>
        </w:tc>
        <w:tc>
          <w:tcPr>
            <w:cnfStyle w:val="000001000000" w:firstRow="0" w:lastRow="0" w:firstColumn="0" w:lastColumn="0" w:oddVBand="0" w:evenVBand="1" w:oddHBand="0" w:evenHBand="0" w:firstRowFirstColumn="0" w:firstRowLastColumn="0" w:lastRowFirstColumn="0" w:lastRowLastColumn="0"/>
            <w:tcW w:w="820" w:type="pct"/>
          </w:tcPr>
          <w:p w14:paraId="2D780140" w14:textId="77777777" w:rsidR="006A79B6" w:rsidRPr="00CF3E3D" w:rsidRDefault="006A79B6" w:rsidP="007007AC">
            <w:pPr>
              <w:spacing w:before="85" w:line="288" w:lineRule="auto"/>
              <w:jc w:val="center"/>
              <w:rPr>
                <w:sz w:val="18"/>
                <w:szCs w:val="18"/>
              </w:rPr>
            </w:pPr>
            <w:r w:rsidRPr="00CF3E3D">
              <w:rPr>
                <w:sz w:val="18"/>
                <w:szCs w:val="18"/>
              </w:rPr>
              <w:t>82,186</w:t>
            </w:r>
          </w:p>
        </w:tc>
        <w:tc>
          <w:tcPr>
            <w:cnfStyle w:val="000010000000" w:firstRow="0" w:lastRow="0" w:firstColumn="0" w:lastColumn="0" w:oddVBand="1" w:evenVBand="0" w:oddHBand="0" w:evenHBand="0" w:firstRowFirstColumn="0" w:firstRowLastColumn="0" w:lastRowFirstColumn="0" w:lastRowLastColumn="0"/>
            <w:tcW w:w="820" w:type="pct"/>
          </w:tcPr>
          <w:p w14:paraId="6FD4C193" w14:textId="77777777" w:rsidR="006A79B6" w:rsidRPr="00CF3E3D" w:rsidRDefault="006A79B6" w:rsidP="007007AC">
            <w:pPr>
              <w:spacing w:before="85" w:line="288" w:lineRule="auto"/>
              <w:jc w:val="center"/>
              <w:rPr>
                <w:sz w:val="18"/>
                <w:szCs w:val="18"/>
              </w:rPr>
            </w:pPr>
            <w:r w:rsidRPr="00CF3E3D">
              <w:rPr>
                <w:sz w:val="18"/>
                <w:szCs w:val="18"/>
              </w:rPr>
              <w:t>24.7</w:t>
            </w:r>
          </w:p>
        </w:tc>
        <w:tc>
          <w:tcPr>
            <w:cnfStyle w:val="000001000000" w:firstRow="0" w:lastRow="0" w:firstColumn="0" w:lastColumn="0" w:oddVBand="0" w:evenVBand="1" w:oddHBand="0" w:evenHBand="0" w:firstRowFirstColumn="0" w:firstRowLastColumn="0" w:lastRowFirstColumn="0" w:lastRowLastColumn="0"/>
            <w:tcW w:w="820" w:type="pct"/>
          </w:tcPr>
          <w:p w14:paraId="50130FA0" w14:textId="77777777" w:rsidR="006A79B6" w:rsidRPr="00CF3E3D" w:rsidRDefault="006A79B6" w:rsidP="007007AC">
            <w:pPr>
              <w:spacing w:before="85" w:line="288" w:lineRule="auto"/>
              <w:jc w:val="center"/>
              <w:rPr>
                <w:sz w:val="18"/>
                <w:szCs w:val="18"/>
              </w:rPr>
            </w:pPr>
            <w:r w:rsidRPr="00CF3E3D">
              <w:rPr>
                <w:sz w:val="18"/>
                <w:szCs w:val="18"/>
              </w:rPr>
              <w:t>26,464</w:t>
            </w:r>
          </w:p>
        </w:tc>
        <w:tc>
          <w:tcPr>
            <w:cnfStyle w:val="000010000000" w:firstRow="0" w:lastRow="0" w:firstColumn="0" w:lastColumn="0" w:oddVBand="1" w:evenVBand="0" w:oddHBand="0" w:evenHBand="0" w:firstRowFirstColumn="0" w:firstRowLastColumn="0" w:lastRowFirstColumn="0" w:lastRowLastColumn="0"/>
            <w:tcW w:w="821" w:type="pct"/>
          </w:tcPr>
          <w:p w14:paraId="064B4445" w14:textId="77777777" w:rsidR="006A79B6" w:rsidRPr="00CF3E3D" w:rsidRDefault="006A79B6" w:rsidP="007007AC">
            <w:pPr>
              <w:spacing w:before="85" w:line="288" w:lineRule="auto"/>
              <w:jc w:val="center"/>
              <w:rPr>
                <w:sz w:val="18"/>
                <w:szCs w:val="18"/>
              </w:rPr>
            </w:pPr>
            <w:r w:rsidRPr="00CF3E3D">
              <w:rPr>
                <w:sz w:val="18"/>
                <w:szCs w:val="18"/>
              </w:rPr>
              <w:t>20.2</w:t>
            </w:r>
          </w:p>
        </w:tc>
      </w:tr>
      <w:tr w:rsidR="006A79B6" w:rsidRPr="00CF3E3D" w14:paraId="154EE770"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1DB5BBBF" w14:textId="77777777" w:rsidR="006A79B6" w:rsidRPr="00F54664" w:rsidRDefault="006A79B6" w:rsidP="007007AC">
            <w:pPr>
              <w:spacing w:before="85" w:line="288" w:lineRule="auto"/>
              <w:rPr>
                <w:b/>
                <w:bCs/>
                <w:sz w:val="18"/>
                <w:szCs w:val="18"/>
              </w:rPr>
            </w:pPr>
            <w:r w:rsidRPr="00F54664">
              <w:rPr>
                <w:b/>
                <w:bCs/>
                <w:sz w:val="18"/>
                <w:szCs w:val="18"/>
              </w:rPr>
              <w:t>Citizen / resident indicator - Domestic</w:t>
            </w:r>
          </w:p>
        </w:tc>
        <w:tc>
          <w:tcPr>
            <w:cnfStyle w:val="000001000000" w:firstRow="0" w:lastRow="0" w:firstColumn="0" w:lastColumn="0" w:oddVBand="0" w:evenVBand="1" w:oddHBand="0" w:evenHBand="0" w:firstRowFirstColumn="0" w:firstRowLastColumn="0" w:lastRowFirstColumn="0" w:lastRowLastColumn="0"/>
            <w:tcW w:w="820" w:type="pct"/>
          </w:tcPr>
          <w:p w14:paraId="5FF04F20" w14:textId="77777777" w:rsidR="006A79B6" w:rsidRPr="00CF3E3D" w:rsidRDefault="006A79B6" w:rsidP="007007AC">
            <w:pPr>
              <w:spacing w:before="85" w:line="288" w:lineRule="auto"/>
              <w:jc w:val="center"/>
              <w:rPr>
                <w:sz w:val="18"/>
                <w:szCs w:val="18"/>
              </w:rPr>
            </w:pPr>
            <w:r w:rsidRPr="00CF3E3D">
              <w:rPr>
                <w:sz w:val="18"/>
                <w:szCs w:val="18"/>
              </w:rPr>
              <w:t>221,093</w:t>
            </w:r>
          </w:p>
        </w:tc>
        <w:tc>
          <w:tcPr>
            <w:cnfStyle w:val="000010000000" w:firstRow="0" w:lastRow="0" w:firstColumn="0" w:lastColumn="0" w:oddVBand="1" w:evenVBand="0" w:oddHBand="0" w:evenHBand="0" w:firstRowFirstColumn="0" w:firstRowLastColumn="0" w:lastRowFirstColumn="0" w:lastRowLastColumn="0"/>
            <w:tcW w:w="820" w:type="pct"/>
          </w:tcPr>
          <w:p w14:paraId="21185612" w14:textId="77777777" w:rsidR="006A79B6" w:rsidRPr="00CF3E3D" w:rsidRDefault="006A79B6" w:rsidP="007007AC">
            <w:pPr>
              <w:spacing w:before="85" w:line="288" w:lineRule="auto"/>
              <w:jc w:val="center"/>
              <w:rPr>
                <w:sz w:val="18"/>
                <w:szCs w:val="18"/>
              </w:rPr>
            </w:pPr>
            <w:r w:rsidRPr="00CF3E3D">
              <w:rPr>
                <w:sz w:val="18"/>
                <w:szCs w:val="18"/>
              </w:rPr>
              <w:t>66.3</w:t>
            </w:r>
          </w:p>
        </w:tc>
        <w:tc>
          <w:tcPr>
            <w:cnfStyle w:val="000001000000" w:firstRow="0" w:lastRow="0" w:firstColumn="0" w:lastColumn="0" w:oddVBand="0" w:evenVBand="1" w:oddHBand="0" w:evenHBand="0" w:firstRowFirstColumn="0" w:firstRowLastColumn="0" w:lastRowFirstColumn="0" w:lastRowLastColumn="0"/>
            <w:tcW w:w="820" w:type="pct"/>
          </w:tcPr>
          <w:p w14:paraId="3DAAA30B" w14:textId="77777777" w:rsidR="006A79B6" w:rsidRPr="00CF3E3D" w:rsidRDefault="006A79B6" w:rsidP="007007AC">
            <w:pPr>
              <w:spacing w:before="85" w:line="288" w:lineRule="auto"/>
              <w:jc w:val="center"/>
              <w:rPr>
                <w:sz w:val="18"/>
                <w:szCs w:val="18"/>
              </w:rPr>
            </w:pPr>
            <w:r w:rsidRPr="00CF3E3D">
              <w:rPr>
                <w:sz w:val="18"/>
                <w:szCs w:val="18"/>
              </w:rPr>
              <w:t>94,923</w:t>
            </w:r>
          </w:p>
        </w:tc>
        <w:tc>
          <w:tcPr>
            <w:cnfStyle w:val="000010000000" w:firstRow="0" w:lastRow="0" w:firstColumn="0" w:lastColumn="0" w:oddVBand="1" w:evenVBand="0" w:oddHBand="0" w:evenHBand="0" w:firstRowFirstColumn="0" w:firstRowLastColumn="0" w:lastRowFirstColumn="0" w:lastRowLastColumn="0"/>
            <w:tcW w:w="821" w:type="pct"/>
          </w:tcPr>
          <w:p w14:paraId="563DA0CE" w14:textId="77777777" w:rsidR="006A79B6" w:rsidRPr="00CF3E3D" w:rsidRDefault="006A79B6" w:rsidP="007007AC">
            <w:pPr>
              <w:spacing w:before="85" w:line="288" w:lineRule="auto"/>
              <w:jc w:val="center"/>
              <w:rPr>
                <w:sz w:val="18"/>
                <w:szCs w:val="18"/>
              </w:rPr>
            </w:pPr>
            <w:r w:rsidRPr="00CF3E3D">
              <w:rPr>
                <w:sz w:val="18"/>
                <w:szCs w:val="18"/>
              </w:rPr>
              <w:t>72.3</w:t>
            </w:r>
          </w:p>
        </w:tc>
      </w:tr>
      <w:tr w:rsidR="006A79B6" w:rsidRPr="00CF3E3D" w14:paraId="756B9FA4"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0F117D0C" w14:textId="77777777" w:rsidR="006A79B6" w:rsidRPr="00F54664" w:rsidRDefault="006A79B6" w:rsidP="007007AC">
            <w:pPr>
              <w:spacing w:before="85" w:line="288" w:lineRule="auto"/>
              <w:rPr>
                <w:b/>
                <w:bCs/>
                <w:sz w:val="18"/>
                <w:szCs w:val="18"/>
              </w:rPr>
            </w:pPr>
            <w:r w:rsidRPr="00F54664">
              <w:rPr>
                <w:b/>
                <w:bCs/>
                <w:sz w:val="18"/>
                <w:szCs w:val="18"/>
              </w:rPr>
              <w:t>Citizen / resident indicator - International</w:t>
            </w:r>
          </w:p>
        </w:tc>
        <w:tc>
          <w:tcPr>
            <w:cnfStyle w:val="000001000000" w:firstRow="0" w:lastRow="0" w:firstColumn="0" w:lastColumn="0" w:oddVBand="0" w:evenVBand="1" w:oddHBand="0" w:evenHBand="0" w:firstRowFirstColumn="0" w:firstRowLastColumn="0" w:lastRowFirstColumn="0" w:lastRowLastColumn="0"/>
            <w:tcW w:w="820" w:type="pct"/>
          </w:tcPr>
          <w:p w14:paraId="2CF6E22B" w14:textId="77777777" w:rsidR="006A79B6" w:rsidRPr="00CF3E3D" w:rsidRDefault="006A79B6" w:rsidP="007007AC">
            <w:pPr>
              <w:spacing w:before="85" w:line="288" w:lineRule="auto"/>
              <w:jc w:val="center"/>
              <w:rPr>
                <w:sz w:val="18"/>
                <w:szCs w:val="18"/>
              </w:rPr>
            </w:pPr>
            <w:r w:rsidRPr="00CF3E3D">
              <w:rPr>
                <w:sz w:val="18"/>
                <w:szCs w:val="18"/>
              </w:rPr>
              <w:t>112,146</w:t>
            </w:r>
          </w:p>
        </w:tc>
        <w:tc>
          <w:tcPr>
            <w:cnfStyle w:val="000010000000" w:firstRow="0" w:lastRow="0" w:firstColumn="0" w:lastColumn="0" w:oddVBand="1" w:evenVBand="0" w:oddHBand="0" w:evenHBand="0" w:firstRowFirstColumn="0" w:firstRowLastColumn="0" w:lastRowFirstColumn="0" w:lastRowLastColumn="0"/>
            <w:tcW w:w="820" w:type="pct"/>
          </w:tcPr>
          <w:p w14:paraId="164F56ED" w14:textId="77777777" w:rsidR="006A79B6" w:rsidRPr="00CF3E3D" w:rsidRDefault="006A79B6" w:rsidP="007007AC">
            <w:pPr>
              <w:spacing w:before="85" w:line="288" w:lineRule="auto"/>
              <w:jc w:val="center"/>
              <w:rPr>
                <w:sz w:val="18"/>
                <w:szCs w:val="18"/>
              </w:rPr>
            </w:pPr>
            <w:r w:rsidRPr="00CF3E3D">
              <w:rPr>
                <w:sz w:val="18"/>
                <w:szCs w:val="18"/>
              </w:rPr>
              <w:t>33.7</w:t>
            </w:r>
          </w:p>
        </w:tc>
        <w:tc>
          <w:tcPr>
            <w:cnfStyle w:val="000001000000" w:firstRow="0" w:lastRow="0" w:firstColumn="0" w:lastColumn="0" w:oddVBand="0" w:evenVBand="1" w:oddHBand="0" w:evenHBand="0" w:firstRowFirstColumn="0" w:firstRowLastColumn="0" w:lastRowFirstColumn="0" w:lastRowLastColumn="0"/>
            <w:tcW w:w="820" w:type="pct"/>
          </w:tcPr>
          <w:p w14:paraId="7CC68AA0" w14:textId="77777777" w:rsidR="006A79B6" w:rsidRPr="00CF3E3D" w:rsidRDefault="006A79B6" w:rsidP="007007AC">
            <w:pPr>
              <w:spacing w:before="85" w:line="288" w:lineRule="auto"/>
              <w:jc w:val="center"/>
              <w:rPr>
                <w:sz w:val="18"/>
                <w:szCs w:val="18"/>
              </w:rPr>
            </w:pPr>
            <w:r w:rsidRPr="00CF3E3D">
              <w:rPr>
                <w:sz w:val="18"/>
                <w:szCs w:val="18"/>
              </w:rPr>
              <w:t>36,372</w:t>
            </w:r>
          </w:p>
        </w:tc>
        <w:tc>
          <w:tcPr>
            <w:cnfStyle w:val="000010000000" w:firstRow="0" w:lastRow="0" w:firstColumn="0" w:lastColumn="0" w:oddVBand="1" w:evenVBand="0" w:oddHBand="0" w:evenHBand="0" w:firstRowFirstColumn="0" w:firstRowLastColumn="0" w:lastRowFirstColumn="0" w:lastRowLastColumn="0"/>
            <w:tcW w:w="821" w:type="pct"/>
          </w:tcPr>
          <w:p w14:paraId="67C115BB" w14:textId="77777777" w:rsidR="006A79B6" w:rsidRPr="00CF3E3D" w:rsidRDefault="006A79B6" w:rsidP="007007AC">
            <w:pPr>
              <w:spacing w:before="85" w:line="288" w:lineRule="auto"/>
              <w:jc w:val="center"/>
              <w:rPr>
                <w:sz w:val="18"/>
                <w:szCs w:val="18"/>
              </w:rPr>
            </w:pPr>
            <w:r w:rsidRPr="00CF3E3D">
              <w:rPr>
                <w:sz w:val="18"/>
                <w:szCs w:val="18"/>
              </w:rPr>
              <w:t>27.7</w:t>
            </w:r>
          </w:p>
        </w:tc>
      </w:tr>
      <w:tr w:rsidR="009D11A2" w:rsidRPr="00CF3E3D" w14:paraId="262FDA0A"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1F85A9C8" w14:textId="354D7DAC" w:rsidR="009D11A2" w:rsidRPr="00D56D8C" w:rsidRDefault="009D11A2" w:rsidP="009D11A2">
            <w:pPr>
              <w:spacing w:before="85" w:line="288" w:lineRule="auto"/>
              <w:rPr>
                <w:b/>
                <w:bCs/>
                <w:sz w:val="18"/>
                <w:szCs w:val="18"/>
              </w:rPr>
            </w:pPr>
            <w:r w:rsidRPr="00D56D8C">
              <w:rPr>
                <w:b/>
                <w:bCs/>
                <w:sz w:val="18"/>
                <w:szCs w:val="18"/>
              </w:rPr>
              <w:t>Socio-economic status - High</w:t>
            </w:r>
          </w:p>
        </w:tc>
        <w:tc>
          <w:tcPr>
            <w:cnfStyle w:val="000001000000" w:firstRow="0" w:lastRow="0" w:firstColumn="0" w:lastColumn="0" w:oddVBand="0" w:evenVBand="1" w:oddHBand="0" w:evenHBand="0" w:firstRowFirstColumn="0" w:firstRowLastColumn="0" w:lastRowFirstColumn="0" w:lastRowLastColumn="0"/>
            <w:tcW w:w="820" w:type="pct"/>
          </w:tcPr>
          <w:p w14:paraId="65CF25F6" w14:textId="46E78B65" w:rsidR="009D11A2" w:rsidRPr="00CF3E3D" w:rsidRDefault="009D11A2" w:rsidP="009D11A2">
            <w:pPr>
              <w:spacing w:before="85" w:line="288" w:lineRule="auto"/>
              <w:jc w:val="center"/>
              <w:rPr>
                <w:sz w:val="18"/>
                <w:szCs w:val="18"/>
                <w:highlight w:val="yellow"/>
                <w:lang w:eastAsia="en-AU"/>
              </w:rPr>
            </w:pPr>
            <w:r w:rsidRPr="00D97106">
              <w:rPr>
                <w:sz w:val="18"/>
                <w:szCs w:val="18"/>
              </w:rPr>
              <w:t>65,757</w:t>
            </w:r>
          </w:p>
        </w:tc>
        <w:tc>
          <w:tcPr>
            <w:cnfStyle w:val="000010000000" w:firstRow="0" w:lastRow="0" w:firstColumn="0" w:lastColumn="0" w:oddVBand="1" w:evenVBand="0" w:oddHBand="0" w:evenHBand="0" w:firstRowFirstColumn="0" w:firstRowLastColumn="0" w:lastRowFirstColumn="0" w:lastRowLastColumn="0"/>
            <w:tcW w:w="820" w:type="pct"/>
          </w:tcPr>
          <w:p w14:paraId="56F03312" w14:textId="3BDB6D72" w:rsidR="009D11A2" w:rsidRPr="00CF3E3D" w:rsidRDefault="009D11A2" w:rsidP="009D11A2">
            <w:pPr>
              <w:spacing w:before="85" w:line="288" w:lineRule="auto"/>
              <w:jc w:val="center"/>
              <w:rPr>
                <w:sz w:val="18"/>
                <w:szCs w:val="18"/>
                <w:highlight w:val="yellow"/>
                <w:lang w:eastAsia="en-AU"/>
              </w:rPr>
            </w:pPr>
            <w:r w:rsidRPr="00D97106">
              <w:rPr>
                <w:sz w:val="18"/>
                <w:szCs w:val="18"/>
              </w:rPr>
              <w:t>36.0</w:t>
            </w:r>
          </w:p>
        </w:tc>
        <w:tc>
          <w:tcPr>
            <w:cnfStyle w:val="000001000000" w:firstRow="0" w:lastRow="0" w:firstColumn="0" w:lastColumn="0" w:oddVBand="0" w:evenVBand="1" w:oddHBand="0" w:evenHBand="0" w:firstRowFirstColumn="0" w:firstRowLastColumn="0" w:lastRowFirstColumn="0" w:lastRowLastColumn="0"/>
            <w:tcW w:w="820" w:type="pct"/>
          </w:tcPr>
          <w:p w14:paraId="57E4182C" w14:textId="6C0285DA" w:rsidR="009D11A2" w:rsidRPr="00CF3E3D" w:rsidRDefault="009D11A2" w:rsidP="009D11A2">
            <w:pPr>
              <w:spacing w:before="85" w:line="288" w:lineRule="auto"/>
              <w:jc w:val="center"/>
              <w:rPr>
                <w:sz w:val="18"/>
                <w:szCs w:val="18"/>
                <w:highlight w:val="yellow"/>
                <w:lang w:eastAsia="en-AU"/>
              </w:rPr>
            </w:pPr>
            <w:r w:rsidRPr="00D97106">
              <w:rPr>
                <w:sz w:val="18"/>
                <w:szCs w:val="18"/>
              </w:rPr>
              <w:t>27,288</w:t>
            </w:r>
          </w:p>
        </w:tc>
        <w:tc>
          <w:tcPr>
            <w:cnfStyle w:val="000010000000" w:firstRow="0" w:lastRow="0" w:firstColumn="0" w:lastColumn="0" w:oddVBand="1" w:evenVBand="0" w:oddHBand="0" w:evenHBand="0" w:firstRowFirstColumn="0" w:firstRowLastColumn="0" w:lastRowFirstColumn="0" w:lastRowLastColumn="0"/>
            <w:tcW w:w="821" w:type="pct"/>
          </w:tcPr>
          <w:p w14:paraId="648039A2" w14:textId="37D5FB6D" w:rsidR="009D11A2" w:rsidRPr="00CF3E3D" w:rsidRDefault="009D11A2" w:rsidP="009D11A2">
            <w:pPr>
              <w:spacing w:before="85" w:line="288" w:lineRule="auto"/>
              <w:jc w:val="center"/>
              <w:rPr>
                <w:sz w:val="18"/>
                <w:szCs w:val="18"/>
                <w:highlight w:val="yellow"/>
                <w:lang w:eastAsia="en-AU"/>
              </w:rPr>
            </w:pPr>
            <w:r w:rsidRPr="00D97106">
              <w:rPr>
                <w:sz w:val="18"/>
                <w:szCs w:val="18"/>
              </w:rPr>
              <w:t>35.0</w:t>
            </w:r>
          </w:p>
        </w:tc>
      </w:tr>
      <w:tr w:rsidR="009D11A2" w:rsidRPr="00CF3E3D" w14:paraId="3B39B7C9"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14CC717A" w14:textId="515C6101" w:rsidR="009D11A2" w:rsidRPr="00D56D8C" w:rsidRDefault="009D11A2" w:rsidP="009D11A2">
            <w:pPr>
              <w:spacing w:before="85" w:line="288" w:lineRule="auto"/>
              <w:rPr>
                <w:b/>
                <w:bCs/>
                <w:sz w:val="18"/>
                <w:szCs w:val="18"/>
              </w:rPr>
            </w:pPr>
            <w:r w:rsidRPr="00D56D8C">
              <w:rPr>
                <w:b/>
                <w:bCs/>
                <w:sz w:val="18"/>
                <w:szCs w:val="18"/>
              </w:rPr>
              <w:t>Socio-economic status - Medium</w:t>
            </w:r>
          </w:p>
        </w:tc>
        <w:tc>
          <w:tcPr>
            <w:cnfStyle w:val="000001000000" w:firstRow="0" w:lastRow="0" w:firstColumn="0" w:lastColumn="0" w:oddVBand="0" w:evenVBand="1" w:oddHBand="0" w:evenHBand="0" w:firstRowFirstColumn="0" w:firstRowLastColumn="0" w:lastRowFirstColumn="0" w:lastRowLastColumn="0"/>
            <w:tcW w:w="820" w:type="pct"/>
          </w:tcPr>
          <w:p w14:paraId="0229FF82" w14:textId="271B488F" w:rsidR="009D11A2" w:rsidRPr="00CF3E3D" w:rsidRDefault="009D11A2" w:rsidP="009D11A2">
            <w:pPr>
              <w:spacing w:before="85" w:line="288" w:lineRule="auto"/>
              <w:jc w:val="center"/>
              <w:rPr>
                <w:sz w:val="18"/>
                <w:szCs w:val="18"/>
                <w:highlight w:val="yellow"/>
                <w:lang w:eastAsia="en-AU"/>
              </w:rPr>
            </w:pPr>
            <w:r w:rsidRPr="00D97106">
              <w:rPr>
                <w:sz w:val="18"/>
                <w:szCs w:val="18"/>
              </w:rPr>
              <w:t>90,226</w:t>
            </w:r>
          </w:p>
        </w:tc>
        <w:tc>
          <w:tcPr>
            <w:cnfStyle w:val="000010000000" w:firstRow="0" w:lastRow="0" w:firstColumn="0" w:lastColumn="0" w:oddVBand="1" w:evenVBand="0" w:oddHBand="0" w:evenHBand="0" w:firstRowFirstColumn="0" w:firstRowLastColumn="0" w:lastRowFirstColumn="0" w:lastRowLastColumn="0"/>
            <w:tcW w:w="820" w:type="pct"/>
          </w:tcPr>
          <w:p w14:paraId="203BDBD2" w14:textId="5CBB661F" w:rsidR="009D11A2" w:rsidRPr="00CF3E3D" w:rsidRDefault="009D11A2" w:rsidP="009D11A2">
            <w:pPr>
              <w:spacing w:before="85" w:line="288" w:lineRule="auto"/>
              <w:jc w:val="center"/>
              <w:rPr>
                <w:sz w:val="18"/>
                <w:szCs w:val="18"/>
                <w:highlight w:val="yellow"/>
                <w:lang w:eastAsia="en-AU"/>
              </w:rPr>
            </w:pPr>
            <w:r w:rsidRPr="00D97106">
              <w:rPr>
                <w:sz w:val="18"/>
                <w:szCs w:val="18"/>
              </w:rPr>
              <w:t>49.4</w:t>
            </w:r>
          </w:p>
        </w:tc>
        <w:tc>
          <w:tcPr>
            <w:cnfStyle w:val="000001000000" w:firstRow="0" w:lastRow="0" w:firstColumn="0" w:lastColumn="0" w:oddVBand="0" w:evenVBand="1" w:oddHBand="0" w:evenHBand="0" w:firstRowFirstColumn="0" w:firstRowLastColumn="0" w:lastRowFirstColumn="0" w:lastRowLastColumn="0"/>
            <w:tcW w:w="820" w:type="pct"/>
          </w:tcPr>
          <w:p w14:paraId="336CC69B" w14:textId="1C499ABD" w:rsidR="009D11A2" w:rsidRPr="00CF3E3D" w:rsidRDefault="009D11A2" w:rsidP="009D11A2">
            <w:pPr>
              <w:spacing w:before="85" w:line="288" w:lineRule="auto"/>
              <w:jc w:val="center"/>
              <w:rPr>
                <w:sz w:val="18"/>
                <w:szCs w:val="18"/>
                <w:highlight w:val="yellow"/>
                <w:lang w:eastAsia="en-AU"/>
              </w:rPr>
            </w:pPr>
            <w:r w:rsidRPr="00D97106">
              <w:rPr>
                <w:sz w:val="18"/>
                <w:szCs w:val="18"/>
              </w:rPr>
              <w:t>38,861</w:t>
            </w:r>
          </w:p>
        </w:tc>
        <w:tc>
          <w:tcPr>
            <w:cnfStyle w:val="000010000000" w:firstRow="0" w:lastRow="0" w:firstColumn="0" w:lastColumn="0" w:oddVBand="1" w:evenVBand="0" w:oddHBand="0" w:evenHBand="0" w:firstRowFirstColumn="0" w:firstRowLastColumn="0" w:lastRowFirstColumn="0" w:lastRowLastColumn="0"/>
            <w:tcW w:w="821" w:type="pct"/>
          </w:tcPr>
          <w:p w14:paraId="6F0C0571" w14:textId="4EC21894" w:rsidR="009D11A2" w:rsidRPr="00CF3E3D" w:rsidRDefault="009D11A2" w:rsidP="009D11A2">
            <w:pPr>
              <w:spacing w:before="85" w:line="288" w:lineRule="auto"/>
              <w:jc w:val="center"/>
              <w:rPr>
                <w:sz w:val="18"/>
                <w:szCs w:val="18"/>
                <w:highlight w:val="yellow"/>
                <w:lang w:eastAsia="en-AU"/>
              </w:rPr>
            </w:pPr>
            <w:r w:rsidRPr="00D97106">
              <w:rPr>
                <w:sz w:val="18"/>
                <w:szCs w:val="18"/>
              </w:rPr>
              <w:t>49.9</w:t>
            </w:r>
          </w:p>
        </w:tc>
      </w:tr>
      <w:tr w:rsidR="009D11A2" w:rsidRPr="00CF3E3D" w14:paraId="4CCD611D"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304C7E0D" w14:textId="14832116" w:rsidR="009D11A2" w:rsidRPr="00D56D8C" w:rsidRDefault="009D11A2" w:rsidP="009D11A2">
            <w:pPr>
              <w:spacing w:before="85" w:line="288" w:lineRule="auto"/>
              <w:rPr>
                <w:b/>
                <w:bCs/>
                <w:sz w:val="18"/>
                <w:szCs w:val="18"/>
              </w:rPr>
            </w:pPr>
            <w:r w:rsidRPr="00D56D8C">
              <w:rPr>
                <w:b/>
                <w:bCs/>
                <w:sz w:val="18"/>
                <w:szCs w:val="18"/>
              </w:rPr>
              <w:t>Socio-economic status - Low</w:t>
            </w:r>
          </w:p>
        </w:tc>
        <w:tc>
          <w:tcPr>
            <w:cnfStyle w:val="000001000000" w:firstRow="0" w:lastRow="0" w:firstColumn="0" w:lastColumn="0" w:oddVBand="0" w:evenVBand="1" w:oddHBand="0" w:evenHBand="0" w:firstRowFirstColumn="0" w:firstRowLastColumn="0" w:lastRowFirstColumn="0" w:lastRowLastColumn="0"/>
            <w:tcW w:w="820" w:type="pct"/>
          </w:tcPr>
          <w:p w14:paraId="018C7F02" w14:textId="0735D064" w:rsidR="009D11A2" w:rsidRPr="00CF3E3D" w:rsidRDefault="009D11A2" w:rsidP="009D11A2">
            <w:pPr>
              <w:spacing w:before="85" w:line="288" w:lineRule="auto"/>
              <w:jc w:val="center"/>
              <w:rPr>
                <w:sz w:val="18"/>
                <w:szCs w:val="18"/>
                <w:highlight w:val="yellow"/>
                <w:lang w:eastAsia="en-AU"/>
              </w:rPr>
            </w:pPr>
            <w:r w:rsidRPr="00D97106">
              <w:rPr>
                <w:sz w:val="18"/>
                <w:szCs w:val="18"/>
              </w:rPr>
              <w:t>26,538</w:t>
            </w:r>
          </w:p>
        </w:tc>
        <w:tc>
          <w:tcPr>
            <w:cnfStyle w:val="000010000000" w:firstRow="0" w:lastRow="0" w:firstColumn="0" w:lastColumn="0" w:oddVBand="1" w:evenVBand="0" w:oddHBand="0" w:evenHBand="0" w:firstRowFirstColumn="0" w:firstRowLastColumn="0" w:lastRowFirstColumn="0" w:lastRowLastColumn="0"/>
            <w:tcW w:w="820" w:type="pct"/>
          </w:tcPr>
          <w:p w14:paraId="05F131BE" w14:textId="36885203" w:rsidR="009D11A2" w:rsidRPr="00CF3E3D" w:rsidRDefault="009D11A2" w:rsidP="009D11A2">
            <w:pPr>
              <w:spacing w:before="85" w:line="288" w:lineRule="auto"/>
              <w:jc w:val="center"/>
              <w:rPr>
                <w:sz w:val="18"/>
                <w:szCs w:val="18"/>
                <w:highlight w:val="yellow"/>
                <w:lang w:eastAsia="en-AU"/>
              </w:rPr>
            </w:pPr>
            <w:r w:rsidRPr="00D97106">
              <w:rPr>
                <w:sz w:val="18"/>
                <w:szCs w:val="18"/>
              </w:rPr>
              <w:t>14.5</w:t>
            </w:r>
          </w:p>
        </w:tc>
        <w:tc>
          <w:tcPr>
            <w:cnfStyle w:val="000001000000" w:firstRow="0" w:lastRow="0" w:firstColumn="0" w:lastColumn="0" w:oddVBand="0" w:evenVBand="1" w:oddHBand="0" w:evenHBand="0" w:firstRowFirstColumn="0" w:firstRowLastColumn="0" w:lastRowFirstColumn="0" w:lastRowLastColumn="0"/>
            <w:tcW w:w="820" w:type="pct"/>
          </w:tcPr>
          <w:p w14:paraId="110DFA7A" w14:textId="26BF1415" w:rsidR="009D11A2" w:rsidRPr="00CF3E3D" w:rsidRDefault="009D11A2" w:rsidP="009D11A2">
            <w:pPr>
              <w:spacing w:before="85" w:line="288" w:lineRule="auto"/>
              <w:jc w:val="center"/>
              <w:rPr>
                <w:sz w:val="18"/>
                <w:szCs w:val="18"/>
                <w:highlight w:val="yellow"/>
                <w:lang w:eastAsia="en-AU"/>
              </w:rPr>
            </w:pPr>
            <w:r w:rsidRPr="00D97106">
              <w:rPr>
                <w:sz w:val="18"/>
                <w:szCs w:val="18"/>
              </w:rPr>
              <w:t>11,805</w:t>
            </w:r>
          </w:p>
        </w:tc>
        <w:tc>
          <w:tcPr>
            <w:cnfStyle w:val="000010000000" w:firstRow="0" w:lastRow="0" w:firstColumn="0" w:lastColumn="0" w:oddVBand="1" w:evenVBand="0" w:oddHBand="0" w:evenHBand="0" w:firstRowFirstColumn="0" w:firstRowLastColumn="0" w:lastRowFirstColumn="0" w:lastRowLastColumn="0"/>
            <w:tcW w:w="821" w:type="pct"/>
          </w:tcPr>
          <w:p w14:paraId="604EDEFC" w14:textId="0B723F0D" w:rsidR="009D11A2" w:rsidRPr="00CF3E3D" w:rsidRDefault="009D11A2" w:rsidP="009D11A2">
            <w:pPr>
              <w:spacing w:before="85" w:line="288" w:lineRule="auto"/>
              <w:jc w:val="center"/>
              <w:rPr>
                <w:sz w:val="18"/>
                <w:szCs w:val="18"/>
                <w:highlight w:val="yellow"/>
                <w:lang w:eastAsia="en-AU"/>
              </w:rPr>
            </w:pPr>
            <w:r w:rsidRPr="00D97106">
              <w:rPr>
                <w:sz w:val="18"/>
                <w:szCs w:val="18"/>
              </w:rPr>
              <w:t>15.1</w:t>
            </w:r>
          </w:p>
        </w:tc>
      </w:tr>
      <w:tr w:rsidR="009D11A2" w:rsidRPr="00CF3E3D" w14:paraId="3EC13579" w14:textId="77777777" w:rsidTr="009D11A2">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01933BD5" w14:textId="7235C4C7" w:rsidR="009D11A2" w:rsidRPr="00D56D8C" w:rsidRDefault="009D11A2" w:rsidP="009D11A2">
            <w:pPr>
              <w:spacing w:before="85" w:line="288" w:lineRule="auto"/>
              <w:rPr>
                <w:b/>
                <w:bCs/>
                <w:sz w:val="18"/>
                <w:szCs w:val="18"/>
              </w:rPr>
            </w:pPr>
            <w:r w:rsidRPr="00D56D8C">
              <w:rPr>
                <w:b/>
                <w:bCs/>
                <w:sz w:val="18"/>
                <w:szCs w:val="18"/>
              </w:rPr>
              <w:t>Location - Metropolitan</w:t>
            </w:r>
          </w:p>
        </w:tc>
        <w:tc>
          <w:tcPr>
            <w:cnfStyle w:val="000001000000" w:firstRow="0" w:lastRow="0" w:firstColumn="0" w:lastColumn="0" w:oddVBand="0" w:evenVBand="1" w:oddHBand="0" w:evenHBand="0" w:firstRowFirstColumn="0" w:firstRowLastColumn="0" w:lastRowFirstColumn="0" w:lastRowLastColumn="0"/>
            <w:tcW w:w="820" w:type="pct"/>
          </w:tcPr>
          <w:p w14:paraId="086B0A90" w14:textId="79CD3811" w:rsidR="009D11A2" w:rsidRPr="00CF3E3D" w:rsidRDefault="009D11A2" w:rsidP="009D11A2">
            <w:pPr>
              <w:spacing w:before="85" w:line="288" w:lineRule="auto"/>
              <w:jc w:val="center"/>
              <w:rPr>
                <w:sz w:val="18"/>
                <w:szCs w:val="18"/>
                <w:highlight w:val="yellow"/>
                <w:lang w:eastAsia="en-AU"/>
              </w:rPr>
            </w:pPr>
            <w:r w:rsidRPr="00D97106">
              <w:rPr>
                <w:sz w:val="18"/>
                <w:szCs w:val="18"/>
              </w:rPr>
              <w:t>148,292</w:t>
            </w:r>
          </w:p>
        </w:tc>
        <w:tc>
          <w:tcPr>
            <w:cnfStyle w:val="000010000000" w:firstRow="0" w:lastRow="0" w:firstColumn="0" w:lastColumn="0" w:oddVBand="1" w:evenVBand="0" w:oddHBand="0" w:evenHBand="0" w:firstRowFirstColumn="0" w:firstRowLastColumn="0" w:lastRowFirstColumn="0" w:lastRowLastColumn="0"/>
            <w:tcW w:w="820" w:type="pct"/>
          </w:tcPr>
          <w:p w14:paraId="0D80E1ED" w14:textId="50ECD624" w:rsidR="009D11A2" w:rsidRPr="00CF3E3D" w:rsidRDefault="009D11A2" w:rsidP="009D11A2">
            <w:pPr>
              <w:spacing w:before="85" w:line="288" w:lineRule="auto"/>
              <w:jc w:val="center"/>
              <w:rPr>
                <w:sz w:val="18"/>
                <w:szCs w:val="18"/>
                <w:highlight w:val="yellow"/>
                <w:lang w:eastAsia="en-AU"/>
              </w:rPr>
            </w:pPr>
            <w:r w:rsidRPr="00D97106">
              <w:rPr>
                <w:sz w:val="18"/>
                <w:szCs w:val="18"/>
              </w:rPr>
              <w:t>81.1</w:t>
            </w:r>
          </w:p>
        </w:tc>
        <w:tc>
          <w:tcPr>
            <w:cnfStyle w:val="000001000000" w:firstRow="0" w:lastRow="0" w:firstColumn="0" w:lastColumn="0" w:oddVBand="0" w:evenVBand="1" w:oddHBand="0" w:evenHBand="0" w:firstRowFirstColumn="0" w:firstRowLastColumn="0" w:lastRowFirstColumn="0" w:lastRowLastColumn="0"/>
            <w:tcW w:w="820" w:type="pct"/>
          </w:tcPr>
          <w:p w14:paraId="2467F523" w14:textId="28E0078F" w:rsidR="009D11A2" w:rsidRPr="00CF3E3D" w:rsidRDefault="009D11A2" w:rsidP="009D11A2">
            <w:pPr>
              <w:spacing w:before="85" w:line="288" w:lineRule="auto"/>
              <w:jc w:val="center"/>
              <w:rPr>
                <w:sz w:val="18"/>
                <w:szCs w:val="18"/>
                <w:highlight w:val="yellow"/>
                <w:lang w:eastAsia="en-AU"/>
              </w:rPr>
            </w:pPr>
            <w:r w:rsidRPr="00D97106">
              <w:rPr>
                <w:sz w:val="18"/>
                <w:szCs w:val="18"/>
              </w:rPr>
              <w:t>61,809</w:t>
            </w:r>
          </w:p>
        </w:tc>
        <w:tc>
          <w:tcPr>
            <w:cnfStyle w:val="000010000000" w:firstRow="0" w:lastRow="0" w:firstColumn="0" w:lastColumn="0" w:oddVBand="1" w:evenVBand="0" w:oddHBand="0" w:evenHBand="0" w:firstRowFirstColumn="0" w:firstRowLastColumn="0" w:lastRowFirstColumn="0" w:lastRowLastColumn="0"/>
            <w:tcW w:w="821" w:type="pct"/>
          </w:tcPr>
          <w:p w14:paraId="43340C1B" w14:textId="358EC2AE" w:rsidR="009D11A2" w:rsidRPr="00CF3E3D" w:rsidRDefault="009D11A2" w:rsidP="009D11A2">
            <w:pPr>
              <w:spacing w:before="85" w:line="288" w:lineRule="auto"/>
              <w:jc w:val="center"/>
              <w:rPr>
                <w:sz w:val="18"/>
                <w:szCs w:val="18"/>
                <w:highlight w:val="yellow"/>
                <w:lang w:eastAsia="en-AU"/>
              </w:rPr>
            </w:pPr>
            <w:r w:rsidRPr="00D97106">
              <w:rPr>
                <w:sz w:val="18"/>
                <w:szCs w:val="18"/>
              </w:rPr>
              <w:t>79.2</w:t>
            </w:r>
          </w:p>
        </w:tc>
      </w:tr>
      <w:tr w:rsidR="009D11A2" w:rsidRPr="00CF3E3D" w14:paraId="3C40F21C" w14:textId="77777777" w:rsidTr="009D11A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9" w:type="pct"/>
          </w:tcPr>
          <w:p w14:paraId="152D3408" w14:textId="2B892DDF" w:rsidR="009D11A2" w:rsidRPr="00D56D8C" w:rsidRDefault="009D11A2" w:rsidP="009D11A2">
            <w:pPr>
              <w:spacing w:before="85" w:line="288" w:lineRule="auto"/>
              <w:rPr>
                <w:b/>
                <w:bCs/>
                <w:sz w:val="18"/>
                <w:szCs w:val="18"/>
              </w:rPr>
            </w:pPr>
            <w:r w:rsidRPr="00D56D8C">
              <w:rPr>
                <w:b/>
                <w:bCs/>
                <w:sz w:val="18"/>
                <w:szCs w:val="18"/>
              </w:rPr>
              <w:t>Location – Regional / remote</w:t>
            </w:r>
          </w:p>
        </w:tc>
        <w:tc>
          <w:tcPr>
            <w:cnfStyle w:val="000001000000" w:firstRow="0" w:lastRow="0" w:firstColumn="0" w:lastColumn="0" w:oddVBand="0" w:evenVBand="1" w:oddHBand="0" w:evenHBand="0" w:firstRowFirstColumn="0" w:firstRowLastColumn="0" w:lastRowFirstColumn="0" w:lastRowLastColumn="0"/>
            <w:tcW w:w="820" w:type="pct"/>
          </w:tcPr>
          <w:p w14:paraId="0231DEEB" w14:textId="40CF5CDC" w:rsidR="009D11A2" w:rsidRPr="00CF3E3D" w:rsidRDefault="009D11A2" w:rsidP="009D11A2">
            <w:pPr>
              <w:spacing w:before="85" w:line="288" w:lineRule="auto"/>
              <w:jc w:val="center"/>
              <w:rPr>
                <w:sz w:val="18"/>
                <w:szCs w:val="18"/>
                <w:highlight w:val="yellow"/>
                <w:lang w:eastAsia="en-AU"/>
              </w:rPr>
            </w:pPr>
            <w:r w:rsidRPr="00D97106">
              <w:rPr>
                <w:sz w:val="18"/>
                <w:szCs w:val="18"/>
              </w:rPr>
              <w:t>34,504</w:t>
            </w:r>
          </w:p>
        </w:tc>
        <w:tc>
          <w:tcPr>
            <w:cnfStyle w:val="000010000000" w:firstRow="0" w:lastRow="0" w:firstColumn="0" w:lastColumn="0" w:oddVBand="1" w:evenVBand="0" w:oddHBand="0" w:evenHBand="0" w:firstRowFirstColumn="0" w:firstRowLastColumn="0" w:lastRowFirstColumn="0" w:lastRowLastColumn="0"/>
            <w:tcW w:w="820" w:type="pct"/>
          </w:tcPr>
          <w:p w14:paraId="4E417FD6" w14:textId="6E2A40FB" w:rsidR="009D11A2" w:rsidRPr="00CF3E3D" w:rsidRDefault="009D11A2" w:rsidP="009D11A2">
            <w:pPr>
              <w:spacing w:before="85" w:line="288" w:lineRule="auto"/>
              <w:jc w:val="center"/>
              <w:rPr>
                <w:sz w:val="18"/>
                <w:szCs w:val="18"/>
                <w:highlight w:val="yellow"/>
                <w:lang w:eastAsia="en-AU"/>
              </w:rPr>
            </w:pPr>
            <w:r w:rsidRPr="00D97106">
              <w:rPr>
                <w:sz w:val="18"/>
                <w:szCs w:val="18"/>
              </w:rPr>
              <w:t>18.9</w:t>
            </w:r>
          </w:p>
        </w:tc>
        <w:tc>
          <w:tcPr>
            <w:cnfStyle w:val="000001000000" w:firstRow="0" w:lastRow="0" w:firstColumn="0" w:lastColumn="0" w:oddVBand="0" w:evenVBand="1" w:oddHBand="0" w:evenHBand="0" w:firstRowFirstColumn="0" w:firstRowLastColumn="0" w:lastRowFirstColumn="0" w:lastRowLastColumn="0"/>
            <w:tcW w:w="820" w:type="pct"/>
          </w:tcPr>
          <w:p w14:paraId="41D223DD" w14:textId="660BCDF3" w:rsidR="009D11A2" w:rsidRPr="00CF3E3D" w:rsidRDefault="009D11A2" w:rsidP="009D11A2">
            <w:pPr>
              <w:spacing w:before="85" w:line="288" w:lineRule="auto"/>
              <w:jc w:val="center"/>
              <w:rPr>
                <w:sz w:val="18"/>
                <w:szCs w:val="18"/>
                <w:highlight w:val="yellow"/>
                <w:lang w:eastAsia="en-AU"/>
              </w:rPr>
            </w:pPr>
            <w:r w:rsidRPr="00D97106">
              <w:rPr>
                <w:sz w:val="18"/>
                <w:szCs w:val="18"/>
              </w:rPr>
              <w:t>16,275</w:t>
            </w:r>
          </w:p>
        </w:tc>
        <w:tc>
          <w:tcPr>
            <w:cnfStyle w:val="000010000000" w:firstRow="0" w:lastRow="0" w:firstColumn="0" w:lastColumn="0" w:oddVBand="1" w:evenVBand="0" w:oddHBand="0" w:evenHBand="0" w:firstRowFirstColumn="0" w:firstRowLastColumn="0" w:lastRowFirstColumn="0" w:lastRowLastColumn="0"/>
            <w:tcW w:w="821" w:type="pct"/>
          </w:tcPr>
          <w:p w14:paraId="35B6AE13" w14:textId="6DE8CB5A" w:rsidR="009D11A2" w:rsidRPr="00CF3E3D" w:rsidRDefault="009D11A2" w:rsidP="009D11A2">
            <w:pPr>
              <w:spacing w:before="85" w:line="288" w:lineRule="auto"/>
              <w:jc w:val="center"/>
              <w:rPr>
                <w:sz w:val="18"/>
                <w:szCs w:val="18"/>
                <w:highlight w:val="yellow"/>
                <w:lang w:eastAsia="en-AU"/>
              </w:rPr>
            </w:pPr>
            <w:r w:rsidRPr="00D97106">
              <w:rPr>
                <w:sz w:val="18"/>
                <w:szCs w:val="18"/>
              </w:rPr>
              <w:t>20.8</w:t>
            </w:r>
          </w:p>
        </w:tc>
      </w:tr>
    </w:tbl>
    <w:p w14:paraId="2294E288" w14:textId="77777777" w:rsidR="006A79B6" w:rsidRPr="00CF3E3D" w:rsidRDefault="006A79B6" w:rsidP="006A79B6">
      <w:pPr>
        <w:pStyle w:val="Tabletext"/>
        <w:rPr>
          <w:rFonts w:ascii="Arial" w:hAnsi="Arial" w:cs="Arial"/>
          <w:color w:val="auto"/>
          <w:sz w:val="18"/>
          <w:highlight w:val="yellow"/>
        </w:rPr>
      </w:pPr>
    </w:p>
    <w:p w14:paraId="44C34463" w14:textId="77777777" w:rsidR="006A79B6" w:rsidRPr="00CF3E3D" w:rsidRDefault="006A79B6" w:rsidP="006A79B6">
      <w:pPr>
        <w:pStyle w:val="Body"/>
      </w:pPr>
      <w:r w:rsidRPr="00CF3E3D">
        <w:t xml:space="preserve">As was the case with the 2021 GOS, the achieved respondent profile in 2022 closely matches the in-scope survey population in terms of study area, as shown in </w:t>
      </w:r>
      <w:r w:rsidRPr="00CF3E3D">
        <w:fldChar w:fldCharType="begin"/>
      </w:r>
      <w:r w:rsidRPr="00CF3E3D">
        <w:instrText xml:space="preserve"> REF _Ref78963683 \h  \* MERGEFORMAT </w:instrText>
      </w:r>
      <w:r w:rsidRPr="00CF3E3D">
        <w:fldChar w:fldCharType="separate"/>
      </w:r>
      <w:r w:rsidRPr="00CF3E3D">
        <w:t xml:space="preserve">Table </w:t>
      </w:r>
      <w:r>
        <w:rPr>
          <w:noProof/>
        </w:rPr>
        <w:t>28</w:t>
      </w:r>
      <w:r w:rsidRPr="00CF3E3D">
        <w:fldChar w:fldCharType="end"/>
      </w:r>
      <w:r w:rsidRPr="00CF3E3D">
        <w:t xml:space="preserve"> below.</w:t>
      </w:r>
      <w:bookmarkStart w:id="214" w:name="_Hlk80177328"/>
    </w:p>
    <w:p w14:paraId="122360A9" w14:textId="77777777" w:rsidR="006A79B6" w:rsidRPr="00CF3E3D" w:rsidRDefault="006A79B6" w:rsidP="006A79B6">
      <w:pPr>
        <w:pStyle w:val="Body"/>
      </w:pPr>
      <w:r w:rsidRPr="00CF3E3D">
        <w:t>Study areas with the strongest representation in the 2022 GOS were Science and mathematics, Humanities, culture and social sciences, and Health services and support. Business and management continues to be the most under-represented study area, followed by Computing and information systems. Future collections could continue to trial tailored email content for graduates from these under-performing study areas and seek increased institutional engagement at the faculty level prior to graduation.</w:t>
      </w:r>
      <w:bookmarkEnd w:id="214"/>
    </w:p>
    <w:p w14:paraId="723FECF0" w14:textId="77777777" w:rsidR="006A79B6" w:rsidRPr="00CF3E3D" w:rsidRDefault="006A79B6" w:rsidP="006A79B6">
      <w:pPr>
        <w:pStyle w:val="Body"/>
      </w:pPr>
      <w:r w:rsidRPr="00CF3E3D">
        <w:t xml:space="preserve">Analysis of the impact of weighting the data to seek to adjust for imbalances in the achieved sample by demographic characteristics and by study area has consistently shown only relatively small differences between the weighted and unweighted estimates for key measures at an overall level. For </w:t>
      </w:r>
      <w:r w:rsidRPr="00CF3E3D">
        <w:lastRenderedPageBreak/>
        <w:t>this reason, the GOS data presented in this report is unweighted. For further information, refer to the GOS Methodological Report published on the QILT website.</w:t>
      </w:r>
    </w:p>
    <w:p w14:paraId="1971A036" w14:textId="1FD70B14" w:rsidR="006A79B6" w:rsidRPr="006A79B6" w:rsidRDefault="006A79B6" w:rsidP="006A79B6">
      <w:pPr>
        <w:pStyle w:val="Caption"/>
        <w:rPr>
          <w:color w:val="000000" w:themeColor="text1"/>
        </w:rPr>
      </w:pPr>
      <w:bookmarkStart w:id="215" w:name="_Toc22200721"/>
      <w:bookmarkStart w:id="216" w:name="_Ref78963683"/>
      <w:bookmarkStart w:id="217" w:name="_Ref110007314"/>
      <w:bookmarkStart w:id="218" w:name="_Toc77927544"/>
      <w:bookmarkStart w:id="219" w:name="_Toc116035822"/>
      <w:bookmarkStart w:id="220" w:name="_Toc116040377"/>
      <w:r w:rsidRPr="006A79B6">
        <w:rPr>
          <w:color w:val="000000" w:themeColor="text1"/>
        </w:rPr>
        <w:t xml:space="preserve">Table </w:t>
      </w:r>
      <w:r w:rsidRPr="006A79B6">
        <w:rPr>
          <w:color w:val="000000" w:themeColor="text1"/>
        </w:rPr>
        <w:fldChar w:fldCharType="begin"/>
      </w:r>
      <w:r w:rsidRPr="006A79B6">
        <w:rPr>
          <w:color w:val="000000" w:themeColor="text1"/>
        </w:rPr>
        <w:instrText xml:space="preserve"> SEQ Table \* ARABIC </w:instrText>
      </w:r>
      <w:r w:rsidRPr="006A79B6">
        <w:rPr>
          <w:color w:val="000000" w:themeColor="text1"/>
        </w:rPr>
        <w:fldChar w:fldCharType="separate"/>
      </w:r>
      <w:r w:rsidRPr="006A79B6">
        <w:rPr>
          <w:noProof/>
          <w:color w:val="000000" w:themeColor="text1"/>
        </w:rPr>
        <w:t>28</w:t>
      </w:r>
      <w:r w:rsidRPr="006A79B6">
        <w:rPr>
          <w:color w:val="000000" w:themeColor="text1"/>
        </w:rPr>
        <w:fldChar w:fldCharType="end"/>
      </w:r>
      <w:bookmarkEnd w:id="215"/>
      <w:bookmarkEnd w:id="216"/>
      <w:bookmarkEnd w:id="217"/>
      <w:r w:rsidRPr="006A79B6">
        <w:rPr>
          <w:color w:val="000000" w:themeColor="text1"/>
        </w:rPr>
        <w:t xml:space="preserve"> 2022 GOS population parameters by study area and response characteristics</w:t>
      </w:r>
      <w:bookmarkEnd w:id="218"/>
      <w:bookmarkEnd w:id="219"/>
      <w:bookmarkEnd w:id="220"/>
    </w:p>
    <w:tbl>
      <w:tblPr>
        <w:tblStyle w:val="SRC1"/>
        <w:tblW w:w="4850" w:type="pct"/>
        <w:tblLayout w:type="fixed"/>
        <w:tblLook w:val="0020" w:firstRow="1" w:lastRow="0" w:firstColumn="0" w:lastColumn="0" w:noHBand="0" w:noVBand="0"/>
        <w:tblCaption w:val="Table 5  Short- (2014) and medium-term (2017) outcomes for undergraduates by study area "/>
      </w:tblPr>
      <w:tblGrid>
        <w:gridCol w:w="3024"/>
        <w:gridCol w:w="1443"/>
        <w:gridCol w:w="1443"/>
        <w:gridCol w:w="1443"/>
        <w:gridCol w:w="1445"/>
      </w:tblGrid>
      <w:tr w:rsidR="006A79B6" w:rsidRPr="00CF3E3D" w14:paraId="45D6D6FE"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1718" w:type="pct"/>
          </w:tcPr>
          <w:p w14:paraId="371BF62F" w14:textId="40154C54" w:rsidR="006A79B6" w:rsidRPr="00CF3E3D" w:rsidRDefault="000B577B" w:rsidP="007007AC">
            <w:pPr>
              <w:rPr>
                <w:b w:val="0"/>
                <w:sz w:val="18"/>
                <w:szCs w:val="18"/>
              </w:rPr>
            </w:pPr>
            <w:bookmarkStart w:id="221" w:name="Title28"/>
            <w:bookmarkEnd w:id="221"/>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820" w:type="pct"/>
          </w:tcPr>
          <w:p w14:paraId="46C03640"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In-scope sample (n)</w:t>
            </w:r>
          </w:p>
        </w:tc>
        <w:tc>
          <w:tcPr>
            <w:cnfStyle w:val="000010000000" w:firstRow="0" w:lastRow="0" w:firstColumn="0" w:lastColumn="0" w:oddVBand="1" w:evenVBand="0" w:oddHBand="0" w:evenHBand="0" w:firstRowFirstColumn="0" w:firstRowLastColumn="0" w:lastRowFirstColumn="0" w:lastRowLastColumn="0"/>
            <w:tcW w:w="820" w:type="pct"/>
          </w:tcPr>
          <w:p w14:paraId="56EE1289"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In-scope sample (%)</w:t>
            </w:r>
          </w:p>
        </w:tc>
        <w:tc>
          <w:tcPr>
            <w:cnfStyle w:val="000001000000" w:firstRow="0" w:lastRow="0" w:firstColumn="0" w:lastColumn="0" w:oddVBand="0" w:evenVBand="1" w:oddHBand="0" w:evenHBand="0" w:firstRowFirstColumn="0" w:firstRowLastColumn="0" w:lastRowFirstColumn="0" w:lastRowLastColumn="0"/>
            <w:tcW w:w="820" w:type="pct"/>
          </w:tcPr>
          <w:p w14:paraId="0649F115"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 xml:space="preserve">Respondents </w:t>
            </w:r>
          </w:p>
          <w:p w14:paraId="5DB267E7"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(n)</w:t>
            </w:r>
          </w:p>
        </w:tc>
        <w:tc>
          <w:tcPr>
            <w:cnfStyle w:val="000010000000" w:firstRow="0" w:lastRow="0" w:firstColumn="0" w:lastColumn="0" w:oddVBand="1" w:evenVBand="0" w:oddHBand="0" w:evenHBand="0" w:firstRowFirstColumn="0" w:firstRowLastColumn="0" w:lastRowFirstColumn="0" w:lastRowLastColumn="0"/>
            <w:tcW w:w="821" w:type="pct"/>
          </w:tcPr>
          <w:p w14:paraId="2048E861"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 xml:space="preserve">Respondents </w:t>
            </w:r>
          </w:p>
          <w:p w14:paraId="28079473" w14:textId="77777777" w:rsidR="006A79B6" w:rsidRPr="006A79B6" w:rsidRDefault="006A79B6" w:rsidP="007007AC">
            <w:pPr>
              <w:pStyle w:val="TablecolumnheadCENTRETABLES"/>
              <w:jc w:val="center"/>
              <w:rPr>
                <w:rFonts w:ascii="Arial" w:hAnsi="Arial" w:cs="Arial"/>
                <w:b/>
                <w:bCs w:val="0"/>
                <w:caps w:val="0"/>
                <w:color w:val="FFFFFF" w:themeColor="background1"/>
                <w:sz w:val="18"/>
                <w:szCs w:val="18"/>
              </w:rPr>
            </w:pPr>
            <w:r w:rsidRPr="006A79B6">
              <w:rPr>
                <w:rFonts w:ascii="Arial" w:hAnsi="Arial" w:cs="Arial"/>
                <w:b/>
                <w:bCs w:val="0"/>
                <w:caps w:val="0"/>
                <w:color w:val="FFFFFF" w:themeColor="background1"/>
                <w:sz w:val="18"/>
                <w:szCs w:val="18"/>
              </w:rPr>
              <w:t>(%)</w:t>
            </w:r>
          </w:p>
        </w:tc>
      </w:tr>
      <w:tr w:rsidR="006A79B6" w:rsidRPr="00CF3E3D" w14:paraId="31DE634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5E02B898" w14:textId="77777777" w:rsidR="006A79B6" w:rsidRPr="0011573D" w:rsidRDefault="006A79B6" w:rsidP="007007AC">
            <w:pPr>
              <w:spacing w:before="85" w:line="288" w:lineRule="auto"/>
              <w:rPr>
                <w:b/>
                <w:bCs/>
                <w:sz w:val="18"/>
                <w:szCs w:val="18"/>
              </w:rPr>
            </w:pPr>
            <w:r w:rsidRPr="0011573D">
              <w:rPr>
                <w:b/>
                <w:bCs/>
                <w:sz w:val="18"/>
                <w:szCs w:val="18"/>
              </w:rPr>
              <w:t>Science and mathematics</w:t>
            </w:r>
          </w:p>
        </w:tc>
        <w:tc>
          <w:tcPr>
            <w:cnfStyle w:val="000001000000" w:firstRow="0" w:lastRow="0" w:firstColumn="0" w:lastColumn="0" w:oddVBand="0" w:evenVBand="1" w:oddHBand="0" w:evenHBand="0" w:firstRowFirstColumn="0" w:firstRowLastColumn="0" w:lastRowFirstColumn="0" w:lastRowLastColumn="0"/>
            <w:tcW w:w="820" w:type="pct"/>
          </w:tcPr>
          <w:p w14:paraId="297095C2" w14:textId="77777777" w:rsidR="006A79B6" w:rsidRPr="00CF3E3D" w:rsidRDefault="006A79B6" w:rsidP="007007AC">
            <w:pPr>
              <w:spacing w:before="85" w:line="288" w:lineRule="auto"/>
              <w:jc w:val="center"/>
              <w:rPr>
                <w:sz w:val="18"/>
                <w:szCs w:val="18"/>
              </w:rPr>
            </w:pPr>
            <w:r w:rsidRPr="00CF3E3D">
              <w:rPr>
                <w:sz w:val="18"/>
                <w:szCs w:val="18"/>
              </w:rPr>
              <w:t>25,675</w:t>
            </w:r>
          </w:p>
        </w:tc>
        <w:tc>
          <w:tcPr>
            <w:cnfStyle w:val="000010000000" w:firstRow="0" w:lastRow="0" w:firstColumn="0" w:lastColumn="0" w:oddVBand="1" w:evenVBand="0" w:oddHBand="0" w:evenHBand="0" w:firstRowFirstColumn="0" w:firstRowLastColumn="0" w:lastRowFirstColumn="0" w:lastRowLastColumn="0"/>
            <w:tcW w:w="820" w:type="pct"/>
          </w:tcPr>
          <w:p w14:paraId="5F2DF496" w14:textId="77777777" w:rsidR="006A79B6" w:rsidRPr="00CF3E3D" w:rsidRDefault="006A79B6" w:rsidP="007007AC">
            <w:pPr>
              <w:spacing w:before="85" w:line="288" w:lineRule="auto"/>
              <w:jc w:val="center"/>
              <w:rPr>
                <w:sz w:val="18"/>
                <w:szCs w:val="18"/>
              </w:rPr>
            </w:pPr>
            <w:r w:rsidRPr="00CF3E3D">
              <w:rPr>
                <w:sz w:val="18"/>
                <w:szCs w:val="18"/>
              </w:rPr>
              <w:t>7.7</w:t>
            </w:r>
          </w:p>
        </w:tc>
        <w:tc>
          <w:tcPr>
            <w:cnfStyle w:val="000001000000" w:firstRow="0" w:lastRow="0" w:firstColumn="0" w:lastColumn="0" w:oddVBand="0" w:evenVBand="1" w:oddHBand="0" w:evenHBand="0" w:firstRowFirstColumn="0" w:firstRowLastColumn="0" w:lastRowFirstColumn="0" w:lastRowLastColumn="0"/>
            <w:tcW w:w="820" w:type="pct"/>
          </w:tcPr>
          <w:p w14:paraId="010D18C8" w14:textId="77777777" w:rsidR="006A79B6" w:rsidRPr="00CF3E3D" w:rsidRDefault="006A79B6" w:rsidP="007007AC">
            <w:pPr>
              <w:spacing w:before="85" w:line="288" w:lineRule="auto"/>
              <w:jc w:val="center"/>
              <w:rPr>
                <w:sz w:val="18"/>
                <w:szCs w:val="18"/>
              </w:rPr>
            </w:pPr>
            <w:r w:rsidRPr="00CF3E3D">
              <w:rPr>
                <w:sz w:val="18"/>
                <w:szCs w:val="18"/>
              </w:rPr>
              <w:t>11,753</w:t>
            </w:r>
          </w:p>
        </w:tc>
        <w:tc>
          <w:tcPr>
            <w:cnfStyle w:val="000010000000" w:firstRow="0" w:lastRow="0" w:firstColumn="0" w:lastColumn="0" w:oddVBand="1" w:evenVBand="0" w:oddHBand="0" w:evenHBand="0" w:firstRowFirstColumn="0" w:firstRowLastColumn="0" w:lastRowFirstColumn="0" w:lastRowLastColumn="0"/>
            <w:tcW w:w="821" w:type="pct"/>
          </w:tcPr>
          <w:p w14:paraId="6E7C4E8D" w14:textId="77777777" w:rsidR="006A79B6" w:rsidRPr="00CF3E3D" w:rsidRDefault="006A79B6" w:rsidP="007007AC">
            <w:pPr>
              <w:spacing w:before="85" w:line="288" w:lineRule="auto"/>
              <w:jc w:val="center"/>
              <w:rPr>
                <w:sz w:val="18"/>
                <w:szCs w:val="18"/>
              </w:rPr>
            </w:pPr>
            <w:r w:rsidRPr="00CF3E3D">
              <w:rPr>
                <w:sz w:val="18"/>
                <w:szCs w:val="18"/>
              </w:rPr>
              <w:t>9.0</w:t>
            </w:r>
          </w:p>
        </w:tc>
      </w:tr>
      <w:tr w:rsidR="006A79B6" w:rsidRPr="00CF3E3D" w14:paraId="6BEC97E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3B933099" w14:textId="77777777" w:rsidR="006A79B6" w:rsidRPr="0011573D" w:rsidRDefault="006A79B6" w:rsidP="007007AC">
            <w:pPr>
              <w:spacing w:before="85" w:line="288" w:lineRule="auto"/>
              <w:rPr>
                <w:b/>
                <w:bCs/>
                <w:sz w:val="18"/>
                <w:szCs w:val="18"/>
              </w:rPr>
            </w:pPr>
            <w:r w:rsidRPr="0011573D">
              <w:rPr>
                <w:b/>
                <w:bCs/>
                <w:sz w:val="18"/>
                <w:szCs w:val="18"/>
              </w:rPr>
              <w:t>Computing and information systems</w:t>
            </w:r>
          </w:p>
        </w:tc>
        <w:tc>
          <w:tcPr>
            <w:cnfStyle w:val="000001000000" w:firstRow="0" w:lastRow="0" w:firstColumn="0" w:lastColumn="0" w:oddVBand="0" w:evenVBand="1" w:oddHBand="0" w:evenHBand="0" w:firstRowFirstColumn="0" w:firstRowLastColumn="0" w:lastRowFirstColumn="0" w:lastRowLastColumn="0"/>
            <w:tcW w:w="820" w:type="pct"/>
          </w:tcPr>
          <w:p w14:paraId="18BC31F4" w14:textId="77777777" w:rsidR="006A79B6" w:rsidRPr="00CF3E3D" w:rsidRDefault="006A79B6" w:rsidP="007007AC">
            <w:pPr>
              <w:spacing w:before="85" w:line="288" w:lineRule="auto"/>
              <w:jc w:val="center"/>
              <w:rPr>
                <w:sz w:val="18"/>
                <w:szCs w:val="18"/>
              </w:rPr>
            </w:pPr>
            <w:r w:rsidRPr="00CF3E3D">
              <w:rPr>
                <w:sz w:val="18"/>
                <w:szCs w:val="18"/>
              </w:rPr>
              <w:t>28,595</w:t>
            </w:r>
          </w:p>
        </w:tc>
        <w:tc>
          <w:tcPr>
            <w:cnfStyle w:val="000010000000" w:firstRow="0" w:lastRow="0" w:firstColumn="0" w:lastColumn="0" w:oddVBand="1" w:evenVBand="0" w:oddHBand="0" w:evenHBand="0" w:firstRowFirstColumn="0" w:firstRowLastColumn="0" w:lastRowFirstColumn="0" w:lastRowLastColumn="0"/>
            <w:tcW w:w="820" w:type="pct"/>
          </w:tcPr>
          <w:p w14:paraId="06D5255A" w14:textId="77777777" w:rsidR="006A79B6" w:rsidRPr="00CF3E3D" w:rsidRDefault="006A79B6" w:rsidP="007007AC">
            <w:pPr>
              <w:spacing w:before="85" w:line="288" w:lineRule="auto"/>
              <w:jc w:val="center"/>
              <w:rPr>
                <w:sz w:val="18"/>
                <w:szCs w:val="18"/>
              </w:rPr>
            </w:pPr>
            <w:r w:rsidRPr="00CF3E3D">
              <w:rPr>
                <w:sz w:val="18"/>
                <w:szCs w:val="18"/>
              </w:rPr>
              <w:t>8.6</w:t>
            </w:r>
          </w:p>
        </w:tc>
        <w:tc>
          <w:tcPr>
            <w:cnfStyle w:val="000001000000" w:firstRow="0" w:lastRow="0" w:firstColumn="0" w:lastColumn="0" w:oddVBand="0" w:evenVBand="1" w:oddHBand="0" w:evenHBand="0" w:firstRowFirstColumn="0" w:firstRowLastColumn="0" w:lastRowFirstColumn="0" w:lastRowLastColumn="0"/>
            <w:tcW w:w="820" w:type="pct"/>
          </w:tcPr>
          <w:p w14:paraId="3A069AA7" w14:textId="77777777" w:rsidR="006A79B6" w:rsidRPr="00CF3E3D" w:rsidRDefault="006A79B6" w:rsidP="007007AC">
            <w:pPr>
              <w:spacing w:before="85" w:line="288" w:lineRule="auto"/>
              <w:jc w:val="center"/>
              <w:rPr>
                <w:sz w:val="18"/>
                <w:szCs w:val="18"/>
              </w:rPr>
            </w:pPr>
            <w:r w:rsidRPr="00CF3E3D">
              <w:rPr>
                <w:sz w:val="18"/>
                <w:szCs w:val="18"/>
              </w:rPr>
              <w:t>10,800</w:t>
            </w:r>
          </w:p>
        </w:tc>
        <w:tc>
          <w:tcPr>
            <w:cnfStyle w:val="000010000000" w:firstRow="0" w:lastRow="0" w:firstColumn="0" w:lastColumn="0" w:oddVBand="1" w:evenVBand="0" w:oddHBand="0" w:evenHBand="0" w:firstRowFirstColumn="0" w:firstRowLastColumn="0" w:lastRowFirstColumn="0" w:lastRowLastColumn="0"/>
            <w:tcW w:w="821" w:type="pct"/>
          </w:tcPr>
          <w:p w14:paraId="2A67D1E9" w14:textId="77777777" w:rsidR="006A79B6" w:rsidRPr="00CF3E3D" w:rsidRDefault="006A79B6" w:rsidP="007007AC">
            <w:pPr>
              <w:spacing w:before="85" w:line="288" w:lineRule="auto"/>
              <w:jc w:val="center"/>
              <w:rPr>
                <w:sz w:val="18"/>
                <w:szCs w:val="18"/>
              </w:rPr>
            </w:pPr>
            <w:r w:rsidRPr="00CF3E3D">
              <w:rPr>
                <w:sz w:val="18"/>
                <w:szCs w:val="18"/>
              </w:rPr>
              <w:t>8.2</w:t>
            </w:r>
          </w:p>
        </w:tc>
      </w:tr>
      <w:tr w:rsidR="006A79B6" w:rsidRPr="00CF3E3D" w14:paraId="22DA5042"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6E8D7FD1" w14:textId="77777777" w:rsidR="006A79B6" w:rsidRPr="0011573D" w:rsidRDefault="006A79B6" w:rsidP="007007AC">
            <w:pPr>
              <w:spacing w:before="85" w:line="288" w:lineRule="auto"/>
              <w:rPr>
                <w:b/>
                <w:bCs/>
                <w:sz w:val="18"/>
                <w:szCs w:val="18"/>
              </w:rPr>
            </w:pPr>
            <w:r w:rsidRPr="0011573D">
              <w:rPr>
                <w:b/>
                <w:bCs/>
                <w:sz w:val="18"/>
                <w:szCs w:val="18"/>
              </w:rPr>
              <w:t>Engineering</w:t>
            </w:r>
          </w:p>
        </w:tc>
        <w:tc>
          <w:tcPr>
            <w:cnfStyle w:val="000001000000" w:firstRow="0" w:lastRow="0" w:firstColumn="0" w:lastColumn="0" w:oddVBand="0" w:evenVBand="1" w:oddHBand="0" w:evenHBand="0" w:firstRowFirstColumn="0" w:firstRowLastColumn="0" w:lastRowFirstColumn="0" w:lastRowLastColumn="0"/>
            <w:tcW w:w="820" w:type="pct"/>
          </w:tcPr>
          <w:p w14:paraId="456D6698" w14:textId="77777777" w:rsidR="006A79B6" w:rsidRPr="00CF3E3D" w:rsidRDefault="006A79B6" w:rsidP="007007AC">
            <w:pPr>
              <w:spacing w:before="85" w:line="288" w:lineRule="auto"/>
              <w:jc w:val="center"/>
              <w:rPr>
                <w:sz w:val="18"/>
                <w:szCs w:val="18"/>
              </w:rPr>
            </w:pPr>
            <w:r w:rsidRPr="00CF3E3D">
              <w:rPr>
                <w:sz w:val="18"/>
                <w:szCs w:val="18"/>
              </w:rPr>
              <w:t>20,420</w:t>
            </w:r>
          </w:p>
        </w:tc>
        <w:tc>
          <w:tcPr>
            <w:cnfStyle w:val="000010000000" w:firstRow="0" w:lastRow="0" w:firstColumn="0" w:lastColumn="0" w:oddVBand="1" w:evenVBand="0" w:oddHBand="0" w:evenHBand="0" w:firstRowFirstColumn="0" w:firstRowLastColumn="0" w:lastRowFirstColumn="0" w:lastRowLastColumn="0"/>
            <w:tcW w:w="820" w:type="pct"/>
          </w:tcPr>
          <w:p w14:paraId="11059DD4" w14:textId="77777777" w:rsidR="006A79B6" w:rsidRPr="00CF3E3D" w:rsidRDefault="006A79B6" w:rsidP="007007AC">
            <w:pPr>
              <w:spacing w:before="85" w:line="288" w:lineRule="auto"/>
              <w:jc w:val="center"/>
              <w:rPr>
                <w:sz w:val="18"/>
                <w:szCs w:val="18"/>
              </w:rPr>
            </w:pPr>
            <w:r w:rsidRPr="00CF3E3D">
              <w:rPr>
                <w:sz w:val="18"/>
                <w:szCs w:val="18"/>
              </w:rPr>
              <w:t>6.1</w:t>
            </w:r>
          </w:p>
        </w:tc>
        <w:tc>
          <w:tcPr>
            <w:cnfStyle w:val="000001000000" w:firstRow="0" w:lastRow="0" w:firstColumn="0" w:lastColumn="0" w:oddVBand="0" w:evenVBand="1" w:oddHBand="0" w:evenHBand="0" w:firstRowFirstColumn="0" w:firstRowLastColumn="0" w:lastRowFirstColumn="0" w:lastRowLastColumn="0"/>
            <w:tcW w:w="820" w:type="pct"/>
          </w:tcPr>
          <w:p w14:paraId="1F8481DE" w14:textId="77777777" w:rsidR="006A79B6" w:rsidRPr="00CF3E3D" w:rsidRDefault="006A79B6" w:rsidP="007007AC">
            <w:pPr>
              <w:spacing w:before="85" w:line="288" w:lineRule="auto"/>
              <w:jc w:val="center"/>
              <w:rPr>
                <w:sz w:val="18"/>
                <w:szCs w:val="18"/>
              </w:rPr>
            </w:pPr>
            <w:r w:rsidRPr="00CF3E3D">
              <w:rPr>
                <w:sz w:val="18"/>
                <w:szCs w:val="18"/>
              </w:rPr>
              <w:t>7,895</w:t>
            </w:r>
          </w:p>
        </w:tc>
        <w:tc>
          <w:tcPr>
            <w:cnfStyle w:val="000010000000" w:firstRow="0" w:lastRow="0" w:firstColumn="0" w:lastColumn="0" w:oddVBand="1" w:evenVBand="0" w:oddHBand="0" w:evenHBand="0" w:firstRowFirstColumn="0" w:firstRowLastColumn="0" w:lastRowFirstColumn="0" w:lastRowLastColumn="0"/>
            <w:tcW w:w="821" w:type="pct"/>
          </w:tcPr>
          <w:p w14:paraId="3976EFCD" w14:textId="77777777" w:rsidR="006A79B6" w:rsidRPr="00CF3E3D" w:rsidRDefault="006A79B6" w:rsidP="007007AC">
            <w:pPr>
              <w:spacing w:before="85" w:line="288" w:lineRule="auto"/>
              <w:jc w:val="center"/>
              <w:rPr>
                <w:sz w:val="18"/>
                <w:szCs w:val="18"/>
              </w:rPr>
            </w:pPr>
            <w:r w:rsidRPr="00CF3E3D">
              <w:rPr>
                <w:sz w:val="18"/>
                <w:szCs w:val="18"/>
              </w:rPr>
              <w:t>6.0</w:t>
            </w:r>
          </w:p>
        </w:tc>
      </w:tr>
      <w:tr w:rsidR="006A79B6" w:rsidRPr="00CF3E3D" w14:paraId="4E4101BB"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2C45C414" w14:textId="77777777" w:rsidR="006A79B6" w:rsidRPr="0011573D" w:rsidRDefault="006A79B6" w:rsidP="007007AC">
            <w:pPr>
              <w:spacing w:before="85" w:line="288" w:lineRule="auto"/>
              <w:rPr>
                <w:b/>
                <w:bCs/>
                <w:sz w:val="18"/>
                <w:szCs w:val="18"/>
              </w:rPr>
            </w:pPr>
            <w:r w:rsidRPr="0011573D">
              <w:rPr>
                <w:b/>
                <w:bCs/>
                <w:sz w:val="18"/>
                <w:szCs w:val="18"/>
              </w:rPr>
              <w:t>Architecture and built environment</w:t>
            </w:r>
          </w:p>
        </w:tc>
        <w:tc>
          <w:tcPr>
            <w:cnfStyle w:val="000001000000" w:firstRow="0" w:lastRow="0" w:firstColumn="0" w:lastColumn="0" w:oddVBand="0" w:evenVBand="1" w:oddHBand="0" w:evenHBand="0" w:firstRowFirstColumn="0" w:firstRowLastColumn="0" w:lastRowFirstColumn="0" w:lastRowLastColumn="0"/>
            <w:tcW w:w="820" w:type="pct"/>
          </w:tcPr>
          <w:p w14:paraId="0B7FED6A" w14:textId="77777777" w:rsidR="006A79B6" w:rsidRPr="00CF3E3D" w:rsidRDefault="006A79B6" w:rsidP="007007AC">
            <w:pPr>
              <w:spacing w:before="85" w:line="288" w:lineRule="auto"/>
              <w:jc w:val="center"/>
              <w:rPr>
                <w:sz w:val="18"/>
                <w:szCs w:val="18"/>
              </w:rPr>
            </w:pPr>
            <w:r w:rsidRPr="00CF3E3D">
              <w:rPr>
                <w:sz w:val="18"/>
                <w:szCs w:val="18"/>
              </w:rPr>
              <w:t>9,120</w:t>
            </w:r>
          </w:p>
        </w:tc>
        <w:tc>
          <w:tcPr>
            <w:cnfStyle w:val="000010000000" w:firstRow="0" w:lastRow="0" w:firstColumn="0" w:lastColumn="0" w:oddVBand="1" w:evenVBand="0" w:oddHBand="0" w:evenHBand="0" w:firstRowFirstColumn="0" w:firstRowLastColumn="0" w:lastRowFirstColumn="0" w:lastRowLastColumn="0"/>
            <w:tcW w:w="820" w:type="pct"/>
          </w:tcPr>
          <w:p w14:paraId="45C3AD2F" w14:textId="77777777" w:rsidR="006A79B6" w:rsidRPr="00CF3E3D" w:rsidRDefault="006A79B6" w:rsidP="007007AC">
            <w:pPr>
              <w:spacing w:before="85" w:line="288" w:lineRule="auto"/>
              <w:jc w:val="center"/>
              <w:rPr>
                <w:sz w:val="18"/>
                <w:szCs w:val="18"/>
              </w:rPr>
            </w:pPr>
            <w:r w:rsidRPr="00CF3E3D">
              <w:rPr>
                <w:sz w:val="18"/>
                <w:szCs w:val="18"/>
              </w:rPr>
              <w:t>2.7</w:t>
            </w:r>
          </w:p>
        </w:tc>
        <w:tc>
          <w:tcPr>
            <w:cnfStyle w:val="000001000000" w:firstRow="0" w:lastRow="0" w:firstColumn="0" w:lastColumn="0" w:oddVBand="0" w:evenVBand="1" w:oddHBand="0" w:evenHBand="0" w:firstRowFirstColumn="0" w:firstRowLastColumn="0" w:lastRowFirstColumn="0" w:lastRowLastColumn="0"/>
            <w:tcW w:w="820" w:type="pct"/>
          </w:tcPr>
          <w:p w14:paraId="7ED7CE52" w14:textId="77777777" w:rsidR="006A79B6" w:rsidRPr="00CF3E3D" w:rsidRDefault="006A79B6" w:rsidP="007007AC">
            <w:pPr>
              <w:spacing w:before="85" w:line="288" w:lineRule="auto"/>
              <w:jc w:val="center"/>
              <w:rPr>
                <w:sz w:val="18"/>
                <w:szCs w:val="18"/>
              </w:rPr>
            </w:pPr>
            <w:r w:rsidRPr="00CF3E3D">
              <w:rPr>
                <w:sz w:val="18"/>
                <w:szCs w:val="18"/>
              </w:rPr>
              <w:t>3,242</w:t>
            </w:r>
          </w:p>
        </w:tc>
        <w:tc>
          <w:tcPr>
            <w:cnfStyle w:val="000010000000" w:firstRow="0" w:lastRow="0" w:firstColumn="0" w:lastColumn="0" w:oddVBand="1" w:evenVBand="0" w:oddHBand="0" w:evenHBand="0" w:firstRowFirstColumn="0" w:firstRowLastColumn="0" w:lastRowFirstColumn="0" w:lastRowLastColumn="0"/>
            <w:tcW w:w="821" w:type="pct"/>
          </w:tcPr>
          <w:p w14:paraId="38130F5C" w14:textId="77777777" w:rsidR="006A79B6" w:rsidRPr="00CF3E3D" w:rsidRDefault="006A79B6" w:rsidP="007007AC">
            <w:pPr>
              <w:spacing w:before="85" w:line="288" w:lineRule="auto"/>
              <w:jc w:val="center"/>
              <w:rPr>
                <w:sz w:val="18"/>
                <w:szCs w:val="18"/>
              </w:rPr>
            </w:pPr>
            <w:r w:rsidRPr="00CF3E3D">
              <w:rPr>
                <w:sz w:val="18"/>
                <w:szCs w:val="18"/>
              </w:rPr>
              <w:t>2.5</w:t>
            </w:r>
          </w:p>
        </w:tc>
      </w:tr>
      <w:tr w:rsidR="006A79B6" w:rsidRPr="00CF3E3D" w14:paraId="6ADDFA7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2EEC3D73" w14:textId="77777777" w:rsidR="006A79B6" w:rsidRPr="0011573D" w:rsidRDefault="006A79B6" w:rsidP="007007AC">
            <w:pPr>
              <w:spacing w:before="85" w:line="288" w:lineRule="auto"/>
              <w:rPr>
                <w:b/>
                <w:bCs/>
                <w:sz w:val="18"/>
                <w:szCs w:val="18"/>
              </w:rPr>
            </w:pPr>
            <w:r w:rsidRPr="0011573D">
              <w:rPr>
                <w:b/>
                <w:bCs/>
                <w:sz w:val="18"/>
                <w:szCs w:val="18"/>
              </w:rPr>
              <w:t>Agriculture and environmental studies</w:t>
            </w:r>
          </w:p>
        </w:tc>
        <w:tc>
          <w:tcPr>
            <w:cnfStyle w:val="000001000000" w:firstRow="0" w:lastRow="0" w:firstColumn="0" w:lastColumn="0" w:oddVBand="0" w:evenVBand="1" w:oddHBand="0" w:evenHBand="0" w:firstRowFirstColumn="0" w:firstRowLastColumn="0" w:lastRowFirstColumn="0" w:lastRowLastColumn="0"/>
            <w:tcW w:w="820" w:type="pct"/>
          </w:tcPr>
          <w:p w14:paraId="37FE2870" w14:textId="77777777" w:rsidR="006A79B6" w:rsidRPr="00CF3E3D" w:rsidRDefault="006A79B6" w:rsidP="007007AC">
            <w:pPr>
              <w:spacing w:before="85" w:line="288" w:lineRule="auto"/>
              <w:jc w:val="center"/>
              <w:rPr>
                <w:sz w:val="18"/>
                <w:szCs w:val="18"/>
              </w:rPr>
            </w:pPr>
            <w:r w:rsidRPr="00CF3E3D">
              <w:rPr>
                <w:sz w:val="18"/>
                <w:szCs w:val="18"/>
              </w:rPr>
              <w:t>4,790</w:t>
            </w:r>
          </w:p>
        </w:tc>
        <w:tc>
          <w:tcPr>
            <w:cnfStyle w:val="000010000000" w:firstRow="0" w:lastRow="0" w:firstColumn="0" w:lastColumn="0" w:oddVBand="1" w:evenVBand="0" w:oddHBand="0" w:evenHBand="0" w:firstRowFirstColumn="0" w:firstRowLastColumn="0" w:lastRowFirstColumn="0" w:lastRowLastColumn="0"/>
            <w:tcW w:w="820" w:type="pct"/>
          </w:tcPr>
          <w:p w14:paraId="2C622B5A" w14:textId="77777777" w:rsidR="006A79B6" w:rsidRPr="00CF3E3D" w:rsidRDefault="006A79B6" w:rsidP="007007AC">
            <w:pPr>
              <w:spacing w:before="85" w:line="288" w:lineRule="auto"/>
              <w:jc w:val="center"/>
              <w:rPr>
                <w:sz w:val="18"/>
                <w:szCs w:val="18"/>
              </w:rPr>
            </w:pPr>
            <w:r w:rsidRPr="00CF3E3D">
              <w:rPr>
                <w:sz w:val="18"/>
                <w:szCs w:val="18"/>
              </w:rPr>
              <w:t>1.4</w:t>
            </w:r>
          </w:p>
        </w:tc>
        <w:tc>
          <w:tcPr>
            <w:cnfStyle w:val="000001000000" w:firstRow="0" w:lastRow="0" w:firstColumn="0" w:lastColumn="0" w:oddVBand="0" w:evenVBand="1" w:oddHBand="0" w:evenHBand="0" w:firstRowFirstColumn="0" w:firstRowLastColumn="0" w:lastRowFirstColumn="0" w:lastRowLastColumn="0"/>
            <w:tcW w:w="820" w:type="pct"/>
          </w:tcPr>
          <w:p w14:paraId="4D25ED4B" w14:textId="77777777" w:rsidR="006A79B6" w:rsidRPr="00CF3E3D" w:rsidRDefault="006A79B6" w:rsidP="007007AC">
            <w:pPr>
              <w:spacing w:before="85" w:line="288" w:lineRule="auto"/>
              <w:jc w:val="center"/>
              <w:rPr>
                <w:sz w:val="18"/>
                <w:szCs w:val="18"/>
              </w:rPr>
            </w:pPr>
            <w:r w:rsidRPr="00CF3E3D">
              <w:rPr>
                <w:sz w:val="18"/>
                <w:szCs w:val="18"/>
              </w:rPr>
              <w:t>2,483</w:t>
            </w:r>
          </w:p>
        </w:tc>
        <w:tc>
          <w:tcPr>
            <w:cnfStyle w:val="000010000000" w:firstRow="0" w:lastRow="0" w:firstColumn="0" w:lastColumn="0" w:oddVBand="1" w:evenVBand="0" w:oddHBand="0" w:evenHBand="0" w:firstRowFirstColumn="0" w:firstRowLastColumn="0" w:lastRowFirstColumn="0" w:lastRowLastColumn="0"/>
            <w:tcW w:w="821" w:type="pct"/>
          </w:tcPr>
          <w:p w14:paraId="430D28AB" w14:textId="77777777" w:rsidR="006A79B6" w:rsidRPr="00CF3E3D" w:rsidRDefault="006A79B6" w:rsidP="007007AC">
            <w:pPr>
              <w:spacing w:before="85" w:line="288" w:lineRule="auto"/>
              <w:jc w:val="center"/>
              <w:rPr>
                <w:sz w:val="18"/>
                <w:szCs w:val="18"/>
              </w:rPr>
            </w:pPr>
            <w:r w:rsidRPr="00CF3E3D">
              <w:rPr>
                <w:sz w:val="18"/>
                <w:szCs w:val="18"/>
              </w:rPr>
              <w:t>1.9</w:t>
            </w:r>
          </w:p>
        </w:tc>
      </w:tr>
      <w:tr w:rsidR="006A79B6" w:rsidRPr="00CF3E3D" w14:paraId="030DB89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60DE98F8" w14:textId="77777777" w:rsidR="006A79B6" w:rsidRPr="0011573D" w:rsidRDefault="006A79B6" w:rsidP="007007AC">
            <w:pPr>
              <w:spacing w:before="85" w:line="288" w:lineRule="auto"/>
              <w:rPr>
                <w:b/>
                <w:bCs/>
                <w:sz w:val="18"/>
                <w:szCs w:val="18"/>
              </w:rPr>
            </w:pPr>
            <w:r w:rsidRPr="0011573D">
              <w:rPr>
                <w:b/>
                <w:bCs/>
                <w:sz w:val="18"/>
                <w:szCs w:val="18"/>
              </w:rPr>
              <w:t>Health services and support</w:t>
            </w:r>
          </w:p>
        </w:tc>
        <w:tc>
          <w:tcPr>
            <w:cnfStyle w:val="000001000000" w:firstRow="0" w:lastRow="0" w:firstColumn="0" w:lastColumn="0" w:oddVBand="0" w:evenVBand="1" w:oddHBand="0" w:evenHBand="0" w:firstRowFirstColumn="0" w:firstRowLastColumn="0" w:lastRowFirstColumn="0" w:lastRowLastColumn="0"/>
            <w:tcW w:w="820" w:type="pct"/>
          </w:tcPr>
          <w:p w14:paraId="569F581B" w14:textId="77777777" w:rsidR="006A79B6" w:rsidRPr="00CF3E3D" w:rsidRDefault="006A79B6" w:rsidP="007007AC">
            <w:pPr>
              <w:spacing w:before="85" w:line="288" w:lineRule="auto"/>
              <w:jc w:val="center"/>
              <w:rPr>
                <w:sz w:val="18"/>
                <w:szCs w:val="18"/>
              </w:rPr>
            </w:pPr>
            <w:r w:rsidRPr="00CF3E3D">
              <w:rPr>
                <w:sz w:val="18"/>
                <w:szCs w:val="18"/>
              </w:rPr>
              <w:t>20,746</w:t>
            </w:r>
          </w:p>
        </w:tc>
        <w:tc>
          <w:tcPr>
            <w:cnfStyle w:val="000010000000" w:firstRow="0" w:lastRow="0" w:firstColumn="0" w:lastColumn="0" w:oddVBand="1" w:evenVBand="0" w:oddHBand="0" w:evenHBand="0" w:firstRowFirstColumn="0" w:firstRowLastColumn="0" w:lastRowFirstColumn="0" w:lastRowLastColumn="0"/>
            <w:tcW w:w="820" w:type="pct"/>
          </w:tcPr>
          <w:p w14:paraId="3A03E0DF" w14:textId="77777777" w:rsidR="006A79B6" w:rsidRPr="00CF3E3D" w:rsidRDefault="006A79B6" w:rsidP="007007AC">
            <w:pPr>
              <w:spacing w:before="85" w:line="288" w:lineRule="auto"/>
              <w:jc w:val="center"/>
              <w:rPr>
                <w:sz w:val="18"/>
                <w:szCs w:val="18"/>
              </w:rPr>
            </w:pPr>
            <w:r w:rsidRPr="00CF3E3D">
              <w:rPr>
                <w:sz w:val="18"/>
                <w:szCs w:val="18"/>
              </w:rPr>
              <w:t>6.2</w:t>
            </w:r>
          </w:p>
        </w:tc>
        <w:tc>
          <w:tcPr>
            <w:cnfStyle w:val="000001000000" w:firstRow="0" w:lastRow="0" w:firstColumn="0" w:lastColumn="0" w:oddVBand="0" w:evenVBand="1" w:oddHBand="0" w:evenHBand="0" w:firstRowFirstColumn="0" w:firstRowLastColumn="0" w:lastRowFirstColumn="0" w:lastRowLastColumn="0"/>
            <w:tcW w:w="820" w:type="pct"/>
          </w:tcPr>
          <w:p w14:paraId="41D6956A" w14:textId="77777777" w:rsidR="006A79B6" w:rsidRPr="00CF3E3D" w:rsidRDefault="006A79B6" w:rsidP="007007AC">
            <w:pPr>
              <w:spacing w:before="85" w:line="288" w:lineRule="auto"/>
              <w:jc w:val="center"/>
              <w:rPr>
                <w:sz w:val="18"/>
                <w:szCs w:val="18"/>
              </w:rPr>
            </w:pPr>
            <w:r w:rsidRPr="00CF3E3D">
              <w:rPr>
                <w:sz w:val="18"/>
                <w:szCs w:val="18"/>
              </w:rPr>
              <w:t>9,192</w:t>
            </w:r>
          </w:p>
        </w:tc>
        <w:tc>
          <w:tcPr>
            <w:cnfStyle w:val="000010000000" w:firstRow="0" w:lastRow="0" w:firstColumn="0" w:lastColumn="0" w:oddVBand="1" w:evenVBand="0" w:oddHBand="0" w:evenHBand="0" w:firstRowFirstColumn="0" w:firstRowLastColumn="0" w:lastRowFirstColumn="0" w:lastRowLastColumn="0"/>
            <w:tcW w:w="821" w:type="pct"/>
          </w:tcPr>
          <w:p w14:paraId="602EEB82" w14:textId="77777777" w:rsidR="006A79B6" w:rsidRPr="00CF3E3D" w:rsidRDefault="006A79B6" w:rsidP="007007AC">
            <w:pPr>
              <w:spacing w:before="85" w:line="288" w:lineRule="auto"/>
              <w:jc w:val="center"/>
              <w:rPr>
                <w:sz w:val="18"/>
                <w:szCs w:val="18"/>
              </w:rPr>
            </w:pPr>
            <w:r w:rsidRPr="00CF3E3D">
              <w:rPr>
                <w:sz w:val="18"/>
                <w:szCs w:val="18"/>
              </w:rPr>
              <w:t>7.0</w:t>
            </w:r>
          </w:p>
        </w:tc>
      </w:tr>
      <w:tr w:rsidR="006A79B6" w:rsidRPr="00CF3E3D" w14:paraId="00ADA56D"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406E3A17" w14:textId="77777777" w:rsidR="006A79B6" w:rsidRPr="0011573D" w:rsidRDefault="006A79B6" w:rsidP="007007AC">
            <w:pPr>
              <w:spacing w:before="85" w:line="288" w:lineRule="auto"/>
              <w:rPr>
                <w:b/>
                <w:bCs/>
                <w:sz w:val="18"/>
                <w:szCs w:val="18"/>
              </w:rPr>
            </w:pPr>
            <w:r w:rsidRPr="0011573D">
              <w:rPr>
                <w:b/>
                <w:bCs/>
                <w:sz w:val="18"/>
                <w:szCs w:val="18"/>
              </w:rPr>
              <w:t>Medicine</w:t>
            </w:r>
          </w:p>
        </w:tc>
        <w:tc>
          <w:tcPr>
            <w:cnfStyle w:val="000001000000" w:firstRow="0" w:lastRow="0" w:firstColumn="0" w:lastColumn="0" w:oddVBand="0" w:evenVBand="1" w:oddHBand="0" w:evenHBand="0" w:firstRowFirstColumn="0" w:firstRowLastColumn="0" w:lastRowFirstColumn="0" w:lastRowLastColumn="0"/>
            <w:tcW w:w="820" w:type="pct"/>
          </w:tcPr>
          <w:p w14:paraId="5FB74CA9" w14:textId="77777777" w:rsidR="006A79B6" w:rsidRPr="00CF3E3D" w:rsidRDefault="006A79B6" w:rsidP="007007AC">
            <w:pPr>
              <w:spacing w:before="85" w:line="288" w:lineRule="auto"/>
              <w:jc w:val="center"/>
              <w:rPr>
                <w:sz w:val="18"/>
                <w:szCs w:val="18"/>
              </w:rPr>
            </w:pPr>
            <w:r w:rsidRPr="00CF3E3D">
              <w:rPr>
                <w:sz w:val="18"/>
                <w:szCs w:val="18"/>
              </w:rPr>
              <w:t>5,613</w:t>
            </w:r>
          </w:p>
        </w:tc>
        <w:tc>
          <w:tcPr>
            <w:cnfStyle w:val="000010000000" w:firstRow="0" w:lastRow="0" w:firstColumn="0" w:lastColumn="0" w:oddVBand="1" w:evenVBand="0" w:oddHBand="0" w:evenHBand="0" w:firstRowFirstColumn="0" w:firstRowLastColumn="0" w:lastRowFirstColumn="0" w:lastRowLastColumn="0"/>
            <w:tcW w:w="820" w:type="pct"/>
          </w:tcPr>
          <w:p w14:paraId="1604EB1B" w14:textId="77777777" w:rsidR="006A79B6" w:rsidRPr="00CF3E3D" w:rsidRDefault="006A79B6" w:rsidP="007007AC">
            <w:pPr>
              <w:spacing w:before="85" w:line="288" w:lineRule="auto"/>
              <w:jc w:val="center"/>
              <w:rPr>
                <w:sz w:val="18"/>
                <w:szCs w:val="18"/>
              </w:rPr>
            </w:pPr>
            <w:r w:rsidRPr="00CF3E3D">
              <w:rPr>
                <w:sz w:val="18"/>
                <w:szCs w:val="18"/>
              </w:rPr>
              <w:t>1.7</w:t>
            </w:r>
          </w:p>
        </w:tc>
        <w:tc>
          <w:tcPr>
            <w:cnfStyle w:val="000001000000" w:firstRow="0" w:lastRow="0" w:firstColumn="0" w:lastColumn="0" w:oddVBand="0" w:evenVBand="1" w:oddHBand="0" w:evenHBand="0" w:firstRowFirstColumn="0" w:firstRowLastColumn="0" w:lastRowFirstColumn="0" w:lastRowLastColumn="0"/>
            <w:tcW w:w="820" w:type="pct"/>
          </w:tcPr>
          <w:p w14:paraId="55BC1A03" w14:textId="77777777" w:rsidR="006A79B6" w:rsidRPr="00CF3E3D" w:rsidRDefault="006A79B6" w:rsidP="007007AC">
            <w:pPr>
              <w:spacing w:before="85" w:line="288" w:lineRule="auto"/>
              <w:jc w:val="center"/>
              <w:rPr>
                <w:sz w:val="18"/>
                <w:szCs w:val="18"/>
              </w:rPr>
            </w:pPr>
            <w:r w:rsidRPr="00CF3E3D">
              <w:rPr>
                <w:sz w:val="18"/>
                <w:szCs w:val="18"/>
              </w:rPr>
              <w:t>2,049</w:t>
            </w:r>
          </w:p>
        </w:tc>
        <w:tc>
          <w:tcPr>
            <w:cnfStyle w:val="000010000000" w:firstRow="0" w:lastRow="0" w:firstColumn="0" w:lastColumn="0" w:oddVBand="1" w:evenVBand="0" w:oddHBand="0" w:evenHBand="0" w:firstRowFirstColumn="0" w:firstRowLastColumn="0" w:lastRowFirstColumn="0" w:lastRowLastColumn="0"/>
            <w:tcW w:w="821" w:type="pct"/>
          </w:tcPr>
          <w:p w14:paraId="2C3ECF91" w14:textId="77777777" w:rsidR="006A79B6" w:rsidRPr="00CF3E3D" w:rsidRDefault="006A79B6" w:rsidP="007007AC">
            <w:pPr>
              <w:spacing w:before="85" w:line="288" w:lineRule="auto"/>
              <w:jc w:val="center"/>
              <w:rPr>
                <w:sz w:val="18"/>
                <w:szCs w:val="18"/>
              </w:rPr>
            </w:pPr>
            <w:r w:rsidRPr="00CF3E3D">
              <w:rPr>
                <w:sz w:val="18"/>
                <w:szCs w:val="18"/>
              </w:rPr>
              <w:t>1.6</w:t>
            </w:r>
          </w:p>
        </w:tc>
      </w:tr>
      <w:tr w:rsidR="006A79B6" w:rsidRPr="00CF3E3D" w14:paraId="3ED9E50C"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20AFFF78" w14:textId="77777777" w:rsidR="006A79B6" w:rsidRPr="0011573D" w:rsidRDefault="006A79B6" w:rsidP="007007AC">
            <w:pPr>
              <w:spacing w:before="85" w:line="288" w:lineRule="auto"/>
              <w:rPr>
                <w:b/>
                <w:bCs/>
                <w:sz w:val="18"/>
                <w:szCs w:val="18"/>
              </w:rPr>
            </w:pPr>
            <w:r w:rsidRPr="0011573D">
              <w:rPr>
                <w:b/>
                <w:bCs/>
                <w:sz w:val="18"/>
                <w:szCs w:val="18"/>
              </w:rPr>
              <w:t>Nursing</w:t>
            </w:r>
          </w:p>
        </w:tc>
        <w:tc>
          <w:tcPr>
            <w:cnfStyle w:val="000001000000" w:firstRow="0" w:lastRow="0" w:firstColumn="0" w:lastColumn="0" w:oddVBand="0" w:evenVBand="1" w:oddHBand="0" w:evenHBand="0" w:firstRowFirstColumn="0" w:firstRowLastColumn="0" w:lastRowFirstColumn="0" w:lastRowLastColumn="0"/>
            <w:tcW w:w="820" w:type="pct"/>
          </w:tcPr>
          <w:p w14:paraId="1AE87344" w14:textId="77777777" w:rsidR="006A79B6" w:rsidRPr="00CF3E3D" w:rsidRDefault="006A79B6" w:rsidP="007007AC">
            <w:pPr>
              <w:spacing w:before="85" w:line="288" w:lineRule="auto"/>
              <w:jc w:val="center"/>
              <w:rPr>
                <w:sz w:val="18"/>
                <w:szCs w:val="18"/>
              </w:rPr>
            </w:pPr>
            <w:r w:rsidRPr="00CF3E3D">
              <w:rPr>
                <w:sz w:val="18"/>
                <w:szCs w:val="18"/>
              </w:rPr>
              <w:t>27,956</w:t>
            </w:r>
          </w:p>
        </w:tc>
        <w:tc>
          <w:tcPr>
            <w:cnfStyle w:val="000010000000" w:firstRow="0" w:lastRow="0" w:firstColumn="0" w:lastColumn="0" w:oddVBand="1" w:evenVBand="0" w:oddHBand="0" w:evenHBand="0" w:firstRowFirstColumn="0" w:firstRowLastColumn="0" w:lastRowFirstColumn="0" w:lastRowLastColumn="0"/>
            <w:tcW w:w="820" w:type="pct"/>
          </w:tcPr>
          <w:p w14:paraId="629AC06B" w14:textId="77777777" w:rsidR="006A79B6" w:rsidRPr="00CF3E3D" w:rsidRDefault="006A79B6" w:rsidP="007007AC">
            <w:pPr>
              <w:spacing w:before="85" w:line="288" w:lineRule="auto"/>
              <w:jc w:val="center"/>
              <w:rPr>
                <w:sz w:val="18"/>
                <w:szCs w:val="18"/>
              </w:rPr>
            </w:pPr>
            <w:r w:rsidRPr="00CF3E3D">
              <w:rPr>
                <w:sz w:val="18"/>
                <w:szCs w:val="18"/>
              </w:rPr>
              <w:t>8.4</w:t>
            </w:r>
          </w:p>
        </w:tc>
        <w:tc>
          <w:tcPr>
            <w:cnfStyle w:val="000001000000" w:firstRow="0" w:lastRow="0" w:firstColumn="0" w:lastColumn="0" w:oddVBand="0" w:evenVBand="1" w:oddHBand="0" w:evenHBand="0" w:firstRowFirstColumn="0" w:firstRowLastColumn="0" w:lastRowFirstColumn="0" w:lastRowLastColumn="0"/>
            <w:tcW w:w="820" w:type="pct"/>
          </w:tcPr>
          <w:p w14:paraId="65D4C0B8" w14:textId="77777777" w:rsidR="006A79B6" w:rsidRPr="00CF3E3D" w:rsidRDefault="006A79B6" w:rsidP="007007AC">
            <w:pPr>
              <w:spacing w:before="85" w:line="288" w:lineRule="auto"/>
              <w:jc w:val="center"/>
              <w:rPr>
                <w:sz w:val="18"/>
                <w:szCs w:val="18"/>
              </w:rPr>
            </w:pPr>
            <w:r w:rsidRPr="00CF3E3D">
              <w:rPr>
                <w:sz w:val="18"/>
                <w:szCs w:val="18"/>
              </w:rPr>
              <w:t>11,458</w:t>
            </w:r>
          </w:p>
        </w:tc>
        <w:tc>
          <w:tcPr>
            <w:cnfStyle w:val="000010000000" w:firstRow="0" w:lastRow="0" w:firstColumn="0" w:lastColumn="0" w:oddVBand="1" w:evenVBand="0" w:oddHBand="0" w:evenHBand="0" w:firstRowFirstColumn="0" w:firstRowLastColumn="0" w:lastRowFirstColumn="0" w:lastRowLastColumn="0"/>
            <w:tcW w:w="821" w:type="pct"/>
          </w:tcPr>
          <w:p w14:paraId="2DF22DF5" w14:textId="77777777" w:rsidR="006A79B6" w:rsidRPr="00CF3E3D" w:rsidRDefault="006A79B6" w:rsidP="007007AC">
            <w:pPr>
              <w:spacing w:before="85" w:line="288" w:lineRule="auto"/>
              <w:jc w:val="center"/>
              <w:rPr>
                <w:sz w:val="18"/>
                <w:szCs w:val="18"/>
              </w:rPr>
            </w:pPr>
            <w:r w:rsidRPr="00CF3E3D">
              <w:rPr>
                <w:sz w:val="18"/>
                <w:szCs w:val="18"/>
              </w:rPr>
              <w:t>8.7</w:t>
            </w:r>
          </w:p>
        </w:tc>
      </w:tr>
      <w:tr w:rsidR="006A79B6" w:rsidRPr="00CF3E3D" w14:paraId="3522547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4834DD6B" w14:textId="77777777" w:rsidR="006A79B6" w:rsidRPr="0011573D" w:rsidRDefault="006A79B6" w:rsidP="007007AC">
            <w:pPr>
              <w:spacing w:before="85" w:line="288" w:lineRule="auto"/>
              <w:rPr>
                <w:b/>
                <w:bCs/>
                <w:sz w:val="18"/>
                <w:szCs w:val="18"/>
              </w:rPr>
            </w:pPr>
            <w:r w:rsidRPr="0011573D">
              <w:rPr>
                <w:b/>
                <w:bCs/>
                <w:sz w:val="18"/>
                <w:szCs w:val="18"/>
              </w:rPr>
              <w:t>Pharmacy</w:t>
            </w:r>
          </w:p>
        </w:tc>
        <w:tc>
          <w:tcPr>
            <w:cnfStyle w:val="000001000000" w:firstRow="0" w:lastRow="0" w:firstColumn="0" w:lastColumn="0" w:oddVBand="0" w:evenVBand="1" w:oddHBand="0" w:evenHBand="0" w:firstRowFirstColumn="0" w:firstRowLastColumn="0" w:lastRowFirstColumn="0" w:lastRowLastColumn="0"/>
            <w:tcW w:w="820" w:type="pct"/>
          </w:tcPr>
          <w:p w14:paraId="2F1F2677" w14:textId="77777777" w:rsidR="006A79B6" w:rsidRPr="00CF3E3D" w:rsidRDefault="006A79B6" w:rsidP="007007AC">
            <w:pPr>
              <w:spacing w:before="85" w:line="288" w:lineRule="auto"/>
              <w:jc w:val="center"/>
              <w:rPr>
                <w:sz w:val="18"/>
                <w:szCs w:val="18"/>
              </w:rPr>
            </w:pPr>
            <w:r w:rsidRPr="00CF3E3D">
              <w:rPr>
                <w:sz w:val="18"/>
                <w:szCs w:val="18"/>
              </w:rPr>
              <w:t>1,898</w:t>
            </w:r>
          </w:p>
        </w:tc>
        <w:tc>
          <w:tcPr>
            <w:cnfStyle w:val="000010000000" w:firstRow="0" w:lastRow="0" w:firstColumn="0" w:lastColumn="0" w:oddVBand="1" w:evenVBand="0" w:oddHBand="0" w:evenHBand="0" w:firstRowFirstColumn="0" w:firstRowLastColumn="0" w:lastRowFirstColumn="0" w:lastRowLastColumn="0"/>
            <w:tcW w:w="820" w:type="pct"/>
          </w:tcPr>
          <w:p w14:paraId="59137FD7" w14:textId="77777777" w:rsidR="006A79B6" w:rsidRPr="00CF3E3D" w:rsidRDefault="006A79B6" w:rsidP="007007AC">
            <w:pPr>
              <w:spacing w:before="85" w:line="288" w:lineRule="auto"/>
              <w:jc w:val="center"/>
              <w:rPr>
                <w:sz w:val="18"/>
                <w:szCs w:val="18"/>
              </w:rPr>
            </w:pPr>
            <w:r w:rsidRPr="00CF3E3D">
              <w:rPr>
                <w:sz w:val="18"/>
                <w:szCs w:val="18"/>
              </w:rPr>
              <w:t>0.6</w:t>
            </w:r>
          </w:p>
        </w:tc>
        <w:tc>
          <w:tcPr>
            <w:cnfStyle w:val="000001000000" w:firstRow="0" w:lastRow="0" w:firstColumn="0" w:lastColumn="0" w:oddVBand="0" w:evenVBand="1" w:oddHBand="0" w:evenHBand="0" w:firstRowFirstColumn="0" w:firstRowLastColumn="0" w:lastRowFirstColumn="0" w:lastRowLastColumn="0"/>
            <w:tcW w:w="820" w:type="pct"/>
          </w:tcPr>
          <w:p w14:paraId="5C1C486D" w14:textId="77777777" w:rsidR="006A79B6" w:rsidRPr="00CF3E3D" w:rsidRDefault="006A79B6" w:rsidP="007007AC">
            <w:pPr>
              <w:spacing w:before="85" w:line="288" w:lineRule="auto"/>
              <w:jc w:val="center"/>
              <w:rPr>
                <w:sz w:val="18"/>
                <w:szCs w:val="18"/>
              </w:rPr>
            </w:pPr>
            <w:r w:rsidRPr="00CF3E3D">
              <w:rPr>
                <w:sz w:val="18"/>
                <w:szCs w:val="18"/>
              </w:rPr>
              <w:t>706</w:t>
            </w:r>
          </w:p>
        </w:tc>
        <w:tc>
          <w:tcPr>
            <w:cnfStyle w:val="000010000000" w:firstRow="0" w:lastRow="0" w:firstColumn="0" w:lastColumn="0" w:oddVBand="1" w:evenVBand="0" w:oddHBand="0" w:evenHBand="0" w:firstRowFirstColumn="0" w:firstRowLastColumn="0" w:lastRowFirstColumn="0" w:lastRowLastColumn="0"/>
            <w:tcW w:w="821" w:type="pct"/>
          </w:tcPr>
          <w:p w14:paraId="441357F6" w14:textId="77777777" w:rsidR="006A79B6" w:rsidRPr="00CF3E3D" w:rsidRDefault="006A79B6" w:rsidP="007007AC">
            <w:pPr>
              <w:spacing w:before="85" w:line="288" w:lineRule="auto"/>
              <w:jc w:val="center"/>
              <w:rPr>
                <w:sz w:val="18"/>
                <w:szCs w:val="18"/>
              </w:rPr>
            </w:pPr>
            <w:r w:rsidRPr="00CF3E3D">
              <w:rPr>
                <w:sz w:val="18"/>
                <w:szCs w:val="18"/>
              </w:rPr>
              <w:t>0.5</w:t>
            </w:r>
          </w:p>
        </w:tc>
      </w:tr>
      <w:tr w:rsidR="006A79B6" w:rsidRPr="00CF3E3D" w14:paraId="3C299235"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010EC90D" w14:textId="77777777" w:rsidR="006A79B6" w:rsidRPr="0011573D" w:rsidRDefault="006A79B6" w:rsidP="007007AC">
            <w:pPr>
              <w:spacing w:before="85" w:line="288" w:lineRule="auto"/>
              <w:rPr>
                <w:b/>
                <w:bCs/>
                <w:sz w:val="18"/>
                <w:szCs w:val="18"/>
              </w:rPr>
            </w:pPr>
            <w:r w:rsidRPr="0011573D">
              <w:rPr>
                <w:b/>
                <w:bCs/>
                <w:sz w:val="18"/>
                <w:szCs w:val="18"/>
              </w:rPr>
              <w:t>Dentistry</w:t>
            </w:r>
          </w:p>
        </w:tc>
        <w:tc>
          <w:tcPr>
            <w:cnfStyle w:val="000001000000" w:firstRow="0" w:lastRow="0" w:firstColumn="0" w:lastColumn="0" w:oddVBand="0" w:evenVBand="1" w:oddHBand="0" w:evenHBand="0" w:firstRowFirstColumn="0" w:firstRowLastColumn="0" w:lastRowFirstColumn="0" w:lastRowLastColumn="0"/>
            <w:tcW w:w="820" w:type="pct"/>
          </w:tcPr>
          <w:p w14:paraId="2F43A235" w14:textId="77777777" w:rsidR="006A79B6" w:rsidRPr="00CF3E3D" w:rsidRDefault="006A79B6" w:rsidP="007007AC">
            <w:pPr>
              <w:spacing w:before="85" w:line="288" w:lineRule="auto"/>
              <w:jc w:val="center"/>
              <w:rPr>
                <w:sz w:val="18"/>
                <w:szCs w:val="18"/>
              </w:rPr>
            </w:pPr>
            <w:r w:rsidRPr="00CF3E3D">
              <w:rPr>
                <w:sz w:val="18"/>
                <w:szCs w:val="18"/>
              </w:rPr>
              <w:t>1,026</w:t>
            </w:r>
          </w:p>
        </w:tc>
        <w:tc>
          <w:tcPr>
            <w:cnfStyle w:val="000010000000" w:firstRow="0" w:lastRow="0" w:firstColumn="0" w:lastColumn="0" w:oddVBand="1" w:evenVBand="0" w:oddHBand="0" w:evenHBand="0" w:firstRowFirstColumn="0" w:firstRowLastColumn="0" w:lastRowFirstColumn="0" w:lastRowLastColumn="0"/>
            <w:tcW w:w="820" w:type="pct"/>
          </w:tcPr>
          <w:p w14:paraId="50B2A4B8" w14:textId="77777777" w:rsidR="006A79B6" w:rsidRPr="00CF3E3D" w:rsidRDefault="006A79B6" w:rsidP="007007AC">
            <w:pPr>
              <w:spacing w:before="85" w:line="288" w:lineRule="auto"/>
              <w:jc w:val="center"/>
              <w:rPr>
                <w:sz w:val="18"/>
                <w:szCs w:val="18"/>
              </w:rPr>
            </w:pPr>
            <w:r w:rsidRPr="00CF3E3D">
              <w:rPr>
                <w:sz w:val="18"/>
                <w:szCs w:val="18"/>
              </w:rPr>
              <w:t>0.3</w:t>
            </w:r>
          </w:p>
        </w:tc>
        <w:tc>
          <w:tcPr>
            <w:cnfStyle w:val="000001000000" w:firstRow="0" w:lastRow="0" w:firstColumn="0" w:lastColumn="0" w:oddVBand="0" w:evenVBand="1" w:oddHBand="0" w:evenHBand="0" w:firstRowFirstColumn="0" w:firstRowLastColumn="0" w:lastRowFirstColumn="0" w:lastRowLastColumn="0"/>
            <w:tcW w:w="820" w:type="pct"/>
          </w:tcPr>
          <w:p w14:paraId="70660789" w14:textId="77777777" w:rsidR="006A79B6" w:rsidRPr="00CF3E3D" w:rsidRDefault="006A79B6" w:rsidP="007007AC">
            <w:pPr>
              <w:spacing w:before="85" w:line="288" w:lineRule="auto"/>
              <w:jc w:val="center"/>
              <w:rPr>
                <w:sz w:val="18"/>
                <w:szCs w:val="18"/>
              </w:rPr>
            </w:pPr>
            <w:r w:rsidRPr="00CF3E3D">
              <w:rPr>
                <w:sz w:val="18"/>
                <w:szCs w:val="18"/>
              </w:rPr>
              <w:t>364</w:t>
            </w:r>
          </w:p>
        </w:tc>
        <w:tc>
          <w:tcPr>
            <w:cnfStyle w:val="000010000000" w:firstRow="0" w:lastRow="0" w:firstColumn="0" w:lastColumn="0" w:oddVBand="1" w:evenVBand="0" w:oddHBand="0" w:evenHBand="0" w:firstRowFirstColumn="0" w:firstRowLastColumn="0" w:lastRowFirstColumn="0" w:lastRowLastColumn="0"/>
            <w:tcW w:w="821" w:type="pct"/>
          </w:tcPr>
          <w:p w14:paraId="153C0F74" w14:textId="77777777" w:rsidR="006A79B6" w:rsidRPr="00CF3E3D" w:rsidRDefault="006A79B6" w:rsidP="007007AC">
            <w:pPr>
              <w:spacing w:before="85" w:line="288" w:lineRule="auto"/>
              <w:jc w:val="center"/>
              <w:rPr>
                <w:sz w:val="18"/>
                <w:szCs w:val="18"/>
              </w:rPr>
            </w:pPr>
            <w:r w:rsidRPr="00CF3E3D">
              <w:rPr>
                <w:sz w:val="18"/>
                <w:szCs w:val="18"/>
              </w:rPr>
              <w:t>0.3</w:t>
            </w:r>
          </w:p>
        </w:tc>
      </w:tr>
      <w:tr w:rsidR="006A79B6" w:rsidRPr="00CF3E3D" w14:paraId="3757D399"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21DAD685" w14:textId="77777777" w:rsidR="006A79B6" w:rsidRPr="0011573D" w:rsidRDefault="006A79B6" w:rsidP="007007AC">
            <w:pPr>
              <w:spacing w:before="85" w:line="288" w:lineRule="auto"/>
              <w:rPr>
                <w:b/>
                <w:bCs/>
                <w:sz w:val="18"/>
                <w:szCs w:val="18"/>
              </w:rPr>
            </w:pPr>
            <w:r w:rsidRPr="0011573D">
              <w:rPr>
                <w:b/>
                <w:bCs/>
                <w:sz w:val="18"/>
                <w:szCs w:val="18"/>
              </w:rPr>
              <w:t>Veterinary science</w:t>
            </w:r>
          </w:p>
        </w:tc>
        <w:tc>
          <w:tcPr>
            <w:cnfStyle w:val="000001000000" w:firstRow="0" w:lastRow="0" w:firstColumn="0" w:lastColumn="0" w:oddVBand="0" w:evenVBand="1" w:oddHBand="0" w:evenHBand="0" w:firstRowFirstColumn="0" w:firstRowLastColumn="0" w:lastRowFirstColumn="0" w:lastRowLastColumn="0"/>
            <w:tcW w:w="820" w:type="pct"/>
          </w:tcPr>
          <w:p w14:paraId="636468EE" w14:textId="77777777" w:rsidR="006A79B6" w:rsidRPr="00CF3E3D" w:rsidRDefault="006A79B6" w:rsidP="007007AC">
            <w:pPr>
              <w:spacing w:before="85" w:line="288" w:lineRule="auto"/>
              <w:jc w:val="center"/>
              <w:rPr>
                <w:sz w:val="18"/>
                <w:szCs w:val="18"/>
              </w:rPr>
            </w:pPr>
            <w:r w:rsidRPr="00CF3E3D">
              <w:rPr>
                <w:sz w:val="18"/>
                <w:szCs w:val="18"/>
              </w:rPr>
              <w:t>1,027</w:t>
            </w:r>
          </w:p>
        </w:tc>
        <w:tc>
          <w:tcPr>
            <w:cnfStyle w:val="000010000000" w:firstRow="0" w:lastRow="0" w:firstColumn="0" w:lastColumn="0" w:oddVBand="1" w:evenVBand="0" w:oddHBand="0" w:evenHBand="0" w:firstRowFirstColumn="0" w:firstRowLastColumn="0" w:lastRowFirstColumn="0" w:lastRowLastColumn="0"/>
            <w:tcW w:w="820" w:type="pct"/>
          </w:tcPr>
          <w:p w14:paraId="1E1A70A4" w14:textId="77777777" w:rsidR="006A79B6" w:rsidRPr="00CF3E3D" w:rsidRDefault="006A79B6" w:rsidP="007007AC">
            <w:pPr>
              <w:spacing w:before="85" w:line="288" w:lineRule="auto"/>
              <w:jc w:val="center"/>
              <w:rPr>
                <w:sz w:val="18"/>
                <w:szCs w:val="18"/>
              </w:rPr>
            </w:pPr>
            <w:r w:rsidRPr="00CF3E3D">
              <w:rPr>
                <w:sz w:val="18"/>
                <w:szCs w:val="18"/>
              </w:rPr>
              <w:t>0.3</w:t>
            </w:r>
          </w:p>
        </w:tc>
        <w:tc>
          <w:tcPr>
            <w:cnfStyle w:val="000001000000" w:firstRow="0" w:lastRow="0" w:firstColumn="0" w:lastColumn="0" w:oddVBand="0" w:evenVBand="1" w:oddHBand="0" w:evenHBand="0" w:firstRowFirstColumn="0" w:firstRowLastColumn="0" w:lastRowFirstColumn="0" w:lastRowLastColumn="0"/>
            <w:tcW w:w="820" w:type="pct"/>
          </w:tcPr>
          <w:p w14:paraId="776018EB" w14:textId="77777777" w:rsidR="006A79B6" w:rsidRPr="00CF3E3D" w:rsidRDefault="006A79B6" w:rsidP="007007AC">
            <w:pPr>
              <w:spacing w:before="85" w:line="288" w:lineRule="auto"/>
              <w:jc w:val="center"/>
              <w:rPr>
                <w:sz w:val="18"/>
                <w:szCs w:val="18"/>
              </w:rPr>
            </w:pPr>
            <w:r w:rsidRPr="00CF3E3D">
              <w:rPr>
                <w:sz w:val="18"/>
                <w:szCs w:val="18"/>
              </w:rPr>
              <w:t>436</w:t>
            </w:r>
          </w:p>
        </w:tc>
        <w:tc>
          <w:tcPr>
            <w:cnfStyle w:val="000010000000" w:firstRow="0" w:lastRow="0" w:firstColumn="0" w:lastColumn="0" w:oddVBand="1" w:evenVBand="0" w:oddHBand="0" w:evenHBand="0" w:firstRowFirstColumn="0" w:firstRowLastColumn="0" w:lastRowFirstColumn="0" w:lastRowLastColumn="0"/>
            <w:tcW w:w="821" w:type="pct"/>
          </w:tcPr>
          <w:p w14:paraId="3CA8EB4E" w14:textId="77777777" w:rsidR="006A79B6" w:rsidRPr="00CF3E3D" w:rsidRDefault="006A79B6" w:rsidP="007007AC">
            <w:pPr>
              <w:spacing w:before="85" w:line="288" w:lineRule="auto"/>
              <w:jc w:val="center"/>
              <w:rPr>
                <w:sz w:val="18"/>
                <w:szCs w:val="18"/>
              </w:rPr>
            </w:pPr>
            <w:r w:rsidRPr="00CF3E3D">
              <w:rPr>
                <w:sz w:val="18"/>
                <w:szCs w:val="18"/>
              </w:rPr>
              <w:t>0.3</w:t>
            </w:r>
          </w:p>
        </w:tc>
      </w:tr>
      <w:tr w:rsidR="006A79B6" w:rsidRPr="00CF3E3D" w14:paraId="09E63129"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3F5D5A44" w14:textId="77777777" w:rsidR="006A79B6" w:rsidRPr="0011573D" w:rsidRDefault="006A79B6" w:rsidP="007007AC">
            <w:pPr>
              <w:spacing w:before="85" w:line="288" w:lineRule="auto"/>
              <w:rPr>
                <w:b/>
                <w:bCs/>
                <w:sz w:val="18"/>
                <w:szCs w:val="18"/>
              </w:rPr>
            </w:pPr>
            <w:r w:rsidRPr="0011573D">
              <w:rPr>
                <w:b/>
                <w:bCs/>
                <w:sz w:val="18"/>
                <w:szCs w:val="18"/>
              </w:rPr>
              <w:t>Rehabilitation</w:t>
            </w:r>
          </w:p>
        </w:tc>
        <w:tc>
          <w:tcPr>
            <w:cnfStyle w:val="000001000000" w:firstRow="0" w:lastRow="0" w:firstColumn="0" w:lastColumn="0" w:oddVBand="0" w:evenVBand="1" w:oddHBand="0" w:evenHBand="0" w:firstRowFirstColumn="0" w:firstRowLastColumn="0" w:lastRowFirstColumn="0" w:lastRowLastColumn="0"/>
            <w:tcW w:w="820" w:type="pct"/>
          </w:tcPr>
          <w:p w14:paraId="7B5CB9B1" w14:textId="77777777" w:rsidR="006A79B6" w:rsidRPr="00CF3E3D" w:rsidRDefault="006A79B6" w:rsidP="007007AC">
            <w:pPr>
              <w:spacing w:before="85" w:line="288" w:lineRule="auto"/>
              <w:jc w:val="center"/>
              <w:rPr>
                <w:sz w:val="18"/>
                <w:szCs w:val="18"/>
              </w:rPr>
            </w:pPr>
            <w:r w:rsidRPr="00CF3E3D">
              <w:rPr>
                <w:sz w:val="18"/>
                <w:szCs w:val="18"/>
              </w:rPr>
              <w:t>4,054</w:t>
            </w:r>
          </w:p>
        </w:tc>
        <w:tc>
          <w:tcPr>
            <w:cnfStyle w:val="000010000000" w:firstRow="0" w:lastRow="0" w:firstColumn="0" w:lastColumn="0" w:oddVBand="1" w:evenVBand="0" w:oddHBand="0" w:evenHBand="0" w:firstRowFirstColumn="0" w:firstRowLastColumn="0" w:lastRowFirstColumn="0" w:lastRowLastColumn="0"/>
            <w:tcW w:w="820" w:type="pct"/>
          </w:tcPr>
          <w:p w14:paraId="2F4CB715" w14:textId="77777777" w:rsidR="006A79B6" w:rsidRPr="00CF3E3D" w:rsidRDefault="006A79B6" w:rsidP="007007AC">
            <w:pPr>
              <w:spacing w:before="85" w:line="288" w:lineRule="auto"/>
              <w:jc w:val="center"/>
              <w:rPr>
                <w:sz w:val="18"/>
                <w:szCs w:val="18"/>
              </w:rPr>
            </w:pPr>
            <w:r w:rsidRPr="00CF3E3D">
              <w:rPr>
                <w:sz w:val="18"/>
                <w:szCs w:val="18"/>
              </w:rPr>
              <w:t>1.2</w:t>
            </w:r>
          </w:p>
        </w:tc>
        <w:tc>
          <w:tcPr>
            <w:cnfStyle w:val="000001000000" w:firstRow="0" w:lastRow="0" w:firstColumn="0" w:lastColumn="0" w:oddVBand="0" w:evenVBand="1" w:oddHBand="0" w:evenHBand="0" w:firstRowFirstColumn="0" w:firstRowLastColumn="0" w:lastRowFirstColumn="0" w:lastRowLastColumn="0"/>
            <w:tcW w:w="820" w:type="pct"/>
          </w:tcPr>
          <w:p w14:paraId="2D187D2B" w14:textId="77777777" w:rsidR="006A79B6" w:rsidRPr="00CF3E3D" w:rsidRDefault="006A79B6" w:rsidP="007007AC">
            <w:pPr>
              <w:spacing w:before="85" w:line="288" w:lineRule="auto"/>
              <w:jc w:val="center"/>
              <w:rPr>
                <w:sz w:val="18"/>
                <w:szCs w:val="18"/>
              </w:rPr>
            </w:pPr>
            <w:r w:rsidRPr="00CF3E3D">
              <w:rPr>
                <w:sz w:val="18"/>
                <w:szCs w:val="18"/>
              </w:rPr>
              <w:t>1,448</w:t>
            </w:r>
          </w:p>
        </w:tc>
        <w:tc>
          <w:tcPr>
            <w:cnfStyle w:val="000010000000" w:firstRow="0" w:lastRow="0" w:firstColumn="0" w:lastColumn="0" w:oddVBand="1" w:evenVBand="0" w:oddHBand="0" w:evenHBand="0" w:firstRowFirstColumn="0" w:firstRowLastColumn="0" w:lastRowFirstColumn="0" w:lastRowLastColumn="0"/>
            <w:tcW w:w="821" w:type="pct"/>
          </w:tcPr>
          <w:p w14:paraId="1F869A9D" w14:textId="77777777" w:rsidR="006A79B6" w:rsidRPr="00CF3E3D" w:rsidRDefault="006A79B6" w:rsidP="007007AC">
            <w:pPr>
              <w:spacing w:before="85" w:line="288" w:lineRule="auto"/>
              <w:jc w:val="center"/>
              <w:rPr>
                <w:sz w:val="18"/>
                <w:szCs w:val="18"/>
              </w:rPr>
            </w:pPr>
            <w:r w:rsidRPr="00CF3E3D">
              <w:rPr>
                <w:sz w:val="18"/>
                <w:szCs w:val="18"/>
              </w:rPr>
              <w:t>1.1</w:t>
            </w:r>
          </w:p>
        </w:tc>
      </w:tr>
      <w:tr w:rsidR="006A79B6" w:rsidRPr="00CF3E3D" w14:paraId="7A903A7B"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5EF8A73E" w14:textId="77777777" w:rsidR="006A79B6" w:rsidRPr="0011573D" w:rsidRDefault="006A79B6" w:rsidP="007007AC">
            <w:pPr>
              <w:spacing w:before="85" w:line="288" w:lineRule="auto"/>
              <w:rPr>
                <w:b/>
                <w:bCs/>
                <w:sz w:val="18"/>
                <w:szCs w:val="18"/>
              </w:rPr>
            </w:pPr>
            <w:r w:rsidRPr="0011573D">
              <w:rPr>
                <w:b/>
                <w:bCs/>
                <w:sz w:val="18"/>
                <w:szCs w:val="18"/>
              </w:rPr>
              <w:t>Teacher education</w:t>
            </w:r>
          </w:p>
        </w:tc>
        <w:tc>
          <w:tcPr>
            <w:cnfStyle w:val="000001000000" w:firstRow="0" w:lastRow="0" w:firstColumn="0" w:lastColumn="0" w:oddVBand="0" w:evenVBand="1" w:oddHBand="0" w:evenHBand="0" w:firstRowFirstColumn="0" w:firstRowLastColumn="0" w:lastRowFirstColumn="0" w:lastRowLastColumn="0"/>
            <w:tcW w:w="820" w:type="pct"/>
          </w:tcPr>
          <w:p w14:paraId="0434DBF4" w14:textId="77777777" w:rsidR="006A79B6" w:rsidRPr="00CF3E3D" w:rsidRDefault="006A79B6" w:rsidP="007007AC">
            <w:pPr>
              <w:spacing w:before="85" w:line="288" w:lineRule="auto"/>
              <w:jc w:val="center"/>
              <w:rPr>
                <w:sz w:val="18"/>
                <w:szCs w:val="18"/>
              </w:rPr>
            </w:pPr>
            <w:r w:rsidRPr="00CF3E3D">
              <w:rPr>
                <w:sz w:val="18"/>
                <w:szCs w:val="18"/>
              </w:rPr>
              <w:t>26,130</w:t>
            </w:r>
          </w:p>
        </w:tc>
        <w:tc>
          <w:tcPr>
            <w:cnfStyle w:val="000010000000" w:firstRow="0" w:lastRow="0" w:firstColumn="0" w:lastColumn="0" w:oddVBand="1" w:evenVBand="0" w:oddHBand="0" w:evenHBand="0" w:firstRowFirstColumn="0" w:firstRowLastColumn="0" w:lastRowFirstColumn="0" w:lastRowLastColumn="0"/>
            <w:tcW w:w="820" w:type="pct"/>
          </w:tcPr>
          <w:p w14:paraId="7AE6DEBA" w14:textId="77777777" w:rsidR="006A79B6" w:rsidRPr="00CF3E3D" w:rsidRDefault="006A79B6" w:rsidP="007007AC">
            <w:pPr>
              <w:spacing w:before="85" w:line="288" w:lineRule="auto"/>
              <w:jc w:val="center"/>
              <w:rPr>
                <w:sz w:val="18"/>
                <w:szCs w:val="18"/>
              </w:rPr>
            </w:pPr>
            <w:r w:rsidRPr="00CF3E3D">
              <w:rPr>
                <w:sz w:val="18"/>
                <w:szCs w:val="18"/>
              </w:rPr>
              <w:t>7.8</w:t>
            </w:r>
          </w:p>
        </w:tc>
        <w:tc>
          <w:tcPr>
            <w:cnfStyle w:val="000001000000" w:firstRow="0" w:lastRow="0" w:firstColumn="0" w:lastColumn="0" w:oddVBand="0" w:evenVBand="1" w:oddHBand="0" w:evenHBand="0" w:firstRowFirstColumn="0" w:firstRowLastColumn="0" w:lastRowFirstColumn="0" w:lastRowLastColumn="0"/>
            <w:tcW w:w="820" w:type="pct"/>
          </w:tcPr>
          <w:p w14:paraId="05FB8387" w14:textId="77777777" w:rsidR="006A79B6" w:rsidRPr="00CF3E3D" w:rsidRDefault="006A79B6" w:rsidP="007007AC">
            <w:pPr>
              <w:spacing w:before="85" w:line="288" w:lineRule="auto"/>
              <w:jc w:val="center"/>
              <w:rPr>
                <w:sz w:val="18"/>
                <w:szCs w:val="18"/>
              </w:rPr>
            </w:pPr>
            <w:r w:rsidRPr="00CF3E3D">
              <w:rPr>
                <w:sz w:val="18"/>
                <w:szCs w:val="18"/>
              </w:rPr>
              <w:t>11,217</w:t>
            </w:r>
          </w:p>
        </w:tc>
        <w:tc>
          <w:tcPr>
            <w:cnfStyle w:val="000010000000" w:firstRow="0" w:lastRow="0" w:firstColumn="0" w:lastColumn="0" w:oddVBand="1" w:evenVBand="0" w:oddHBand="0" w:evenHBand="0" w:firstRowFirstColumn="0" w:firstRowLastColumn="0" w:lastRowFirstColumn="0" w:lastRowLastColumn="0"/>
            <w:tcW w:w="821" w:type="pct"/>
          </w:tcPr>
          <w:p w14:paraId="1CF1928F" w14:textId="77777777" w:rsidR="006A79B6" w:rsidRPr="00CF3E3D" w:rsidRDefault="006A79B6" w:rsidP="007007AC">
            <w:pPr>
              <w:spacing w:before="85" w:line="288" w:lineRule="auto"/>
              <w:jc w:val="center"/>
              <w:rPr>
                <w:sz w:val="18"/>
                <w:szCs w:val="18"/>
              </w:rPr>
            </w:pPr>
            <w:r w:rsidRPr="00CF3E3D">
              <w:rPr>
                <w:sz w:val="18"/>
                <w:szCs w:val="18"/>
              </w:rPr>
              <w:t>8.5</w:t>
            </w:r>
          </w:p>
        </w:tc>
      </w:tr>
      <w:tr w:rsidR="006A79B6" w:rsidRPr="00CF3E3D" w14:paraId="5CBC8C4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0A208C47" w14:textId="77777777" w:rsidR="006A79B6" w:rsidRPr="0011573D" w:rsidRDefault="006A79B6" w:rsidP="007007AC">
            <w:pPr>
              <w:spacing w:before="85" w:line="288" w:lineRule="auto"/>
              <w:rPr>
                <w:b/>
                <w:bCs/>
                <w:sz w:val="18"/>
                <w:szCs w:val="18"/>
              </w:rPr>
            </w:pPr>
            <w:r w:rsidRPr="0011573D">
              <w:rPr>
                <w:b/>
                <w:bCs/>
                <w:sz w:val="18"/>
                <w:szCs w:val="18"/>
              </w:rPr>
              <w:t>Business and management</w:t>
            </w:r>
          </w:p>
        </w:tc>
        <w:tc>
          <w:tcPr>
            <w:cnfStyle w:val="000001000000" w:firstRow="0" w:lastRow="0" w:firstColumn="0" w:lastColumn="0" w:oddVBand="0" w:evenVBand="1" w:oddHBand="0" w:evenHBand="0" w:firstRowFirstColumn="0" w:firstRowLastColumn="0" w:lastRowFirstColumn="0" w:lastRowLastColumn="0"/>
            <w:tcW w:w="820" w:type="pct"/>
          </w:tcPr>
          <w:p w14:paraId="1DB2428E" w14:textId="77777777" w:rsidR="006A79B6" w:rsidRPr="00CF3E3D" w:rsidRDefault="006A79B6" w:rsidP="007007AC">
            <w:pPr>
              <w:spacing w:before="85" w:line="288" w:lineRule="auto"/>
              <w:jc w:val="center"/>
              <w:rPr>
                <w:sz w:val="18"/>
                <w:szCs w:val="18"/>
              </w:rPr>
            </w:pPr>
            <w:r w:rsidRPr="00CF3E3D">
              <w:rPr>
                <w:sz w:val="18"/>
                <w:szCs w:val="18"/>
              </w:rPr>
              <w:t>81,092</w:t>
            </w:r>
          </w:p>
        </w:tc>
        <w:tc>
          <w:tcPr>
            <w:cnfStyle w:val="000010000000" w:firstRow="0" w:lastRow="0" w:firstColumn="0" w:lastColumn="0" w:oddVBand="1" w:evenVBand="0" w:oddHBand="0" w:evenHBand="0" w:firstRowFirstColumn="0" w:firstRowLastColumn="0" w:lastRowFirstColumn="0" w:lastRowLastColumn="0"/>
            <w:tcW w:w="820" w:type="pct"/>
          </w:tcPr>
          <w:p w14:paraId="5AB0155B" w14:textId="77777777" w:rsidR="006A79B6" w:rsidRPr="00CF3E3D" w:rsidRDefault="006A79B6" w:rsidP="007007AC">
            <w:pPr>
              <w:spacing w:before="85" w:line="288" w:lineRule="auto"/>
              <w:jc w:val="center"/>
              <w:rPr>
                <w:sz w:val="18"/>
                <w:szCs w:val="18"/>
              </w:rPr>
            </w:pPr>
            <w:r w:rsidRPr="00CF3E3D">
              <w:rPr>
                <w:sz w:val="18"/>
                <w:szCs w:val="18"/>
              </w:rPr>
              <w:t>24.3</w:t>
            </w:r>
          </w:p>
        </w:tc>
        <w:tc>
          <w:tcPr>
            <w:cnfStyle w:val="000001000000" w:firstRow="0" w:lastRow="0" w:firstColumn="0" w:lastColumn="0" w:oddVBand="0" w:evenVBand="1" w:oddHBand="0" w:evenHBand="0" w:firstRowFirstColumn="0" w:firstRowLastColumn="0" w:lastRowFirstColumn="0" w:lastRowLastColumn="0"/>
            <w:tcW w:w="820" w:type="pct"/>
          </w:tcPr>
          <w:p w14:paraId="303020BF" w14:textId="77777777" w:rsidR="006A79B6" w:rsidRPr="00CF3E3D" w:rsidRDefault="006A79B6" w:rsidP="007007AC">
            <w:pPr>
              <w:spacing w:before="85" w:line="288" w:lineRule="auto"/>
              <w:jc w:val="center"/>
              <w:rPr>
                <w:sz w:val="18"/>
                <w:szCs w:val="18"/>
              </w:rPr>
            </w:pPr>
            <w:r w:rsidRPr="00CF3E3D">
              <w:rPr>
                <w:sz w:val="18"/>
                <w:szCs w:val="18"/>
              </w:rPr>
              <w:t>25,715</w:t>
            </w:r>
          </w:p>
        </w:tc>
        <w:tc>
          <w:tcPr>
            <w:cnfStyle w:val="000010000000" w:firstRow="0" w:lastRow="0" w:firstColumn="0" w:lastColumn="0" w:oddVBand="1" w:evenVBand="0" w:oddHBand="0" w:evenHBand="0" w:firstRowFirstColumn="0" w:firstRowLastColumn="0" w:lastRowFirstColumn="0" w:lastRowLastColumn="0"/>
            <w:tcW w:w="821" w:type="pct"/>
          </w:tcPr>
          <w:p w14:paraId="41650D50" w14:textId="77777777" w:rsidR="006A79B6" w:rsidRPr="00CF3E3D" w:rsidRDefault="006A79B6" w:rsidP="007007AC">
            <w:pPr>
              <w:spacing w:before="85" w:line="288" w:lineRule="auto"/>
              <w:jc w:val="center"/>
              <w:rPr>
                <w:sz w:val="18"/>
                <w:szCs w:val="18"/>
              </w:rPr>
            </w:pPr>
            <w:r w:rsidRPr="00CF3E3D">
              <w:rPr>
                <w:sz w:val="18"/>
                <w:szCs w:val="18"/>
              </w:rPr>
              <w:t>19.6</w:t>
            </w:r>
          </w:p>
        </w:tc>
      </w:tr>
      <w:tr w:rsidR="006A79B6" w:rsidRPr="00CF3E3D" w14:paraId="3247BE64"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485F68CC" w14:textId="77777777" w:rsidR="006A79B6" w:rsidRPr="0011573D" w:rsidRDefault="006A79B6" w:rsidP="007007AC">
            <w:pPr>
              <w:spacing w:before="85" w:line="288" w:lineRule="auto"/>
              <w:rPr>
                <w:b/>
                <w:bCs/>
                <w:sz w:val="18"/>
                <w:szCs w:val="18"/>
              </w:rPr>
            </w:pPr>
            <w:r w:rsidRPr="0011573D">
              <w:rPr>
                <w:b/>
                <w:bCs/>
                <w:sz w:val="18"/>
                <w:szCs w:val="18"/>
              </w:rPr>
              <w:t>Humanities, culture and social sciences</w:t>
            </w:r>
          </w:p>
        </w:tc>
        <w:tc>
          <w:tcPr>
            <w:cnfStyle w:val="000001000000" w:firstRow="0" w:lastRow="0" w:firstColumn="0" w:lastColumn="0" w:oddVBand="0" w:evenVBand="1" w:oddHBand="0" w:evenHBand="0" w:firstRowFirstColumn="0" w:firstRowLastColumn="0" w:lastRowFirstColumn="0" w:lastRowLastColumn="0"/>
            <w:tcW w:w="820" w:type="pct"/>
          </w:tcPr>
          <w:p w14:paraId="0F44397F" w14:textId="77777777" w:rsidR="006A79B6" w:rsidRPr="00CF3E3D" w:rsidRDefault="006A79B6" w:rsidP="007007AC">
            <w:pPr>
              <w:spacing w:before="85" w:line="288" w:lineRule="auto"/>
              <w:jc w:val="center"/>
              <w:rPr>
                <w:sz w:val="18"/>
                <w:szCs w:val="18"/>
              </w:rPr>
            </w:pPr>
            <w:r w:rsidRPr="00CF3E3D">
              <w:rPr>
                <w:sz w:val="18"/>
                <w:szCs w:val="18"/>
              </w:rPr>
              <w:t>22,707</w:t>
            </w:r>
          </w:p>
        </w:tc>
        <w:tc>
          <w:tcPr>
            <w:cnfStyle w:val="000010000000" w:firstRow="0" w:lastRow="0" w:firstColumn="0" w:lastColumn="0" w:oddVBand="1" w:evenVBand="0" w:oddHBand="0" w:evenHBand="0" w:firstRowFirstColumn="0" w:firstRowLastColumn="0" w:lastRowFirstColumn="0" w:lastRowLastColumn="0"/>
            <w:tcW w:w="820" w:type="pct"/>
          </w:tcPr>
          <w:p w14:paraId="475E7961" w14:textId="77777777" w:rsidR="006A79B6" w:rsidRPr="00CF3E3D" w:rsidRDefault="006A79B6" w:rsidP="007007AC">
            <w:pPr>
              <w:spacing w:before="85" w:line="288" w:lineRule="auto"/>
              <w:jc w:val="center"/>
              <w:rPr>
                <w:sz w:val="18"/>
                <w:szCs w:val="18"/>
              </w:rPr>
            </w:pPr>
            <w:r w:rsidRPr="00CF3E3D">
              <w:rPr>
                <w:sz w:val="18"/>
                <w:szCs w:val="18"/>
              </w:rPr>
              <w:t>6.8</w:t>
            </w:r>
          </w:p>
        </w:tc>
        <w:tc>
          <w:tcPr>
            <w:cnfStyle w:val="000001000000" w:firstRow="0" w:lastRow="0" w:firstColumn="0" w:lastColumn="0" w:oddVBand="0" w:evenVBand="1" w:oddHBand="0" w:evenHBand="0" w:firstRowFirstColumn="0" w:firstRowLastColumn="0" w:lastRowFirstColumn="0" w:lastRowLastColumn="0"/>
            <w:tcW w:w="820" w:type="pct"/>
          </w:tcPr>
          <w:p w14:paraId="0E635994" w14:textId="77777777" w:rsidR="006A79B6" w:rsidRPr="00CF3E3D" w:rsidRDefault="006A79B6" w:rsidP="007007AC">
            <w:pPr>
              <w:spacing w:before="85" w:line="288" w:lineRule="auto"/>
              <w:jc w:val="center"/>
              <w:rPr>
                <w:sz w:val="18"/>
                <w:szCs w:val="18"/>
              </w:rPr>
            </w:pPr>
            <w:r w:rsidRPr="00CF3E3D">
              <w:rPr>
                <w:sz w:val="18"/>
                <w:szCs w:val="18"/>
              </w:rPr>
              <w:t>10,590</w:t>
            </w:r>
          </w:p>
        </w:tc>
        <w:tc>
          <w:tcPr>
            <w:cnfStyle w:val="000010000000" w:firstRow="0" w:lastRow="0" w:firstColumn="0" w:lastColumn="0" w:oddVBand="1" w:evenVBand="0" w:oddHBand="0" w:evenHBand="0" w:firstRowFirstColumn="0" w:firstRowLastColumn="0" w:lastRowFirstColumn="0" w:lastRowLastColumn="0"/>
            <w:tcW w:w="821" w:type="pct"/>
          </w:tcPr>
          <w:p w14:paraId="1470465B" w14:textId="77777777" w:rsidR="006A79B6" w:rsidRPr="00CF3E3D" w:rsidRDefault="006A79B6" w:rsidP="007007AC">
            <w:pPr>
              <w:spacing w:before="85" w:line="288" w:lineRule="auto"/>
              <w:jc w:val="center"/>
              <w:rPr>
                <w:sz w:val="18"/>
                <w:szCs w:val="18"/>
              </w:rPr>
            </w:pPr>
            <w:r w:rsidRPr="00CF3E3D">
              <w:rPr>
                <w:sz w:val="18"/>
                <w:szCs w:val="18"/>
              </w:rPr>
              <w:t>8.1</w:t>
            </w:r>
          </w:p>
        </w:tc>
      </w:tr>
      <w:tr w:rsidR="006A79B6" w:rsidRPr="00CF3E3D" w14:paraId="3F0BFCF6"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055FD80D" w14:textId="77777777" w:rsidR="006A79B6" w:rsidRPr="0011573D" w:rsidRDefault="006A79B6" w:rsidP="007007AC">
            <w:pPr>
              <w:spacing w:before="85" w:line="288" w:lineRule="auto"/>
              <w:rPr>
                <w:b/>
                <w:bCs/>
                <w:sz w:val="18"/>
                <w:szCs w:val="18"/>
              </w:rPr>
            </w:pPr>
            <w:r w:rsidRPr="0011573D">
              <w:rPr>
                <w:b/>
                <w:bCs/>
                <w:sz w:val="18"/>
                <w:szCs w:val="18"/>
              </w:rPr>
              <w:t>Social work</w:t>
            </w:r>
          </w:p>
        </w:tc>
        <w:tc>
          <w:tcPr>
            <w:cnfStyle w:val="000001000000" w:firstRow="0" w:lastRow="0" w:firstColumn="0" w:lastColumn="0" w:oddVBand="0" w:evenVBand="1" w:oddHBand="0" w:evenHBand="0" w:firstRowFirstColumn="0" w:firstRowLastColumn="0" w:lastRowFirstColumn="0" w:lastRowLastColumn="0"/>
            <w:tcW w:w="820" w:type="pct"/>
          </w:tcPr>
          <w:p w14:paraId="48F01668" w14:textId="77777777" w:rsidR="006A79B6" w:rsidRPr="00CF3E3D" w:rsidRDefault="006A79B6" w:rsidP="007007AC">
            <w:pPr>
              <w:spacing w:before="85" w:line="288" w:lineRule="auto"/>
              <w:jc w:val="center"/>
              <w:rPr>
                <w:sz w:val="18"/>
                <w:szCs w:val="18"/>
              </w:rPr>
            </w:pPr>
            <w:r w:rsidRPr="00CF3E3D">
              <w:rPr>
                <w:sz w:val="18"/>
                <w:szCs w:val="18"/>
              </w:rPr>
              <w:t>7,259</w:t>
            </w:r>
          </w:p>
        </w:tc>
        <w:tc>
          <w:tcPr>
            <w:cnfStyle w:val="000010000000" w:firstRow="0" w:lastRow="0" w:firstColumn="0" w:lastColumn="0" w:oddVBand="1" w:evenVBand="0" w:oddHBand="0" w:evenHBand="0" w:firstRowFirstColumn="0" w:firstRowLastColumn="0" w:lastRowFirstColumn="0" w:lastRowLastColumn="0"/>
            <w:tcW w:w="820" w:type="pct"/>
          </w:tcPr>
          <w:p w14:paraId="3D9869A6" w14:textId="77777777" w:rsidR="006A79B6" w:rsidRPr="00CF3E3D" w:rsidRDefault="006A79B6" w:rsidP="007007AC">
            <w:pPr>
              <w:spacing w:before="85" w:line="288" w:lineRule="auto"/>
              <w:jc w:val="center"/>
              <w:rPr>
                <w:sz w:val="18"/>
                <w:szCs w:val="18"/>
              </w:rPr>
            </w:pPr>
            <w:r w:rsidRPr="00CF3E3D">
              <w:rPr>
                <w:sz w:val="18"/>
                <w:szCs w:val="18"/>
              </w:rPr>
              <w:t>2.2</w:t>
            </w:r>
          </w:p>
        </w:tc>
        <w:tc>
          <w:tcPr>
            <w:cnfStyle w:val="000001000000" w:firstRow="0" w:lastRow="0" w:firstColumn="0" w:lastColumn="0" w:oddVBand="0" w:evenVBand="1" w:oddHBand="0" w:evenHBand="0" w:firstRowFirstColumn="0" w:firstRowLastColumn="0" w:lastRowFirstColumn="0" w:lastRowLastColumn="0"/>
            <w:tcW w:w="820" w:type="pct"/>
          </w:tcPr>
          <w:p w14:paraId="1B19E54A" w14:textId="77777777" w:rsidR="006A79B6" w:rsidRPr="00CF3E3D" w:rsidRDefault="006A79B6" w:rsidP="007007AC">
            <w:pPr>
              <w:spacing w:before="85" w:line="288" w:lineRule="auto"/>
              <w:jc w:val="center"/>
              <w:rPr>
                <w:sz w:val="18"/>
                <w:szCs w:val="18"/>
              </w:rPr>
            </w:pPr>
            <w:r w:rsidRPr="00CF3E3D">
              <w:rPr>
                <w:sz w:val="18"/>
                <w:szCs w:val="18"/>
              </w:rPr>
              <w:t>3,700</w:t>
            </w:r>
          </w:p>
        </w:tc>
        <w:tc>
          <w:tcPr>
            <w:cnfStyle w:val="000010000000" w:firstRow="0" w:lastRow="0" w:firstColumn="0" w:lastColumn="0" w:oddVBand="1" w:evenVBand="0" w:oddHBand="0" w:evenHBand="0" w:firstRowFirstColumn="0" w:firstRowLastColumn="0" w:lastRowFirstColumn="0" w:lastRowLastColumn="0"/>
            <w:tcW w:w="821" w:type="pct"/>
          </w:tcPr>
          <w:p w14:paraId="4B7E1582" w14:textId="77777777" w:rsidR="006A79B6" w:rsidRPr="00CF3E3D" w:rsidRDefault="006A79B6" w:rsidP="007007AC">
            <w:pPr>
              <w:spacing w:before="85" w:line="288" w:lineRule="auto"/>
              <w:jc w:val="center"/>
              <w:rPr>
                <w:sz w:val="18"/>
                <w:szCs w:val="18"/>
              </w:rPr>
            </w:pPr>
            <w:r w:rsidRPr="00CF3E3D">
              <w:rPr>
                <w:sz w:val="18"/>
                <w:szCs w:val="18"/>
              </w:rPr>
              <w:t>2.8</w:t>
            </w:r>
          </w:p>
        </w:tc>
      </w:tr>
      <w:tr w:rsidR="006A79B6" w:rsidRPr="00CF3E3D" w14:paraId="2A35EE1E"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49F42FF3" w14:textId="77777777" w:rsidR="006A79B6" w:rsidRPr="0011573D" w:rsidRDefault="006A79B6" w:rsidP="007007AC">
            <w:pPr>
              <w:spacing w:before="85" w:line="288" w:lineRule="auto"/>
              <w:rPr>
                <w:b/>
                <w:bCs/>
                <w:sz w:val="18"/>
                <w:szCs w:val="18"/>
              </w:rPr>
            </w:pPr>
            <w:r w:rsidRPr="0011573D">
              <w:rPr>
                <w:b/>
                <w:bCs/>
                <w:sz w:val="18"/>
                <w:szCs w:val="18"/>
              </w:rPr>
              <w:t>Psychology</w:t>
            </w:r>
          </w:p>
        </w:tc>
        <w:tc>
          <w:tcPr>
            <w:cnfStyle w:val="000001000000" w:firstRow="0" w:lastRow="0" w:firstColumn="0" w:lastColumn="0" w:oddVBand="0" w:evenVBand="1" w:oddHBand="0" w:evenHBand="0" w:firstRowFirstColumn="0" w:firstRowLastColumn="0" w:lastRowFirstColumn="0" w:lastRowLastColumn="0"/>
            <w:tcW w:w="820" w:type="pct"/>
          </w:tcPr>
          <w:p w14:paraId="37E05B2A" w14:textId="77777777" w:rsidR="006A79B6" w:rsidRPr="00CF3E3D" w:rsidRDefault="006A79B6" w:rsidP="007007AC">
            <w:pPr>
              <w:spacing w:before="85" w:line="288" w:lineRule="auto"/>
              <w:jc w:val="center"/>
              <w:rPr>
                <w:sz w:val="18"/>
                <w:szCs w:val="18"/>
              </w:rPr>
            </w:pPr>
            <w:r w:rsidRPr="00CF3E3D">
              <w:rPr>
                <w:sz w:val="18"/>
                <w:szCs w:val="18"/>
              </w:rPr>
              <w:t>11,185</w:t>
            </w:r>
          </w:p>
        </w:tc>
        <w:tc>
          <w:tcPr>
            <w:cnfStyle w:val="000010000000" w:firstRow="0" w:lastRow="0" w:firstColumn="0" w:lastColumn="0" w:oddVBand="1" w:evenVBand="0" w:oddHBand="0" w:evenHBand="0" w:firstRowFirstColumn="0" w:firstRowLastColumn="0" w:lastRowFirstColumn="0" w:lastRowLastColumn="0"/>
            <w:tcW w:w="820" w:type="pct"/>
          </w:tcPr>
          <w:p w14:paraId="35162496" w14:textId="77777777" w:rsidR="006A79B6" w:rsidRPr="00CF3E3D" w:rsidRDefault="006A79B6" w:rsidP="007007AC">
            <w:pPr>
              <w:spacing w:before="85" w:line="288" w:lineRule="auto"/>
              <w:jc w:val="center"/>
              <w:rPr>
                <w:sz w:val="18"/>
                <w:szCs w:val="18"/>
              </w:rPr>
            </w:pPr>
            <w:r w:rsidRPr="00CF3E3D">
              <w:rPr>
                <w:sz w:val="18"/>
                <w:szCs w:val="18"/>
              </w:rPr>
              <w:t>3.4</w:t>
            </w:r>
          </w:p>
        </w:tc>
        <w:tc>
          <w:tcPr>
            <w:cnfStyle w:val="000001000000" w:firstRow="0" w:lastRow="0" w:firstColumn="0" w:lastColumn="0" w:oddVBand="0" w:evenVBand="1" w:oddHBand="0" w:evenHBand="0" w:firstRowFirstColumn="0" w:firstRowLastColumn="0" w:lastRowFirstColumn="0" w:lastRowLastColumn="0"/>
            <w:tcW w:w="820" w:type="pct"/>
          </w:tcPr>
          <w:p w14:paraId="2D866F87" w14:textId="77777777" w:rsidR="006A79B6" w:rsidRPr="00CF3E3D" w:rsidRDefault="006A79B6" w:rsidP="007007AC">
            <w:pPr>
              <w:spacing w:before="85" w:line="288" w:lineRule="auto"/>
              <w:jc w:val="center"/>
              <w:rPr>
                <w:sz w:val="18"/>
                <w:szCs w:val="18"/>
              </w:rPr>
            </w:pPr>
            <w:r w:rsidRPr="00CF3E3D">
              <w:rPr>
                <w:sz w:val="18"/>
                <w:szCs w:val="18"/>
              </w:rPr>
              <w:t>5,320</w:t>
            </w:r>
          </w:p>
        </w:tc>
        <w:tc>
          <w:tcPr>
            <w:cnfStyle w:val="000010000000" w:firstRow="0" w:lastRow="0" w:firstColumn="0" w:lastColumn="0" w:oddVBand="1" w:evenVBand="0" w:oddHBand="0" w:evenHBand="0" w:firstRowFirstColumn="0" w:firstRowLastColumn="0" w:lastRowFirstColumn="0" w:lastRowLastColumn="0"/>
            <w:tcW w:w="821" w:type="pct"/>
          </w:tcPr>
          <w:p w14:paraId="19714A23" w14:textId="77777777" w:rsidR="006A79B6" w:rsidRPr="00CF3E3D" w:rsidRDefault="006A79B6" w:rsidP="007007AC">
            <w:pPr>
              <w:spacing w:before="85" w:line="288" w:lineRule="auto"/>
              <w:jc w:val="center"/>
              <w:rPr>
                <w:sz w:val="18"/>
                <w:szCs w:val="18"/>
              </w:rPr>
            </w:pPr>
            <w:r w:rsidRPr="00CF3E3D">
              <w:rPr>
                <w:sz w:val="18"/>
                <w:szCs w:val="18"/>
              </w:rPr>
              <w:t>4.1</w:t>
            </w:r>
          </w:p>
        </w:tc>
      </w:tr>
      <w:tr w:rsidR="006A79B6" w:rsidRPr="00CF3E3D" w14:paraId="2E4996AD"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71FCC0B9" w14:textId="77777777" w:rsidR="006A79B6" w:rsidRPr="0011573D" w:rsidRDefault="006A79B6" w:rsidP="007007AC">
            <w:pPr>
              <w:spacing w:before="85" w:line="288" w:lineRule="auto"/>
              <w:rPr>
                <w:b/>
                <w:bCs/>
                <w:sz w:val="18"/>
                <w:szCs w:val="18"/>
              </w:rPr>
            </w:pPr>
            <w:r w:rsidRPr="0011573D">
              <w:rPr>
                <w:b/>
                <w:bCs/>
                <w:sz w:val="18"/>
                <w:szCs w:val="18"/>
              </w:rPr>
              <w:t>Law and paralegal studies</w:t>
            </w:r>
          </w:p>
        </w:tc>
        <w:tc>
          <w:tcPr>
            <w:cnfStyle w:val="000001000000" w:firstRow="0" w:lastRow="0" w:firstColumn="0" w:lastColumn="0" w:oddVBand="0" w:evenVBand="1" w:oddHBand="0" w:evenHBand="0" w:firstRowFirstColumn="0" w:firstRowLastColumn="0" w:lastRowFirstColumn="0" w:lastRowLastColumn="0"/>
            <w:tcW w:w="820" w:type="pct"/>
          </w:tcPr>
          <w:p w14:paraId="087A7285" w14:textId="77777777" w:rsidR="006A79B6" w:rsidRPr="00CF3E3D" w:rsidRDefault="006A79B6" w:rsidP="007007AC">
            <w:pPr>
              <w:spacing w:before="85" w:line="288" w:lineRule="auto"/>
              <w:jc w:val="center"/>
              <w:rPr>
                <w:sz w:val="18"/>
                <w:szCs w:val="18"/>
              </w:rPr>
            </w:pPr>
            <w:r w:rsidRPr="00CF3E3D">
              <w:rPr>
                <w:sz w:val="18"/>
                <w:szCs w:val="18"/>
              </w:rPr>
              <w:t>15,358</w:t>
            </w:r>
          </w:p>
        </w:tc>
        <w:tc>
          <w:tcPr>
            <w:cnfStyle w:val="000010000000" w:firstRow="0" w:lastRow="0" w:firstColumn="0" w:lastColumn="0" w:oddVBand="1" w:evenVBand="0" w:oddHBand="0" w:evenHBand="0" w:firstRowFirstColumn="0" w:firstRowLastColumn="0" w:lastRowFirstColumn="0" w:lastRowLastColumn="0"/>
            <w:tcW w:w="820" w:type="pct"/>
          </w:tcPr>
          <w:p w14:paraId="5C880ECA" w14:textId="77777777" w:rsidR="006A79B6" w:rsidRPr="00CF3E3D" w:rsidRDefault="006A79B6" w:rsidP="007007AC">
            <w:pPr>
              <w:spacing w:before="85" w:line="288" w:lineRule="auto"/>
              <w:jc w:val="center"/>
              <w:rPr>
                <w:sz w:val="18"/>
                <w:szCs w:val="18"/>
              </w:rPr>
            </w:pPr>
            <w:r w:rsidRPr="00CF3E3D">
              <w:rPr>
                <w:sz w:val="18"/>
                <w:szCs w:val="18"/>
              </w:rPr>
              <w:t>4.6</w:t>
            </w:r>
          </w:p>
        </w:tc>
        <w:tc>
          <w:tcPr>
            <w:cnfStyle w:val="000001000000" w:firstRow="0" w:lastRow="0" w:firstColumn="0" w:lastColumn="0" w:oddVBand="0" w:evenVBand="1" w:oddHBand="0" w:evenHBand="0" w:firstRowFirstColumn="0" w:firstRowLastColumn="0" w:lastRowFirstColumn="0" w:lastRowLastColumn="0"/>
            <w:tcW w:w="820" w:type="pct"/>
          </w:tcPr>
          <w:p w14:paraId="6AAC373E" w14:textId="77777777" w:rsidR="006A79B6" w:rsidRPr="00CF3E3D" w:rsidRDefault="006A79B6" w:rsidP="007007AC">
            <w:pPr>
              <w:spacing w:before="85" w:line="288" w:lineRule="auto"/>
              <w:jc w:val="center"/>
              <w:rPr>
                <w:sz w:val="18"/>
                <w:szCs w:val="18"/>
              </w:rPr>
            </w:pPr>
            <w:r w:rsidRPr="00CF3E3D">
              <w:rPr>
                <w:sz w:val="18"/>
                <w:szCs w:val="18"/>
              </w:rPr>
              <w:t>5,946</w:t>
            </w:r>
          </w:p>
        </w:tc>
        <w:tc>
          <w:tcPr>
            <w:cnfStyle w:val="000010000000" w:firstRow="0" w:lastRow="0" w:firstColumn="0" w:lastColumn="0" w:oddVBand="1" w:evenVBand="0" w:oddHBand="0" w:evenHBand="0" w:firstRowFirstColumn="0" w:firstRowLastColumn="0" w:lastRowFirstColumn="0" w:lastRowLastColumn="0"/>
            <w:tcW w:w="821" w:type="pct"/>
          </w:tcPr>
          <w:p w14:paraId="6BD039E2" w14:textId="77777777" w:rsidR="006A79B6" w:rsidRPr="00CF3E3D" w:rsidRDefault="006A79B6" w:rsidP="007007AC">
            <w:pPr>
              <w:spacing w:before="85" w:line="288" w:lineRule="auto"/>
              <w:jc w:val="center"/>
              <w:rPr>
                <w:sz w:val="18"/>
                <w:szCs w:val="18"/>
              </w:rPr>
            </w:pPr>
            <w:r w:rsidRPr="00CF3E3D">
              <w:rPr>
                <w:sz w:val="18"/>
                <w:szCs w:val="18"/>
              </w:rPr>
              <w:t>4.5</w:t>
            </w:r>
          </w:p>
        </w:tc>
      </w:tr>
      <w:tr w:rsidR="006A79B6" w:rsidRPr="00CF3E3D" w14:paraId="4ADD91D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58264330" w14:textId="77777777" w:rsidR="006A79B6" w:rsidRPr="0011573D" w:rsidRDefault="006A79B6" w:rsidP="007007AC">
            <w:pPr>
              <w:spacing w:before="85" w:line="288" w:lineRule="auto"/>
              <w:rPr>
                <w:b/>
                <w:bCs/>
                <w:sz w:val="18"/>
                <w:szCs w:val="18"/>
              </w:rPr>
            </w:pPr>
            <w:r w:rsidRPr="0011573D">
              <w:rPr>
                <w:b/>
                <w:bCs/>
                <w:sz w:val="18"/>
                <w:szCs w:val="18"/>
              </w:rPr>
              <w:t>Creative arts</w:t>
            </w:r>
          </w:p>
        </w:tc>
        <w:tc>
          <w:tcPr>
            <w:cnfStyle w:val="000001000000" w:firstRow="0" w:lastRow="0" w:firstColumn="0" w:lastColumn="0" w:oddVBand="0" w:evenVBand="1" w:oddHBand="0" w:evenHBand="0" w:firstRowFirstColumn="0" w:firstRowLastColumn="0" w:lastRowFirstColumn="0" w:lastRowLastColumn="0"/>
            <w:tcW w:w="820" w:type="pct"/>
          </w:tcPr>
          <w:p w14:paraId="4EEC6832" w14:textId="77777777" w:rsidR="006A79B6" w:rsidRPr="00CF3E3D" w:rsidRDefault="006A79B6" w:rsidP="007007AC">
            <w:pPr>
              <w:spacing w:before="85" w:line="288" w:lineRule="auto"/>
              <w:jc w:val="center"/>
              <w:rPr>
                <w:sz w:val="18"/>
                <w:szCs w:val="18"/>
              </w:rPr>
            </w:pPr>
            <w:r w:rsidRPr="00CF3E3D">
              <w:rPr>
                <w:sz w:val="18"/>
                <w:szCs w:val="18"/>
              </w:rPr>
              <w:t>9,854</w:t>
            </w:r>
          </w:p>
        </w:tc>
        <w:tc>
          <w:tcPr>
            <w:cnfStyle w:val="000010000000" w:firstRow="0" w:lastRow="0" w:firstColumn="0" w:lastColumn="0" w:oddVBand="1" w:evenVBand="0" w:oddHBand="0" w:evenHBand="0" w:firstRowFirstColumn="0" w:firstRowLastColumn="0" w:lastRowFirstColumn="0" w:lastRowLastColumn="0"/>
            <w:tcW w:w="820" w:type="pct"/>
          </w:tcPr>
          <w:p w14:paraId="5E66253F" w14:textId="77777777" w:rsidR="006A79B6" w:rsidRPr="00CF3E3D" w:rsidRDefault="006A79B6" w:rsidP="007007AC">
            <w:pPr>
              <w:spacing w:before="85" w:line="288" w:lineRule="auto"/>
              <w:jc w:val="center"/>
              <w:rPr>
                <w:sz w:val="18"/>
                <w:szCs w:val="18"/>
              </w:rPr>
            </w:pPr>
            <w:r w:rsidRPr="00CF3E3D">
              <w:rPr>
                <w:sz w:val="18"/>
                <w:szCs w:val="18"/>
              </w:rPr>
              <w:t>3.0</w:t>
            </w:r>
          </w:p>
        </w:tc>
        <w:tc>
          <w:tcPr>
            <w:cnfStyle w:val="000001000000" w:firstRow="0" w:lastRow="0" w:firstColumn="0" w:lastColumn="0" w:oddVBand="0" w:evenVBand="1" w:oddHBand="0" w:evenHBand="0" w:firstRowFirstColumn="0" w:firstRowLastColumn="0" w:lastRowFirstColumn="0" w:lastRowLastColumn="0"/>
            <w:tcW w:w="820" w:type="pct"/>
          </w:tcPr>
          <w:p w14:paraId="0FAFCEFC" w14:textId="77777777" w:rsidR="006A79B6" w:rsidRPr="00CF3E3D" w:rsidRDefault="006A79B6" w:rsidP="007007AC">
            <w:pPr>
              <w:spacing w:before="85" w:line="288" w:lineRule="auto"/>
              <w:jc w:val="center"/>
              <w:rPr>
                <w:sz w:val="18"/>
                <w:szCs w:val="18"/>
              </w:rPr>
            </w:pPr>
            <w:r w:rsidRPr="00CF3E3D">
              <w:rPr>
                <w:sz w:val="18"/>
                <w:szCs w:val="18"/>
              </w:rPr>
              <w:t>3,796</w:t>
            </w:r>
          </w:p>
        </w:tc>
        <w:tc>
          <w:tcPr>
            <w:cnfStyle w:val="000010000000" w:firstRow="0" w:lastRow="0" w:firstColumn="0" w:lastColumn="0" w:oddVBand="1" w:evenVBand="0" w:oddHBand="0" w:evenHBand="0" w:firstRowFirstColumn="0" w:firstRowLastColumn="0" w:lastRowFirstColumn="0" w:lastRowLastColumn="0"/>
            <w:tcW w:w="821" w:type="pct"/>
          </w:tcPr>
          <w:p w14:paraId="66A45F01" w14:textId="77777777" w:rsidR="006A79B6" w:rsidRPr="00CF3E3D" w:rsidRDefault="006A79B6" w:rsidP="007007AC">
            <w:pPr>
              <w:spacing w:before="85" w:line="288" w:lineRule="auto"/>
              <w:jc w:val="center"/>
              <w:rPr>
                <w:sz w:val="18"/>
                <w:szCs w:val="18"/>
              </w:rPr>
            </w:pPr>
            <w:r w:rsidRPr="00CF3E3D">
              <w:rPr>
                <w:sz w:val="18"/>
                <w:szCs w:val="18"/>
              </w:rPr>
              <w:t>2.9</w:t>
            </w:r>
          </w:p>
        </w:tc>
      </w:tr>
      <w:tr w:rsidR="006A79B6" w:rsidRPr="00CF3E3D" w14:paraId="50E7362F"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312FBA58" w14:textId="77777777" w:rsidR="006A79B6" w:rsidRPr="0011573D" w:rsidRDefault="006A79B6" w:rsidP="007007AC">
            <w:pPr>
              <w:spacing w:before="85" w:line="288" w:lineRule="auto"/>
              <w:rPr>
                <w:b/>
                <w:bCs/>
                <w:sz w:val="18"/>
                <w:szCs w:val="18"/>
              </w:rPr>
            </w:pPr>
            <w:r w:rsidRPr="0011573D">
              <w:rPr>
                <w:b/>
                <w:bCs/>
                <w:sz w:val="18"/>
                <w:szCs w:val="18"/>
              </w:rPr>
              <w:t>Communications</w:t>
            </w:r>
          </w:p>
        </w:tc>
        <w:tc>
          <w:tcPr>
            <w:cnfStyle w:val="000001000000" w:firstRow="0" w:lastRow="0" w:firstColumn="0" w:lastColumn="0" w:oddVBand="0" w:evenVBand="1" w:oddHBand="0" w:evenHBand="0" w:firstRowFirstColumn="0" w:firstRowLastColumn="0" w:lastRowFirstColumn="0" w:lastRowLastColumn="0"/>
            <w:tcW w:w="820" w:type="pct"/>
          </w:tcPr>
          <w:p w14:paraId="0F0C9D62" w14:textId="77777777" w:rsidR="006A79B6" w:rsidRPr="00CF3E3D" w:rsidRDefault="006A79B6" w:rsidP="007007AC">
            <w:pPr>
              <w:spacing w:before="85" w:line="288" w:lineRule="auto"/>
              <w:jc w:val="center"/>
              <w:rPr>
                <w:sz w:val="18"/>
                <w:szCs w:val="18"/>
              </w:rPr>
            </w:pPr>
            <w:r w:rsidRPr="00CF3E3D">
              <w:rPr>
                <w:sz w:val="18"/>
                <w:szCs w:val="18"/>
              </w:rPr>
              <w:t>7,846</w:t>
            </w:r>
          </w:p>
        </w:tc>
        <w:tc>
          <w:tcPr>
            <w:cnfStyle w:val="000010000000" w:firstRow="0" w:lastRow="0" w:firstColumn="0" w:lastColumn="0" w:oddVBand="1" w:evenVBand="0" w:oddHBand="0" w:evenHBand="0" w:firstRowFirstColumn="0" w:firstRowLastColumn="0" w:lastRowFirstColumn="0" w:lastRowLastColumn="0"/>
            <w:tcW w:w="820" w:type="pct"/>
          </w:tcPr>
          <w:p w14:paraId="71FE8327" w14:textId="77777777" w:rsidR="006A79B6" w:rsidRPr="00CF3E3D" w:rsidRDefault="006A79B6" w:rsidP="007007AC">
            <w:pPr>
              <w:spacing w:before="85" w:line="288" w:lineRule="auto"/>
              <w:jc w:val="center"/>
              <w:rPr>
                <w:sz w:val="18"/>
                <w:szCs w:val="18"/>
              </w:rPr>
            </w:pPr>
            <w:r w:rsidRPr="00CF3E3D">
              <w:rPr>
                <w:sz w:val="18"/>
                <w:szCs w:val="18"/>
              </w:rPr>
              <w:t>2.4</w:t>
            </w:r>
          </w:p>
        </w:tc>
        <w:tc>
          <w:tcPr>
            <w:cnfStyle w:val="000001000000" w:firstRow="0" w:lastRow="0" w:firstColumn="0" w:lastColumn="0" w:oddVBand="0" w:evenVBand="1" w:oddHBand="0" w:evenHBand="0" w:firstRowFirstColumn="0" w:firstRowLastColumn="0" w:lastRowFirstColumn="0" w:lastRowLastColumn="0"/>
            <w:tcW w:w="820" w:type="pct"/>
          </w:tcPr>
          <w:p w14:paraId="4BFA651B" w14:textId="77777777" w:rsidR="006A79B6" w:rsidRPr="00CF3E3D" w:rsidRDefault="006A79B6" w:rsidP="007007AC">
            <w:pPr>
              <w:spacing w:before="85" w:line="288" w:lineRule="auto"/>
              <w:jc w:val="center"/>
              <w:rPr>
                <w:sz w:val="18"/>
                <w:szCs w:val="18"/>
              </w:rPr>
            </w:pPr>
            <w:r w:rsidRPr="00CF3E3D">
              <w:rPr>
                <w:sz w:val="18"/>
                <w:szCs w:val="18"/>
              </w:rPr>
              <w:t>2,950</w:t>
            </w:r>
          </w:p>
        </w:tc>
        <w:tc>
          <w:tcPr>
            <w:cnfStyle w:val="000010000000" w:firstRow="0" w:lastRow="0" w:firstColumn="0" w:lastColumn="0" w:oddVBand="1" w:evenVBand="0" w:oddHBand="0" w:evenHBand="0" w:firstRowFirstColumn="0" w:firstRowLastColumn="0" w:lastRowFirstColumn="0" w:lastRowLastColumn="0"/>
            <w:tcW w:w="821" w:type="pct"/>
          </w:tcPr>
          <w:p w14:paraId="6005930D" w14:textId="77777777" w:rsidR="006A79B6" w:rsidRPr="00CF3E3D" w:rsidRDefault="006A79B6" w:rsidP="007007AC">
            <w:pPr>
              <w:spacing w:before="85" w:line="288" w:lineRule="auto"/>
              <w:jc w:val="center"/>
              <w:rPr>
                <w:sz w:val="18"/>
                <w:szCs w:val="18"/>
              </w:rPr>
            </w:pPr>
            <w:r w:rsidRPr="00CF3E3D">
              <w:rPr>
                <w:sz w:val="18"/>
                <w:szCs w:val="18"/>
              </w:rPr>
              <w:t>2.2</w:t>
            </w:r>
          </w:p>
        </w:tc>
      </w:tr>
      <w:tr w:rsidR="006A79B6" w:rsidRPr="00CF3E3D" w14:paraId="49F256B7"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51168875" w14:textId="77777777" w:rsidR="006A79B6" w:rsidRPr="0011573D" w:rsidRDefault="006A79B6" w:rsidP="007007AC">
            <w:pPr>
              <w:spacing w:before="85" w:line="288" w:lineRule="auto"/>
              <w:rPr>
                <w:b/>
                <w:bCs/>
                <w:sz w:val="18"/>
                <w:szCs w:val="18"/>
              </w:rPr>
            </w:pPr>
            <w:r w:rsidRPr="0011573D">
              <w:rPr>
                <w:b/>
                <w:bCs/>
                <w:sz w:val="18"/>
                <w:szCs w:val="18"/>
              </w:rPr>
              <w:lastRenderedPageBreak/>
              <w:t>Tourism, hospitality, personal services, sport and recreation</w:t>
            </w:r>
          </w:p>
        </w:tc>
        <w:tc>
          <w:tcPr>
            <w:cnfStyle w:val="000001000000" w:firstRow="0" w:lastRow="0" w:firstColumn="0" w:lastColumn="0" w:oddVBand="0" w:evenVBand="1" w:oddHBand="0" w:evenHBand="0" w:firstRowFirstColumn="0" w:firstRowLastColumn="0" w:lastRowFirstColumn="0" w:lastRowLastColumn="0"/>
            <w:tcW w:w="820" w:type="pct"/>
          </w:tcPr>
          <w:p w14:paraId="687DD31B" w14:textId="77777777" w:rsidR="006A79B6" w:rsidRPr="00CF3E3D" w:rsidRDefault="006A79B6" w:rsidP="007007AC">
            <w:pPr>
              <w:spacing w:before="85" w:line="288" w:lineRule="auto"/>
              <w:jc w:val="center"/>
              <w:rPr>
                <w:sz w:val="18"/>
                <w:szCs w:val="18"/>
              </w:rPr>
            </w:pPr>
            <w:r w:rsidRPr="00CF3E3D">
              <w:rPr>
                <w:sz w:val="18"/>
                <w:szCs w:val="18"/>
              </w:rPr>
              <w:t>927</w:t>
            </w:r>
          </w:p>
        </w:tc>
        <w:tc>
          <w:tcPr>
            <w:cnfStyle w:val="000010000000" w:firstRow="0" w:lastRow="0" w:firstColumn="0" w:lastColumn="0" w:oddVBand="1" w:evenVBand="0" w:oddHBand="0" w:evenHBand="0" w:firstRowFirstColumn="0" w:firstRowLastColumn="0" w:lastRowFirstColumn="0" w:lastRowLastColumn="0"/>
            <w:tcW w:w="820" w:type="pct"/>
          </w:tcPr>
          <w:p w14:paraId="3E18B483" w14:textId="77777777" w:rsidR="006A79B6" w:rsidRPr="00CF3E3D" w:rsidRDefault="006A79B6" w:rsidP="007007AC">
            <w:pPr>
              <w:spacing w:before="85" w:line="288" w:lineRule="auto"/>
              <w:jc w:val="center"/>
              <w:rPr>
                <w:sz w:val="18"/>
                <w:szCs w:val="18"/>
              </w:rPr>
            </w:pPr>
            <w:r w:rsidRPr="00CF3E3D">
              <w:rPr>
                <w:sz w:val="18"/>
                <w:szCs w:val="18"/>
              </w:rPr>
              <w:t>0.3</w:t>
            </w:r>
          </w:p>
        </w:tc>
        <w:tc>
          <w:tcPr>
            <w:cnfStyle w:val="000001000000" w:firstRow="0" w:lastRow="0" w:firstColumn="0" w:lastColumn="0" w:oddVBand="0" w:evenVBand="1" w:oddHBand="0" w:evenHBand="0" w:firstRowFirstColumn="0" w:firstRowLastColumn="0" w:lastRowFirstColumn="0" w:lastRowLastColumn="0"/>
            <w:tcW w:w="820" w:type="pct"/>
          </w:tcPr>
          <w:p w14:paraId="54D1C92D" w14:textId="77777777" w:rsidR="006A79B6" w:rsidRPr="00CF3E3D" w:rsidRDefault="006A79B6" w:rsidP="007007AC">
            <w:pPr>
              <w:spacing w:before="85" w:line="288" w:lineRule="auto"/>
              <w:jc w:val="center"/>
              <w:rPr>
                <w:sz w:val="18"/>
                <w:szCs w:val="18"/>
              </w:rPr>
            </w:pPr>
            <w:r w:rsidRPr="00CF3E3D">
              <w:rPr>
                <w:sz w:val="18"/>
                <w:szCs w:val="18"/>
              </w:rPr>
              <w:t>251</w:t>
            </w:r>
          </w:p>
        </w:tc>
        <w:tc>
          <w:tcPr>
            <w:cnfStyle w:val="000010000000" w:firstRow="0" w:lastRow="0" w:firstColumn="0" w:lastColumn="0" w:oddVBand="1" w:evenVBand="0" w:oddHBand="0" w:evenHBand="0" w:firstRowFirstColumn="0" w:firstRowLastColumn="0" w:lastRowFirstColumn="0" w:lastRowLastColumn="0"/>
            <w:tcW w:w="821" w:type="pct"/>
          </w:tcPr>
          <w:p w14:paraId="0F1F970C" w14:textId="77777777" w:rsidR="006A79B6" w:rsidRPr="00CF3E3D" w:rsidRDefault="006A79B6" w:rsidP="007007AC">
            <w:pPr>
              <w:spacing w:before="85" w:line="288" w:lineRule="auto"/>
              <w:jc w:val="center"/>
              <w:rPr>
                <w:sz w:val="18"/>
                <w:szCs w:val="18"/>
              </w:rPr>
            </w:pPr>
            <w:r w:rsidRPr="00CF3E3D">
              <w:rPr>
                <w:sz w:val="18"/>
                <w:szCs w:val="18"/>
              </w:rPr>
              <w:t>0.2</w:t>
            </w:r>
          </w:p>
        </w:tc>
      </w:tr>
      <w:tr w:rsidR="006A79B6" w:rsidRPr="00CF3E3D" w14:paraId="1C9D1F22"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18" w:type="pct"/>
          </w:tcPr>
          <w:p w14:paraId="70F57C86" w14:textId="77777777" w:rsidR="006A79B6" w:rsidRPr="00CF3E3D" w:rsidRDefault="006A79B6" w:rsidP="007007AC">
            <w:pPr>
              <w:spacing w:before="85" w:line="288" w:lineRule="auto"/>
              <w:rPr>
                <w:b/>
                <w:bCs/>
                <w:sz w:val="18"/>
                <w:szCs w:val="18"/>
              </w:rPr>
            </w:pPr>
            <w:r w:rsidRPr="00CF3E3D">
              <w:rPr>
                <w:b/>
                <w:bCs/>
                <w:sz w:val="18"/>
                <w:szCs w:val="18"/>
              </w:rPr>
              <w:t>Total</w:t>
            </w:r>
          </w:p>
        </w:tc>
        <w:tc>
          <w:tcPr>
            <w:cnfStyle w:val="000001000000" w:firstRow="0" w:lastRow="0" w:firstColumn="0" w:lastColumn="0" w:oddVBand="0" w:evenVBand="1" w:oddHBand="0" w:evenHBand="0" w:firstRowFirstColumn="0" w:firstRowLastColumn="0" w:lastRowFirstColumn="0" w:lastRowLastColumn="0"/>
            <w:tcW w:w="820" w:type="pct"/>
          </w:tcPr>
          <w:p w14:paraId="14B71CEA" w14:textId="77777777" w:rsidR="006A79B6" w:rsidRPr="00CF3E3D" w:rsidRDefault="006A79B6" w:rsidP="007007AC">
            <w:pPr>
              <w:spacing w:before="85" w:line="288" w:lineRule="auto"/>
              <w:jc w:val="center"/>
              <w:rPr>
                <w:b/>
                <w:bCs/>
                <w:sz w:val="18"/>
                <w:szCs w:val="18"/>
              </w:rPr>
            </w:pPr>
            <w:r w:rsidRPr="00CF3E3D">
              <w:rPr>
                <w:b/>
                <w:bCs/>
                <w:sz w:val="18"/>
                <w:szCs w:val="18"/>
              </w:rPr>
              <w:t>333,278</w:t>
            </w:r>
          </w:p>
        </w:tc>
        <w:tc>
          <w:tcPr>
            <w:cnfStyle w:val="000010000000" w:firstRow="0" w:lastRow="0" w:firstColumn="0" w:lastColumn="0" w:oddVBand="1" w:evenVBand="0" w:oddHBand="0" w:evenHBand="0" w:firstRowFirstColumn="0" w:firstRowLastColumn="0" w:lastRowFirstColumn="0" w:lastRowLastColumn="0"/>
            <w:tcW w:w="820" w:type="pct"/>
          </w:tcPr>
          <w:p w14:paraId="4FDCF6C7" w14:textId="77777777" w:rsidR="006A79B6" w:rsidRPr="00CF3E3D" w:rsidRDefault="006A79B6" w:rsidP="007007AC">
            <w:pPr>
              <w:spacing w:before="85" w:line="288" w:lineRule="auto"/>
              <w:jc w:val="center"/>
              <w:rPr>
                <w:b/>
                <w:bCs/>
                <w:sz w:val="18"/>
                <w:szCs w:val="18"/>
              </w:rPr>
            </w:pPr>
            <w:r w:rsidRPr="00CF3E3D">
              <w:rPr>
                <w:b/>
                <w:bCs/>
                <w:sz w:val="18"/>
                <w:szCs w:val="18"/>
              </w:rPr>
              <w:t>100.0</w:t>
            </w:r>
          </w:p>
        </w:tc>
        <w:tc>
          <w:tcPr>
            <w:cnfStyle w:val="000001000000" w:firstRow="0" w:lastRow="0" w:firstColumn="0" w:lastColumn="0" w:oddVBand="0" w:evenVBand="1" w:oddHBand="0" w:evenHBand="0" w:firstRowFirstColumn="0" w:firstRowLastColumn="0" w:lastRowFirstColumn="0" w:lastRowLastColumn="0"/>
            <w:tcW w:w="820" w:type="pct"/>
          </w:tcPr>
          <w:p w14:paraId="6AF40BDA" w14:textId="77777777" w:rsidR="006A79B6" w:rsidRPr="00CF3E3D" w:rsidRDefault="006A79B6" w:rsidP="007007AC">
            <w:pPr>
              <w:spacing w:before="85" w:line="288" w:lineRule="auto"/>
              <w:jc w:val="center"/>
              <w:rPr>
                <w:b/>
                <w:bCs/>
                <w:sz w:val="18"/>
                <w:szCs w:val="18"/>
              </w:rPr>
            </w:pPr>
            <w:r w:rsidRPr="00CF3E3D">
              <w:rPr>
                <w:b/>
                <w:bCs/>
                <w:sz w:val="18"/>
                <w:szCs w:val="18"/>
              </w:rPr>
              <w:t>131,311</w:t>
            </w:r>
          </w:p>
        </w:tc>
        <w:tc>
          <w:tcPr>
            <w:cnfStyle w:val="000010000000" w:firstRow="0" w:lastRow="0" w:firstColumn="0" w:lastColumn="0" w:oddVBand="1" w:evenVBand="0" w:oddHBand="0" w:evenHBand="0" w:firstRowFirstColumn="0" w:firstRowLastColumn="0" w:lastRowFirstColumn="0" w:lastRowLastColumn="0"/>
            <w:tcW w:w="821" w:type="pct"/>
          </w:tcPr>
          <w:p w14:paraId="2F77A90D" w14:textId="77777777" w:rsidR="006A79B6" w:rsidRPr="00CF3E3D" w:rsidRDefault="006A79B6" w:rsidP="007007AC">
            <w:pPr>
              <w:spacing w:before="85" w:line="288" w:lineRule="auto"/>
              <w:jc w:val="center"/>
              <w:rPr>
                <w:b/>
                <w:bCs/>
                <w:sz w:val="18"/>
                <w:szCs w:val="18"/>
              </w:rPr>
            </w:pPr>
            <w:r w:rsidRPr="00CF3E3D">
              <w:rPr>
                <w:b/>
                <w:bCs/>
                <w:sz w:val="18"/>
                <w:szCs w:val="18"/>
              </w:rPr>
              <w:t>100.0</w:t>
            </w:r>
          </w:p>
        </w:tc>
      </w:tr>
    </w:tbl>
    <w:p w14:paraId="2EF6E91F" w14:textId="77777777" w:rsidR="006A79B6" w:rsidRDefault="006A79B6">
      <w:pPr>
        <w:rPr>
          <w:rFonts w:cs="Times New Roman"/>
          <w:color w:val="auto"/>
          <w:sz w:val="16"/>
          <w:szCs w:val="16"/>
          <w:lang w:val="en-GB" w:eastAsia="en-GB"/>
        </w:rPr>
      </w:pPr>
      <w:r>
        <w:rPr>
          <w:szCs w:val="16"/>
        </w:rPr>
        <w:br w:type="page"/>
      </w:r>
    </w:p>
    <w:p w14:paraId="32B7C11C" w14:textId="77777777" w:rsidR="006A79B6" w:rsidRPr="006232EF" w:rsidRDefault="006A79B6" w:rsidP="006A79B6">
      <w:pPr>
        <w:pStyle w:val="Heading1"/>
        <w:numPr>
          <w:ilvl w:val="0"/>
          <w:numId w:val="0"/>
        </w:numPr>
        <w:rPr>
          <w:color w:val="000000" w:themeColor="text1"/>
        </w:rPr>
      </w:pPr>
      <w:bookmarkStart w:id="222" w:name="_Toc116035560"/>
      <w:bookmarkStart w:id="223" w:name="_Toc116039915"/>
      <w:r w:rsidRPr="006232EF">
        <w:rPr>
          <w:color w:val="000000" w:themeColor="text1"/>
        </w:rPr>
        <w:lastRenderedPageBreak/>
        <w:t>Appendix 2 Labour market and graduate satisfaction definitions</w:t>
      </w:r>
      <w:bookmarkStart w:id="224" w:name="_Hlk78478452"/>
      <w:bookmarkEnd w:id="222"/>
      <w:bookmarkEnd w:id="223"/>
    </w:p>
    <w:p w14:paraId="4E7810F5" w14:textId="77777777" w:rsidR="006A79B6" w:rsidRPr="00CF3E3D" w:rsidRDefault="006A79B6" w:rsidP="006A79B6">
      <w:pPr>
        <w:pStyle w:val="Body"/>
      </w:pPr>
      <w:bookmarkStart w:id="225" w:name="_Toc22200391"/>
      <w:bookmarkEnd w:id="224"/>
      <w:r w:rsidRPr="00CF3E3D">
        <w:t xml:space="preserve">The 2022 GOS uses labour force indicator definitions informed by the standard labour force statistics model used by the ABS. Definitions for indicators used throughout this report are presented in </w:t>
      </w:r>
      <w:r>
        <w:fldChar w:fldCharType="begin"/>
      </w:r>
      <w:r>
        <w:instrText xml:space="preserve"> REF _Ref77927141 \h </w:instrText>
      </w:r>
      <w:r>
        <w:fldChar w:fldCharType="separate"/>
      </w:r>
      <w:r w:rsidRPr="00CF3E3D">
        <w:t xml:space="preserve">Table </w:t>
      </w:r>
      <w:r>
        <w:rPr>
          <w:noProof/>
        </w:rPr>
        <w:t>29</w:t>
      </w:r>
      <w:r>
        <w:fldChar w:fldCharType="end"/>
      </w:r>
      <w:r>
        <w:t xml:space="preserve"> </w:t>
      </w:r>
      <w:r w:rsidRPr="00CF3E3D">
        <w:t>below.</w:t>
      </w:r>
      <w:bookmarkEnd w:id="225"/>
    </w:p>
    <w:p w14:paraId="6F2F7346" w14:textId="02BA8A61" w:rsidR="006A79B6" w:rsidRPr="00715B99" w:rsidRDefault="006A79B6" w:rsidP="006A79B6">
      <w:pPr>
        <w:pStyle w:val="Caption"/>
        <w:rPr>
          <w:color w:val="auto"/>
        </w:rPr>
      </w:pPr>
      <w:bookmarkStart w:id="226" w:name="_Ref77927141"/>
      <w:bookmarkStart w:id="227" w:name="_Toc116035823"/>
      <w:bookmarkStart w:id="228" w:name="_Toc116040378"/>
      <w:r w:rsidRPr="00715B99">
        <w:rPr>
          <w:color w:val="auto"/>
        </w:rPr>
        <w:t xml:space="preserve">Table </w:t>
      </w:r>
      <w:r w:rsidRPr="00715B99">
        <w:rPr>
          <w:color w:val="auto"/>
        </w:rPr>
        <w:fldChar w:fldCharType="begin"/>
      </w:r>
      <w:r w:rsidRPr="00715B99">
        <w:rPr>
          <w:color w:val="auto"/>
        </w:rPr>
        <w:instrText xml:space="preserve"> SEQ Table \* ARABIC </w:instrText>
      </w:r>
      <w:r w:rsidRPr="00715B99">
        <w:rPr>
          <w:color w:val="auto"/>
        </w:rPr>
        <w:fldChar w:fldCharType="separate"/>
      </w:r>
      <w:r w:rsidR="00040060">
        <w:rPr>
          <w:noProof/>
          <w:color w:val="auto"/>
        </w:rPr>
        <w:t>29</w:t>
      </w:r>
      <w:r w:rsidRPr="00715B99">
        <w:rPr>
          <w:color w:val="auto"/>
        </w:rPr>
        <w:fldChar w:fldCharType="end"/>
      </w:r>
      <w:bookmarkEnd w:id="226"/>
      <w:r w:rsidRPr="00715B99">
        <w:rPr>
          <w:color w:val="auto"/>
        </w:rPr>
        <w:t xml:space="preserve"> Indicator definitions</w:t>
      </w:r>
      <w:bookmarkEnd w:id="227"/>
      <w:bookmarkEnd w:id="228"/>
    </w:p>
    <w:tbl>
      <w:tblPr>
        <w:tblStyle w:val="SRC1"/>
        <w:tblW w:w="0" w:type="auto"/>
        <w:tblLook w:val="04A0" w:firstRow="1" w:lastRow="0" w:firstColumn="1" w:lastColumn="0" w:noHBand="0" w:noVBand="1"/>
      </w:tblPr>
      <w:tblGrid>
        <w:gridCol w:w="5111"/>
        <w:gridCol w:w="3959"/>
      </w:tblGrid>
      <w:tr w:rsidR="006A79B6" w:rsidRPr="00CF3E3D" w14:paraId="231FF1B4" w14:textId="77777777" w:rsidTr="002E40B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0" w:type="auto"/>
            <w:hideMark/>
          </w:tcPr>
          <w:p w14:paraId="0A663054" w14:textId="4B229FCA" w:rsidR="006A79B6" w:rsidRPr="00715B99" w:rsidRDefault="006A79B6" w:rsidP="007007AC">
            <w:pPr>
              <w:pStyle w:val="Tabletext"/>
              <w:rPr>
                <w:rFonts w:ascii="Arial" w:hAnsi="Arial" w:cs="Arial"/>
                <w:b w:val="0"/>
                <w:color w:val="FFFFFF" w:themeColor="background1"/>
                <w:sz w:val="18"/>
              </w:rPr>
            </w:pPr>
            <w:bookmarkStart w:id="229" w:name="Title29"/>
            <w:bookmarkEnd w:id="229"/>
            <w:r w:rsidRPr="00715B99">
              <w:rPr>
                <w:rFonts w:ascii="Arial" w:hAnsi="Arial" w:cs="Arial"/>
                <w:color w:val="FFFFFF" w:themeColor="background1"/>
                <w:sz w:val="18"/>
              </w:rPr>
              <w:t>Indicator</w:t>
            </w:r>
            <w:r w:rsidR="0058378B">
              <w:rPr>
                <w:rFonts w:ascii="Arial" w:hAnsi="Arial" w:cs="Arial"/>
                <w:color w:val="FFFFFF" w:themeColor="background1"/>
                <w:sz w:val="18"/>
              </w:rPr>
              <w:t xml:space="preserve"> </w:t>
            </w:r>
            <w:r w:rsidRPr="00715B99">
              <w:rPr>
                <w:rFonts w:ascii="Arial" w:hAnsi="Arial" w:cs="Arial"/>
                <w:color w:val="FFFFFF" w:themeColor="background1"/>
                <w:sz w:val="18"/>
              </w:rPr>
              <w:t>/</w:t>
            </w:r>
            <w:r w:rsidR="0058378B">
              <w:rPr>
                <w:rFonts w:ascii="Arial" w:hAnsi="Arial" w:cs="Arial"/>
                <w:color w:val="FFFFFF" w:themeColor="background1"/>
                <w:sz w:val="18"/>
              </w:rPr>
              <w:t xml:space="preserve"> </w:t>
            </w:r>
            <w:r w:rsidRPr="00715B99">
              <w:rPr>
                <w:rFonts w:ascii="Arial" w:hAnsi="Arial" w:cs="Arial"/>
                <w:color w:val="FFFFFF" w:themeColor="background1"/>
                <w:sz w:val="18"/>
              </w:rPr>
              <w:t>element</w:t>
            </w:r>
          </w:p>
        </w:tc>
        <w:tc>
          <w:tcPr>
            <w:tcW w:w="0" w:type="auto"/>
            <w:hideMark/>
          </w:tcPr>
          <w:p w14:paraId="0D58CF93" w14:textId="77777777" w:rsidR="006A79B6" w:rsidRPr="00715B99" w:rsidRDefault="006A79B6" w:rsidP="007007AC">
            <w:pPr>
              <w:pStyle w:val="Tabletext"/>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rPr>
            </w:pPr>
            <w:r w:rsidRPr="00715B99">
              <w:rPr>
                <w:rFonts w:ascii="Arial" w:hAnsi="Arial" w:cs="Arial"/>
                <w:color w:val="FFFFFF" w:themeColor="background1"/>
                <w:sz w:val="18"/>
              </w:rPr>
              <w:t>Definition</w:t>
            </w:r>
          </w:p>
        </w:tc>
      </w:tr>
      <w:tr w:rsidR="006A79B6" w:rsidRPr="00CF3E3D" w14:paraId="3C4BA356"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1B883BD1"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Employed</w:t>
            </w:r>
          </w:p>
        </w:tc>
        <w:tc>
          <w:tcPr>
            <w:tcW w:w="0" w:type="auto"/>
            <w:hideMark/>
          </w:tcPr>
          <w:p w14:paraId="546B87F5" w14:textId="77777777" w:rsidR="006A79B6" w:rsidRPr="00CF3E3D" w:rsidRDefault="006A79B6" w:rsidP="007007AC">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CF3E3D">
              <w:rPr>
                <w:rFonts w:ascii="Arial" w:hAnsi="Arial" w:cs="Arial"/>
                <w:color w:val="auto"/>
                <w:sz w:val="18"/>
              </w:rPr>
              <w:t xml:space="preserve">Graduates who were usually or actually in paid employment for one or more hours in the week before the survey (including full-time, part-time or casual employment) </w:t>
            </w:r>
          </w:p>
        </w:tc>
      </w:tr>
      <w:tr w:rsidR="006A79B6" w:rsidRPr="00CF3E3D" w14:paraId="723F5B1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3CC5F235"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Employed full-time</w:t>
            </w:r>
          </w:p>
        </w:tc>
        <w:tc>
          <w:tcPr>
            <w:tcW w:w="0" w:type="auto"/>
            <w:hideMark/>
          </w:tcPr>
          <w:p w14:paraId="10E9BE89" w14:textId="77777777" w:rsidR="006A79B6" w:rsidRPr="00CF3E3D" w:rsidRDefault="006A79B6" w:rsidP="007007AC">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CF3E3D">
              <w:rPr>
                <w:rFonts w:ascii="Arial" w:hAnsi="Arial" w:cs="Arial"/>
                <w:color w:val="auto"/>
                <w:sz w:val="18"/>
              </w:rPr>
              <w:t>Graduates who were usually or actually in paid employment for at least 35 hours per week, in the week before the survey</w:t>
            </w:r>
          </w:p>
        </w:tc>
      </w:tr>
      <w:tr w:rsidR="006A79B6" w:rsidRPr="00CF3E3D" w14:paraId="292AAFA8"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039692F2"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Available for employment</w:t>
            </w:r>
          </w:p>
        </w:tc>
        <w:tc>
          <w:tcPr>
            <w:tcW w:w="0" w:type="auto"/>
            <w:hideMark/>
          </w:tcPr>
          <w:p w14:paraId="428FFEB1" w14:textId="77777777" w:rsidR="006A79B6" w:rsidRPr="00CF3E3D" w:rsidRDefault="006A79B6" w:rsidP="007007AC">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CF3E3D">
              <w:rPr>
                <w:rFonts w:ascii="Arial" w:hAnsi="Arial" w:cs="Arial"/>
                <w:color w:val="auto"/>
                <w:sz w:val="18"/>
              </w:rPr>
              <w:t>Graduates who were employed, looking for employment or waiting to start a job in the week prior to the survey.</w:t>
            </w:r>
          </w:p>
        </w:tc>
      </w:tr>
      <w:tr w:rsidR="006A79B6" w:rsidRPr="00CF3E3D" w14:paraId="3856640E"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65A19453"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Available for full-time employment</w:t>
            </w:r>
          </w:p>
        </w:tc>
        <w:tc>
          <w:tcPr>
            <w:tcW w:w="0" w:type="auto"/>
            <w:hideMark/>
          </w:tcPr>
          <w:p w14:paraId="02C41B42" w14:textId="77777777" w:rsidR="006A79B6" w:rsidRPr="00CF3E3D" w:rsidRDefault="006A79B6" w:rsidP="007007AC">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CF3E3D">
              <w:rPr>
                <w:rFonts w:ascii="Arial" w:hAnsi="Arial" w:cs="Arial"/>
                <w:color w:val="auto"/>
                <w:sz w:val="18"/>
              </w:rPr>
              <w:t>Graduates who were employed full-time or looking for full-time employment in the week prior to the survey.</w:t>
            </w:r>
          </w:p>
        </w:tc>
      </w:tr>
      <w:tr w:rsidR="006A79B6" w:rsidRPr="00CF3E3D" w14:paraId="6B6C4DAC"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654945F4"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Underemployed</w:t>
            </w:r>
          </w:p>
        </w:tc>
        <w:tc>
          <w:tcPr>
            <w:tcW w:w="0" w:type="auto"/>
            <w:hideMark/>
          </w:tcPr>
          <w:p w14:paraId="470D7C74" w14:textId="77777777" w:rsidR="006A79B6" w:rsidRPr="00CF3E3D" w:rsidRDefault="006A79B6" w:rsidP="007007AC">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CF3E3D">
              <w:rPr>
                <w:rFonts w:ascii="Arial" w:hAnsi="Arial" w:cs="Arial"/>
                <w:color w:val="auto"/>
                <w:sz w:val="18"/>
              </w:rPr>
              <w:t>Graduates who were usually or actually in paid employment for fewer than 35 hours per week, in the week before the survey, and who would prefer to work a greater number of hours.</w:t>
            </w:r>
          </w:p>
        </w:tc>
      </w:tr>
      <w:tr w:rsidR="006A79B6" w:rsidRPr="00CF3E3D" w14:paraId="1A154AA8"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34ECB007"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Overall employment rate</w:t>
            </w:r>
          </w:p>
        </w:tc>
        <w:tc>
          <w:tcPr>
            <w:tcW w:w="0" w:type="auto"/>
            <w:hideMark/>
          </w:tcPr>
          <w:p w14:paraId="7729CFC9" w14:textId="77777777" w:rsidR="006A79B6" w:rsidRPr="00CF3E3D" w:rsidRDefault="006A79B6" w:rsidP="007007AC">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CF3E3D">
              <w:rPr>
                <w:rFonts w:ascii="Arial" w:hAnsi="Arial" w:cs="Arial"/>
                <w:color w:val="auto"/>
                <w:sz w:val="18"/>
              </w:rPr>
              <w:t>Employed graduates (including in full-time, part-time or casual employment), as a proportion of those available for employment.</w:t>
            </w:r>
          </w:p>
        </w:tc>
      </w:tr>
      <w:tr w:rsidR="006A79B6" w:rsidRPr="00CF3E3D" w14:paraId="01408E0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3DDDD397"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Full-time employment rate</w:t>
            </w:r>
          </w:p>
        </w:tc>
        <w:tc>
          <w:tcPr>
            <w:tcW w:w="0" w:type="auto"/>
            <w:hideMark/>
          </w:tcPr>
          <w:p w14:paraId="020B296B" w14:textId="77777777" w:rsidR="006A79B6" w:rsidRPr="00CF3E3D" w:rsidRDefault="006A79B6" w:rsidP="007007AC">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CF3E3D">
              <w:rPr>
                <w:rFonts w:ascii="Arial" w:hAnsi="Arial" w:cs="Arial"/>
                <w:color w:val="auto"/>
                <w:sz w:val="18"/>
              </w:rPr>
              <w:t>Graduates employed full-time, as a proportion of those available for full-time work.</w:t>
            </w:r>
          </w:p>
        </w:tc>
      </w:tr>
      <w:tr w:rsidR="006A79B6" w:rsidRPr="00CF3E3D" w14:paraId="336254D1"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24950660"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Labour force participation rate</w:t>
            </w:r>
          </w:p>
        </w:tc>
        <w:tc>
          <w:tcPr>
            <w:tcW w:w="0" w:type="auto"/>
            <w:hideMark/>
          </w:tcPr>
          <w:p w14:paraId="04224FF6" w14:textId="77777777" w:rsidR="006A79B6" w:rsidRPr="00CF3E3D" w:rsidRDefault="006A79B6" w:rsidP="007007AC">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CF3E3D">
              <w:rPr>
                <w:rFonts w:ascii="Arial" w:hAnsi="Arial" w:cs="Arial"/>
                <w:color w:val="auto"/>
                <w:sz w:val="18"/>
              </w:rPr>
              <w:t>Graduates available for employment, as a proportion of all graduates.</w:t>
            </w:r>
          </w:p>
        </w:tc>
      </w:tr>
      <w:tr w:rsidR="006A79B6" w:rsidRPr="00CF3E3D" w14:paraId="522644B5"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5E5C99D9"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Median salary</w:t>
            </w:r>
          </w:p>
        </w:tc>
        <w:tc>
          <w:tcPr>
            <w:tcW w:w="0" w:type="auto"/>
            <w:hideMark/>
          </w:tcPr>
          <w:p w14:paraId="2186F9B4" w14:textId="77777777" w:rsidR="006A79B6" w:rsidRPr="00CF3E3D" w:rsidRDefault="006A79B6" w:rsidP="007007AC">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CF3E3D">
              <w:rPr>
                <w:rFonts w:ascii="Arial" w:hAnsi="Arial" w:cs="Arial"/>
                <w:color w:val="auto"/>
                <w:sz w:val="18"/>
              </w:rPr>
              <w:t>The median annual salary of graduates employed full-time.</w:t>
            </w:r>
          </w:p>
        </w:tc>
      </w:tr>
      <w:tr w:rsidR="006A79B6" w:rsidRPr="00CF3E3D" w14:paraId="0AF9033A"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2126B730"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Full-time study rate</w:t>
            </w:r>
          </w:p>
        </w:tc>
        <w:tc>
          <w:tcPr>
            <w:tcW w:w="0" w:type="auto"/>
            <w:hideMark/>
          </w:tcPr>
          <w:p w14:paraId="654E6156" w14:textId="77777777" w:rsidR="006A79B6" w:rsidRPr="00CF3E3D" w:rsidRDefault="006A79B6" w:rsidP="007007AC">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CF3E3D">
              <w:rPr>
                <w:rFonts w:ascii="Arial" w:hAnsi="Arial" w:cs="Arial"/>
                <w:color w:val="auto"/>
                <w:sz w:val="18"/>
              </w:rPr>
              <w:t>Graduates who reported being in full-time study, as a proportion of all graduates.</w:t>
            </w:r>
          </w:p>
        </w:tc>
      </w:tr>
      <w:tr w:rsidR="006A79B6" w:rsidRPr="00CF3E3D" w14:paraId="3E17BEC0" w14:textId="77777777" w:rsidTr="002E4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0DFD7987"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Undergraduate and Postgraduate satisfaction – Overall satisfaction indicator</w:t>
            </w:r>
          </w:p>
        </w:tc>
        <w:tc>
          <w:tcPr>
            <w:tcW w:w="0" w:type="auto"/>
            <w:hideMark/>
          </w:tcPr>
          <w:p w14:paraId="502BDF06" w14:textId="77777777" w:rsidR="006A79B6" w:rsidRPr="00CF3E3D" w:rsidRDefault="006A79B6" w:rsidP="007007AC">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CF3E3D">
              <w:rPr>
                <w:rFonts w:ascii="Arial" w:hAnsi="Arial" w:cs="Arial"/>
                <w:color w:val="auto"/>
                <w:sz w:val="18"/>
              </w:rPr>
              <w:t>The proportion of graduates who ‘agreed’ or ‘strongly agreed’ that they were satisfied with the overall quality of their course.</w:t>
            </w:r>
          </w:p>
        </w:tc>
      </w:tr>
      <w:tr w:rsidR="006A79B6" w:rsidRPr="00CF3E3D" w14:paraId="5A211724" w14:textId="77777777" w:rsidTr="002E4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2FFD8FDC" w14:textId="77777777" w:rsidR="006A79B6" w:rsidRPr="00CF3E3D" w:rsidRDefault="006A79B6" w:rsidP="007007AC">
            <w:pPr>
              <w:pStyle w:val="Tabletext"/>
              <w:rPr>
                <w:rFonts w:ascii="Arial" w:hAnsi="Arial" w:cs="Arial"/>
                <w:color w:val="auto"/>
                <w:sz w:val="18"/>
              </w:rPr>
            </w:pPr>
            <w:r w:rsidRPr="00CF3E3D">
              <w:rPr>
                <w:rFonts w:ascii="Arial" w:hAnsi="Arial" w:cs="Arial"/>
                <w:color w:val="auto"/>
                <w:sz w:val="18"/>
              </w:rPr>
              <w:t>Postgraduate research graduate satisfaction, overall satisfaction indicator as well as scales on Intellectual climate, Infrastructure, Goals and expectations, Supervision, Skills development, Thesis examination and industry and External engagement</w:t>
            </w:r>
          </w:p>
        </w:tc>
        <w:tc>
          <w:tcPr>
            <w:tcW w:w="0" w:type="auto"/>
            <w:hideMark/>
          </w:tcPr>
          <w:p w14:paraId="2D84C909" w14:textId="77777777" w:rsidR="006A79B6" w:rsidRPr="00CF3E3D" w:rsidRDefault="006A79B6" w:rsidP="007007AC">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CF3E3D">
              <w:rPr>
                <w:rFonts w:ascii="Arial" w:hAnsi="Arial" w:cs="Arial"/>
                <w:color w:val="auto"/>
                <w:sz w:val="18"/>
              </w:rPr>
              <w:t>Calculated from multiple survey items, representing the proportion of graduates who gave a positive response to items associated with each scale.</w:t>
            </w:r>
          </w:p>
        </w:tc>
      </w:tr>
    </w:tbl>
    <w:p w14:paraId="428194BF" w14:textId="77777777" w:rsidR="006A79B6" w:rsidRPr="003B7CB0" w:rsidRDefault="006A79B6" w:rsidP="00594584">
      <w:pPr>
        <w:pStyle w:val="Heading2"/>
        <w:numPr>
          <w:ilvl w:val="0"/>
          <w:numId w:val="0"/>
        </w:numPr>
        <w:ind w:left="851" w:hanging="851"/>
        <w:rPr>
          <w:color w:val="000000" w:themeColor="text1"/>
        </w:rPr>
      </w:pPr>
      <w:bookmarkStart w:id="230" w:name="_Toc500947613"/>
      <w:bookmarkStart w:id="231" w:name="_Toc500949068"/>
      <w:bookmarkStart w:id="232" w:name="_Toc500949338"/>
      <w:bookmarkStart w:id="233" w:name="_Toc528315531"/>
      <w:bookmarkStart w:id="234" w:name="_Toc22810107"/>
      <w:bookmarkStart w:id="235" w:name="_Toc22810196"/>
      <w:bookmarkStart w:id="236" w:name="_Toc22825145"/>
      <w:bookmarkStart w:id="237" w:name="_Toc116035561"/>
      <w:bookmarkStart w:id="238" w:name="_Toc116039916"/>
      <w:r w:rsidRPr="003B7CB0">
        <w:rPr>
          <w:color w:val="000000" w:themeColor="text1"/>
        </w:rPr>
        <w:t>Examples of graduate labour market outcomes</w:t>
      </w:r>
      <w:bookmarkEnd w:id="230"/>
      <w:bookmarkEnd w:id="231"/>
      <w:bookmarkEnd w:id="232"/>
      <w:bookmarkEnd w:id="233"/>
      <w:bookmarkEnd w:id="234"/>
      <w:bookmarkEnd w:id="235"/>
      <w:bookmarkEnd w:id="236"/>
      <w:bookmarkEnd w:id="237"/>
      <w:bookmarkEnd w:id="238"/>
    </w:p>
    <w:p w14:paraId="003446F8" w14:textId="77777777" w:rsidR="006A79B6" w:rsidRPr="00CF3E3D" w:rsidRDefault="006A79B6" w:rsidP="006A79B6">
      <w:pPr>
        <w:pStyle w:val="Body"/>
      </w:pPr>
      <w:bookmarkStart w:id="239" w:name="_Toc22200392"/>
      <w:r w:rsidRPr="00CF3E3D">
        <w:rPr>
          <w:b/>
          <w:bCs/>
        </w:rPr>
        <w:t>Amy</w:t>
      </w:r>
      <w:r w:rsidRPr="00CF3E3D">
        <w:t xml:space="preserve"> works 37 hours a week. Amy is both available for employment and available for full-time employment, as well as both employed and employed full-time. Graduate Amy is counted towards the labour force participation rate. Amy’s usual salary is counted towards the median salary figure.</w:t>
      </w:r>
      <w:bookmarkEnd w:id="239"/>
    </w:p>
    <w:p w14:paraId="70935AED" w14:textId="77777777" w:rsidR="006A79B6" w:rsidRPr="00CF3E3D" w:rsidRDefault="006A79B6" w:rsidP="006A79B6">
      <w:pPr>
        <w:pStyle w:val="Body"/>
      </w:pPr>
      <w:bookmarkStart w:id="240" w:name="_Toc22200393"/>
      <w:r w:rsidRPr="00CF3E3D">
        <w:rPr>
          <w:b/>
          <w:bCs/>
        </w:rPr>
        <w:lastRenderedPageBreak/>
        <w:t>Bryan</w:t>
      </w:r>
      <w:r w:rsidRPr="00CF3E3D">
        <w:t xml:space="preserve"> works 20 hours a week while also studying full-time and does not want to work additional hours. Bryan is available for employment and employed but is not available for full-time work or employed full-time. Bryan is counted towards both the full-time study rate, overall employed and the labour force participation rate. Bryan’s salary is not counted towards the median salary figure.</w:t>
      </w:r>
      <w:bookmarkEnd w:id="240"/>
      <w:r w:rsidRPr="00CF3E3D">
        <w:t xml:space="preserve"> Bryan is not considered “underemployed”.</w:t>
      </w:r>
    </w:p>
    <w:p w14:paraId="60143733" w14:textId="77777777" w:rsidR="006A79B6" w:rsidRPr="00CF3E3D" w:rsidRDefault="006A79B6" w:rsidP="006A79B6">
      <w:pPr>
        <w:pStyle w:val="Body"/>
      </w:pPr>
      <w:bookmarkStart w:id="241" w:name="_Toc22200394"/>
      <w:proofErr w:type="spellStart"/>
      <w:r w:rsidRPr="00CF3E3D">
        <w:rPr>
          <w:b/>
          <w:bCs/>
        </w:rPr>
        <w:t>Crishna</w:t>
      </w:r>
      <w:proofErr w:type="spellEnd"/>
      <w:r w:rsidRPr="00CF3E3D">
        <w:t xml:space="preserve"> works 6 hours a week but would prefer to work 40 hours per week. </w:t>
      </w:r>
      <w:proofErr w:type="spellStart"/>
      <w:r w:rsidRPr="00CF3E3D">
        <w:t>Crishna</w:t>
      </w:r>
      <w:proofErr w:type="spellEnd"/>
      <w:r w:rsidRPr="00CF3E3D">
        <w:t xml:space="preserve"> is both available for employment and available for full-time employment. </w:t>
      </w:r>
      <w:proofErr w:type="spellStart"/>
      <w:r w:rsidRPr="00CF3E3D">
        <w:t>Crishna</w:t>
      </w:r>
      <w:proofErr w:type="spellEnd"/>
      <w:r w:rsidRPr="00CF3E3D">
        <w:t xml:space="preserve"> is employed but not employed full-time and is also underemployed. Graduate </w:t>
      </w:r>
      <w:proofErr w:type="spellStart"/>
      <w:r w:rsidRPr="00CF3E3D">
        <w:t>Crishna</w:t>
      </w:r>
      <w:proofErr w:type="spellEnd"/>
      <w:r w:rsidRPr="00CF3E3D">
        <w:t xml:space="preserve"> is counted towards the labour force participation rate. </w:t>
      </w:r>
      <w:proofErr w:type="spellStart"/>
      <w:r w:rsidRPr="00CF3E3D">
        <w:t>Crishna’s</w:t>
      </w:r>
      <w:proofErr w:type="spellEnd"/>
      <w:r w:rsidRPr="00CF3E3D">
        <w:t xml:space="preserve"> salary is not counted towards the median salary figure.</w:t>
      </w:r>
      <w:bookmarkEnd w:id="241"/>
    </w:p>
    <w:p w14:paraId="0296868F" w14:textId="77777777" w:rsidR="006A79B6" w:rsidRPr="00CF3E3D" w:rsidRDefault="006A79B6" w:rsidP="006A79B6">
      <w:pPr>
        <w:pStyle w:val="Body"/>
      </w:pPr>
      <w:bookmarkStart w:id="242" w:name="_Toc22200395"/>
      <w:proofErr w:type="spellStart"/>
      <w:r w:rsidRPr="00CF3E3D">
        <w:rPr>
          <w:b/>
          <w:bCs/>
        </w:rPr>
        <w:t>Dilek</w:t>
      </w:r>
      <w:proofErr w:type="spellEnd"/>
      <w:r w:rsidRPr="00CF3E3D">
        <w:t xml:space="preserve"> is studying full-time and is not working or looking for work. </w:t>
      </w:r>
      <w:proofErr w:type="spellStart"/>
      <w:r w:rsidRPr="00CF3E3D">
        <w:t>Dilek</w:t>
      </w:r>
      <w:proofErr w:type="spellEnd"/>
      <w:r w:rsidRPr="00CF3E3D">
        <w:t xml:space="preserve"> is not available for employment and therefore is not counted towards the labour force participation rate. However, </w:t>
      </w:r>
      <w:proofErr w:type="spellStart"/>
      <w:r w:rsidRPr="00CF3E3D">
        <w:t>Dilek</w:t>
      </w:r>
      <w:proofErr w:type="spellEnd"/>
      <w:r w:rsidRPr="00CF3E3D">
        <w:t xml:space="preserve"> is counted towards the full-time study rate.</w:t>
      </w:r>
      <w:bookmarkEnd w:id="242"/>
      <w:r w:rsidRPr="00CF3E3D">
        <w:t xml:space="preserve"> </w:t>
      </w:r>
    </w:p>
    <w:p w14:paraId="63B4C60F" w14:textId="0E5C4EFB" w:rsidR="006A79B6" w:rsidRDefault="006A79B6" w:rsidP="006A79B6">
      <w:pPr>
        <w:pStyle w:val="Body"/>
      </w:pPr>
      <w:bookmarkStart w:id="243" w:name="_Toc22200396"/>
      <w:r w:rsidRPr="00CF3E3D">
        <w:rPr>
          <w:b/>
          <w:bCs/>
        </w:rPr>
        <w:t>Emily</w:t>
      </w:r>
      <w:r w:rsidRPr="00CF3E3D">
        <w:t xml:space="preserve"> is not working and is looking for full-time work. Emily is both available for employment and available for full-time employment. Emily is counted towards the labour force participation rate. However, Emily is neither employed nor employed full-time, and can also be referred to as unemployed.</w:t>
      </w:r>
      <w:bookmarkEnd w:id="243"/>
    </w:p>
    <w:p w14:paraId="064EB174" w14:textId="256072A3" w:rsidR="00040060" w:rsidRDefault="00040060">
      <w:pPr>
        <w:rPr>
          <w:rFonts w:eastAsia="Times New Roman" w:cs="Times New Roman"/>
          <w:szCs w:val="20"/>
        </w:rPr>
      </w:pPr>
      <w:r>
        <w:br w:type="page"/>
      </w:r>
    </w:p>
    <w:p w14:paraId="6516CD33" w14:textId="77777777" w:rsidR="00040060" w:rsidRPr="00EB4ADF" w:rsidRDefault="00040060" w:rsidP="00040060">
      <w:pPr>
        <w:pStyle w:val="Heading1"/>
        <w:numPr>
          <w:ilvl w:val="0"/>
          <w:numId w:val="0"/>
        </w:numPr>
        <w:ind w:left="851" w:hanging="851"/>
        <w:rPr>
          <w:color w:val="000000" w:themeColor="text1"/>
        </w:rPr>
      </w:pPr>
      <w:bookmarkStart w:id="244" w:name="_Toc528315533"/>
      <w:bookmarkStart w:id="245" w:name="_Toc22810108"/>
      <w:bookmarkStart w:id="246" w:name="_Toc116035562"/>
      <w:bookmarkStart w:id="247" w:name="_Toc116039917"/>
      <w:r w:rsidRPr="00EB4ADF">
        <w:rPr>
          <w:color w:val="000000" w:themeColor="text1"/>
        </w:rPr>
        <w:lastRenderedPageBreak/>
        <w:t xml:space="preserve">Appendix 3 </w:t>
      </w:r>
      <w:bookmarkEnd w:id="244"/>
      <w:bookmarkEnd w:id="245"/>
      <w:r w:rsidRPr="00EB4ADF">
        <w:rPr>
          <w:color w:val="000000" w:themeColor="text1"/>
        </w:rPr>
        <w:t>GOS questionnaire</w:t>
      </w:r>
      <w:bookmarkEnd w:id="246"/>
      <w:bookmarkEnd w:id="247"/>
    </w:p>
    <w:p w14:paraId="36CB1CAE" w14:textId="77777777" w:rsidR="00040060" w:rsidRPr="00EB4ADF" w:rsidRDefault="00040060" w:rsidP="00040060">
      <w:pPr>
        <w:pStyle w:val="Heading2"/>
        <w:numPr>
          <w:ilvl w:val="0"/>
          <w:numId w:val="0"/>
        </w:numPr>
        <w:rPr>
          <w:color w:val="000000" w:themeColor="text1"/>
        </w:rPr>
      </w:pPr>
      <w:bookmarkStart w:id="248" w:name="_Toc116035563"/>
      <w:bookmarkStart w:id="249" w:name="_Toc116039918"/>
      <w:r w:rsidRPr="00EB4ADF">
        <w:rPr>
          <w:color w:val="000000" w:themeColor="text1"/>
        </w:rPr>
        <w:t>3.1 Core instrument</w:t>
      </w:r>
      <w:bookmarkEnd w:id="248"/>
      <w:bookmarkEnd w:id="249"/>
    </w:p>
    <w:p w14:paraId="2918226B" w14:textId="77777777" w:rsidR="00040060" w:rsidRPr="00CF3E3D" w:rsidRDefault="00040060" w:rsidP="00040060">
      <w:pPr>
        <w:pStyle w:val="Body"/>
      </w:pPr>
      <w:r w:rsidRPr="00CF3E3D">
        <w:t xml:space="preserve">A summary of all items included in the 2022 GOS core instrument are provided in </w:t>
      </w:r>
      <w:r w:rsidRPr="00CF3E3D">
        <w:fldChar w:fldCharType="begin"/>
      </w:r>
      <w:r w:rsidRPr="00CF3E3D">
        <w:instrText xml:space="preserve"> REF _Ref77927204 \h  \* MERGEFORMAT </w:instrText>
      </w:r>
      <w:r w:rsidRPr="00CF3E3D">
        <w:fldChar w:fldCharType="separate"/>
      </w:r>
      <w:r w:rsidRPr="00CF3E3D">
        <w:t xml:space="preserve">Table </w:t>
      </w:r>
      <w:r>
        <w:rPr>
          <w:noProof/>
        </w:rPr>
        <w:t>30</w:t>
      </w:r>
      <w:r w:rsidRPr="00CF3E3D">
        <w:fldChar w:fldCharType="end"/>
      </w:r>
      <w:r w:rsidRPr="00CF3E3D">
        <w:t xml:space="preserve"> below. A copy of the core survey instrument (i.e., excluding any institution specific items) and screenshots of the survey are included in the 2022 GOS Methodological Report.</w:t>
      </w:r>
    </w:p>
    <w:p w14:paraId="1DED293B" w14:textId="13204921" w:rsidR="00040060" w:rsidRPr="00040060" w:rsidRDefault="00040060" w:rsidP="00040060">
      <w:pPr>
        <w:pStyle w:val="Caption"/>
        <w:rPr>
          <w:color w:val="000000" w:themeColor="text1"/>
        </w:rPr>
      </w:pPr>
      <w:bookmarkStart w:id="250" w:name="_Ref77927204"/>
      <w:bookmarkStart w:id="251" w:name="_Toc116035824"/>
      <w:bookmarkStart w:id="252" w:name="_Toc116040379"/>
      <w:r w:rsidRPr="00040060">
        <w:rPr>
          <w:color w:val="000000" w:themeColor="text1"/>
        </w:rPr>
        <w:t xml:space="preserve">Table </w:t>
      </w:r>
      <w:r w:rsidRPr="00040060">
        <w:rPr>
          <w:color w:val="000000" w:themeColor="text1"/>
        </w:rPr>
        <w:fldChar w:fldCharType="begin"/>
      </w:r>
      <w:r w:rsidRPr="00040060">
        <w:rPr>
          <w:color w:val="000000" w:themeColor="text1"/>
        </w:rPr>
        <w:instrText xml:space="preserve"> SEQ Table \* ARABIC </w:instrText>
      </w:r>
      <w:r w:rsidRPr="00040060">
        <w:rPr>
          <w:color w:val="000000" w:themeColor="text1"/>
        </w:rPr>
        <w:fldChar w:fldCharType="separate"/>
      </w:r>
      <w:r>
        <w:rPr>
          <w:noProof/>
          <w:color w:val="000000" w:themeColor="text1"/>
        </w:rPr>
        <w:t>30</w:t>
      </w:r>
      <w:r w:rsidRPr="00040060">
        <w:rPr>
          <w:color w:val="000000" w:themeColor="text1"/>
        </w:rPr>
        <w:fldChar w:fldCharType="end"/>
      </w:r>
      <w:bookmarkEnd w:id="250"/>
      <w:r w:rsidRPr="00040060">
        <w:rPr>
          <w:color w:val="000000" w:themeColor="text1"/>
        </w:rPr>
        <w:t xml:space="preserve"> Questionnaire item summary</w:t>
      </w:r>
      <w:bookmarkEnd w:id="251"/>
      <w:bookmarkEnd w:id="252"/>
    </w:p>
    <w:tbl>
      <w:tblPr>
        <w:tblStyle w:val="SRC1"/>
        <w:tblW w:w="10915" w:type="dxa"/>
        <w:tblLook w:val="04A0" w:firstRow="1" w:lastRow="0" w:firstColumn="1" w:lastColumn="0" w:noHBand="0" w:noVBand="1"/>
      </w:tblPr>
      <w:tblGrid>
        <w:gridCol w:w="1737"/>
        <w:gridCol w:w="6060"/>
        <w:gridCol w:w="3118"/>
      </w:tblGrid>
      <w:tr w:rsidR="00040060" w:rsidRPr="00CF3E3D" w14:paraId="48D55D58" w14:textId="77777777" w:rsidTr="00820036">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737" w:type="dxa"/>
            <w:hideMark/>
          </w:tcPr>
          <w:p w14:paraId="2E53856A" w14:textId="77777777" w:rsidR="00040060" w:rsidRPr="00040060" w:rsidRDefault="00040060" w:rsidP="00040060">
            <w:pPr>
              <w:spacing w:before="0"/>
              <w:rPr>
                <w:rFonts w:eastAsia="Times New Roman"/>
                <w:b w:val="0"/>
                <w:bCs/>
                <w:color w:val="FFFFFF" w:themeColor="background1"/>
                <w:sz w:val="18"/>
                <w:szCs w:val="18"/>
                <w:lang w:eastAsia="en-AU"/>
              </w:rPr>
            </w:pPr>
            <w:bookmarkStart w:id="253" w:name="Title30"/>
            <w:bookmarkEnd w:id="253"/>
            <w:r w:rsidRPr="00040060">
              <w:rPr>
                <w:rFonts w:eastAsia="Times New Roman"/>
                <w:bCs/>
                <w:color w:val="FFFFFF" w:themeColor="background1"/>
                <w:sz w:val="18"/>
                <w:szCs w:val="18"/>
                <w:lang w:eastAsia="en-AU"/>
              </w:rPr>
              <w:t>Question ID</w:t>
            </w:r>
          </w:p>
        </w:tc>
        <w:tc>
          <w:tcPr>
            <w:tcW w:w="6060" w:type="dxa"/>
            <w:hideMark/>
          </w:tcPr>
          <w:p w14:paraId="55320A33" w14:textId="77777777" w:rsidR="00040060" w:rsidRPr="00040060" w:rsidRDefault="00040060" w:rsidP="00040060">
            <w:pPr>
              <w:spacing w:before="0"/>
              <w:cnfStyle w:val="100000000000" w:firstRow="1" w:lastRow="0" w:firstColumn="0" w:lastColumn="0" w:oddVBand="0" w:evenVBand="0" w:oddHBand="0" w:evenHBand="0" w:firstRowFirstColumn="0" w:firstRowLastColumn="0" w:lastRowFirstColumn="0" w:lastRowLastColumn="0"/>
              <w:rPr>
                <w:rFonts w:eastAsia="Times New Roman"/>
                <w:b w:val="0"/>
                <w:bCs/>
                <w:color w:val="FFFFFF" w:themeColor="background1"/>
                <w:sz w:val="18"/>
                <w:szCs w:val="18"/>
                <w:lang w:eastAsia="en-AU"/>
              </w:rPr>
            </w:pPr>
            <w:r w:rsidRPr="00040060">
              <w:rPr>
                <w:rFonts w:eastAsia="Times New Roman"/>
                <w:bCs/>
                <w:color w:val="FFFFFF" w:themeColor="background1"/>
                <w:sz w:val="18"/>
                <w:szCs w:val="18"/>
                <w:lang w:eastAsia="en-AU"/>
              </w:rPr>
              <w:t xml:space="preserve">Question </w:t>
            </w:r>
          </w:p>
        </w:tc>
        <w:tc>
          <w:tcPr>
            <w:tcW w:w="3118" w:type="dxa"/>
            <w:hideMark/>
          </w:tcPr>
          <w:p w14:paraId="7BBE266F" w14:textId="77777777" w:rsidR="00040060" w:rsidRPr="00040060" w:rsidRDefault="00040060" w:rsidP="00040060">
            <w:pPr>
              <w:spacing w:before="0"/>
              <w:cnfStyle w:val="100000000000" w:firstRow="1" w:lastRow="0" w:firstColumn="0" w:lastColumn="0" w:oddVBand="0" w:evenVBand="0" w:oddHBand="0" w:evenHBand="0" w:firstRowFirstColumn="0" w:firstRowLastColumn="0" w:lastRowFirstColumn="0" w:lastRowLastColumn="0"/>
              <w:rPr>
                <w:rFonts w:eastAsia="Times New Roman"/>
                <w:b w:val="0"/>
                <w:bCs/>
                <w:color w:val="FFFFFF" w:themeColor="background1"/>
                <w:sz w:val="18"/>
                <w:szCs w:val="18"/>
                <w:lang w:eastAsia="en-AU"/>
              </w:rPr>
            </w:pPr>
            <w:r w:rsidRPr="00040060">
              <w:rPr>
                <w:rFonts w:eastAsia="Times New Roman"/>
                <w:bCs/>
                <w:color w:val="FFFFFF" w:themeColor="background1"/>
                <w:sz w:val="18"/>
                <w:szCs w:val="18"/>
                <w:lang w:eastAsia="en-AU"/>
              </w:rPr>
              <w:t>Response frame</w:t>
            </w:r>
          </w:p>
        </w:tc>
      </w:tr>
      <w:tr w:rsidR="00040060" w:rsidRPr="00CF3E3D" w14:paraId="55B06FBA"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C6ADDE6" w14:textId="0FCA8386" w:rsidR="00040060" w:rsidRPr="00CF3E3D" w:rsidRDefault="00040060" w:rsidP="007007AC">
            <w:pPr>
              <w:spacing w:before="0"/>
              <w:rPr>
                <w:rFonts w:eastAsia="Times New Roman"/>
                <w:b/>
                <w:bCs/>
                <w:sz w:val="18"/>
                <w:szCs w:val="18"/>
                <w:lang w:eastAsia="en-AU"/>
              </w:rPr>
            </w:pPr>
            <w:r w:rsidRPr="00CF3E3D">
              <w:rPr>
                <w:rFonts w:eastAsia="Times New Roman"/>
                <w:b/>
                <w:bCs/>
                <w:sz w:val="18"/>
                <w:szCs w:val="18"/>
                <w:lang w:eastAsia="en-AU"/>
              </w:rPr>
              <w:t> </w:t>
            </w:r>
            <w:r w:rsidR="008C4B0A">
              <w:rPr>
                <w:rFonts w:eastAsia="Times New Roman"/>
                <w:b/>
                <w:bCs/>
                <w:sz w:val="18"/>
                <w:szCs w:val="18"/>
                <w:lang w:eastAsia="en-AU"/>
              </w:rPr>
              <w:t>-</w:t>
            </w:r>
          </w:p>
        </w:tc>
        <w:tc>
          <w:tcPr>
            <w:tcW w:w="6060" w:type="dxa"/>
            <w:hideMark/>
          </w:tcPr>
          <w:p w14:paraId="6ACF8DBB"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n-AU"/>
              </w:rPr>
            </w:pPr>
            <w:r w:rsidRPr="00CF3E3D">
              <w:rPr>
                <w:rFonts w:eastAsia="Times New Roman"/>
                <w:b/>
                <w:bCs/>
                <w:sz w:val="18"/>
                <w:szCs w:val="18"/>
                <w:lang w:eastAsia="en-AU"/>
              </w:rPr>
              <w:t>Module A: Screening and confirmation</w:t>
            </w:r>
          </w:p>
        </w:tc>
        <w:tc>
          <w:tcPr>
            <w:tcW w:w="3118" w:type="dxa"/>
            <w:hideMark/>
          </w:tcPr>
          <w:p w14:paraId="377D1C38" w14:textId="7CF849F2"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w:t>
            </w:r>
            <w:r w:rsidR="008C4B0A">
              <w:rPr>
                <w:rFonts w:eastAsia="Times New Roman"/>
                <w:sz w:val="18"/>
                <w:szCs w:val="18"/>
                <w:lang w:eastAsia="en-AU"/>
              </w:rPr>
              <w:t>-</w:t>
            </w:r>
          </w:p>
        </w:tc>
      </w:tr>
      <w:tr w:rsidR="00040060" w:rsidRPr="00CF3E3D" w14:paraId="3FF5093F"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CBB152C" w14:textId="6724770E" w:rsidR="00040060" w:rsidRPr="00CF3E3D" w:rsidRDefault="00040060" w:rsidP="007007AC">
            <w:pPr>
              <w:spacing w:before="0"/>
              <w:rPr>
                <w:rFonts w:eastAsia="Times New Roman"/>
                <w:b/>
                <w:bCs/>
                <w:sz w:val="18"/>
                <w:szCs w:val="18"/>
                <w:lang w:eastAsia="en-AU"/>
              </w:rPr>
            </w:pPr>
            <w:r w:rsidRPr="00CF3E3D">
              <w:rPr>
                <w:rFonts w:eastAsia="Times New Roman"/>
                <w:b/>
                <w:bCs/>
                <w:sz w:val="18"/>
                <w:szCs w:val="18"/>
                <w:lang w:eastAsia="en-AU"/>
              </w:rPr>
              <w:t> </w:t>
            </w:r>
            <w:r w:rsidR="008C4B0A">
              <w:rPr>
                <w:rFonts w:eastAsia="Times New Roman"/>
                <w:b/>
                <w:bCs/>
                <w:sz w:val="18"/>
                <w:szCs w:val="18"/>
                <w:lang w:eastAsia="en-AU"/>
              </w:rPr>
              <w:t>-</w:t>
            </w:r>
          </w:p>
        </w:tc>
        <w:tc>
          <w:tcPr>
            <w:tcW w:w="6060" w:type="dxa"/>
            <w:hideMark/>
          </w:tcPr>
          <w:p w14:paraId="60283AAF"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b/>
                <w:bCs/>
                <w:sz w:val="18"/>
                <w:szCs w:val="18"/>
                <w:lang w:eastAsia="en-AU"/>
              </w:rPr>
            </w:pPr>
            <w:r w:rsidRPr="00CF3E3D">
              <w:rPr>
                <w:rFonts w:eastAsia="Times New Roman"/>
                <w:b/>
                <w:bCs/>
                <w:sz w:val="18"/>
                <w:szCs w:val="18"/>
                <w:lang w:eastAsia="en-AU"/>
              </w:rPr>
              <w:t>Module B: Labour Force</w:t>
            </w:r>
          </w:p>
        </w:tc>
        <w:tc>
          <w:tcPr>
            <w:tcW w:w="3118" w:type="dxa"/>
            <w:hideMark/>
          </w:tcPr>
          <w:p w14:paraId="0260359A" w14:textId="5C39BE66"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w:t>
            </w:r>
            <w:r w:rsidR="008C4B0A">
              <w:rPr>
                <w:rFonts w:eastAsia="Times New Roman"/>
                <w:sz w:val="18"/>
                <w:szCs w:val="18"/>
                <w:lang w:eastAsia="en-AU"/>
              </w:rPr>
              <w:t>-</w:t>
            </w:r>
          </w:p>
        </w:tc>
      </w:tr>
      <w:tr w:rsidR="00040060" w:rsidRPr="00CF3E3D" w14:paraId="589DE05C"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670877D"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PREWORKED</w:t>
            </w:r>
          </w:p>
        </w:tc>
        <w:tc>
          <w:tcPr>
            <w:tcW w:w="6060" w:type="dxa"/>
            <w:hideMark/>
          </w:tcPr>
          <w:p w14:paraId="160A8979"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Next we would like to understand what you are currently doing in terms of work and study. A number of questions may seem similar, however these items are based on the Australian Bureau of Statistics (ABS) Labour Force Survey. Using the ABS approach means the information you provide is more robust and able to be compared to national employment statistics. </w:t>
            </w:r>
            <w:r w:rsidRPr="00CF3E3D">
              <w:rPr>
                <w:rFonts w:eastAsia="Times New Roman"/>
                <w:sz w:val="18"/>
                <w:szCs w:val="18"/>
                <w:lang w:eastAsia="en-AU"/>
              </w:rPr>
              <w:br/>
            </w:r>
            <w:r w:rsidRPr="00CF3E3D">
              <w:rPr>
                <w:rFonts w:eastAsia="Times New Roman"/>
                <w:sz w:val="18"/>
                <w:szCs w:val="18"/>
                <w:lang w:eastAsia="en-AU"/>
              </w:rPr>
              <w:br/>
              <w:t>We understand many people have experienced disruptions to their employment due to COVID-19. The Australian Government is still interested in understanding current employment situations.</w:t>
            </w:r>
          </w:p>
        </w:tc>
        <w:tc>
          <w:tcPr>
            <w:tcW w:w="3118" w:type="dxa"/>
            <w:hideMark/>
          </w:tcPr>
          <w:p w14:paraId="2D48B03D" w14:textId="2E4A4811" w:rsidR="00040060" w:rsidRPr="00CF3E3D" w:rsidRDefault="008C4B0A"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w:t>
            </w:r>
          </w:p>
        </w:tc>
      </w:tr>
      <w:tr w:rsidR="00040060" w:rsidRPr="00CF3E3D" w14:paraId="0DAC7F8B"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BB51F36"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WORKED</w:t>
            </w:r>
          </w:p>
        </w:tc>
        <w:tc>
          <w:tcPr>
            <w:tcW w:w="6060" w:type="dxa"/>
            <w:hideMark/>
          </w:tcPr>
          <w:p w14:paraId="2E7B22C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Thinking about last week, the week starting &lt;</w:t>
            </w:r>
            <w:proofErr w:type="spellStart"/>
            <w:r w:rsidRPr="00CF3E3D">
              <w:rPr>
                <w:rFonts w:eastAsia="Times New Roman"/>
                <w:sz w:val="18"/>
                <w:szCs w:val="18"/>
                <w:lang w:eastAsia="en-AU"/>
              </w:rPr>
              <w:t>daystart</w:t>
            </w:r>
            <w:proofErr w:type="spellEnd"/>
            <w:r w:rsidRPr="00CF3E3D">
              <w:rPr>
                <w:rFonts w:eastAsia="Times New Roman"/>
                <w:sz w:val="18"/>
                <w:szCs w:val="18"/>
                <w:lang w:eastAsia="en-AU"/>
              </w:rPr>
              <w:t>&gt;, &lt;</w:t>
            </w:r>
            <w:proofErr w:type="spellStart"/>
            <w:r w:rsidRPr="00CF3E3D">
              <w:rPr>
                <w:rFonts w:eastAsia="Times New Roman"/>
                <w:sz w:val="18"/>
                <w:szCs w:val="18"/>
                <w:lang w:eastAsia="en-AU"/>
              </w:rPr>
              <w:t>datestart</w:t>
            </w:r>
            <w:proofErr w:type="spellEnd"/>
            <w:r w:rsidRPr="00CF3E3D">
              <w:rPr>
                <w:rFonts w:eastAsia="Times New Roman"/>
                <w:sz w:val="18"/>
                <w:szCs w:val="18"/>
                <w:lang w:eastAsia="en-AU"/>
              </w:rPr>
              <w:t>&gt; and ending last &lt;</w:t>
            </w:r>
            <w:proofErr w:type="spellStart"/>
            <w:r w:rsidRPr="00CF3E3D">
              <w:rPr>
                <w:rFonts w:eastAsia="Times New Roman"/>
                <w:sz w:val="18"/>
                <w:szCs w:val="18"/>
                <w:lang w:eastAsia="en-AU"/>
              </w:rPr>
              <w:t>dayend</w:t>
            </w:r>
            <w:proofErr w:type="spellEnd"/>
            <w:r w:rsidRPr="00CF3E3D">
              <w:rPr>
                <w:rFonts w:eastAsia="Times New Roman"/>
                <w:sz w:val="18"/>
                <w:szCs w:val="18"/>
                <w:lang w:eastAsia="en-AU"/>
              </w:rPr>
              <w:t>&gt;, &lt;</w:t>
            </w:r>
            <w:proofErr w:type="spellStart"/>
            <w:r w:rsidRPr="00CF3E3D">
              <w:rPr>
                <w:rFonts w:eastAsia="Times New Roman"/>
                <w:sz w:val="18"/>
                <w:szCs w:val="18"/>
                <w:lang w:eastAsia="en-AU"/>
              </w:rPr>
              <w:t>dateend</w:t>
            </w:r>
            <w:proofErr w:type="spellEnd"/>
            <w:r w:rsidRPr="00CF3E3D">
              <w:rPr>
                <w:rFonts w:eastAsia="Times New Roman"/>
                <w:sz w:val="18"/>
                <w:szCs w:val="18"/>
                <w:lang w:eastAsia="en-AU"/>
              </w:rPr>
              <w:t>&gt;.</w:t>
            </w:r>
            <w:r w:rsidRPr="00CF3E3D">
              <w:rPr>
                <w:rFonts w:eastAsia="Times New Roman"/>
                <w:sz w:val="18"/>
                <w:szCs w:val="18"/>
                <w:lang w:eastAsia="en-AU"/>
              </w:rPr>
              <w:br/>
              <w:t>Last week, did you do any work at all in a job, business or farm?</w:t>
            </w:r>
          </w:p>
        </w:tc>
        <w:tc>
          <w:tcPr>
            <w:tcW w:w="3118" w:type="dxa"/>
            <w:hideMark/>
          </w:tcPr>
          <w:p w14:paraId="44F1DCB2"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5. No</w:t>
            </w:r>
            <w:r w:rsidRPr="00CF3E3D">
              <w:rPr>
                <w:rFonts w:eastAsia="Times New Roman"/>
                <w:sz w:val="18"/>
                <w:szCs w:val="18"/>
                <w:lang w:eastAsia="en-AU"/>
              </w:rPr>
              <w:br/>
              <w:t>6. Permanently unable to work</w:t>
            </w:r>
            <w:r w:rsidRPr="00CF3E3D">
              <w:rPr>
                <w:rFonts w:eastAsia="Times New Roman"/>
                <w:sz w:val="18"/>
                <w:szCs w:val="18"/>
                <w:lang w:eastAsia="en-AU"/>
              </w:rPr>
              <w:br/>
              <w:t xml:space="preserve">7. Permanently not intending to work *(DISPLAY IF AGE&gt;64) </w:t>
            </w:r>
          </w:p>
        </w:tc>
      </w:tr>
      <w:tr w:rsidR="00040060" w:rsidRPr="00CF3E3D" w14:paraId="56221338"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DA5BA0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WWOPAY</w:t>
            </w:r>
          </w:p>
        </w:tc>
        <w:tc>
          <w:tcPr>
            <w:tcW w:w="6060" w:type="dxa"/>
            <w:hideMark/>
          </w:tcPr>
          <w:p w14:paraId="49DEAA22"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Last week, did you do any work without pay in a family business?</w:t>
            </w:r>
          </w:p>
        </w:tc>
        <w:tc>
          <w:tcPr>
            <w:tcW w:w="3118" w:type="dxa"/>
            <w:hideMark/>
          </w:tcPr>
          <w:p w14:paraId="7E31C366" w14:textId="77777777" w:rsidR="00040060" w:rsidRPr="00CF3E3D" w:rsidRDefault="00040060" w:rsidP="007007AC">
            <w:pPr>
              <w:spacing w:before="0"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5. No</w:t>
            </w:r>
            <w:r w:rsidRPr="00CF3E3D">
              <w:rPr>
                <w:rFonts w:eastAsia="Times New Roman"/>
                <w:sz w:val="18"/>
                <w:szCs w:val="18"/>
                <w:lang w:eastAsia="en-AU"/>
              </w:rPr>
              <w:br/>
              <w:t>6. Permanently not intending to work *(DISPLAY IF AGE&gt;64)</w:t>
            </w:r>
          </w:p>
        </w:tc>
      </w:tr>
      <w:tr w:rsidR="00040060" w:rsidRPr="00CF3E3D" w14:paraId="08652095"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4482C3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AWAYWORK</w:t>
            </w:r>
          </w:p>
        </w:tc>
        <w:tc>
          <w:tcPr>
            <w:tcW w:w="6060" w:type="dxa"/>
            <w:hideMark/>
          </w:tcPr>
          <w:p w14:paraId="0FD58198"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Did you have a job, business or farm that you were away from because of holidays, sickness or any other reason?</w:t>
            </w:r>
            <w:r w:rsidRPr="00CF3E3D">
              <w:rPr>
                <w:rFonts w:eastAsia="Times New Roman"/>
                <w:sz w:val="18"/>
                <w:szCs w:val="18"/>
                <w:lang w:eastAsia="en-AU"/>
              </w:rPr>
              <w:br/>
            </w:r>
            <w:r w:rsidRPr="00CF3E3D">
              <w:rPr>
                <w:rFonts w:eastAsia="Times New Roman"/>
                <w:sz w:val="18"/>
                <w:szCs w:val="18"/>
                <w:lang w:eastAsia="en-AU"/>
              </w:rPr>
              <w:br/>
              <w:t>Please note, if you were stood down or away from your job due to the impact of COVID-19 select ‘Yes’</w:t>
            </w:r>
          </w:p>
        </w:tc>
        <w:tc>
          <w:tcPr>
            <w:tcW w:w="3118" w:type="dxa"/>
            <w:hideMark/>
          </w:tcPr>
          <w:p w14:paraId="0CD95381" w14:textId="77777777" w:rsidR="00040060" w:rsidRPr="00CF3E3D" w:rsidRDefault="00040060" w:rsidP="007007AC">
            <w:pPr>
              <w:spacing w:before="0" w:after="24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5. No</w:t>
            </w:r>
            <w:r w:rsidRPr="00CF3E3D">
              <w:rPr>
                <w:rFonts w:eastAsia="Times New Roman"/>
                <w:sz w:val="18"/>
                <w:szCs w:val="18"/>
                <w:lang w:eastAsia="en-AU"/>
              </w:rPr>
              <w:br/>
              <w:t>6. Permanently not intending to work *(DISPLAY IF AGE&gt;64)</w:t>
            </w:r>
          </w:p>
        </w:tc>
      </w:tr>
      <w:tr w:rsidR="00040060" w:rsidRPr="00CF3E3D" w14:paraId="55963A08"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A9FA7C2"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LOOKFTWK </w:t>
            </w:r>
          </w:p>
        </w:tc>
        <w:tc>
          <w:tcPr>
            <w:tcW w:w="6060" w:type="dxa"/>
            <w:hideMark/>
          </w:tcPr>
          <w:p w14:paraId="49F376B9"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At any time during the last 4 weeks have you been looking for full-time work?</w:t>
            </w:r>
          </w:p>
        </w:tc>
        <w:tc>
          <w:tcPr>
            <w:tcW w:w="3118" w:type="dxa"/>
            <w:hideMark/>
          </w:tcPr>
          <w:p w14:paraId="1C1E685B" w14:textId="77777777" w:rsidR="00040060" w:rsidRPr="00CF3E3D" w:rsidRDefault="00040060" w:rsidP="007007AC">
            <w:pPr>
              <w:spacing w:before="0"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5. No</w:t>
            </w:r>
            <w:r w:rsidRPr="00CF3E3D">
              <w:rPr>
                <w:rFonts w:eastAsia="Times New Roman"/>
                <w:sz w:val="18"/>
                <w:szCs w:val="18"/>
                <w:lang w:eastAsia="en-AU"/>
              </w:rPr>
              <w:br/>
              <w:t>6. Permanently not intending to work *(DISPLAY IF AGE&gt;64)</w:t>
            </w:r>
          </w:p>
        </w:tc>
      </w:tr>
      <w:tr w:rsidR="00040060" w:rsidRPr="00CF3E3D" w14:paraId="54611BF7"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F3D2FFA"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LOOKPTWK </w:t>
            </w:r>
          </w:p>
        </w:tc>
        <w:tc>
          <w:tcPr>
            <w:tcW w:w="6060" w:type="dxa"/>
            <w:hideMark/>
          </w:tcPr>
          <w:p w14:paraId="69667950"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Have you been looking for part-time work at any time during the last 4 weeks?</w:t>
            </w:r>
          </w:p>
        </w:tc>
        <w:tc>
          <w:tcPr>
            <w:tcW w:w="3118" w:type="dxa"/>
            <w:hideMark/>
          </w:tcPr>
          <w:p w14:paraId="1B48D6B2" w14:textId="77777777" w:rsidR="00040060" w:rsidRPr="00CF3E3D" w:rsidRDefault="00040060" w:rsidP="007007AC">
            <w:pPr>
              <w:spacing w:before="0" w:after="24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5. No</w:t>
            </w:r>
            <w:r w:rsidRPr="00CF3E3D">
              <w:rPr>
                <w:rFonts w:eastAsia="Times New Roman"/>
                <w:sz w:val="18"/>
                <w:szCs w:val="18"/>
                <w:lang w:eastAsia="en-AU"/>
              </w:rPr>
              <w:br/>
              <w:t>6. Permanently not intending to work *(DISPLAY IF AGE&gt;64)</w:t>
            </w:r>
          </w:p>
        </w:tc>
      </w:tr>
      <w:tr w:rsidR="00040060" w:rsidRPr="00CF3E3D" w14:paraId="0D060077"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noWrap/>
            <w:hideMark/>
          </w:tcPr>
          <w:p w14:paraId="2C7AC08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BEGNLOOK</w:t>
            </w:r>
          </w:p>
        </w:tc>
        <w:tc>
          <w:tcPr>
            <w:tcW w:w="6060" w:type="dxa"/>
            <w:hideMark/>
          </w:tcPr>
          <w:p w14:paraId="7C37CC4F"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When did you begin looking for work?</w:t>
            </w:r>
          </w:p>
        </w:tc>
        <w:tc>
          <w:tcPr>
            <w:tcW w:w="3118" w:type="dxa"/>
            <w:hideMark/>
          </w:tcPr>
          <w:p w14:paraId="03A5DC6D" w14:textId="77777777" w:rsidR="00040060" w:rsidRPr="00CF3E3D" w:rsidRDefault="00040060" w:rsidP="007007AC">
            <w:pPr>
              <w:spacing w:before="0"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1. Enter </w:t>
            </w:r>
            <w:r w:rsidRPr="00CF3E3D">
              <w:rPr>
                <w:rFonts w:eastAsia="Times New Roman"/>
                <w:b/>
                <w:bCs/>
                <w:sz w:val="18"/>
                <w:szCs w:val="18"/>
                <w:lang w:eastAsia="en-AU"/>
              </w:rPr>
              <w:t>month</w:t>
            </w:r>
            <w:r w:rsidRPr="00CF3E3D">
              <w:rPr>
                <w:rFonts w:eastAsia="Times New Roman"/>
                <w:sz w:val="18"/>
                <w:szCs w:val="18"/>
                <w:lang w:eastAsia="en-AU"/>
              </w:rPr>
              <w:t xml:space="preserve"> &lt;dropdown list&gt;</w:t>
            </w:r>
            <w:r w:rsidRPr="00CF3E3D">
              <w:rPr>
                <w:rFonts w:eastAsia="Times New Roman"/>
                <w:sz w:val="18"/>
                <w:szCs w:val="18"/>
                <w:lang w:eastAsia="en-AU"/>
              </w:rPr>
              <w:br/>
              <w:t xml:space="preserve">2. Enter </w:t>
            </w:r>
            <w:r w:rsidRPr="00CF3E3D">
              <w:rPr>
                <w:rFonts w:eastAsia="Times New Roman"/>
                <w:b/>
                <w:bCs/>
                <w:sz w:val="18"/>
                <w:szCs w:val="18"/>
                <w:lang w:eastAsia="en-AU"/>
              </w:rPr>
              <w:t>year</w:t>
            </w:r>
            <w:r w:rsidRPr="00CF3E3D">
              <w:rPr>
                <w:rFonts w:eastAsia="Times New Roman"/>
                <w:sz w:val="18"/>
                <w:szCs w:val="18"/>
                <w:lang w:eastAsia="en-AU"/>
              </w:rPr>
              <w:t xml:space="preserve"> (NUMERIC RANGE 1960 – 2020)</w:t>
            </w:r>
          </w:p>
        </w:tc>
      </w:tr>
      <w:tr w:rsidR="00040060" w:rsidRPr="00CF3E3D" w14:paraId="0B2BE84D"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A4C97EB"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STARTWK</w:t>
            </w:r>
          </w:p>
        </w:tc>
        <w:tc>
          <w:tcPr>
            <w:tcW w:w="6060" w:type="dxa"/>
            <w:hideMark/>
          </w:tcPr>
          <w:p w14:paraId="276CDF2D"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If you had found a job, could you have started last week?</w:t>
            </w:r>
          </w:p>
        </w:tc>
        <w:tc>
          <w:tcPr>
            <w:tcW w:w="3118" w:type="dxa"/>
            <w:hideMark/>
          </w:tcPr>
          <w:p w14:paraId="16BA7BCB"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5. No</w:t>
            </w:r>
          </w:p>
        </w:tc>
      </w:tr>
      <w:tr w:rsidR="00040060" w:rsidRPr="00CF3E3D" w14:paraId="1D555EA5"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E7B856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lastRenderedPageBreak/>
              <w:t>STARTWKFU</w:t>
            </w:r>
          </w:p>
        </w:tc>
        <w:tc>
          <w:tcPr>
            <w:tcW w:w="6060" w:type="dxa"/>
            <w:hideMark/>
          </w:tcPr>
          <w:p w14:paraId="53B87E94"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Why do you say you couldn't have started last week?</w:t>
            </w:r>
          </w:p>
        </w:tc>
        <w:tc>
          <w:tcPr>
            <w:tcW w:w="3118" w:type="dxa"/>
            <w:hideMark/>
          </w:tcPr>
          <w:p w14:paraId="67DCD146"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Because of the current situation with COVID-19</w:t>
            </w:r>
            <w:r w:rsidRPr="00CF3E3D">
              <w:rPr>
                <w:rFonts w:eastAsia="Times New Roman"/>
                <w:sz w:val="18"/>
                <w:szCs w:val="18"/>
                <w:lang w:eastAsia="en-AU"/>
              </w:rPr>
              <w:br/>
              <w:t>5. Some other reason</w:t>
            </w:r>
          </w:p>
        </w:tc>
      </w:tr>
      <w:tr w:rsidR="00040060" w:rsidRPr="00CF3E3D" w14:paraId="21B3CFCA"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F1CAF3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WAITWORK</w:t>
            </w:r>
          </w:p>
        </w:tc>
        <w:tc>
          <w:tcPr>
            <w:tcW w:w="6060" w:type="dxa"/>
            <w:hideMark/>
          </w:tcPr>
          <w:p w14:paraId="3A7AB190"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You mentioned that you didn’t look for work during the last 4 weeks. Was that because you were waiting to start </w:t>
            </w:r>
            <w:r w:rsidRPr="00CF3E3D">
              <w:rPr>
                <w:rFonts w:eastAsia="Times New Roman"/>
                <w:b/>
                <w:bCs/>
                <w:sz w:val="18"/>
                <w:szCs w:val="18"/>
                <w:lang w:eastAsia="en-AU"/>
              </w:rPr>
              <w:t>work you had already obtained</w:t>
            </w:r>
            <w:r w:rsidRPr="00CF3E3D">
              <w:rPr>
                <w:rFonts w:eastAsia="Times New Roman"/>
                <w:sz w:val="18"/>
                <w:szCs w:val="18"/>
                <w:lang w:eastAsia="en-AU"/>
              </w:rPr>
              <w:t xml:space="preserve">? </w:t>
            </w:r>
          </w:p>
        </w:tc>
        <w:tc>
          <w:tcPr>
            <w:tcW w:w="3118" w:type="dxa"/>
            <w:hideMark/>
          </w:tcPr>
          <w:p w14:paraId="0FFAC06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5. No</w:t>
            </w:r>
          </w:p>
        </w:tc>
      </w:tr>
      <w:tr w:rsidR="00040060" w:rsidRPr="00CF3E3D" w14:paraId="31642790"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A373DD8"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MORE1JOB</w:t>
            </w:r>
          </w:p>
        </w:tc>
        <w:tc>
          <w:tcPr>
            <w:tcW w:w="6060" w:type="dxa"/>
            <w:hideMark/>
          </w:tcPr>
          <w:p w14:paraId="044C498F"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Did you have </w:t>
            </w:r>
            <w:r w:rsidRPr="00CF3E3D">
              <w:rPr>
                <w:rFonts w:eastAsia="Times New Roman"/>
                <w:b/>
                <w:bCs/>
                <w:sz w:val="18"/>
                <w:szCs w:val="18"/>
                <w:lang w:eastAsia="en-AU"/>
              </w:rPr>
              <w:t>more than 1 job</w:t>
            </w:r>
            <w:r w:rsidRPr="00CF3E3D">
              <w:rPr>
                <w:rFonts w:eastAsia="Times New Roman"/>
                <w:sz w:val="18"/>
                <w:szCs w:val="18"/>
                <w:lang w:eastAsia="en-AU"/>
              </w:rPr>
              <w:t xml:space="preserve"> </w:t>
            </w:r>
            <w:r w:rsidRPr="00CF3E3D">
              <w:rPr>
                <w:rFonts w:eastAsia="Times New Roman"/>
                <w:b/>
                <w:bCs/>
                <w:sz w:val="18"/>
                <w:szCs w:val="18"/>
                <w:lang w:eastAsia="en-AU"/>
              </w:rPr>
              <w:t>or business last week</w:t>
            </w:r>
            <w:r w:rsidRPr="00CF3E3D">
              <w:rPr>
                <w:rFonts w:eastAsia="Times New Roman"/>
                <w:sz w:val="18"/>
                <w:szCs w:val="18"/>
                <w:lang w:eastAsia="en-AU"/>
              </w:rPr>
              <w:t xml:space="preserve">? </w:t>
            </w:r>
          </w:p>
        </w:tc>
        <w:tc>
          <w:tcPr>
            <w:tcW w:w="3118" w:type="dxa"/>
            <w:hideMark/>
          </w:tcPr>
          <w:p w14:paraId="7DAEAE5D"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5. No</w:t>
            </w:r>
          </w:p>
        </w:tc>
      </w:tr>
      <w:tr w:rsidR="00040060" w:rsidRPr="00CF3E3D" w14:paraId="3FB1C7FF"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A4E89DD" w14:textId="77777777" w:rsidR="00040060" w:rsidRPr="00CF3E3D" w:rsidRDefault="00040060" w:rsidP="007007AC">
            <w:pPr>
              <w:spacing w:before="0"/>
              <w:rPr>
                <w:rFonts w:eastAsia="Times New Roman"/>
                <w:sz w:val="18"/>
                <w:szCs w:val="18"/>
                <w:lang w:eastAsia="en-AU"/>
              </w:rPr>
            </w:pPr>
            <w:proofErr w:type="spellStart"/>
            <w:r w:rsidRPr="00CF3E3D">
              <w:rPr>
                <w:rFonts w:eastAsia="Times New Roman"/>
                <w:sz w:val="18"/>
                <w:szCs w:val="18"/>
                <w:lang w:eastAsia="en-AU"/>
              </w:rPr>
              <w:t>INTROSELFEMPii</w:t>
            </w:r>
            <w:proofErr w:type="spellEnd"/>
          </w:p>
        </w:tc>
        <w:tc>
          <w:tcPr>
            <w:tcW w:w="6060" w:type="dxa"/>
            <w:hideMark/>
          </w:tcPr>
          <w:p w14:paraId="620BD938"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The next few questions are about the job or business in which you usually work the most hours, that is, your main job. </w:t>
            </w:r>
          </w:p>
        </w:tc>
        <w:tc>
          <w:tcPr>
            <w:tcW w:w="3118" w:type="dxa"/>
            <w:hideMark/>
          </w:tcPr>
          <w:p w14:paraId="7B9935CC" w14:textId="72BB7510" w:rsidR="00040060" w:rsidRPr="00CF3E3D" w:rsidRDefault="008C4B0A"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Pr>
                <w:rFonts w:eastAsia="Times New Roman"/>
                <w:sz w:val="18"/>
                <w:szCs w:val="18"/>
                <w:lang w:eastAsia="en-AU"/>
              </w:rPr>
              <w:t>-</w:t>
            </w:r>
          </w:p>
        </w:tc>
      </w:tr>
      <w:tr w:rsidR="00040060" w:rsidRPr="00CF3E3D" w14:paraId="55A7FA4A"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2526944" w14:textId="77777777" w:rsidR="00040060" w:rsidRPr="00CF3E3D" w:rsidRDefault="00040060" w:rsidP="007007AC">
            <w:pPr>
              <w:spacing w:before="0"/>
              <w:rPr>
                <w:rFonts w:eastAsia="Times New Roman"/>
                <w:sz w:val="18"/>
                <w:szCs w:val="18"/>
                <w:lang w:eastAsia="en-AU"/>
              </w:rPr>
            </w:pPr>
            <w:proofErr w:type="spellStart"/>
            <w:r w:rsidRPr="00CF3E3D">
              <w:rPr>
                <w:rFonts w:eastAsia="Times New Roman"/>
                <w:sz w:val="18"/>
                <w:szCs w:val="18"/>
                <w:lang w:eastAsia="en-AU"/>
              </w:rPr>
              <w:t>INTROSELFEMPiii</w:t>
            </w:r>
            <w:proofErr w:type="spellEnd"/>
          </w:p>
        </w:tc>
        <w:tc>
          <w:tcPr>
            <w:tcW w:w="6060" w:type="dxa"/>
            <w:hideMark/>
          </w:tcPr>
          <w:p w14:paraId="4E9D1132"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The next few questions are about the job or business in which you usually work the most hours, that is, your </w:t>
            </w:r>
            <w:r w:rsidRPr="00CF3E3D">
              <w:rPr>
                <w:rFonts w:eastAsia="Times New Roman"/>
                <w:b/>
                <w:bCs/>
                <w:sz w:val="18"/>
                <w:szCs w:val="18"/>
                <w:lang w:eastAsia="en-AU"/>
              </w:rPr>
              <w:t>main job</w:t>
            </w:r>
            <w:r w:rsidRPr="00CF3E3D">
              <w:rPr>
                <w:rFonts w:eastAsia="Times New Roman"/>
                <w:sz w:val="18"/>
                <w:szCs w:val="18"/>
                <w:lang w:eastAsia="en-AU"/>
              </w:rPr>
              <w:t xml:space="preserve">. </w:t>
            </w:r>
          </w:p>
        </w:tc>
        <w:tc>
          <w:tcPr>
            <w:tcW w:w="3118" w:type="dxa"/>
            <w:hideMark/>
          </w:tcPr>
          <w:p w14:paraId="7AA98D8B" w14:textId="1C86CC31" w:rsidR="00040060" w:rsidRPr="00CF3E3D" w:rsidRDefault="008C4B0A"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w:t>
            </w:r>
          </w:p>
        </w:tc>
      </w:tr>
      <w:tr w:rsidR="00040060" w:rsidRPr="00CF3E3D" w14:paraId="4F309E44"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839DF32"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SELFEMP</w:t>
            </w:r>
          </w:p>
        </w:tc>
        <w:tc>
          <w:tcPr>
            <w:tcW w:w="6060" w:type="dxa"/>
            <w:hideMark/>
          </w:tcPr>
          <w:p w14:paraId="4F3453B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Did you work for an employer, or in your own business?</w:t>
            </w:r>
          </w:p>
        </w:tc>
        <w:tc>
          <w:tcPr>
            <w:tcW w:w="3118" w:type="dxa"/>
            <w:hideMark/>
          </w:tcPr>
          <w:p w14:paraId="257D3395"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1. Employer </w:t>
            </w:r>
            <w:r w:rsidRPr="00CF3E3D">
              <w:rPr>
                <w:rFonts w:eastAsia="Times New Roman"/>
                <w:sz w:val="18"/>
                <w:szCs w:val="18"/>
                <w:lang w:eastAsia="en-AU"/>
              </w:rPr>
              <w:br/>
              <w:t>2. Own business (go to ACTLHRSM)</w:t>
            </w:r>
            <w:r w:rsidRPr="00CF3E3D">
              <w:rPr>
                <w:rFonts w:eastAsia="Times New Roman"/>
                <w:sz w:val="18"/>
                <w:szCs w:val="18"/>
                <w:lang w:eastAsia="en-AU"/>
              </w:rPr>
              <w:br/>
              <w:t>3. Other or uncertain</w:t>
            </w:r>
          </w:p>
        </w:tc>
      </w:tr>
      <w:tr w:rsidR="00040060" w:rsidRPr="00CF3E3D" w14:paraId="6288EC5C"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73466F4"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PAYMENT</w:t>
            </w:r>
          </w:p>
        </w:tc>
        <w:tc>
          <w:tcPr>
            <w:tcW w:w="6060" w:type="dxa"/>
            <w:hideMark/>
          </w:tcPr>
          <w:p w14:paraId="505E66B9"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Are you paid a wage or salary, or some other form of payment?</w:t>
            </w:r>
          </w:p>
        </w:tc>
        <w:tc>
          <w:tcPr>
            <w:tcW w:w="3118" w:type="dxa"/>
            <w:hideMark/>
          </w:tcPr>
          <w:p w14:paraId="50979701"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Wage or Salary</w:t>
            </w:r>
            <w:r w:rsidRPr="00CF3E3D">
              <w:rPr>
                <w:rFonts w:eastAsia="Times New Roman"/>
                <w:sz w:val="18"/>
                <w:szCs w:val="18"/>
                <w:lang w:eastAsia="en-AU"/>
              </w:rPr>
              <w:br/>
              <w:t>5. Other or Uncertain</w:t>
            </w:r>
          </w:p>
        </w:tc>
      </w:tr>
      <w:tr w:rsidR="00040060" w:rsidRPr="00CF3E3D" w14:paraId="70A1D7B9"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9E06DF3"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PAYARRNG</w:t>
            </w:r>
          </w:p>
        </w:tc>
        <w:tc>
          <w:tcPr>
            <w:tcW w:w="6060" w:type="dxa"/>
            <w:hideMark/>
          </w:tcPr>
          <w:p w14:paraId="71E6C5A9"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are your &lt;working/payment&gt; arrangements?</w:t>
            </w:r>
          </w:p>
        </w:tc>
        <w:tc>
          <w:tcPr>
            <w:tcW w:w="3118" w:type="dxa"/>
            <w:hideMark/>
          </w:tcPr>
          <w:p w14:paraId="3D39E20D"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10. Unpaid voluntary work *(GO TO MODULE C)</w:t>
            </w:r>
            <w:r w:rsidRPr="00CF3E3D">
              <w:rPr>
                <w:rFonts w:eastAsia="Times New Roman"/>
                <w:sz w:val="18"/>
                <w:szCs w:val="18"/>
                <w:lang w:eastAsia="en-AU"/>
              </w:rPr>
              <w:br/>
              <w:t xml:space="preserve">11. Unpaid trainee or work placement *(GO TO MODULE C) </w:t>
            </w:r>
            <w:r w:rsidRPr="00CF3E3D">
              <w:rPr>
                <w:rFonts w:eastAsia="Times New Roman"/>
                <w:sz w:val="18"/>
                <w:szCs w:val="18"/>
                <w:lang w:eastAsia="en-AU"/>
              </w:rPr>
              <w:br/>
              <w:t>12. Contractor or Subcontractor</w:t>
            </w:r>
            <w:r w:rsidRPr="00CF3E3D">
              <w:rPr>
                <w:rFonts w:eastAsia="Times New Roman"/>
                <w:sz w:val="18"/>
                <w:szCs w:val="18"/>
                <w:lang w:eastAsia="en-AU"/>
              </w:rPr>
              <w:br/>
              <w:t xml:space="preserve">13. Own business or Partnership </w:t>
            </w:r>
            <w:r w:rsidRPr="00CF3E3D">
              <w:rPr>
                <w:rFonts w:eastAsia="Times New Roman"/>
                <w:sz w:val="18"/>
                <w:szCs w:val="18"/>
                <w:lang w:eastAsia="en-AU"/>
              </w:rPr>
              <w:br/>
              <w:t>14. Commission only</w:t>
            </w:r>
            <w:r w:rsidRPr="00CF3E3D">
              <w:rPr>
                <w:rFonts w:eastAsia="Times New Roman"/>
                <w:sz w:val="18"/>
                <w:szCs w:val="18"/>
                <w:lang w:eastAsia="en-AU"/>
              </w:rPr>
              <w:br/>
              <w:t>15. Commission with retainer</w:t>
            </w:r>
            <w:r w:rsidRPr="00CF3E3D">
              <w:rPr>
                <w:rFonts w:eastAsia="Times New Roman"/>
                <w:sz w:val="18"/>
                <w:szCs w:val="18"/>
                <w:lang w:eastAsia="en-AU"/>
              </w:rPr>
              <w:br/>
              <w:t>16. In a family business without pay *(GO TO MODULE C)</w:t>
            </w:r>
            <w:r w:rsidRPr="00CF3E3D">
              <w:rPr>
                <w:rFonts w:eastAsia="Times New Roman"/>
                <w:sz w:val="18"/>
                <w:szCs w:val="18"/>
                <w:lang w:eastAsia="en-AU"/>
              </w:rPr>
              <w:br/>
              <w:t>17. Payment in kind</w:t>
            </w:r>
            <w:r w:rsidRPr="00CF3E3D">
              <w:rPr>
                <w:rFonts w:eastAsia="Times New Roman"/>
                <w:sz w:val="18"/>
                <w:szCs w:val="18"/>
                <w:lang w:eastAsia="en-AU"/>
              </w:rPr>
              <w:br/>
              <w:t>18. Paid by the piece or item produced</w:t>
            </w:r>
            <w:r w:rsidRPr="00CF3E3D">
              <w:rPr>
                <w:rFonts w:eastAsia="Times New Roman"/>
                <w:sz w:val="18"/>
                <w:szCs w:val="18"/>
                <w:lang w:eastAsia="en-AU"/>
              </w:rPr>
              <w:br/>
              <w:t>19. Wage or salary earner</w:t>
            </w:r>
            <w:r w:rsidRPr="00CF3E3D">
              <w:rPr>
                <w:rFonts w:eastAsia="Times New Roman"/>
                <w:sz w:val="18"/>
                <w:szCs w:val="18"/>
                <w:lang w:eastAsia="en-AU"/>
              </w:rPr>
              <w:br/>
              <w:t>20. Other (Specify)</w:t>
            </w:r>
          </w:p>
        </w:tc>
      </w:tr>
      <w:tr w:rsidR="00040060" w:rsidRPr="00CF3E3D" w14:paraId="31DEE733"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BDDCD98"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ACTLHRSM</w:t>
            </w:r>
          </w:p>
        </w:tc>
        <w:tc>
          <w:tcPr>
            <w:tcW w:w="6060" w:type="dxa"/>
            <w:hideMark/>
          </w:tcPr>
          <w:p w14:paraId="5724FD95"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How many hours did you </w:t>
            </w:r>
            <w:r w:rsidRPr="00CF3E3D">
              <w:rPr>
                <w:rFonts w:eastAsia="Times New Roman"/>
                <w:b/>
                <w:bCs/>
                <w:sz w:val="18"/>
                <w:szCs w:val="18"/>
                <w:lang w:eastAsia="en-AU"/>
              </w:rPr>
              <w:t>actually</w:t>
            </w:r>
            <w:r w:rsidRPr="00CF3E3D">
              <w:rPr>
                <w:rFonts w:eastAsia="Times New Roman"/>
                <w:sz w:val="18"/>
                <w:szCs w:val="18"/>
                <w:lang w:eastAsia="en-AU"/>
              </w:rPr>
              <w:t xml:space="preserve"> work in your main job last week less </w:t>
            </w:r>
            <w:r w:rsidRPr="00CF3E3D">
              <w:rPr>
                <w:rFonts w:eastAsia="Times New Roman"/>
                <w:b/>
                <w:bCs/>
                <w:sz w:val="18"/>
                <w:szCs w:val="18"/>
                <w:lang w:eastAsia="en-AU"/>
              </w:rPr>
              <w:t>time off</w:t>
            </w:r>
            <w:r w:rsidRPr="00CF3E3D">
              <w:rPr>
                <w:rFonts w:eastAsia="Times New Roman"/>
                <w:sz w:val="18"/>
                <w:szCs w:val="18"/>
                <w:lang w:eastAsia="en-AU"/>
              </w:rPr>
              <w:t xml:space="preserve"> but counting any</w:t>
            </w:r>
            <w:r w:rsidRPr="00CF3E3D">
              <w:rPr>
                <w:rFonts w:eastAsia="Times New Roman"/>
                <w:b/>
                <w:bCs/>
                <w:sz w:val="18"/>
                <w:szCs w:val="18"/>
                <w:lang w:eastAsia="en-AU"/>
              </w:rPr>
              <w:t xml:space="preserve"> extra hours</w:t>
            </w:r>
            <w:r w:rsidRPr="00CF3E3D">
              <w:rPr>
                <w:rFonts w:eastAsia="Times New Roman"/>
                <w:sz w:val="18"/>
                <w:szCs w:val="18"/>
                <w:lang w:eastAsia="en-AU"/>
              </w:rPr>
              <w:t xml:space="preserve"> worked?</w:t>
            </w:r>
          </w:p>
        </w:tc>
        <w:tc>
          <w:tcPr>
            <w:tcW w:w="3118" w:type="dxa"/>
            <w:hideMark/>
          </w:tcPr>
          <w:p w14:paraId="41213444"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hours (NUMERIC, RANGE 0-168)</w:t>
            </w:r>
          </w:p>
        </w:tc>
      </w:tr>
      <w:tr w:rsidR="00040060" w:rsidRPr="00CF3E3D" w14:paraId="1E9C8905"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4F5868D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USLHRSM</w:t>
            </w:r>
          </w:p>
        </w:tc>
        <w:tc>
          <w:tcPr>
            <w:tcW w:w="6060" w:type="dxa"/>
            <w:hideMark/>
          </w:tcPr>
          <w:p w14:paraId="0DBAEDBB"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How many hours do you usually work each week in your </w:t>
            </w:r>
            <w:r w:rsidRPr="00CF3E3D">
              <w:rPr>
                <w:rFonts w:eastAsia="Times New Roman"/>
                <w:b/>
                <w:bCs/>
                <w:sz w:val="18"/>
                <w:szCs w:val="18"/>
                <w:lang w:eastAsia="en-AU"/>
              </w:rPr>
              <w:t>main job</w:t>
            </w:r>
            <w:r w:rsidRPr="00CF3E3D">
              <w:rPr>
                <w:rFonts w:eastAsia="Times New Roman"/>
                <w:sz w:val="18"/>
                <w:szCs w:val="18"/>
                <w:lang w:eastAsia="en-AU"/>
              </w:rPr>
              <w:t>?</w:t>
            </w:r>
          </w:p>
        </w:tc>
        <w:tc>
          <w:tcPr>
            <w:tcW w:w="3118" w:type="dxa"/>
            <w:hideMark/>
          </w:tcPr>
          <w:p w14:paraId="573EC871"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hours (NUMERIC, RANGE 0-168)</w:t>
            </w:r>
          </w:p>
        </w:tc>
      </w:tr>
      <w:tr w:rsidR="00040060" w:rsidRPr="00CF3E3D" w14:paraId="5449F986"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64142DB"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ACTLHRS</w:t>
            </w:r>
          </w:p>
        </w:tc>
        <w:tc>
          <w:tcPr>
            <w:tcW w:w="6060" w:type="dxa"/>
            <w:hideMark/>
          </w:tcPr>
          <w:p w14:paraId="40AEB4AF"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How many hours did you actually work last week less </w:t>
            </w:r>
            <w:r w:rsidRPr="00CF3E3D">
              <w:rPr>
                <w:rFonts w:eastAsia="Times New Roman"/>
                <w:b/>
                <w:bCs/>
                <w:sz w:val="18"/>
                <w:szCs w:val="18"/>
                <w:lang w:eastAsia="en-AU"/>
              </w:rPr>
              <w:t>time off</w:t>
            </w:r>
            <w:r w:rsidRPr="00CF3E3D">
              <w:rPr>
                <w:rFonts w:eastAsia="Times New Roman"/>
                <w:sz w:val="18"/>
                <w:szCs w:val="18"/>
                <w:lang w:eastAsia="en-AU"/>
              </w:rPr>
              <w:t xml:space="preserve"> but counting any </w:t>
            </w:r>
            <w:r w:rsidRPr="00CF3E3D">
              <w:rPr>
                <w:rFonts w:eastAsia="Times New Roman"/>
                <w:b/>
                <w:bCs/>
                <w:sz w:val="18"/>
                <w:szCs w:val="18"/>
                <w:lang w:eastAsia="en-AU"/>
              </w:rPr>
              <w:t>extra</w:t>
            </w:r>
            <w:r w:rsidRPr="00CF3E3D">
              <w:rPr>
                <w:rFonts w:eastAsia="Times New Roman"/>
                <w:sz w:val="18"/>
                <w:szCs w:val="18"/>
                <w:lang w:eastAsia="en-AU"/>
              </w:rPr>
              <w:t xml:space="preserve"> hours worked IF MORE1JOB=1:&lt;in all your jobs&gt;?</w:t>
            </w:r>
          </w:p>
        </w:tc>
        <w:tc>
          <w:tcPr>
            <w:tcW w:w="3118" w:type="dxa"/>
            <w:hideMark/>
          </w:tcPr>
          <w:p w14:paraId="0956716C"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hours (NUMERIC, RANGE 0 to 168)</w:t>
            </w:r>
          </w:p>
        </w:tc>
      </w:tr>
      <w:tr w:rsidR="00040060" w:rsidRPr="00CF3E3D" w14:paraId="763171B2"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4F679D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USLHRS</w:t>
            </w:r>
          </w:p>
        </w:tc>
        <w:tc>
          <w:tcPr>
            <w:tcW w:w="6060" w:type="dxa"/>
            <w:hideMark/>
          </w:tcPr>
          <w:p w14:paraId="6EAD5072"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How many hours do you </w:t>
            </w:r>
            <w:r w:rsidRPr="00CF3E3D">
              <w:rPr>
                <w:rFonts w:eastAsia="Times New Roman"/>
                <w:b/>
                <w:bCs/>
                <w:sz w:val="18"/>
                <w:szCs w:val="18"/>
                <w:lang w:eastAsia="en-AU"/>
              </w:rPr>
              <w:t>usually</w:t>
            </w:r>
            <w:r w:rsidRPr="00CF3E3D">
              <w:rPr>
                <w:rFonts w:eastAsia="Times New Roman"/>
                <w:sz w:val="18"/>
                <w:szCs w:val="18"/>
                <w:lang w:eastAsia="en-AU"/>
              </w:rPr>
              <w:t xml:space="preserve"> work each week IF MORE1JOB=1:&lt;in all your jobs&gt;?</w:t>
            </w:r>
          </w:p>
        </w:tc>
        <w:tc>
          <w:tcPr>
            <w:tcW w:w="3118" w:type="dxa"/>
            <w:hideMark/>
          </w:tcPr>
          <w:p w14:paraId="09F424B9"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hours (NUMERIC, RANGE 0-168)</w:t>
            </w:r>
          </w:p>
        </w:tc>
      </w:tr>
      <w:tr w:rsidR="00040060" w:rsidRPr="00CF3E3D" w14:paraId="0DC958B4"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1E3A51C"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PREFMHRS</w:t>
            </w:r>
          </w:p>
        </w:tc>
        <w:tc>
          <w:tcPr>
            <w:tcW w:w="6060" w:type="dxa"/>
            <w:hideMark/>
          </w:tcPr>
          <w:p w14:paraId="75420F4A"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Would you prefer to work more hours than you usually work *IF MORE1JOB=1: &lt;in all your jobs&gt;?</w:t>
            </w:r>
          </w:p>
        </w:tc>
        <w:tc>
          <w:tcPr>
            <w:tcW w:w="3118" w:type="dxa"/>
            <w:hideMark/>
          </w:tcPr>
          <w:p w14:paraId="02518E36"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 xml:space="preserve">5  No </w:t>
            </w:r>
            <w:r w:rsidRPr="00CF3E3D">
              <w:rPr>
                <w:rFonts w:eastAsia="Times New Roman"/>
                <w:sz w:val="18"/>
                <w:szCs w:val="18"/>
                <w:lang w:eastAsia="en-AU"/>
              </w:rPr>
              <w:br/>
              <w:t>6. Don’t know</w:t>
            </w:r>
          </w:p>
        </w:tc>
      </w:tr>
      <w:tr w:rsidR="00040060" w:rsidRPr="00CF3E3D" w14:paraId="2EE00CDC"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05CB5E2"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PREFHRS</w:t>
            </w:r>
          </w:p>
        </w:tc>
        <w:tc>
          <w:tcPr>
            <w:tcW w:w="6060" w:type="dxa"/>
            <w:hideMark/>
          </w:tcPr>
          <w:p w14:paraId="7FBA43F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How many hours a week would you like to work?</w:t>
            </w:r>
          </w:p>
        </w:tc>
        <w:tc>
          <w:tcPr>
            <w:tcW w:w="3118" w:type="dxa"/>
            <w:hideMark/>
          </w:tcPr>
          <w:p w14:paraId="27CE42A9"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hours (NUMERIC, RANGE 0-168, CAN’T BE LESS THAN USLHRS)</w:t>
            </w:r>
          </w:p>
        </w:tc>
      </w:tr>
      <w:tr w:rsidR="00040060" w:rsidRPr="00CF3E3D" w14:paraId="1D7558CC"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noWrap/>
            <w:hideMark/>
          </w:tcPr>
          <w:p w14:paraId="645A27FD"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AVLMHRS</w:t>
            </w:r>
          </w:p>
        </w:tc>
        <w:tc>
          <w:tcPr>
            <w:tcW w:w="6060" w:type="dxa"/>
            <w:hideMark/>
          </w:tcPr>
          <w:p w14:paraId="71BD0D78"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Last week, were you available to work more hours than you usually work?</w:t>
            </w:r>
          </w:p>
        </w:tc>
        <w:tc>
          <w:tcPr>
            <w:tcW w:w="3118" w:type="dxa"/>
            <w:hideMark/>
          </w:tcPr>
          <w:p w14:paraId="7CBA9865"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p>
        </w:tc>
      </w:tr>
      <w:tr w:rsidR="00040060" w:rsidRPr="00CF3E3D" w14:paraId="758A6886"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9DC588F"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RSNOMORE</w:t>
            </w:r>
          </w:p>
        </w:tc>
        <w:tc>
          <w:tcPr>
            <w:tcW w:w="6060" w:type="dxa"/>
            <w:hideMark/>
          </w:tcPr>
          <w:p w14:paraId="553E469B"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You mentioned that you are </w:t>
            </w:r>
            <w:r w:rsidRPr="00CF3E3D">
              <w:rPr>
                <w:rFonts w:eastAsia="Times New Roman"/>
                <w:b/>
                <w:bCs/>
                <w:sz w:val="18"/>
                <w:szCs w:val="18"/>
                <w:lang w:eastAsia="en-AU"/>
              </w:rPr>
              <w:t>not</w:t>
            </w:r>
            <w:r w:rsidRPr="00CF3E3D">
              <w:rPr>
                <w:rFonts w:eastAsia="Times New Roman"/>
                <w:sz w:val="18"/>
                <w:szCs w:val="18"/>
                <w:lang w:eastAsia="en-AU"/>
              </w:rPr>
              <w:t xml:space="preserve"> looking to work more hours.  What is the </w:t>
            </w:r>
            <w:r w:rsidRPr="00CF3E3D">
              <w:rPr>
                <w:rFonts w:eastAsia="Times New Roman"/>
                <w:b/>
                <w:bCs/>
                <w:sz w:val="18"/>
                <w:szCs w:val="18"/>
                <w:lang w:eastAsia="en-AU"/>
              </w:rPr>
              <w:t>main reason</w:t>
            </w:r>
            <w:r w:rsidRPr="00CF3E3D">
              <w:rPr>
                <w:rFonts w:eastAsia="Times New Roman"/>
                <w:sz w:val="18"/>
                <w:szCs w:val="18"/>
                <w:lang w:eastAsia="en-AU"/>
              </w:rPr>
              <w:t xml:space="preserve"> you work the number of hours you are currently working? </w:t>
            </w:r>
            <w:r w:rsidRPr="00CF3E3D">
              <w:rPr>
                <w:rFonts w:eastAsia="Times New Roman"/>
                <w:i/>
                <w:iCs/>
                <w:sz w:val="18"/>
                <w:szCs w:val="18"/>
                <w:lang w:eastAsia="en-AU"/>
              </w:rPr>
              <w:t>Please select only one answer.</w:t>
            </w:r>
          </w:p>
        </w:tc>
        <w:tc>
          <w:tcPr>
            <w:tcW w:w="3118" w:type="dxa"/>
            <w:hideMark/>
          </w:tcPr>
          <w:p w14:paraId="51278E49"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No suitable job in my local area</w:t>
            </w:r>
            <w:r w:rsidRPr="00CF3E3D">
              <w:rPr>
                <w:rFonts w:eastAsia="Times New Roman"/>
                <w:sz w:val="18"/>
                <w:szCs w:val="18"/>
                <w:lang w:eastAsia="en-AU"/>
              </w:rPr>
              <w:br/>
              <w:t>2. No job with a suitable number of hours</w:t>
            </w:r>
            <w:r w:rsidRPr="00CF3E3D">
              <w:rPr>
                <w:rFonts w:eastAsia="Times New Roman"/>
                <w:sz w:val="18"/>
                <w:szCs w:val="18"/>
                <w:lang w:eastAsia="en-AU"/>
              </w:rPr>
              <w:br/>
              <w:t>3. No suitable job in my area of expertise</w:t>
            </w:r>
            <w:r w:rsidRPr="00CF3E3D">
              <w:rPr>
                <w:rFonts w:eastAsia="Times New Roman"/>
                <w:sz w:val="18"/>
                <w:szCs w:val="18"/>
                <w:lang w:eastAsia="en-AU"/>
              </w:rPr>
              <w:br/>
              <w:t>7. Long-term health condition or disability</w:t>
            </w:r>
            <w:r w:rsidRPr="00CF3E3D">
              <w:rPr>
                <w:rFonts w:eastAsia="Times New Roman"/>
                <w:sz w:val="18"/>
                <w:szCs w:val="18"/>
                <w:lang w:eastAsia="en-AU"/>
              </w:rPr>
              <w:br/>
              <w:t>8. Caring for family member with a health condition or disability</w:t>
            </w:r>
            <w:r w:rsidRPr="00CF3E3D">
              <w:rPr>
                <w:rFonts w:eastAsia="Times New Roman"/>
                <w:sz w:val="18"/>
                <w:szCs w:val="18"/>
                <w:lang w:eastAsia="en-AU"/>
              </w:rPr>
              <w:br/>
              <w:t>9. Caring for children</w:t>
            </w:r>
            <w:r w:rsidRPr="00CF3E3D">
              <w:rPr>
                <w:rFonts w:eastAsia="Times New Roman"/>
                <w:sz w:val="18"/>
                <w:szCs w:val="18"/>
                <w:lang w:eastAsia="en-AU"/>
              </w:rPr>
              <w:br/>
            </w:r>
            <w:r w:rsidRPr="00CF3E3D">
              <w:rPr>
                <w:rFonts w:eastAsia="Times New Roman"/>
                <w:sz w:val="18"/>
                <w:szCs w:val="18"/>
                <w:lang w:eastAsia="en-AU"/>
              </w:rPr>
              <w:lastRenderedPageBreak/>
              <w:t>10. Studying</w:t>
            </w:r>
            <w:r w:rsidRPr="00CF3E3D">
              <w:rPr>
                <w:rFonts w:eastAsia="Times New Roman"/>
                <w:sz w:val="18"/>
                <w:szCs w:val="18"/>
                <w:lang w:eastAsia="en-AU"/>
              </w:rPr>
              <w:br/>
              <w:t>12. I’m satisfied with the number of hours I work</w:t>
            </w:r>
            <w:r w:rsidRPr="00CF3E3D">
              <w:rPr>
                <w:rFonts w:eastAsia="Times New Roman"/>
                <w:sz w:val="18"/>
                <w:szCs w:val="18"/>
                <w:lang w:eastAsia="en-AU"/>
              </w:rPr>
              <w:br/>
              <w:t>13. No more hours available in current position</w:t>
            </w:r>
            <w:r w:rsidRPr="00CF3E3D">
              <w:rPr>
                <w:rFonts w:eastAsia="Times New Roman"/>
                <w:sz w:val="18"/>
                <w:szCs w:val="18"/>
                <w:lang w:eastAsia="en-AU"/>
              </w:rPr>
              <w:br/>
              <w:t>14. Work has been reduced/shutdown due to COVID-19</w:t>
            </w:r>
            <w:r w:rsidRPr="00CF3E3D">
              <w:rPr>
                <w:rFonts w:eastAsia="Times New Roman"/>
                <w:sz w:val="18"/>
                <w:szCs w:val="18"/>
                <w:lang w:eastAsia="en-AU"/>
              </w:rPr>
              <w:br/>
              <w:t>15. Due to contract restrictions</w:t>
            </w:r>
            <w:r w:rsidRPr="00CF3E3D">
              <w:rPr>
                <w:rFonts w:eastAsia="Times New Roman"/>
                <w:sz w:val="18"/>
                <w:szCs w:val="18"/>
                <w:lang w:eastAsia="en-AU"/>
              </w:rPr>
              <w:br/>
              <w:t xml:space="preserve">16. Pursuing other interests/commitments in spare time </w:t>
            </w:r>
            <w:r w:rsidRPr="00CF3E3D">
              <w:rPr>
                <w:rFonts w:eastAsia="Times New Roman"/>
                <w:sz w:val="18"/>
                <w:szCs w:val="18"/>
                <w:lang w:eastAsia="en-AU"/>
              </w:rPr>
              <w:br/>
              <w:t>11. Other (Please specify)</w:t>
            </w:r>
          </w:p>
        </w:tc>
      </w:tr>
      <w:tr w:rsidR="00040060" w:rsidRPr="00CF3E3D" w14:paraId="5D541B11"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9D8CCFF"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lastRenderedPageBreak/>
              <w:t>RSMORE</w:t>
            </w:r>
          </w:p>
        </w:tc>
        <w:tc>
          <w:tcPr>
            <w:tcW w:w="6060" w:type="dxa"/>
            <w:hideMark/>
          </w:tcPr>
          <w:p w14:paraId="6D3D374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You mentioned that you are looking to work more hours.  What is the </w:t>
            </w:r>
            <w:r w:rsidRPr="00CF3E3D">
              <w:rPr>
                <w:rFonts w:eastAsia="Times New Roman"/>
                <w:b/>
                <w:bCs/>
                <w:sz w:val="18"/>
                <w:szCs w:val="18"/>
                <w:lang w:eastAsia="en-AU"/>
              </w:rPr>
              <w:t>main reason</w:t>
            </w:r>
            <w:r w:rsidRPr="00CF3E3D">
              <w:rPr>
                <w:rFonts w:eastAsia="Times New Roman"/>
                <w:sz w:val="18"/>
                <w:szCs w:val="18"/>
                <w:lang w:eastAsia="en-AU"/>
              </w:rPr>
              <w:t xml:space="preserve"> you work the number of hours you are currently working? </w:t>
            </w:r>
            <w:r w:rsidRPr="00CF3E3D">
              <w:rPr>
                <w:rFonts w:eastAsia="Times New Roman"/>
                <w:i/>
                <w:iCs/>
                <w:sz w:val="18"/>
                <w:szCs w:val="18"/>
                <w:lang w:eastAsia="en-AU"/>
              </w:rPr>
              <w:t>Please select only one answer.</w:t>
            </w:r>
          </w:p>
        </w:tc>
        <w:tc>
          <w:tcPr>
            <w:tcW w:w="3118" w:type="dxa"/>
            <w:hideMark/>
          </w:tcPr>
          <w:p w14:paraId="607E035E"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No suitable job in my local area</w:t>
            </w:r>
            <w:r w:rsidRPr="00CF3E3D">
              <w:rPr>
                <w:rFonts w:eastAsia="Times New Roman"/>
                <w:sz w:val="18"/>
                <w:szCs w:val="18"/>
                <w:lang w:eastAsia="en-AU"/>
              </w:rPr>
              <w:br/>
              <w:t>2. No job with a suitable number of hours</w:t>
            </w:r>
            <w:r w:rsidRPr="00CF3E3D">
              <w:rPr>
                <w:rFonts w:eastAsia="Times New Roman"/>
                <w:sz w:val="18"/>
                <w:szCs w:val="18"/>
                <w:lang w:eastAsia="en-AU"/>
              </w:rPr>
              <w:br/>
              <w:t>3. No suitable job in my area of expertise</w:t>
            </w:r>
            <w:r w:rsidRPr="00CF3E3D">
              <w:rPr>
                <w:rFonts w:eastAsia="Times New Roman"/>
                <w:sz w:val="18"/>
                <w:szCs w:val="18"/>
                <w:lang w:eastAsia="en-AU"/>
              </w:rPr>
              <w:br/>
              <w:t>4. Considered to be too young by employers</w:t>
            </w:r>
            <w:r w:rsidRPr="00CF3E3D">
              <w:rPr>
                <w:rFonts w:eastAsia="Times New Roman"/>
                <w:sz w:val="18"/>
                <w:szCs w:val="18"/>
                <w:lang w:eastAsia="en-AU"/>
              </w:rPr>
              <w:br/>
              <w:t>5. Considered to be too old by employers</w:t>
            </w:r>
            <w:r w:rsidRPr="00CF3E3D">
              <w:rPr>
                <w:rFonts w:eastAsia="Times New Roman"/>
                <w:sz w:val="18"/>
                <w:szCs w:val="18"/>
                <w:lang w:eastAsia="en-AU"/>
              </w:rPr>
              <w:br/>
              <w:t>9. Caring for children</w:t>
            </w:r>
            <w:r w:rsidRPr="00CF3E3D">
              <w:rPr>
                <w:rFonts w:eastAsia="Times New Roman"/>
                <w:sz w:val="18"/>
                <w:szCs w:val="18"/>
                <w:lang w:eastAsia="en-AU"/>
              </w:rPr>
              <w:br/>
              <w:t>10. Studying</w:t>
            </w:r>
            <w:r w:rsidRPr="00CF3E3D">
              <w:rPr>
                <w:rFonts w:eastAsia="Times New Roman"/>
                <w:sz w:val="18"/>
                <w:szCs w:val="18"/>
                <w:lang w:eastAsia="en-AU"/>
              </w:rPr>
              <w:br/>
              <w:t>12. No more hours available in current position</w:t>
            </w:r>
            <w:r w:rsidRPr="00CF3E3D">
              <w:rPr>
                <w:rFonts w:eastAsia="Times New Roman"/>
                <w:sz w:val="18"/>
                <w:szCs w:val="18"/>
                <w:lang w:eastAsia="en-AU"/>
              </w:rPr>
              <w:br/>
              <w:t>13. Work has been reduced/shutdown due to COVID-19</w:t>
            </w:r>
            <w:r w:rsidRPr="00CF3E3D">
              <w:rPr>
                <w:rFonts w:eastAsia="Times New Roman"/>
                <w:sz w:val="18"/>
                <w:szCs w:val="18"/>
                <w:lang w:eastAsia="en-AU"/>
              </w:rPr>
              <w:br/>
              <w:t>14. Financial reasons</w:t>
            </w:r>
            <w:r w:rsidRPr="00CF3E3D">
              <w:rPr>
                <w:rFonts w:eastAsia="Times New Roman"/>
                <w:sz w:val="18"/>
                <w:szCs w:val="18"/>
                <w:lang w:eastAsia="en-AU"/>
              </w:rPr>
              <w:br/>
              <w:t xml:space="preserve">15. Due to visa restrictions/waiting for permanent residency </w:t>
            </w:r>
            <w:r w:rsidRPr="00CF3E3D">
              <w:rPr>
                <w:rFonts w:eastAsia="Times New Roman"/>
                <w:sz w:val="18"/>
                <w:szCs w:val="18"/>
                <w:lang w:eastAsia="en-AU"/>
              </w:rPr>
              <w:br/>
              <w:t>11. Other (Please specify)</w:t>
            </w:r>
          </w:p>
        </w:tc>
      </w:tr>
      <w:tr w:rsidR="00040060" w:rsidRPr="00CF3E3D" w14:paraId="27422503"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E9F46EB"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OCC </w:t>
            </w:r>
          </w:p>
        </w:tc>
        <w:tc>
          <w:tcPr>
            <w:tcW w:w="6060" w:type="dxa"/>
            <w:hideMark/>
          </w:tcPr>
          <w:p w14:paraId="3F70AD37"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What is your occupation in your </w:t>
            </w:r>
            <w:r w:rsidRPr="00CF3E3D">
              <w:rPr>
                <w:rFonts w:eastAsia="Times New Roman"/>
                <w:b/>
                <w:bCs/>
                <w:sz w:val="18"/>
                <w:szCs w:val="18"/>
                <w:lang w:eastAsia="en-AU"/>
              </w:rPr>
              <w:t>&lt;main job/job/business&gt;</w:t>
            </w:r>
            <w:r w:rsidRPr="00CF3E3D">
              <w:rPr>
                <w:rFonts w:eastAsia="Times New Roman"/>
                <w:sz w:val="18"/>
                <w:szCs w:val="18"/>
                <w:lang w:eastAsia="en-AU"/>
              </w:rPr>
              <w:t xml:space="preserve">? </w:t>
            </w:r>
          </w:p>
        </w:tc>
        <w:tc>
          <w:tcPr>
            <w:tcW w:w="3118" w:type="dxa"/>
            <w:hideMark/>
          </w:tcPr>
          <w:p w14:paraId="60B1FCF5"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occupation</w:t>
            </w:r>
          </w:p>
        </w:tc>
      </w:tr>
      <w:tr w:rsidR="00040060" w:rsidRPr="00CF3E3D" w14:paraId="60647643"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F92AE0C"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DUTIES </w:t>
            </w:r>
          </w:p>
        </w:tc>
        <w:tc>
          <w:tcPr>
            <w:tcW w:w="6060" w:type="dxa"/>
            <w:hideMark/>
          </w:tcPr>
          <w:p w14:paraId="292BC08D"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are your main tasks and duties?</w:t>
            </w:r>
          </w:p>
        </w:tc>
        <w:tc>
          <w:tcPr>
            <w:tcW w:w="3118" w:type="dxa"/>
            <w:hideMark/>
          </w:tcPr>
          <w:p w14:paraId="0E86B1EC"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main tasks and duties</w:t>
            </w:r>
          </w:p>
        </w:tc>
      </w:tr>
      <w:tr w:rsidR="00040060" w:rsidRPr="00CF3E3D" w14:paraId="759B003A"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919C5C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EMPLOYER</w:t>
            </w:r>
          </w:p>
        </w:tc>
        <w:tc>
          <w:tcPr>
            <w:tcW w:w="6060" w:type="dxa"/>
            <w:hideMark/>
          </w:tcPr>
          <w:p w14:paraId="3CC52A2D"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is the name of your &lt;employer/business&gt;?</w:t>
            </w:r>
          </w:p>
        </w:tc>
        <w:tc>
          <w:tcPr>
            <w:tcW w:w="3118" w:type="dxa"/>
            <w:hideMark/>
          </w:tcPr>
          <w:p w14:paraId="72EFD3BD"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employer/business name</w:t>
            </w:r>
          </w:p>
        </w:tc>
      </w:tr>
      <w:tr w:rsidR="00040060" w:rsidRPr="00CF3E3D" w14:paraId="02302388"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664B9F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INDUSTRY</w:t>
            </w:r>
          </w:p>
        </w:tc>
        <w:tc>
          <w:tcPr>
            <w:tcW w:w="6060" w:type="dxa"/>
            <w:hideMark/>
          </w:tcPr>
          <w:p w14:paraId="713F0D2C"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What kind of </w:t>
            </w:r>
            <w:r w:rsidRPr="00CF3E3D">
              <w:rPr>
                <w:rFonts w:eastAsia="Times New Roman"/>
                <w:b/>
                <w:bCs/>
                <w:sz w:val="18"/>
                <w:szCs w:val="18"/>
                <w:lang w:eastAsia="en-AU"/>
              </w:rPr>
              <w:t>business or service</w:t>
            </w:r>
            <w:r w:rsidRPr="00CF3E3D">
              <w:rPr>
                <w:rFonts w:eastAsia="Times New Roman"/>
                <w:sz w:val="18"/>
                <w:szCs w:val="18"/>
                <w:lang w:eastAsia="en-AU"/>
              </w:rPr>
              <w:t xml:space="preserve"> is carried out by your &lt;employer at the place where you work/business&gt;?</w:t>
            </w:r>
          </w:p>
        </w:tc>
        <w:tc>
          <w:tcPr>
            <w:tcW w:w="3118" w:type="dxa"/>
            <w:hideMark/>
          </w:tcPr>
          <w:p w14:paraId="1AE94606"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business or service</w:t>
            </w:r>
          </w:p>
        </w:tc>
      </w:tr>
      <w:tr w:rsidR="00040060" w:rsidRPr="00CF3E3D" w14:paraId="6ACA3867"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BCFD99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SECTOR</w:t>
            </w:r>
          </w:p>
        </w:tc>
        <w:tc>
          <w:tcPr>
            <w:tcW w:w="6060" w:type="dxa"/>
            <w:hideMark/>
          </w:tcPr>
          <w:p w14:paraId="3FDB771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In what sector are you wholly or mainly employed?</w:t>
            </w:r>
          </w:p>
        </w:tc>
        <w:tc>
          <w:tcPr>
            <w:tcW w:w="3118" w:type="dxa"/>
            <w:hideMark/>
          </w:tcPr>
          <w:p w14:paraId="6175444D"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Public or government</w:t>
            </w:r>
            <w:r w:rsidRPr="00CF3E3D">
              <w:rPr>
                <w:rFonts w:eastAsia="Times New Roman"/>
                <w:sz w:val="18"/>
                <w:szCs w:val="18"/>
                <w:lang w:eastAsia="en-AU"/>
              </w:rPr>
              <w:br/>
              <w:t>2. Private</w:t>
            </w:r>
            <w:r w:rsidRPr="00CF3E3D">
              <w:rPr>
                <w:rFonts w:eastAsia="Times New Roman"/>
                <w:sz w:val="18"/>
                <w:szCs w:val="18"/>
                <w:lang w:eastAsia="en-AU"/>
              </w:rPr>
              <w:br/>
              <w:t>3. Not-for-profit</w:t>
            </w:r>
          </w:p>
        </w:tc>
      </w:tr>
      <w:tr w:rsidR="00040060" w:rsidRPr="00CF3E3D" w14:paraId="327DAEC9"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AE2BFFA"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INAUST</w:t>
            </w:r>
          </w:p>
        </w:tc>
        <w:tc>
          <w:tcPr>
            <w:tcW w:w="6060" w:type="dxa"/>
            <w:hideMark/>
          </w:tcPr>
          <w:p w14:paraId="17EBBDB4"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Are you working in Australia?</w:t>
            </w:r>
          </w:p>
        </w:tc>
        <w:tc>
          <w:tcPr>
            <w:tcW w:w="3118" w:type="dxa"/>
            <w:hideMark/>
          </w:tcPr>
          <w:p w14:paraId="49D95AD0"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r w:rsidRPr="00CF3E3D">
              <w:rPr>
                <w:rFonts w:eastAsia="Times New Roman"/>
                <w:sz w:val="18"/>
                <w:szCs w:val="18"/>
                <w:lang w:eastAsia="en-AU"/>
              </w:rPr>
              <w:br/>
              <w:t>3. Not sure</w:t>
            </w:r>
          </w:p>
        </w:tc>
      </w:tr>
      <w:tr w:rsidR="00040060" w:rsidRPr="00CF3E3D" w14:paraId="3BE0BB5B"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AA72AF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EMPSTATE</w:t>
            </w:r>
          </w:p>
        </w:tc>
        <w:tc>
          <w:tcPr>
            <w:tcW w:w="6060" w:type="dxa"/>
            <w:hideMark/>
          </w:tcPr>
          <w:p w14:paraId="1A280652"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In which state or territory is your &lt;employer/business&gt; currently located? </w:t>
            </w:r>
          </w:p>
        </w:tc>
        <w:tc>
          <w:tcPr>
            <w:tcW w:w="3118" w:type="dxa"/>
            <w:hideMark/>
          </w:tcPr>
          <w:p w14:paraId="0C87414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1.   NSW </w:t>
            </w:r>
            <w:r w:rsidRPr="00CF3E3D">
              <w:rPr>
                <w:rFonts w:eastAsia="Times New Roman"/>
                <w:sz w:val="18"/>
                <w:szCs w:val="18"/>
                <w:lang w:eastAsia="en-AU"/>
              </w:rPr>
              <w:br/>
              <w:t xml:space="preserve">2.   VIC </w:t>
            </w:r>
            <w:r w:rsidRPr="00CF3E3D">
              <w:rPr>
                <w:rFonts w:eastAsia="Times New Roman"/>
                <w:sz w:val="18"/>
                <w:szCs w:val="18"/>
                <w:lang w:eastAsia="en-AU"/>
              </w:rPr>
              <w:br/>
              <w:t xml:space="preserve">3.   QLD </w:t>
            </w:r>
            <w:r w:rsidRPr="00CF3E3D">
              <w:rPr>
                <w:rFonts w:eastAsia="Times New Roman"/>
                <w:sz w:val="18"/>
                <w:szCs w:val="18"/>
                <w:lang w:eastAsia="en-AU"/>
              </w:rPr>
              <w:br/>
              <w:t xml:space="preserve">4.   SA </w:t>
            </w:r>
            <w:r w:rsidRPr="00CF3E3D">
              <w:rPr>
                <w:rFonts w:eastAsia="Times New Roman"/>
                <w:sz w:val="18"/>
                <w:szCs w:val="18"/>
                <w:lang w:eastAsia="en-AU"/>
              </w:rPr>
              <w:br/>
              <w:t xml:space="preserve">5.   WA </w:t>
            </w:r>
            <w:r w:rsidRPr="00CF3E3D">
              <w:rPr>
                <w:rFonts w:eastAsia="Times New Roman"/>
                <w:sz w:val="18"/>
                <w:szCs w:val="18"/>
                <w:lang w:eastAsia="en-AU"/>
              </w:rPr>
              <w:br/>
              <w:t xml:space="preserve">6.   TAS </w:t>
            </w:r>
            <w:r w:rsidRPr="00CF3E3D">
              <w:rPr>
                <w:rFonts w:eastAsia="Times New Roman"/>
                <w:sz w:val="18"/>
                <w:szCs w:val="18"/>
                <w:lang w:eastAsia="en-AU"/>
              </w:rPr>
              <w:br/>
              <w:t xml:space="preserve">7.   NT </w:t>
            </w:r>
            <w:r w:rsidRPr="00CF3E3D">
              <w:rPr>
                <w:rFonts w:eastAsia="Times New Roman"/>
                <w:sz w:val="18"/>
                <w:szCs w:val="18"/>
                <w:lang w:eastAsia="en-AU"/>
              </w:rPr>
              <w:br/>
              <w:t xml:space="preserve">8.   ACT </w:t>
            </w:r>
            <w:r w:rsidRPr="00CF3E3D">
              <w:rPr>
                <w:rFonts w:eastAsia="Times New Roman"/>
                <w:sz w:val="18"/>
                <w:szCs w:val="18"/>
                <w:lang w:eastAsia="en-AU"/>
              </w:rPr>
              <w:br/>
              <w:t>98. Don’t know</w:t>
            </w:r>
          </w:p>
        </w:tc>
      </w:tr>
      <w:tr w:rsidR="00040060" w:rsidRPr="00CF3E3D" w14:paraId="0BEDC974"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780551F"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LOCATION</w:t>
            </w:r>
          </w:p>
        </w:tc>
        <w:tc>
          <w:tcPr>
            <w:tcW w:w="6060" w:type="dxa"/>
            <w:hideMark/>
          </w:tcPr>
          <w:p w14:paraId="514E4F8A"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And what is the postcode of your &lt;employer/business&gt;?</w:t>
            </w:r>
          </w:p>
        </w:tc>
        <w:tc>
          <w:tcPr>
            <w:tcW w:w="3118" w:type="dxa"/>
            <w:hideMark/>
          </w:tcPr>
          <w:p w14:paraId="444E53B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postcode or suburb *PROGRAMMER NOTE USE POSTCODE LOOKUP LIST</w:t>
            </w:r>
            <w:r w:rsidRPr="00CF3E3D">
              <w:rPr>
                <w:rFonts w:eastAsia="Times New Roman"/>
                <w:sz w:val="18"/>
                <w:szCs w:val="18"/>
                <w:lang w:eastAsia="en-AU"/>
              </w:rPr>
              <w:br/>
              <w:t>2. Not sure</w:t>
            </w:r>
          </w:p>
        </w:tc>
      </w:tr>
      <w:tr w:rsidR="00040060" w:rsidRPr="00CF3E3D" w14:paraId="2F27A8A7"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C562F4C" w14:textId="77777777" w:rsidR="00040060" w:rsidRPr="00CF3E3D" w:rsidRDefault="00040060" w:rsidP="007007AC">
            <w:pPr>
              <w:spacing w:before="0"/>
              <w:rPr>
                <w:rFonts w:eastAsia="Times New Roman"/>
                <w:sz w:val="18"/>
                <w:szCs w:val="18"/>
                <w:lang w:eastAsia="en-AU"/>
              </w:rPr>
            </w:pPr>
            <w:proofErr w:type="spellStart"/>
            <w:r w:rsidRPr="00CF3E3D">
              <w:rPr>
                <w:rFonts w:eastAsia="Times New Roman"/>
                <w:sz w:val="18"/>
                <w:szCs w:val="18"/>
                <w:lang w:eastAsia="en-AU"/>
              </w:rPr>
              <w:t>COUNTRYx</w:t>
            </w:r>
            <w:proofErr w:type="spellEnd"/>
          </w:p>
        </w:tc>
        <w:tc>
          <w:tcPr>
            <w:tcW w:w="6060" w:type="dxa"/>
            <w:hideMark/>
          </w:tcPr>
          <w:p w14:paraId="51614D60"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In which country is your &lt;employer/business&gt; based?</w:t>
            </w:r>
          </w:p>
        </w:tc>
        <w:tc>
          <w:tcPr>
            <w:tcW w:w="3118" w:type="dxa"/>
            <w:hideMark/>
          </w:tcPr>
          <w:p w14:paraId="1CE242C1"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Bangladesh</w:t>
            </w:r>
            <w:r w:rsidRPr="00CF3E3D">
              <w:rPr>
                <w:rFonts w:eastAsia="Times New Roman"/>
                <w:sz w:val="18"/>
                <w:szCs w:val="18"/>
                <w:lang w:eastAsia="en-AU"/>
              </w:rPr>
              <w:br/>
              <w:t>2. Canada</w:t>
            </w:r>
            <w:r w:rsidRPr="00CF3E3D">
              <w:rPr>
                <w:rFonts w:eastAsia="Times New Roman"/>
                <w:sz w:val="18"/>
                <w:szCs w:val="18"/>
                <w:lang w:eastAsia="en-AU"/>
              </w:rPr>
              <w:br/>
              <w:t>3. China (excludes SARs and Taiwan)</w:t>
            </w:r>
            <w:r w:rsidRPr="00CF3E3D">
              <w:rPr>
                <w:rFonts w:eastAsia="Times New Roman"/>
                <w:sz w:val="18"/>
                <w:szCs w:val="18"/>
                <w:lang w:eastAsia="en-AU"/>
              </w:rPr>
              <w:br/>
              <w:t>4. Hong Kong (SAR of China)</w:t>
            </w:r>
            <w:r w:rsidRPr="00CF3E3D">
              <w:rPr>
                <w:rFonts w:eastAsia="Times New Roman"/>
                <w:sz w:val="18"/>
                <w:szCs w:val="18"/>
                <w:lang w:eastAsia="en-AU"/>
              </w:rPr>
              <w:br/>
            </w:r>
            <w:r w:rsidRPr="00CF3E3D">
              <w:rPr>
                <w:rFonts w:eastAsia="Times New Roman"/>
                <w:sz w:val="18"/>
                <w:szCs w:val="18"/>
                <w:lang w:eastAsia="en-AU"/>
              </w:rPr>
              <w:lastRenderedPageBreak/>
              <w:t>5. India</w:t>
            </w:r>
            <w:r w:rsidRPr="00CF3E3D">
              <w:rPr>
                <w:rFonts w:eastAsia="Times New Roman"/>
                <w:sz w:val="18"/>
                <w:szCs w:val="18"/>
                <w:lang w:eastAsia="en-AU"/>
              </w:rPr>
              <w:br/>
              <w:t>6. Indonesia</w:t>
            </w:r>
            <w:r w:rsidRPr="00CF3E3D">
              <w:rPr>
                <w:rFonts w:eastAsia="Times New Roman"/>
                <w:sz w:val="18"/>
                <w:szCs w:val="18"/>
                <w:lang w:eastAsia="en-AU"/>
              </w:rPr>
              <w:br/>
              <w:t>7. Malaysia</w:t>
            </w:r>
            <w:r w:rsidRPr="00CF3E3D">
              <w:rPr>
                <w:rFonts w:eastAsia="Times New Roman"/>
                <w:sz w:val="18"/>
                <w:szCs w:val="18"/>
                <w:lang w:eastAsia="en-AU"/>
              </w:rPr>
              <w:br/>
              <w:t>8. New Zealand</w:t>
            </w:r>
            <w:r w:rsidRPr="00CF3E3D">
              <w:rPr>
                <w:rFonts w:eastAsia="Times New Roman"/>
                <w:sz w:val="18"/>
                <w:szCs w:val="18"/>
                <w:lang w:eastAsia="en-AU"/>
              </w:rPr>
              <w:br/>
              <w:t>9. Saudi Arabia</w:t>
            </w:r>
            <w:r w:rsidRPr="00CF3E3D">
              <w:rPr>
                <w:rFonts w:eastAsia="Times New Roman"/>
                <w:sz w:val="18"/>
                <w:szCs w:val="18"/>
                <w:lang w:eastAsia="en-AU"/>
              </w:rPr>
              <w:br/>
              <w:t>10. Singapore</w:t>
            </w:r>
            <w:r w:rsidRPr="00CF3E3D">
              <w:rPr>
                <w:rFonts w:eastAsia="Times New Roman"/>
                <w:sz w:val="18"/>
                <w:szCs w:val="18"/>
                <w:lang w:eastAsia="en-AU"/>
              </w:rPr>
              <w:br/>
              <w:t>11. South Africa</w:t>
            </w:r>
            <w:r w:rsidRPr="00CF3E3D">
              <w:rPr>
                <w:rFonts w:eastAsia="Times New Roman"/>
                <w:sz w:val="18"/>
                <w:szCs w:val="18"/>
                <w:lang w:eastAsia="en-AU"/>
              </w:rPr>
              <w:br/>
              <w:t>12. South Korea</w:t>
            </w:r>
            <w:r w:rsidRPr="00CF3E3D">
              <w:rPr>
                <w:rFonts w:eastAsia="Times New Roman"/>
                <w:sz w:val="18"/>
                <w:szCs w:val="18"/>
                <w:lang w:eastAsia="en-AU"/>
              </w:rPr>
              <w:br/>
              <w:t>13. Sri Lanka</w:t>
            </w:r>
            <w:r w:rsidRPr="00CF3E3D">
              <w:rPr>
                <w:rFonts w:eastAsia="Times New Roman"/>
                <w:sz w:val="18"/>
                <w:szCs w:val="18"/>
                <w:lang w:eastAsia="en-AU"/>
              </w:rPr>
              <w:br/>
              <w:t>14. Taiwan</w:t>
            </w:r>
            <w:r w:rsidRPr="00CF3E3D">
              <w:rPr>
                <w:rFonts w:eastAsia="Times New Roman"/>
                <w:sz w:val="18"/>
                <w:szCs w:val="18"/>
                <w:lang w:eastAsia="en-AU"/>
              </w:rPr>
              <w:br/>
              <w:t>15. Thailand</w:t>
            </w:r>
            <w:r w:rsidRPr="00CF3E3D">
              <w:rPr>
                <w:rFonts w:eastAsia="Times New Roman"/>
                <w:sz w:val="18"/>
                <w:szCs w:val="18"/>
                <w:lang w:eastAsia="en-AU"/>
              </w:rPr>
              <w:br/>
              <w:t>16. United States of America</w:t>
            </w:r>
            <w:r w:rsidRPr="00CF3E3D">
              <w:rPr>
                <w:rFonts w:eastAsia="Times New Roman"/>
                <w:sz w:val="18"/>
                <w:szCs w:val="18"/>
                <w:lang w:eastAsia="en-AU"/>
              </w:rPr>
              <w:br/>
              <w:t>17. Vietnam</w:t>
            </w:r>
            <w:r w:rsidRPr="00CF3E3D">
              <w:rPr>
                <w:rFonts w:eastAsia="Times New Roman"/>
                <w:sz w:val="18"/>
                <w:szCs w:val="18"/>
                <w:lang w:eastAsia="en-AU"/>
              </w:rPr>
              <w:br/>
              <w:t>19. Macau (SAR of China)</w:t>
            </w:r>
            <w:r w:rsidRPr="00CF3E3D">
              <w:rPr>
                <w:rFonts w:eastAsia="Times New Roman"/>
                <w:sz w:val="18"/>
                <w:szCs w:val="18"/>
                <w:lang w:eastAsia="en-AU"/>
              </w:rPr>
              <w:br/>
              <w:t xml:space="preserve">18. Other (Please specify)  </w:t>
            </w:r>
          </w:p>
        </w:tc>
      </w:tr>
      <w:tr w:rsidR="00040060" w:rsidRPr="00CF3E3D" w14:paraId="691D8D24"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F7DCD8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lastRenderedPageBreak/>
              <w:t xml:space="preserve">CURCOUNTRY </w:t>
            </w:r>
          </w:p>
        </w:tc>
        <w:tc>
          <w:tcPr>
            <w:tcW w:w="6060" w:type="dxa"/>
            <w:hideMark/>
          </w:tcPr>
          <w:p w14:paraId="3842C375"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Do you currently live in Australia or Overseas?</w:t>
            </w:r>
          </w:p>
        </w:tc>
        <w:tc>
          <w:tcPr>
            <w:tcW w:w="3118" w:type="dxa"/>
            <w:hideMark/>
          </w:tcPr>
          <w:p w14:paraId="74512C4D"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Australia</w:t>
            </w:r>
            <w:r w:rsidRPr="00CF3E3D">
              <w:rPr>
                <w:rFonts w:eastAsia="Times New Roman"/>
                <w:sz w:val="18"/>
                <w:szCs w:val="18"/>
                <w:lang w:eastAsia="en-AU"/>
              </w:rPr>
              <w:br/>
              <w:t>2. Overseas</w:t>
            </w:r>
          </w:p>
        </w:tc>
      </w:tr>
      <w:tr w:rsidR="00040060" w:rsidRPr="00CF3E3D" w14:paraId="4EF931C1"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DBC91FE"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CURSTATE</w:t>
            </w:r>
          </w:p>
        </w:tc>
        <w:tc>
          <w:tcPr>
            <w:tcW w:w="6060" w:type="dxa"/>
            <w:hideMark/>
          </w:tcPr>
          <w:p w14:paraId="3639970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In which state or territory do you usually live? </w:t>
            </w:r>
          </w:p>
        </w:tc>
        <w:tc>
          <w:tcPr>
            <w:tcW w:w="3118" w:type="dxa"/>
            <w:hideMark/>
          </w:tcPr>
          <w:p w14:paraId="5A64255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1.   NSW </w:t>
            </w:r>
            <w:r w:rsidRPr="00CF3E3D">
              <w:rPr>
                <w:rFonts w:eastAsia="Times New Roman"/>
                <w:sz w:val="18"/>
                <w:szCs w:val="18"/>
                <w:lang w:eastAsia="en-AU"/>
              </w:rPr>
              <w:br/>
              <w:t xml:space="preserve">2.   VIC </w:t>
            </w:r>
            <w:r w:rsidRPr="00CF3E3D">
              <w:rPr>
                <w:rFonts w:eastAsia="Times New Roman"/>
                <w:sz w:val="18"/>
                <w:szCs w:val="18"/>
                <w:lang w:eastAsia="en-AU"/>
              </w:rPr>
              <w:br/>
              <w:t xml:space="preserve">3.   QLD </w:t>
            </w:r>
            <w:r w:rsidRPr="00CF3E3D">
              <w:rPr>
                <w:rFonts w:eastAsia="Times New Roman"/>
                <w:sz w:val="18"/>
                <w:szCs w:val="18"/>
                <w:lang w:eastAsia="en-AU"/>
              </w:rPr>
              <w:br/>
              <w:t xml:space="preserve">4.   SA </w:t>
            </w:r>
            <w:r w:rsidRPr="00CF3E3D">
              <w:rPr>
                <w:rFonts w:eastAsia="Times New Roman"/>
                <w:sz w:val="18"/>
                <w:szCs w:val="18"/>
                <w:lang w:eastAsia="en-AU"/>
              </w:rPr>
              <w:br/>
              <w:t xml:space="preserve">5.   WA </w:t>
            </w:r>
            <w:r w:rsidRPr="00CF3E3D">
              <w:rPr>
                <w:rFonts w:eastAsia="Times New Roman"/>
                <w:sz w:val="18"/>
                <w:szCs w:val="18"/>
                <w:lang w:eastAsia="en-AU"/>
              </w:rPr>
              <w:br/>
              <w:t xml:space="preserve">6.   TAS </w:t>
            </w:r>
            <w:r w:rsidRPr="00CF3E3D">
              <w:rPr>
                <w:rFonts w:eastAsia="Times New Roman"/>
                <w:sz w:val="18"/>
                <w:szCs w:val="18"/>
                <w:lang w:eastAsia="en-AU"/>
              </w:rPr>
              <w:br/>
              <w:t xml:space="preserve">7.   NT </w:t>
            </w:r>
            <w:r w:rsidRPr="00CF3E3D">
              <w:rPr>
                <w:rFonts w:eastAsia="Times New Roman"/>
                <w:sz w:val="18"/>
                <w:szCs w:val="18"/>
                <w:lang w:eastAsia="en-AU"/>
              </w:rPr>
              <w:br/>
              <w:t xml:space="preserve">8.   ACT </w:t>
            </w:r>
            <w:r w:rsidRPr="00CF3E3D">
              <w:rPr>
                <w:rFonts w:eastAsia="Times New Roman"/>
                <w:sz w:val="18"/>
                <w:szCs w:val="18"/>
                <w:lang w:eastAsia="en-AU"/>
              </w:rPr>
              <w:br/>
              <w:t>98. Don’t know</w:t>
            </w:r>
          </w:p>
        </w:tc>
      </w:tr>
      <w:tr w:rsidR="00040060" w:rsidRPr="00CF3E3D" w14:paraId="653699EC"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48F686F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CURPCODE</w:t>
            </w:r>
          </w:p>
        </w:tc>
        <w:tc>
          <w:tcPr>
            <w:tcW w:w="6060" w:type="dxa"/>
            <w:hideMark/>
          </w:tcPr>
          <w:p w14:paraId="34A48101"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is the postcode or suburb where you usually live?</w:t>
            </w:r>
          </w:p>
        </w:tc>
        <w:tc>
          <w:tcPr>
            <w:tcW w:w="3118" w:type="dxa"/>
            <w:hideMark/>
          </w:tcPr>
          <w:p w14:paraId="25F5E3F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&lt;verbatim text box&gt; *PROGRAMMER NOTE USE POSTCODE LOOKUP LIST</w:t>
            </w:r>
            <w:r w:rsidRPr="00CF3E3D">
              <w:rPr>
                <w:rFonts w:eastAsia="Times New Roman"/>
                <w:sz w:val="18"/>
                <w:szCs w:val="18"/>
                <w:lang w:eastAsia="en-AU"/>
              </w:rPr>
              <w:br/>
              <w:t xml:space="preserve">2. Not sure </w:t>
            </w:r>
          </w:p>
        </w:tc>
      </w:tr>
      <w:tr w:rsidR="00040060" w:rsidRPr="00CF3E3D" w14:paraId="11BD3378"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ABBD8DC"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OSCOUNTRY</w:t>
            </w:r>
          </w:p>
        </w:tc>
        <w:tc>
          <w:tcPr>
            <w:tcW w:w="6060" w:type="dxa"/>
            <w:hideMark/>
          </w:tcPr>
          <w:p w14:paraId="137B5FDE"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In which country do you currently live?</w:t>
            </w:r>
          </w:p>
        </w:tc>
        <w:tc>
          <w:tcPr>
            <w:tcW w:w="3118" w:type="dxa"/>
            <w:hideMark/>
          </w:tcPr>
          <w:p w14:paraId="7F198982"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&lt;Predictive text verbatim text box&gt; *PROGRAMMER NOTE: USE GO8 COUNTRY LIST</w:t>
            </w:r>
          </w:p>
        </w:tc>
      </w:tr>
      <w:tr w:rsidR="00040060" w:rsidRPr="00CF3E3D" w14:paraId="61694012"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26C4428"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EMP12</w:t>
            </w:r>
          </w:p>
        </w:tc>
        <w:tc>
          <w:tcPr>
            <w:tcW w:w="6060" w:type="dxa"/>
            <w:hideMark/>
          </w:tcPr>
          <w:p w14:paraId="2E7F89E6"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Have you worked &lt;for your employer/in your business&gt; for 12 months or more?</w:t>
            </w:r>
          </w:p>
        </w:tc>
        <w:tc>
          <w:tcPr>
            <w:tcW w:w="3118" w:type="dxa"/>
            <w:hideMark/>
          </w:tcPr>
          <w:p w14:paraId="6DDA0E7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 more than 12 months</w:t>
            </w:r>
            <w:r w:rsidRPr="00CF3E3D">
              <w:rPr>
                <w:rFonts w:eastAsia="Times New Roman"/>
                <w:sz w:val="18"/>
                <w:szCs w:val="18"/>
                <w:lang w:eastAsia="en-AU"/>
              </w:rPr>
              <w:br/>
              <w:t>5. No, less than 12 months</w:t>
            </w:r>
          </w:p>
        </w:tc>
      </w:tr>
      <w:tr w:rsidR="00040060" w:rsidRPr="00CF3E3D" w14:paraId="1C03286E"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DCBDAC4"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EMPMTHS</w:t>
            </w:r>
          </w:p>
        </w:tc>
        <w:tc>
          <w:tcPr>
            <w:tcW w:w="6060" w:type="dxa"/>
            <w:hideMark/>
          </w:tcPr>
          <w:p w14:paraId="30945E15"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How many months have you worked &lt;for your employer/in your business&gt;?</w:t>
            </w:r>
          </w:p>
        </w:tc>
        <w:tc>
          <w:tcPr>
            <w:tcW w:w="3118" w:type="dxa"/>
            <w:hideMark/>
          </w:tcPr>
          <w:p w14:paraId="46EA0D0B"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number of months (NUMERIC, RANGE 1-12)</w:t>
            </w:r>
          </w:p>
        </w:tc>
      </w:tr>
      <w:tr w:rsidR="00040060" w:rsidRPr="00CF3E3D" w14:paraId="34FB91AD"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4032B7BD"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EMPYRS</w:t>
            </w:r>
          </w:p>
        </w:tc>
        <w:tc>
          <w:tcPr>
            <w:tcW w:w="6060" w:type="dxa"/>
            <w:hideMark/>
          </w:tcPr>
          <w:p w14:paraId="74BF94D7"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How many years have you worked &lt;for your employer/in your business&gt;?</w:t>
            </w:r>
          </w:p>
        </w:tc>
        <w:tc>
          <w:tcPr>
            <w:tcW w:w="3118" w:type="dxa"/>
            <w:hideMark/>
          </w:tcPr>
          <w:p w14:paraId="74BDEB5F"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Enter number of years (NUMERIC, RANGE 1-49)</w:t>
            </w:r>
          </w:p>
        </w:tc>
      </w:tr>
      <w:tr w:rsidR="00040060" w:rsidRPr="00CF3E3D" w14:paraId="22E0A4DC"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2105E8F"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FFTJOB</w:t>
            </w:r>
          </w:p>
        </w:tc>
        <w:tc>
          <w:tcPr>
            <w:tcW w:w="6060" w:type="dxa"/>
            <w:hideMark/>
          </w:tcPr>
          <w:p w14:paraId="39085D14"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Is this your first full-time job?</w:t>
            </w:r>
          </w:p>
        </w:tc>
        <w:tc>
          <w:tcPr>
            <w:tcW w:w="3118" w:type="dxa"/>
            <w:hideMark/>
          </w:tcPr>
          <w:p w14:paraId="10E7ACE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p>
        </w:tc>
      </w:tr>
      <w:tr w:rsidR="00040060" w:rsidRPr="00CF3E3D" w14:paraId="61B87E87"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F215355"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SALARYA</w:t>
            </w:r>
          </w:p>
        </w:tc>
        <w:tc>
          <w:tcPr>
            <w:tcW w:w="6060" w:type="dxa"/>
            <w:hideMark/>
          </w:tcPr>
          <w:p w14:paraId="5C869B5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In Australian dollars, how much do you usually earn in &lt;IF MORE1JOB=5: this job/IF MORE1JOB=1: all your jobs&gt;, before tax or anything else is taken out? Please make only one selection. Specify in whole dollars, excluding spaces, commas, dollar sign ($).</w:t>
            </w:r>
          </w:p>
        </w:tc>
        <w:tc>
          <w:tcPr>
            <w:tcW w:w="3118" w:type="dxa"/>
            <w:hideMark/>
          </w:tcPr>
          <w:p w14:paraId="3301A8E1"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1. Amount per </w:t>
            </w:r>
            <w:r w:rsidRPr="00CF3E3D">
              <w:rPr>
                <w:rFonts w:eastAsia="Times New Roman"/>
                <w:b/>
                <w:bCs/>
                <w:sz w:val="18"/>
                <w:szCs w:val="18"/>
                <w:lang w:eastAsia="en-AU"/>
              </w:rPr>
              <w:t>hour</w:t>
            </w:r>
            <w:r w:rsidRPr="00CF3E3D">
              <w:rPr>
                <w:rFonts w:eastAsia="Times New Roman"/>
                <w:sz w:val="18"/>
                <w:szCs w:val="18"/>
                <w:lang w:eastAsia="en-AU"/>
              </w:rPr>
              <w:t xml:space="preserve"> (Please specify) (NUMERIC, RANGE 1-250)</w:t>
            </w:r>
            <w:r w:rsidRPr="00CF3E3D">
              <w:rPr>
                <w:rFonts w:eastAsia="Times New Roman"/>
                <w:sz w:val="18"/>
                <w:szCs w:val="18"/>
                <w:lang w:eastAsia="en-AU"/>
              </w:rPr>
              <w:br/>
              <w:t xml:space="preserve">2. Amount per </w:t>
            </w:r>
            <w:r w:rsidRPr="00CF3E3D">
              <w:rPr>
                <w:rFonts w:eastAsia="Times New Roman"/>
                <w:b/>
                <w:bCs/>
                <w:sz w:val="18"/>
                <w:szCs w:val="18"/>
                <w:lang w:eastAsia="en-AU"/>
              </w:rPr>
              <w:t>day</w:t>
            </w:r>
            <w:r w:rsidRPr="00CF3E3D">
              <w:rPr>
                <w:rFonts w:eastAsia="Times New Roman"/>
                <w:sz w:val="18"/>
                <w:szCs w:val="18"/>
                <w:lang w:eastAsia="en-AU"/>
              </w:rPr>
              <w:t xml:space="preserve"> (Please specify) (NUMERIC, RANGE 1-800) </w:t>
            </w:r>
            <w:r w:rsidRPr="00CF3E3D">
              <w:rPr>
                <w:rFonts w:eastAsia="Times New Roman"/>
                <w:sz w:val="18"/>
                <w:szCs w:val="18"/>
                <w:lang w:eastAsia="en-AU"/>
              </w:rPr>
              <w:br/>
              <w:t xml:space="preserve">3. Amount each </w:t>
            </w:r>
            <w:r w:rsidRPr="00CF3E3D">
              <w:rPr>
                <w:rFonts w:eastAsia="Times New Roman"/>
                <w:b/>
                <w:bCs/>
                <w:sz w:val="18"/>
                <w:szCs w:val="18"/>
                <w:lang w:eastAsia="en-AU"/>
              </w:rPr>
              <w:t>week</w:t>
            </w:r>
            <w:r w:rsidRPr="00CF3E3D">
              <w:rPr>
                <w:rFonts w:eastAsia="Times New Roman"/>
                <w:sz w:val="18"/>
                <w:szCs w:val="18"/>
                <w:lang w:eastAsia="en-AU"/>
              </w:rPr>
              <w:t xml:space="preserve"> (Please specify) (NUMERIC, RANGE 1-4000) </w:t>
            </w:r>
            <w:r w:rsidRPr="00CF3E3D">
              <w:rPr>
                <w:rFonts w:eastAsia="Times New Roman"/>
                <w:sz w:val="18"/>
                <w:szCs w:val="18"/>
                <w:lang w:eastAsia="en-AU"/>
              </w:rPr>
              <w:br/>
              <w:t xml:space="preserve">4. Amount each </w:t>
            </w:r>
            <w:r w:rsidRPr="00CF3E3D">
              <w:rPr>
                <w:rFonts w:eastAsia="Times New Roman"/>
                <w:b/>
                <w:bCs/>
                <w:sz w:val="18"/>
                <w:szCs w:val="18"/>
                <w:lang w:eastAsia="en-AU"/>
              </w:rPr>
              <w:t>fortnight</w:t>
            </w:r>
            <w:r w:rsidRPr="00CF3E3D">
              <w:rPr>
                <w:rFonts w:eastAsia="Times New Roman"/>
                <w:sz w:val="18"/>
                <w:szCs w:val="18"/>
                <w:lang w:eastAsia="en-AU"/>
              </w:rPr>
              <w:t xml:space="preserve"> (Please specify) (NUMERIC, RANGE 1-8000) </w:t>
            </w:r>
            <w:r w:rsidRPr="00CF3E3D">
              <w:rPr>
                <w:rFonts w:eastAsia="Times New Roman"/>
                <w:sz w:val="18"/>
                <w:szCs w:val="18"/>
                <w:lang w:eastAsia="en-AU"/>
              </w:rPr>
              <w:br/>
              <w:t xml:space="preserve">5. Amount each </w:t>
            </w:r>
            <w:r w:rsidRPr="00CF3E3D">
              <w:rPr>
                <w:rFonts w:eastAsia="Times New Roman"/>
                <w:b/>
                <w:bCs/>
                <w:sz w:val="18"/>
                <w:szCs w:val="18"/>
                <w:lang w:eastAsia="en-AU"/>
              </w:rPr>
              <w:t>month</w:t>
            </w:r>
            <w:r w:rsidRPr="00CF3E3D">
              <w:rPr>
                <w:rFonts w:eastAsia="Times New Roman"/>
                <w:sz w:val="18"/>
                <w:szCs w:val="18"/>
                <w:lang w:eastAsia="en-AU"/>
              </w:rPr>
              <w:t xml:space="preserve"> (Please specify) (NUMERIC, RANGE 1-17,500) </w:t>
            </w:r>
            <w:r w:rsidRPr="00CF3E3D">
              <w:rPr>
                <w:rFonts w:eastAsia="Times New Roman"/>
                <w:sz w:val="18"/>
                <w:szCs w:val="18"/>
                <w:lang w:eastAsia="en-AU"/>
              </w:rPr>
              <w:br/>
              <w:t xml:space="preserve">6. Amount each </w:t>
            </w:r>
            <w:r w:rsidRPr="00CF3E3D">
              <w:rPr>
                <w:rFonts w:eastAsia="Times New Roman"/>
                <w:b/>
                <w:bCs/>
                <w:sz w:val="18"/>
                <w:szCs w:val="18"/>
                <w:lang w:eastAsia="en-AU"/>
              </w:rPr>
              <w:t>year</w:t>
            </w:r>
            <w:r w:rsidRPr="00CF3E3D">
              <w:rPr>
                <w:rFonts w:eastAsia="Times New Roman"/>
                <w:sz w:val="18"/>
                <w:szCs w:val="18"/>
                <w:lang w:eastAsia="en-AU"/>
              </w:rPr>
              <w:t xml:space="preserve"> (Please specify) (NUMERIC, RANGE 1-250K)</w:t>
            </w:r>
            <w:r w:rsidRPr="00CF3E3D">
              <w:rPr>
                <w:rFonts w:eastAsia="Times New Roman"/>
                <w:sz w:val="18"/>
                <w:szCs w:val="18"/>
                <w:lang w:eastAsia="en-AU"/>
              </w:rPr>
              <w:br/>
              <w:t>7. No earnings</w:t>
            </w:r>
            <w:r w:rsidRPr="00CF3E3D">
              <w:rPr>
                <w:rFonts w:eastAsia="Times New Roman"/>
                <w:sz w:val="18"/>
                <w:szCs w:val="18"/>
                <w:lang w:eastAsia="en-AU"/>
              </w:rPr>
              <w:br/>
              <w:t>8. Don’t know</w:t>
            </w:r>
          </w:p>
        </w:tc>
      </w:tr>
      <w:tr w:rsidR="00040060" w:rsidRPr="00CF3E3D" w14:paraId="31848852"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DDAE31F"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SALARYB</w:t>
            </w:r>
          </w:p>
        </w:tc>
        <w:tc>
          <w:tcPr>
            <w:tcW w:w="6060" w:type="dxa"/>
            <w:hideMark/>
          </w:tcPr>
          <w:p w14:paraId="5148138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Sorry but the salary you entered doesn’t fit within our range. Please select the best option for how much you would usually earn in &lt; IF </w:t>
            </w:r>
            <w:r w:rsidRPr="00CF3E3D">
              <w:rPr>
                <w:rFonts w:eastAsia="Times New Roman"/>
                <w:sz w:val="18"/>
                <w:szCs w:val="18"/>
                <w:lang w:eastAsia="en-AU"/>
              </w:rPr>
              <w:lastRenderedPageBreak/>
              <w:t>MORE1JOB=5: this job/ IF MORE1JOB=1:</w:t>
            </w:r>
            <w:r w:rsidRPr="00CF3E3D">
              <w:rPr>
                <w:rFonts w:eastAsia="Times New Roman"/>
                <w:b/>
                <w:bCs/>
                <w:sz w:val="18"/>
                <w:szCs w:val="18"/>
                <w:lang w:eastAsia="en-AU"/>
              </w:rPr>
              <w:t xml:space="preserve"> all your jobs&gt;</w:t>
            </w:r>
            <w:r w:rsidRPr="00CF3E3D">
              <w:rPr>
                <w:rFonts w:eastAsia="Times New Roman"/>
                <w:sz w:val="18"/>
                <w:szCs w:val="18"/>
                <w:lang w:eastAsia="en-AU"/>
              </w:rPr>
              <w:t>, per annum before tax or anything else was taken out?</w:t>
            </w:r>
          </w:p>
        </w:tc>
        <w:tc>
          <w:tcPr>
            <w:tcW w:w="3118" w:type="dxa"/>
            <w:hideMark/>
          </w:tcPr>
          <w:p w14:paraId="5522C24B"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lastRenderedPageBreak/>
              <w:t xml:space="preserve">1. $1 - $9,999 </w:t>
            </w:r>
            <w:r w:rsidRPr="00CF3E3D">
              <w:rPr>
                <w:rFonts w:eastAsia="Times New Roman"/>
                <w:sz w:val="18"/>
                <w:szCs w:val="18"/>
                <w:lang w:eastAsia="en-AU"/>
              </w:rPr>
              <w:br/>
              <w:t xml:space="preserve">2. $10,000 - $19,999 </w:t>
            </w:r>
            <w:r w:rsidRPr="00CF3E3D">
              <w:rPr>
                <w:rFonts w:eastAsia="Times New Roman"/>
                <w:sz w:val="18"/>
                <w:szCs w:val="18"/>
                <w:lang w:eastAsia="en-AU"/>
              </w:rPr>
              <w:br/>
              <w:t xml:space="preserve">3. $20,000 - $29,999 </w:t>
            </w:r>
            <w:r w:rsidRPr="00CF3E3D">
              <w:rPr>
                <w:rFonts w:eastAsia="Times New Roman"/>
                <w:sz w:val="18"/>
                <w:szCs w:val="18"/>
                <w:lang w:eastAsia="en-AU"/>
              </w:rPr>
              <w:br/>
            </w:r>
            <w:r w:rsidRPr="00CF3E3D">
              <w:rPr>
                <w:rFonts w:eastAsia="Times New Roman"/>
                <w:sz w:val="18"/>
                <w:szCs w:val="18"/>
                <w:lang w:eastAsia="en-AU"/>
              </w:rPr>
              <w:lastRenderedPageBreak/>
              <w:t xml:space="preserve">4. $30,000 - $39,999 </w:t>
            </w:r>
            <w:r w:rsidRPr="00CF3E3D">
              <w:rPr>
                <w:rFonts w:eastAsia="Times New Roman"/>
                <w:sz w:val="18"/>
                <w:szCs w:val="18"/>
                <w:lang w:eastAsia="en-AU"/>
              </w:rPr>
              <w:br/>
              <w:t xml:space="preserve">5. $40,000 - $49,999 </w:t>
            </w:r>
            <w:r w:rsidRPr="00CF3E3D">
              <w:rPr>
                <w:rFonts w:eastAsia="Times New Roman"/>
                <w:sz w:val="18"/>
                <w:szCs w:val="18"/>
                <w:lang w:eastAsia="en-AU"/>
              </w:rPr>
              <w:br/>
              <w:t xml:space="preserve">6. $50,000 - $59,999 </w:t>
            </w:r>
            <w:r w:rsidRPr="00CF3E3D">
              <w:rPr>
                <w:rFonts w:eastAsia="Times New Roman"/>
                <w:sz w:val="18"/>
                <w:szCs w:val="18"/>
                <w:lang w:eastAsia="en-AU"/>
              </w:rPr>
              <w:br/>
              <w:t xml:space="preserve">7. $60,000 - $79,999 </w:t>
            </w:r>
            <w:r w:rsidRPr="00CF3E3D">
              <w:rPr>
                <w:rFonts w:eastAsia="Times New Roman"/>
                <w:sz w:val="18"/>
                <w:szCs w:val="18"/>
                <w:lang w:eastAsia="en-AU"/>
              </w:rPr>
              <w:br/>
              <w:t xml:space="preserve">8. $80,000 - $99,999 </w:t>
            </w:r>
            <w:r w:rsidRPr="00CF3E3D">
              <w:rPr>
                <w:rFonts w:eastAsia="Times New Roman"/>
                <w:sz w:val="18"/>
                <w:szCs w:val="18"/>
                <w:lang w:eastAsia="en-AU"/>
              </w:rPr>
              <w:br/>
              <w:t xml:space="preserve">9. $100,000 - $124,999 </w:t>
            </w:r>
            <w:r w:rsidRPr="00CF3E3D">
              <w:rPr>
                <w:rFonts w:eastAsia="Times New Roman"/>
                <w:sz w:val="18"/>
                <w:szCs w:val="18"/>
                <w:lang w:eastAsia="en-AU"/>
              </w:rPr>
              <w:br/>
              <w:t xml:space="preserve">10. $125,000 - $149,999 </w:t>
            </w:r>
            <w:r w:rsidRPr="00CF3E3D">
              <w:rPr>
                <w:rFonts w:eastAsia="Times New Roman"/>
                <w:sz w:val="18"/>
                <w:szCs w:val="18"/>
                <w:lang w:eastAsia="en-AU"/>
              </w:rPr>
              <w:br/>
              <w:t xml:space="preserve">11. $150,000 or more </w:t>
            </w:r>
            <w:r w:rsidRPr="00CF3E3D">
              <w:rPr>
                <w:rFonts w:eastAsia="Times New Roman"/>
                <w:sz w:val="18"/>
                <w:szCs w:val="18"/>
                <w:lang w:eastAsia="en-AU"/>
              </w:rPr>
              <w:br/>
              <w:t xml:space="preserve">12. Don't know </w:t>
            </w:r>
          </w:p>
        </w:tc>
      </w:tr>
      <w:tr w:rsidR="00040060" w:rsidRPr="00CF3E3D" w14:paraId="1A2C2D7D"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446E79CC"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lastRenderedPageBreak/>
              <w:t>SALARYC</w:t>
            </w:r>
          </w:p>
        </w:tc>
        <w:tc>
          <w:tcPr>
            <w:tcW w:w="6060" w:type="dxa"/>
            <w:hideMark/>
          </w:tcPr>
          <w:p w14:paraId="5D434FF0"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And in</w:t>
            </w:r>
            <w:r w:rsidRPr="00CF3E3D">
              <w:rPr>
                <w:rFonts w:eastAsia="Times New Roman"/>
                <w:b/>
                <w:bCs/>
                <w:sz w:val="18"/>
                <w:szCs w:val="18"/>
                <w:lang w:eastAsia="en-AU"/>
              </w:rPr>
              <w:t xml:space="preserve"> Australian dollars</w:t>
            </w:r>
            <w:r w:rsidRPr="00CF3E3D">
              <w:rPr>
                <w:rFonts w:eastAsia="Times New Roman"/>
                <w:sz w:val="18"/>
                <w:szCs w:val="18"/>
                <w:lang w:eastAsia="en-AU"/>
              </w:rPr>
              <w:t xml:space="preserve">, how much do you usually earn in your </w:t>
            </w:r>
            <w:r w:rsidRPr="00CF3E3D">
              <w:rPr>
                <w:rFonts w:eastAsia="Times New Roman"/>
                <w:b/>
                <w:bCs/>
                <w:sz w:val="18"/>
                <w:szCs w:val="18"/>
                <w:lang w:eastAsia="en-AU"/>
              </w:rPr>
              <w:t>main job</w:t>
            </w:r>
            <w:r w:rsidRPr="00CF3E3D">
              <w:rPr>
                <w:rFonts w:eastAsia="Times New Roman"/>
                <w:sz w:val="18"/>
                <w:szCs w:val="18"/>
                <w:lang w:eastAsia="en-AU"/>
              </w:rPr>
              <w:t xml:space="preserve">, before tax or anything else is taken out? Please make only one selection. </w:t>
            </w:r>
          </w:p>
        </w:tc>
        <w:tc>
          <w:tcPr>
            <w:tcW w:w="3118" w:type="dxa"/>
            <w:hideMark/>
          </w:tcPr>
          <w:p w14:paraId="7A5E994E" w14:textId="77777777" w:rsidR="00040060" w:rsidRPr="00CF3E3D" w:rsidRDefault="00040060" w:rsidP="007007AC">
            <w:pPr>
              <w:spacing w:before="0"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Amount per hour (Please specify) (NUMERIC, RANGE 1-250)</w:t>
            </w:r>
            <w:r w:rsidRPr="00CF3E3D">
              <w:rPr>
                <w:rFonts w:eastAsia="Times New Roman"/>
                <w:sz w:val="18"/>
                <w:szCs w:val="18"/>
                <w:lang w:eastAsia="en-AU"/>
              </w:rPr>
              <w:br/>
              <w:t xml:space="preserve">2. Amount per day (Please specify) (NUMERIC, RANGE 1-800) </w:t>
            </w:r>
            <w:r w:rsidRPr="00CF3E3D">
              <w:rPr>
                <w:rFonts w:eastAsia="Times New Roman"/>
                <w:sz w:val="18"/>
                <w:szCs w:val="18"/>
                <w:lang w:eastAsia="en-AU"/>
              </w:rPr>
              <w:br/>
              <w:t xml:space="preserve">3. Amount each week (Please specify) (NUMERIC, RANGE 1-4000) </w:t>
            </w:r>
            <w:r w:rsidRPr="00CF3E3D">
              <w:rPr>
                <w:rFonts w:eastAsia="Times New Roman"/>
                <w:sz w:val="18"/>
                <w:szCs w:val="18"/>
                <w:lang w:eastAsia="en-AU"/>
              </w:rPr>
              <w:br/>
              <w:t xml:space="preserve">4. Amount each fortnight (Please specify) (NUMERIC, RANGE 1-8000) </w:t>
            </w:r>
            <w:r w:rsidRPr="00CF3E3D">
              <w:rPr>
                <w:rFonts w:eastAsia="Times New Roman"/>
                <w:sz w:val="18"/>
                <w:szCs w:val="18"/>
                <w:lang w:eastAsia="en-AU"/>
              </w:rPr>
              <w:br/>
              <w:t xml:space="preserve">5. Amount each month (Please specify) (NUMERIC, RANGE 1-17,500) </w:t>
            </w:r>
            <w:r w:rsidRPr="00CF3E3D">
              <w:rPr>
                <w:rFonts w:eastAsia="Times New Roman"/>
                <w:sz w:val="18"/>
                <w:szCs w:val="18"/>
                <w:lang w:eastAsia="en-AU"/>
              </w:rPr>
              <w:br/>
              <w:t xml:space="preserve">6. Amount each year (Please specify) (NUMERIC, RANGE 1-250K) </w:t>
            </w:r>
            <w:r w:rsidRPr="00CF3E3D">
              <w:rPr>
                <w:rFonts w:eastAsia="Times New Roman"/>
                <w:sz w:val="18"/>
                <w:szCs w:val="18"/>
                <w:lang w:eastAsia="en-AU"/>
              </w:rPr>
              <w:br/>
              <w:t>7. No earnings</w:t>
            </w:r>
            <w:r w:rsidRPr="00CF3E3D">
              <w:rPr>
                <w:rFonts w:eastAsia="Times New Roman"/>
                <w:sz w:val="18"/>
                <w:szCs w:val="18"/>
                <w:lang w:eastAsia="en-AU"/>
              </w:rPr>
              <w:br/>
              <w:t>8. Don’t know</w:t>
            </w:r>
          </w:p>
        </w:tc>
      </w:tr>
      <w:tr w:rsidR="00040060" w:rsidRPr="00CF3E3D" w14:paraId="6B9E2D51"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BD9DA78"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SALARYD</w:t>
            </w:r>
          </w:p>
        </w:tc>
        <w:tc>
          <w:tcPr>
            <w:tcW w:w="6060" w:type="dxa"/>
            <w:hideMark/>
          </w:tcPr>
          <w:p w14:paraId="5F9F0110"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Sorry but the salary you entered doesn’t fit within our range. Please select the best option for how much you would usually earn in your main job, per annum before tax or anything else was taken out?</w:t>
            </w:r>
          </w:p>
        </w:tc>
        <w:tc>
          <w:tcPr>
            <w:tcW w:w="3118" w:type="dxa"/>
            <w:hideMark/>
          </w:tcPr>
          <w:p w14:paraId="71F8A9F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1. $1 - $9,999 </w:t>
            </w:r>
            <w:r w:rsidRPr="00CF3E3D">
              <w:rPr>
                <w:rFonts w:eastAsia="Times New Roman"/>
                <w:sz w:val="18"/>
                <w:szCs w:val="18"/>
                <w:lang w:eastAsia="en-AU"/>
              </w:rPr>
              <w:br/>
              <w:t xml:space="preserve">2. $10,000 - $19,999 </w:t>
            </w:r>
            <w:r w:rsidRPr="00CF3E3D">
              <w:rPr>
                <w:rFonts w:eastAsia="Times New Roman"/>
                <w:sz w:val="18"/>
                <w:szCs w:val="18"/>
                <w:lang w:eastAsia="en-AU"/>
              </w:rPr>
              <w:br/>
              <w:t xml:space="preserve">3. $20,000 - $29,999 </w:t>
            </w:r>
            <w:r w:rsidRPr="00CF3E3D">
              <w:rPr>
                <w:rFonts w:eastAsia="Times New Roman"/>
                <w:sz w:val="18"/>
                <w:szCs w:val="18"/>
                <w:lang w:eastAsia="en-AU"/>
              </w:rPr>
              <w:br/>
              <w:t xml:space="preserve">4. $30,000 - $39,999 </w:t>
            </w:r>
            <w:r w:rsidRPr="00CF3E3D">
              <w:rPr>
                <w:rFonts w:eastAsia="Times New Roman"/>
                <w:sz w:val="18"/>
                <w:szCs w:val="18"/>
                <w:lang w:eastAsia="en-AU"/>
              </w:rPr>
              <w:br/>
              <w:t xml:space="preserve">5. $40,000 - $49,999 </w:t>
            </w:r>
            <w:r w:rsidRPr="00CF3E3D">
              <w:rPr>
                <w:rFonts w:eastAsia="Times New Roman"/>
                <w:sz w:val="18"/>
                <w:szCs w:val="18"/>
                <w:lang w:eastAsia="en-AU"/>
              </w:rPr>
              <w:br/>
              <w:t xml:space="preserve">6. $50,000 - $59,999 </w:t>
            </w:r>
            <w:r w:rsidRPr="00CF3E3D">
              <w:rPr>
                <w:rFonts w:eastAsia="Times New Roman"/>
                <w:sz w:val="18"/>
                <w:szCs w:val="18"/>
                <w:lang w:eastAsia="en-AU"/>
              </w:rPr>
              <w:br/>
              <w:t xml:space="preserve">7. $60,000 - $79,999 </w:t>
            </w:r>
            <w:r w:rsidRPr="00CF3E3D">
              <w:rPr>
                <w:rFonts w:eastAsia="Times New Roman"/>
                <w:sz w:val="18"/>
                <w:szCs w:val="18"/>
                <w:lang w:eastAsia="en-AU"/>
              </w:rPr>
              <w:br/>
              <w:t xml:space="preserve">8. $80,000 - $99,999 </w:t>
            </w:r>
            <w:r w:rsidRPr="00CF3E3D">
              <w:rPr>
                <w:rFonts w:eastAsia="Times New Roman"/>
                <w:sz w:val="18"/>
                <w:szCs w:val="18"/>
                <w:lang w:eastAsia="en-AU"/>
              </w:rPr>
              <w:br/>
              <w:t xml:space="preserve">9. $100,000 - $124,999 </w:t>
            </w:r>
            <w:r w:rsidRPr="00CF3E3D">
              <w:rPr>
                <w:rFonts w:eastAsia="Times New Roman"/>
                <w:sz w:val="18"/>
                <w:szCs w:val="18"/>
                <w:lang w:eastAsia="en-AU"/>
              </w:rPr>
              <w:br/>
              <w:t xml:space="preserve">10. $125,000 - $149,999 </w:t>
            </w:r>
            <w:r w:rsidRPr="00CF3E3D">
              <w:rPr>
                <w:rFonts w:eastAsia="Times New Roman"/>
                <w:sz w:val="18"/>
                <w:szCs w:val="18"/>
                <w:lang w:eastAsia="en-AU"/>
              </w:rPr>
              <w:br/>
              <w:t xml:space="preserve">11. $150,000 or more </w:t>
            </w:r>
            <w:r w:rsidRPr="00CF3E3D">
              <w:rPr>
                <w:rFonts w:eastAsia="Times New Roman"/>
                <w:sz w:val="18"/>
                <w:szCs w:val="18"/>
                <w:lang w:eastAsia="en-AU"/>
              </w:rPr>
              <w:br/>
              <w:t xml:space="preserve">12. Don't know </w:t>
            </w:r>
          </w:p>
        </w:tc>
      </w:tr>
      <w:tr w:rsidR="00040060" w:rsidRPr="00CF3E3D" w14:paraId="19728EDA"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E3D778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SALCONF1</w:t>
            </w:r>
          </w:p>
        </w:tc>
        <w:tc>
          <w:tcPr>
            <w:tcW w:w="6060" w:type="dxa"/>
            <w:hideMark/>
          </w:tcPr>
          <w:p w14:paraId="071F8708"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Sorry but the salary you entered for your </w:t>
            </w:r>
            <w:r w:rsidRPr="00CF3E3D">
              <w:rPr>
                <w:rFonts w:eastAsia="Times New Roman"/>
                <w:b/>
                <w:bCs/>
                <w:sz w:val="18"/>
                <w:szCs w:val="18"/>
                <w:lang w:eastAsia="en-AU"/>
              </w:rPr>
              <w:t>main job</w:t>
            </w:r>
            <w:r w:rsidRPr="00CF3E3D">
              <w:rPr>
                <w:rFonts w:eastAsia="Times New Roman"/>
                <w:sz w:val="18"/>
                <w:szCs w:val="18"/>
                <w:lang w:eastAsia="en-AU"/>
              </w:rPr>
              <w:t xml:space="preserve"> is higher than the salary you entered for</w:t>
            </w:r>
            <w:r w:rsidRPr="00CF3E3D">
              <w:rPr>
                <w:rFonts w:eastAsia="Times New Roman"/>
                <w:b/>
                <w:bCs/>
                <w:sz w:val="18"/>
                <w:szCs w:val="18"/>
                <w:lang w:eastAsia="en-AU"/>
              </w:rPr>
              <w:t xml:space="preserve"> all your jobs</w:t>
            </w:r>
            <w:r w:rsidRPr="00CF3E3D">
              <w:rPr>
                <w:rFonts w:eastAsia="Times New Roman"/>
                <w:sz w:val="18"/>
                <w:szCs w:val="18"/>
                <w:lang w:eastAsia="en-AU"/>
              </w:rPr>
              <w:t xml:space="preserve">. Please select the best option for how much you would usually earn in your </w:t>
            </w:r>
            <w:r w:rsidRPr="00CF3E3D">
              <w:rPr>
                <w:rFonts w:eastAsia="Times New Roman"/>
                <w:b/>
                <w:bCs/>
                <w:sz w:val="18"/>
                <w:szCs w:val="18"/>
                <w:lang w:eastAsia="en-AU"/>
              </w:rPr>
              <w:t>main job</w:t>
            </w:r>
            <w:r w:rsidRPr="00CF3E3D">
              <w:rPr>
                <w:rFonts w:eastAsia="Times New Roman"/>
                <w:sz w:val="18"/>
                <w:szCs w:val="18"/>
                <w:lang w:eastAsia="en-AU"/>
              </w:rPr>
              <w:t>, per annum before tax or anything else was taken out?</w:t>
            </w:r>
          </w:p>
        </w:tc>
        <w:tc>
          <w:tcPr>
            <w:tcW w:w="3118" w:type="dxa"/>
            <w:hideMark/>
          </w:tcPr>
          <w:p w14:paraId="5F8C0397"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1. $1 - $9,999 </w:t>
            </w:r>
            <w:r w:rsidRPr="00CF3E3D">
              <w:rPr>
                <w:rFonts w:eastAsia="Times New Roman"/>
                <w:sz w:val="18"/>
                <w:szCs w:val="18"/>
                <w:lang w:eastAsia="en-AU"/>
              </w:rPr>
              <w:br/>
              <w:t xml:space="preserve">2. $10,000 - $19,999 </w:t>
            </w:r>
            <w:r w:rsidRPr="00CF3E3D">
              <w:rPr>
                <w:rFonts w:eastAsia="Times New Roman"/>
                <w:sz w:val="18"/>
                <w:szCs w:val="18"/>
                <w:lang w:eastAsia="en-AU"/>
              </w:rPr>
              <w:br/>
              <w:t xml:space="preserve">3. $20,000 - $29,999 </w:t>
            </w:r>
            <w:r w:rsidRPr="00CF3E3D">
              <w:rPr>
                <w:rFonts w:eastAsia="Times New Roman"/>
                <w:sz w:val="18"/>
                <w:szCs w:val="18"/>
                <w:lang w:eastAsia="en-AU"/>
              </w:rPr>
              <w:br/>
              <w:t xml:space="preserve">4. $30,000 - $39,999 </w:t>
            </w:r>
            <w:r w:rsidRPr="00CF3E3D">
              <w:rPr>
                <w:rFonts w:eastAsia="Times New Roman"/>
                <w:sz w:val="18"/>
                <w:szCs w:val="18"/>
                <w:lang w:eastAsia="en-AU"/>
              </w:rPr>
              <w:br/>
              <w:t xml:space="preserve">5. $40,000 - $49,999 </w:t>
            </w:r>
            <w:r w:rsidRPr="00CF3E3D">
              <w:rPr>
                <w:rFonts w:eastAsia="Times New Roman"/>
                <w:sz w:val="18"/>
                <w:szCs w:val="18"/>
                <w:lang w:eastAsia="en-AU"/>
              </w:rPr>
              <w:br/>
              <w:t xml:space="preserve">6. $50,000 - $59,999 </w:t>
            </w:r>
            <w:r w:rsidRPr="00CF3E3D">
              <w:rPr>
                <w:rFonts w:eastAsia="Times New Roman"/>
                <w:sz w:val="18"/>
                <w:szCs w:val="18"/>
                <w:lang w:eastAsia="en-AU"/>
              </w:rPr>
              <w:br/>
              <w:t xml:space="preserve">7. $60,000 - $79,999 </w:t>
            </w:r>
            <w:r w:rsidRPr="00CF3E3D">
              <w:rPr>
                <w:rFonts w:eastAsia="Times New Roman"/>
                <w:sz w:val="18"/>
                <w:szCs w:val="18"/>
                <w:lang w:eastAsia="en-AU"/>
              </w:rPr>
              <w:br/>
              <w:t xml:space="preserve">8. $80,000 - $99,999 </w:t>
            </w:r>
            <w:r w:rsidRPr="00CF3E3D">
              <w:rPr>
                <w:rFonts w:eastAsia="Times New Roman"/>
                <w:sz w:val="18"/>
                <w:szCs w:val="18"/>
                <w:lang w:eastAsia="en-AU"/>
              </w:rPr>
              <w:br/>
              <w:t xml:space="preserve">9. $100,000 - $124,999 </w:t>
            </w:r>
            <w:r w:rsidRPr="00CF3E3D">
              <w:rPr>
                <w:rFonts w:eastAsia="Times New Roman"/>
                <w:sz w:val="18"/>
                <w:szCs w:val="18"/>
                <w:lang w:eastAsia="en-AU"/>
              </w:rPr>
              <w:br/>
              <w:t xml:space="preserve">10. $125,000 - $149,999 </w:t>
            </w:r>
            <w:r w:rsidRPr="00CF3E3D">
              <w:rPr>
                <w:rFonts w:eastAsia="Times New Roman"/>
                <w:sz w:val="18"/>
                <w:szCs w:val="18"/>
                <w:lang w:eastAsia="en-AU"/>
              </w:rPr>
              <w:br/>
              <w:t xml:space="preserve">11. $150,000 or more </w:t>
            </w:r>
            <w:r w:rsidRPr="00CF3E3D">
              <w:rPr>
                <w:rFonts w:eastAsia="Times New Roman"/>
                <w:sz w:val="18"/>
                <w:szCs w:val="18"/>
                <w:lang w:eastAsia="en-AU"/>
              </w:rPr>
              <w:br/>
              <w:t xml:space="preserve">12. Don't know </w:t>
            </w:r>
          </w:p>
        </w:tc>
      </w:tr>
      <w:tr w:rsidR="00040060" w:rsidRPr="00CF3E3D" w14:paraId="42DBE6FF"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ADEF04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SALCONF2</w:t>
            </w:r>
          </w:p>
        </w:tc>
        <w:tc>
          <w:tcPr>
            <w:tcW w:w="6060" w:type="dxa"/>
            <w:hideMark/>
          </w:tcPr>
          <w:p w14:paraId="35B3A3C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And which of the following would you usually earn in your </w:t>
            </w:r>
            <w:r w:rsidRPr="00CF3E3D">
              <w:rPr>
                <w:rFonts w:eastAsia="Times New Roman"/>
                <w:b/>
                <w:bCs/>
                <w:sz w:val="18"/>
                <w:szCs w:val="18"/>
                <w:lang w:eastAsia="en-AU"/>
              </w:rPr>
              <w:t>all your jobs</w:t>
            </w:r>
            <w:r w:rsidRPr="00CF3E3D">
              <w:rPr>
                <w:rFonts w:eastAsia="Times New Roman"/>
                <w:sz w:val="18"/>
                <w:szCs w:val="18"/>
                <w:lang w:eastAsia="en-AU"/>
              </w:rPr>
              <w:t>, per annum before tax or anything else was taken out?</w:t>
            </w:r>
          </w:p>
        </w:tc>
        <w:tc>
          <w:tcPr>
            <w:tcW w:w="3118" w:type="dxa"/>
            <w:hideMark/>
          </w:tcPr>
          <w:p w14:paraId="479F3C5F"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1. $1 - $9,999 </w:t>
            </w:r>
            <w:r w:rsidRPr="00CF3E3D">
              <w:rPr>
                <w:rFonts w:eastAsia="Times New Roman"/>
                <w:sz w:val="18"/>
                <w:szCs w:val="18"/>
                <w:lang w:eastAsia="en-AU"/>
              </w:rPr>
              <w:br/>
              <w:t xml:space="preserve">2. $10,000 - $19,999 </w:t>
            </w:r>
            <w:r w:rsidRPr="00CF3E3D">
              <w:rPr>
                <w:rFonts w:eastAsia="Times New Roman"/>
                <w:sz w:val="18"/>
                <w:szCs w:val="18"/>
                <w:lang w:eastAsia="en-AU"/>
              </w:rPr>
              <w:br/>
              <w:t xml:space="preserve">3. $20,000 - $29,999 </w:t>
            </w:r>
            <w:r w:rsidRPr="00CF3E3D">
              <w:rPr>
                <w:rFonts w:eastAsia="Times New Roman"/>
                <w:sz w:val="18"/>
                <w:szCs w:val="18"/>
                <w:lang w:eastAsia="en-AU"/>
              </w:rPr>
              <w:br/>
              <w:t xml:space="preserve">4. $30,000 - $39,999 </w:t>
            </w:r>
            <w:r w:rsidRPr="00CF3E3D">
              <w:rPr>
                <w:rFonts w:eastAsia="Times New Roman"/>
                <w:sz w:val="18"/>
                <w:szCs w:val="18"/>
                <w:lang w:eastAsia="en-AU"/>
              </w:rPr>
              <w:br/>
              <w:t xml:space="preserve">5. $40,000 - $49,999 </w:t>
            </w:r>
            <w:r w:rsidRPr="00CF3E3D">
              <w:rPr>
                <w:rFonts w:eastAsia="Times New Roman"/>
                <w:sz w:val="18"/>
                <w:szCs w:val="18"/>
                <w:lang w:eastAsia="en-AU"/>
              </w:rPr>
              <w:br/>
              <w:t xml:space="preserve">6. $50,000 - $59,999 </w:t>
            </w:r>
            <w:r w:rsidRPr="00CF3E3D">
              <w:rPr>
                <w:rFonts w:eastAsia="Times New Roman"/>
                <w:sz w:val="18"/>
                <w:szCs w:val="18"/>
                <w:lang w:eastAsia="en-AU"/>
              </w:rPr>
              <w:br/>
              <w:t xml:space="preserve">7. $60,000 - $79,999 </w:t>
            </w:r>
            <w:r w:rsidRPr="00CF3E3D">
              <w:rPr>
                <w:rFonts w:eastAsia="Times New Roman"/>
                <w:sz w:val="18"/>
                <w:szCs w:val="18"/>
                <w:lang w:eastAsia="en-AU"/>
              </w:rPr>
              <w:br/>
              <w:t xml:space="preserve">8. $80,000 - $99,999 </w:t>
            </w:r>
            <w:r w:rsidRPr="00CF3E3D">
              <w:rPr>
                <w:rFonts w:eastAsia="Times New Roman"/>
                <w:sz w:val="18"/>
                <w:szCs w:val="18"/>
                <w:lang w:eastAsia="en-AU"/>
              </w:rPr>
              <w:br/>
              <w:t xml:space="preserve">9. $100,000 - $124,999 </w:t>
            </w:r>
            <w:r w:rsidRPr="00CF3E3D">
              <w:rPr>
                <w:rFonts w:eastAsia="Times New Roman"/>
                <w:sz w:val="18"/>
                <w:szCs w:val="18"/>
                <w:lang w:eastAsia="en-AU"/>
              </w:rPr>
              <w:br/>
              <w:t xml:space="preserve">10. $125,000 - $149,999 </w:t>
            </w:r>
            <w:r w:rsidRPr="00CF3E3D">
              <w:rPr>
                <w:rFonts w:eastAsia="Times New Roman"/>
                <w:sz w:val="18"/>
                <w:szCs w:val="18"/>
                <w:lang w:eastAsia="en-AU"/>
              </w:rPr>
              <w:br/>
              <w:t xml:space="preserve">11. $150,000 or more </w:t>
            </w:r>
            <w:r w:rsidRPr="00CF3E3D">
              <w:rPr>
                <w:rFonts w:eastAsia="Times New Roman"/>
                <w:sz w:val="18"/>
                <w:szCs w:val="18"/>
                <w:lang w:eastAsia="en-AU"/>
              </w:rPr>
              <w:br/>
              <w:t xml:space="preserve">12. Don't know </w:t>
            </w:r>
          </w:p>
        </w:tc>
      </w:tr>
      <w:tr w:rsidR="00040060" w:rsidRPr="00CF3E3D" w14:paraId="311E790E"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939A05A"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lastRenderedPageBreak/>
              <w:t>SALARYOS</w:t>
            </w:r>
          </w:p>
        </w:tc>
        <w:tc>
          <w:tcPr>
            <w:tcW w:w="6060" w:type="dxa"/>
            <w:hideMark/>
          </w:tcPr>
          <w:p w14:paraId="02C95CC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is your gross (that is pre-tax) annual salary? You can estimate if necessary.</w:t>
            </w:r>
          </w:p>
        </w:tc>
        <w:tc>
          <w:tcPr>
            <w:tcW w:w="3118" w:type="dxa"/>
            <w:hideMark/>
          </w:tcPr>
          <w:p w14:paraId="01F863EF"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"AUD - Australian Dollar"</w:t>
            </w:r>
            <w:r w:rsidRPr="00CF3E3D">
              <w:rPr>
                <w:rFonts w:eastAsia="Times New Roman"/>
                <w:sz w:val="18"/>
                <w:szCs w:val="18"/>
                <w:lang w:eastAsia="en-AU"/>
              </w:rPr>
              <w:br/>
              <w:t>2. "BDT - Bangladeshi Taka"</w:t>
            </w:r>
            <w:r w:rsidRPr="00CF3E3D">
              <w:rPr>
                <w:rFonts w:eastAsia="Times New Roman"/>
                <w:sz w:val="18"/>
                <w:szCs w:val="18"/>
                <w:lang w:eastAsia="en-AU"/>
              </w:rPr>
              <w:br/>
              <w:t>3. "BWP - Botswana Pula"</w:t>
            </w:r>
            <w:r w:rsidRPr="00CF3E3D">
              <w:rPr>
                <w:rFonts w:eastAsia="Times New Roman"/>
                <w:sz w:val="18"/>
                <w:szCs w:val="18"/>
                <w:lang w:eastAsia="en-AU"/>
              </w:rPr>
              <w:br/>
              <w:t>4. "CNY - Chinese yuan"</w:t>
            </w:r>
            <w:r w:rsidRPr="00CF3E3D">
              <w:rPr>
                <w:rFonts w:eastAsia="Times New Roman"/>
                <w:sz w:val="18"/>
                <w:szCs w:val="18"/>
                <w:lang w:eastAsia="en-AU"/>
              </w:rPr>
              <w:br/>
              <w:t>5. "EUR - Euro"</w:t>
            </w:r>
            <w:r w:rsidRPr="00CF3E3D">
              <w:rPr>
                <w:rFonts w:eastAsia="Times New Roman"/>
                <w:sz w:val="18"/>
                <w:szCs w:val="18"/>
                <w:lang w:eastAsia="en-AU"/>
              </w:rPr>
              <w:br/>
              <w:t>6. "GBP - British Pound"</w:t>
            </w:r>
            <w:r w:rsidRPr="00CF3E3D">
              <w:rPr>
                <w:rFonts w:eastAsia="Times New Roman"/>
                <w:sz w:val="18"/>
                <w:szCs w:val="18"/>
                <w:lang w:eastAsia="en-AU"/>
              </w:rPr>
              <w:br/>
              <w:t>7. "HKD - Hong Kong Dollar"</w:t>
            </w:r>
            <w:r w:rsidRPr="00CF3E3D">
              <w:rPr>
                <w:rFonts w:eastAsia="Times New Roman"/>
                <w:sz w:val="18"/>
                <w:szCs w:val="18"/>
                <w:lang w:eastAsia="en-AU"/>
              </w:rPr>
              <w:br/>
              <w:t>8. "IDR - Indonesian Rupiah"</w:t>
            </w:r>
            <w:r w:rsidRPr="00CF3E3D">
              <w:rPr>
                <w:rFonts w:eastAsia="Times New Roman"/>
                <w:sz w:val="18"/>
                <w:szCs w:val="18"/>
                <w:lang w:eastAsia="en-AU"/>
              </w:rPr>
              <w:br/>
              <w:t>9. "INR - Indian Rupee"</w:t>
            </w:r>
            <w:r w:rsidRPr="00CF3E3D">
              <w:rPr>
                <w:rFonts w:eastAsia="Times New Roman"/>
                <w:sz w:val="18"/>
                <w:szCs w:val="18"/>
                <w:lang w:eastAsia="en-AU"/>
              </w:rPr>
              <w:br/>
              <w:t>10. "KES - Kenyan Shilling"</w:t>
            </w:r>
            <w:r w:rsidRPr="00CF3E3D">
              <w:rPr>
                <w:rFonts w:eastAsia="Times New Roman"/>
                <w:sz w:val="18"/>
                <w:szCs w:val="18"/>
                <w:lang w:eastAsia="en-AU"/>
              </w:rPr>
              <w:br/>
              <w:t>11. "LKR - Sri Lankan Rupee"</w:t>
            </w:r>
            <w:r w:rsidRPr="00CF3E3D">
              <w:rPr>
                <w:rFonts w:eastAsia="Times New Roman"/>
                <w:sz w:val="18"/>
                <w:szCs w:val="18"/>
                <w:lang w:eastAsia="en-AU"/>
              </w:rPr>
              <w:br/>
              <w:t>12. "MUR - Mauritian Rupee"</w:t>
            </w:r>
            <w:r w:rsidRPr="00CF3E3D">
              <w:rPr>
                <w:rFonts w:eastAsia="Times New Roman"/>
                <w:sz w:val="18"/>
                <w:szCs w:val="18"/>
                <w:lang w:eastAsia="en-AU"/>
              </w:rPr>
              <w:br/>
              <w:t>13. "MYR - Malaysian Ringgit"</w:t>
            </w:r>
            <w:r w:rsidRPr="00CF3E3D">
              <w:rPr>
                <w:rFonts w:eastAsia="Times New Roman"/>
                <w:sz w:val="18"/>
                <w:szCs w:val="18"/>
                <w:lang w:eastAsia="en-AU"/>
              </w:rPr>
              <w:br/>
              <w:t>14. "PKR - Pakistani Rupee"</w:t>
            </w:r>
            <w:r w:rsidRPr="00CF3E3D">
              <w:rPr>
                <w:rFonts w:eastAsia="Times New Roman"/>
                <w:sz w:val="18"/>
                <w:szCs w:val="18"/>
                <w:lang w:eastAsia="en-AU"/>
              </w:rPr>
              <w:br/>
              <w:t>15. "SGD - Singapore Dollar"</w:t>
            </w:r>
            <w:r w:rsidRPr="00CF3E3D">
              <w:rPr>
                <w:rFonts w:eastAsia="Times New Roman"/>
                <w:sz w:val="18"/>
                <w:szCs w:val="18"/>
                <w:lang w:eastAsia="en-AU"/>
              </w:rPr>
              <w:br/>
              <w:t>16. "USD - US Dollar"</w:t>
            </w:r>
            <w:r w:rsidRPr="00CF3E3D">
              <w:rPr>
                <w:rFonts w:eastAsia="Times New Roman"/>
                <w:sz w:val="18"/>
                <w:szCs w:val="18"/>
                <w:lang w:eastAsia="en-AU"/>
              </w:rPr>
              <w:br/>
              <w:t>17. "ZAR - South African Rand"</w:t>
            </w:r>
            <w:r w:rsidRPr="00CF3E3D">
              <w:rPr>
                <w:rFonts w:eastAsia="Times New Roman"/>
                <w:sz w:val="18"/>
                <w:szCs w:val="18"/>
                <w:lang w:eastAsia="en-AU"/>
              </w:rPr>
              <w:br/>
              <w:t>18. "ZMK - Zambian Kwacha"</w:t>
            </w:r>
            <w:r w:rsidRPr="00CF3E3D">
              <w:rPr>
                <w:rFonts w:eastAsia="Times New Roman"/>
                <w:sz w:val="18"/>
                <w:szCs w:val="18"/>
                <w:lang w:eastAsia="en-AU"/>
              </w:rPr>
              <w:br/>
              <w:t>19. "ZWD - Zimbabwean Dollar"</w:t>
            </w:r>
            <w:r w:rsidRPr="00CF3E3D">
              <w:rPr>
                <w:rFonts w:eastAsia="Times New Roman"/>
                <w:sz w:val="18"/>
                <w:szCs w:val="18"/>
                <w:lang w:eastAsia="en-AU"/>
              </w:rPr>
              <w:br/>
              <w:t>20. "NZD - New Zealand Dollar",</w:t>
            </w:r>
            <w:r w:rsidRPr="00CF3E3D">
              <w:rPr>
                <w:rFonts w:eastAsia="Times New Roman"/>
                <w:sz w:val="18"/>
                <w:szCs w:val="18"/>
                <w:lang w:eastAsia="en-AU"/>
              </w:rPr>
              <w:br/>
              <w:t>21. "CAD - Canadian Dollar",</w:t>
            </w:r>
            <w:r w:rsidRPr="00CF3E3D">
              <w:rPr>
                <w:rFonts w:eastAsia="Times New Roman"/>
                <w:sz w:val="18"/>
                <w:szCs w:val="18"/>
                <w:lang w:eastAsia="en-AU"/>
              </w:rPr>
              <w:br/>
              <w:t>22. "JPY - Japanese Yen",</w:t>
            </w:r>
            <w:r w:rsidRPr="00CF3E3D">
              <w:rPr>
                <w:rFonts w:eastAsia="Times New Roman"/>
                <w:sz w:val="18"/>
                <w:szCs w:val="18"/>
                <w:lang w:eastAsia="en-AU"/>
              </w:rPr>
              <w:br/>
              <w:t>23. "KRW - South Korean Won",</w:t>
            </w:r>
            <w:r w:rsidRPr="00CF3E3D">
              <w:rPr>
                <w:rFonts w:eastAsia="Times New Roman"/>
                <w:sz w:val="18"/>
                <w:szCs w:val="18"/>
                <w:lang w:eastAsia="en-AU"/>
              </w:rPr>
              <w:br/>
              <w:t>24. "VND - Vietnamese Dong",</w:t>
            </w:r>
            <w:r w:rsidRPr="00CF3E3D">
              <w:rPr>
                <w:rFonts w:eastAsia="Times New Roman"/>
                <w:sz w:val="18"/>
                <w:szCs w:val="18"/>
                <w:lang w:eastAsia="en-AU"/>
              </w:rPr>
              <w:br/>
              <w:t>25. "SEK - Swedish Krona",</w:t>
            </w:r>
            <w:r w:rsidRPr="00CF3E3D">
              <w:rPr>
                <w:rFonts w:eastAsia="Times New Roman"/>
                <w:sz w:val="18"/>
                <w:szCs w:val="18"/>
                <w:lang w:eastAsia="en-AU"/>
              </w:rPr>
              <w:br/>
              <w:t>26. "THB - Thai Baht"</w:t>
            </w:r>
            <w:r w:rsidRPr="00CF3E3D">
              <w:rPr>
                <w:rFonts w:eastAsia="Times New Roman"/>
                <w:sz w:val="18"/>
                <w:szCs w:val="18"/>
                <w:lang w:eastAsia="en-AU"/>
              </w:rPr>
              <w:br/>
              <w:t>27. Other (Please specify)</w:t>
            </w:r>
          </w:p>
        </w:tc>
      </w:tr>
      <w:tr w:rsidR="00040060" w:rsidRPr="00CF3E3D" w14:paraId="76BBEBF2"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916E585"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FINDJOB</w:t>
            </w:r>
          </w:p>
        </w:tc>
        <w:tc>
          <w:tcPr>
            <w:tcW w:w="6060" w:type="dxa"/>
            <w:hideMark/>
          </w:tcPr>
          <w:p w14:paraId="7E7016E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How did you first find out about this job?</w:t>
            </w:r>
          </w:p>
        </w:tc>
        <w:tc>
          <w:tcPr>
            <w:tcW w:w="3118" w:type="dxa"/>
            <w:hideMark/>
          </w:tcPr>
          <w:p w14:paraId="2D2B71DD"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University or college careers service</w:t>
            </w:r>
            <w:r w:rsidRPr="00CF3E3D">
              <w:rPr>
                <w:rFonts w:eastAsia="Times New Roman"/>
                <w:sz w:val="18"/>
                <w:szCs w:val="18"/>
                <w:lang w:eastAsia="en-AU"/>
              </w:rPr>
              <w:br/>
              <w:t>2. Careers fair or information session</w:t>
            </w:r>
            <w:r w:rsidRPr="00CF3E3D">
              <w:rPr>
                <w:rFonts w:eastAsia="Times New Roman"/>
                <w:sz w:val="18"/>
                <w:szCs w:val="18"/>
                <w:lang w:eastAsia="en-AU"/>
              </w:rPr>
              <w:br/>
              <w:t>3. Other university or college source (such as faculties or lecturers or student society)</w:t>
            </w:r>
            <w:r w:rsidRPr="00CF3E3D">
              <w:rPr>
                <w:rFonts w:eastAsia="Times New Roman"/>
                <w:sz w:val="18"/>
                <w:szCs w:val="18"/>
                <w:lang w:eastAsia="en-AU"/>
              </w:rPr>
              <w:br/>
              <w:t>4. Advertisement in a newspaper or other print media</w:t>
            </w:r>
            <w:r w:rsidRPr="00CF3E3D">
              <w:rPr>
                <w:rFonts w:eastAsia="Times New Roman"/>
                <w:sz w:val="18"/>
                <w:szCs w:val="18"/>
                <w:lang w:eastAsia="en-AU"/>
              </w:rPr>
              <w:br/>
              <w:t>5. Advertisement on the internet (e.g. Seek, CareerOne, Ethical Jobs)</w:t>
            </w:r>
            <w:r w:rsidRPr="00CF3E3D">
              <w:rPr>
                <w:rFonts w:eastAsia="Times New Roman"/>
                <w:sz w:val="18"/>
                <w:szCs w:val="18"/>
                <w:lang w:eastAsia="en-AU"/>
              </w:rPr>
              <w:br/>
              <w:t>6. Via resume posted on the internet</w:t>
            </w:r>
            <w:r w:rsidRPr="00CF3E3D">
              <w:rPr>
                <w:rFonts w:eastAsia="Times New Roman"/>
                <w:sz w:val="18"/>
                <w:szCs w:val="18"/>
                <w:lang w:eastAsia="en-AU"/>
              </w:rPr>
              <w:br/>
              <w:t>7. Family or friends</w:t>
            </w:r>
            <w:r w:rsidRPr="00CF3E3D">
              <w:rPr>
                <w:rFonts w:eastAsia="Times New Roman"/>
                <w:sz w:val="18"/>
                <w:szCs w:val="18"/>
                <w:lang w:eastAsia="en-AU"/>
              </w:rPr>
              <w:br/>
              <w:t>8. Approached employer directly</w:t>
            </w:r>
            <w:r w:rsidRPr="00CF3E3D">
              <w:rPr>
                <w:rFonts w:eastAsia="Times New Roman"/>
                <w:sz w:val="18"/>
                <w:szCs w:val="18"/>
                <w:lang w:eastAsia="en-AU"/>
              </w:rPr>
              <w:br/>
              <w:t>9. Approached by an employer</w:t>
            </w:r>
            <w:r w:rsidRPr="00CF3E3D">
              <w:rPr>
                <w:rFonts w:eastAsia="Times New Roman"/>
                <w:sz w:val="18"/>
                <w:szCs w:val="18"/>
                <w:lang w:eastAsia="en-AU"/>
              </w:rPr>
              <w:br/>
              <w:t>10. Employment agency</w:t>
            </w:r>
            <w:r w:rsidRPr="00CF3E3D">
              <w:rPr>
                <w:rFonts w:eastAsia="Times New Roman"/>
                <w:sz w:val="18"/>
                <w:szCs w:val="18"/>
                <w:lang w:eastAsia="en-AU"/>
              </w:rPr>
              <w:br/>
              <w:t>11. Work contacts or networks</w:t>
            </w:r>
            <w:r w:rsidRPr="00CF3E3D">
              <w:rPr>
                <w:rFonts w:eastAsia="Times New Roman"/>
                <w:sz w:val="18"/>
                <w:szCs w:val="18"/>
                <w:lang w:eastAsia="en-AU"/>
              </w:rPr>
              <w:br/>
              <w:t>12. Social media (e.g. LinkedIn)</w:t>
            </w:r>
            <w:r w:rsidRPr="00CF3E3D">
              <w:rPr>
                <w:rFonts w:eastAsia="Times New Roman"/>
                <w:sz w:val="18"/>
                <w:szCs w:val="18"/>
                <w:lang w:eastAsia="en-AU"/>
              </w:rPr>
              <w:br/>
              <w:t>17. An employer promotional event</w:t>
            </w:r>
            <w:r w:rsidRPr="00CF3E3D">
              <w:rPr>
                <w:rFonts w:eastAsia="Times New Roman"/>
                <w:sz w:val="18"/>
                <w:szCs w:val="18"/>
                <w:lang w:eastAsia="en-AU"/>
              </w:rPr>
              <w:br/>
              <w:t>13. Other (Please specify)</w:t>
            </w:r>
          </w:p>
        </w:tc>
      </w:tr>
      <w:tr w:rsidR="00040060" w:rsidRPr="00CF3E3D" w14:paraId="135685A0"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25799C1"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SPOQ</w:t>
            </w:r>
          </w:p>
        </w:tc>
        <w:tc>
          <w:tcPr>
            <w:tcW w:w="6060" w:type="dxa"/>
            <w:hideMark/>
          </w:tcPr>
          <w:p w14:paraId="15B237E4"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The following statements are about your skills, abilities and education.</w:t>
            </w:r>
            <w:r w:rsidRPr="00CF3E3D">
              <w:rPr>
                <w:rFonts w:eastAsia="Times New Roman"/>
                <w:sz w:val="18"/>
                <w:szCs w:val="18"/>
                <w:lang w:eastAsia="en-AU"/>
              </w:rPr>
              <w:br/>
              <w:t>Please indicate the extent to which you strongly disagree, disagree, neither disagree nor agree, agree or strongly agree with each of these statements.</w:t>
            </w:r>
            <w:r w:rsidRPr="00CF3E3D">
              <w:rPr>
                <w:rFonts w:eastAsia="Times New Roman"/>
                <w:sz w:val="18"/>
                <w:szCs w:val="18"/>
                <w:lang w:eastAsia="en-AU"/>
              </w:rPr>
              <w:br/>
              <w:t>(STATEMENTS)</w:t>
            </w:r>
            <w:r w:rsidRPr="00CF3E3D">
              <w:rPr>
                <w:rFonts w:eastAsia="Times New Roman"/>
                <w:sz w:val="18"/>
                <w:szCs w:val="18"/>
                <w:lang w:eastAsia="en-AU"/>
              </w:rPr>
              <w:br/>
              <w:t>a) My job requires less education than I have</w:t>
            </w:r>
            <w:r w:rsidRPr="00CF3E3D">
              <w:rPr>
                <w:rFonts w:eastAsia="Times New Roman"/>
                <w:sz w:val="18"/>
                <w:szCs w:val="18"/>
                <w:lang w:eastAsia="en-AU"/>
              </w:rPr>
              <w:br/>
              <w:t>b) I have more job skills than are required for this job</w:t>
            </w:r>
            <w:r w:rsidRPr="00CF3E3D">
              <w:rPr>
                <w:rFonts w:eastAsia="Times New Roman"/>
                <w:sz w:val="18"/>
                <w:szCs w:val="18"/>
                <w:lang w:eastAsia="en-AU"/>
              </w:rPr>
              <w:br/>
              <w:t>c) Someone with less education than myself could perform well on my job</w:t>
            </w:r>
            <w:r w:rsidRPr="00CF3E3D">
              <w:rPr>
                <w:rFonts w:eastAsia="Times New Roman"/>
                <w:sz w:val="18"/>
                <w:szCs w:val="18"/>
                <w:lang w:eastAsia="en-AU"/>
              </w:rPr>
              <w:br/>
              <w:t>d) My previous training is being fully utilised on this job</w:t>
            </w:r>
            <w:r w:rsidRPr="00CF3E3D">
              <w:rPr>
                <w:rFonts w:eastAsia="Times New Roman"/>
                <w:sz w:val="18"/>
                <w:szCs w:val="18"/>
                <w:lang w:eastAsia="en-AU"/>
              </w:rPr>
              <w:br/>
              <w:t>e) I have more knowledge than I need in order to do my job</w:t>
            </w:r>
            <w:r w:rsidRPr="00CF3E3D">
              <w:rPr>
                <w:rFonts w:eastAsia="Times New Roman"/>
                <w:sz w:val="18"/>
                <w:szCs w:val="18"/>
                <w:lang w:eastAsia="en-AU"/>
              </w:rPr>
              <w:br/>
              <w:t>f) My education level is above the level required to do my job</w:t>
            </w:r>
            <w:r w:rsidRPr="00CF3E3D">
              <w:rPr>
                <w:rFonts w:eastAsia="Times New Roman"/>
                <w:sz w:val="18"/>
                <w:szCs w:val="18"/>
                <w:lang w:eastAsia="en-AU"/>
              </w:rPr>
              <w:br/>
              <w:t>g) Someone with less work experience than myself could do my job just as well</w:t>
            </w:r>
            <w:r w:rsidRPr="00CF3E3D">
              <w:rPr>
                <w:rFonts w:eastAsia="Times New Roman"/>
                <w:sz w:val="18"/>
                <w:szCs w:val="18"/>
                <w:lang w:eastAsia="en-AU"/>
              </w:rPr>
              <w:br/>
              <w:t>h) I have more abilities than I need in order to do my job</w:t>
            </w:r>
          </w:p>
        </w:tc>
        <w:tc>
          <w:tcPr>
            <w:tcW w:w="3118" w:type="dxa"/>
            <w:hideMark/>
          </w:tcPr>
          <w:p w14:paraId="7116D0D6" w14:textId="77777777" w:rsidR="00040060" w:rsidRPr="00CF3E3D" w:rsidRDefault="00040060" w:rsidP="007007AC">
            <w:pPr>
              <w:spacing w:before="0"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Strongly disagree</w:t>
            </w:r>
            <w:r w:rsidRPr="00CF3E3D">
              <w:rPr>
                <w:rFonts w:eastAsia="Times New Roman"/>
                <w:sz w:val="18"/>
                <w:szCs w:val="18"/>
                <w:lang w:eastAsia="en-AU"/>
              </w:rPr>
              <w:br/>
              <w:t>2. Disagree</w:t>
            </w:r>
            <w:r w:rsidRPr="00CF3E3D">
              <w:rPr>
                <w:rFonts w:eastAsia="Times New Roman"/>
                <w:sz w:val="18"/>
                <w:szCs w:val="18"/>
                <w:lang w:eastAsia="en-AU"/>
              </w:rPr>
              <w:br/>
              <w:t>3. Neither disagree nor agree</w:t>
            </w:r>
            <w:r w:rsidRPr="00CF3E3D">
              <w:rPr>
                <w:rFonts w:eastAsia="Times New Roman"/>
                <w:sz w:val="18"/>
                <w:szCs w:val="18"/>
                <w:lang w:eastAsia="en-AU"/>
              </w:rPr>
              <w:br/>
              <w:t>4. Agree</w:t>
            </w:r>
            <w:r w:rsidRPr="00CF3E3D">
              <w:rPr>
                <w:rFonts w:eastAsia="Times New Roman"/>
                <w:sz w:val="18"/>
                <w:szCs w:val="18"/>
                <w:lang w:eastAsia="en-AU"/>
              </w:rPr>
              <w:br/>
              <w:t>5. Strongly agree</w:t>
            </w:r>
          </w:p>
        </w:tc>
      </w:tr>
      <w:tr w:rsidR="00040060" w:rsidRPr="00CF3E3D" w14:paraId="664531FD"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noWrap/>
            <w:hideMark/>
          </w:tcPr>
          <w:p w14:paraId="7951038B"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RSOVRQ</w:t>
            </w:r>
          </w:p>
        </w:tc>
        <w:tc>
          <w:tcPr>
            <w:tcW w:w="6060" w:type="dxa"/>
            <w:hideMark/>
          </w:tcPr>
          <w:p w14:paraId="3401E315"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Your previous responses indicated that you have more skills or education than are needed to do your current job.  What is the main reason you are </w:t>
            </w:r>
            <w:r w:rsidRPr="00CF3E3D">
              <w:rPr>
                <w:rFonts w:eastAsia="Times New Roman"/>
                <w:sz w:val="18"/>
                <w:szCs w:val="18"/>
                <w:lang w:eastAsia="en-AU"/>
              </w:rPr>
              <w:lastRenderedPageBreak/>
              <w:t xml:space="preserve">working in a job that doesn’t use all of your skills or education? </w:t>
            </w:r>
            <w:r w:rsidRPr="00CF3E3D">
              <w:rPr>
                <w:rFonts w:eastAsia="Times New Roman"/>
                <w:i/>
                <w:iCs/>
                <w:sz w:val="18"/>
                <w:szCs w:val="18"/>
                <w:lang w:eastAsia="en-AU"/>
              </w:rPr>
              <w:t>Please select only one answer.</w:t>
            </w:r>
          </w:p>
        </w:tc>
        <w:tc>
          <w:tcPr>
            <w:tcW w:w="3118" w:type="dxa"/>
            <w:hideMark/>
          </w:tcPr>
          <w:p w14:paraId="47717292"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lastRenderedPageBreak/>
              <w:t>1. No suitable jobs in my local area</w:t>
            </w:r>
            <w:r w:rsidRPr="00CF3E3D">
              <w:rPr>
                <w:rFonts w:eastAsia="Times New Roman"/>
                <w:sz w:val="18"/>
                <w:szCs w:val="18"/>
                <w:lang w:eastAsia="en-AU"/>
              </w:rPr>
              <w:br/>
              <w:t>2. No jobs with a suitable number of hours</w:t>
            </w:r>
            <w:r w:rsidRPr="00CF3E3D">
              <w:rPr>
                <w:rFonts w:eastAsia="Times New Roman"/>
                <w:sz w:val="18"/>
                <w:szCs w:val="18"/>
                <w:lang w:eastAsia="en-AU"/>
              </w:rPr>
              <w:br/>
            </w:r>
            <w:r w:rsidRPr="00CF3E3D">
              <w:rPr>
                <w:rFonts w:eastAsia="Times New Roman"/>
                <w:sz w:val="18"/>
                <w:szCs w:val="18"/>
                <w:lang w:eastAsia="en-AU"/>
              </w:rPr>
              <w:lastRenderedPageBreak/>
              <w:t>3. No suitable jobs in my area of expertise</w:t>
            </w:r>
            <w:r w:rsidRPr="00CF3E3D">
              <w:rPr>
                <w:rFonts w:eastAsia="Times New Roman"/>
                <w:sz w:val="18"/>
                <w:szCs w:val="18"/>
                <w:lang w:eastAsia="en-AU"/>
              </w:rPr>
              <w:br/>
              <w:t>4. Considered to be too young by employers</w:t>
            </w:r>
            <w:r w:rsidRPr="00CF3E3D">
              <w:rPr>
                <w:rFonts w:eastAsia="Times New Roman"/>
                <w:sz w:val="18"/>
                <w:szCs w:val="18"/>
                <w:lang w:eastAsia="en-AU"/>
              </w:rPr>
              <w:br/>
              <w:t>5. Considered to be too old by employers</w:t>
            </w:r>
            <w:r w:rsidRPr="00CF3E3D">
              <w:rPr>
                <w:rFonts w:eastAsia="Times New Roman"/>
                <w:sz w:val="18"/>
                <w:szCs w:val="18"/>
                <w:lang w:eastAsia="en-AU"/>
              </w:rPr>
              <w:br/>
              <w:t>9. Caring for children</w:t>
            </w:r>
            <w:r w:rsidRPr="00CF3E3D">
              <w:rPr>
                <w:rFonts w:eastAsia="Times New Roman"/>
                <w:sz w:val="18"/>
                <w:szCs w:val="18"/>
                <w:lang w:eastAsia="en-AU"/>
              </w:rPr>
              <w:br/>
              <w:t>10. Studying</w:t>
            </w:r>
            <w:r w:rsidRPr="00CF3E3D">
              <w:rPr>
                <w:rFonts w:eastAsia="Times New Roman"/>
                <w:sz w:val="18"/>
                <w:szCs w:val="18"/>
                <w:lang w:eastAsia="en-AU"/>
              </w:rPr>
              <w:br/>
              <w:t>12. I’m satisfied with my current job</w:t>
            </w:r>
            <w:r w:rsidRPr="00CF3E3D">
              <w:rPr>
                <w:rFonts w:eastAsia="Times New Roman"/>
                <w:sz w:val="18"/>
                <w:szCs w:val="18"/>
                <w:lang w:eastAsia="en-AU"/>
              </w:rPr>
              <w:br/>
              <w:t>13. I had to change jobs due to COVID-19</w:t>
            </w:r>
            <w:r w:rsidRPr="00CF3E3D">
              <w:rPr>
                <w:rFonts w:eastAsia="Times New Roman"/>
                <w:sz w:val="18"/>
                <w:szCs w:val="18"/>
                <w:lang w:eastAsia="en-AU"/>
              </w:rPr>
              <w:br/>
              <w:t>14. Not enough work experience</w:t>
            </w:r>
            <w:r w:rsidRPr="00CF3E3D">
              <w:rPr>
                <w:rFonts w:eastAsia="Times New Roman"/>
                <w:sz w:val="18"/>
                <w:szCs w:val="18"/>
                <w:lang w:eastAsia="en-AU"/>
              </w:rPr>
              <w:br/>
              <w:t>15. Entry level job/career stepping stone</w:t>
            </w:r>
            <w:r w:rsidRPr="00CF3E3D">
              <w:rPr>
                <w:rFonts w:eastAsia="Times New Roman"/>
                <w:sz w:val="18"/>
                <w:szCs w:val="18"/>
                <w:lang w:eastAsia="en-AU"/>
              </w:rPr>
              <w:br/>
              <w:t>16. Changing jobs/Careers</w:t>
            </w:r>
            <w:r w:rsidRPr="00CF3E3D">
              <w:rPr>
                <w:rFonts w:eastAsia="Times New Roman"/>
                <w:sz w:val="18"/>
                <w:szCs w:val="18"/>
                <w:lang w:eastAsia="en-AU"/>
              </w:rPr>
              <w:br/>
              <w:t>17. Do not have permanent residency</w:t>
            </w:r>
            <w:r w:rsidRPr="00CF3E3D">
              <w:rPr>
                <w:rFonts w:eastAsia="Times New Roman"/>
                <w:sz w:val="18"/>
                <w:szCs w:val="18"/>
                <w:lang w:eastAsia="en-AU"/>
              </w:rPr>
              <w:br/>
              <w:t xml:space="preserve">18. For financial reasons </w:t>
            </w:r>
            <w:r w:rsidRPr="00CF3E3D">
              <w:rPr>
                <w:rFonts w:eastAsia="Times New Roman"/>
                <w:sz w:val="18"/>
                <w:szCs w:val="18"/>
                <w:lang w:eastAsia="en-AU"/>
              </w:rPr>
              <w:br/>
              <w:t>11. Other (Please specify)</w:t>
            </w:r>
          </w:p>
        </w:tc>
      </w:tr>
      <w:tr w:rsidR="00040060" w:rsidRPr="00CF3E3D" w14:paraId="1D312B0A"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79BA6C8" w14:textId="7A54447F"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lastRenderedPageBreak/>
              <w:t> </w:t>
            </w:r>
            <w:r w:rsidR="008C4B0A">
              <w:rPr>
                <w:rFonts w:eastAsia="Times New Roman"/>
                <w:sz w:val="18"/>
                <w:szCs w:val="18"/>
                <w:lang w:eastAsia="en-AU"/>
              </w:rPr>
              <w:t>-</w:t>
            </w:r>
          </w:p>
        </w:tc>
        <w:tc>
          <w:tcPr>
            <w:tcW w:w="6060" w:type="dxa"/>
            <w:hideMark/>
          </w:tcPr>
          <w:p w14:paraId="795A0166"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n-AU"/>
              </w:rPr>
            </w:pPr>
            <w:r w:rsidRPr="00CF3E3D">
              <w:rPr>
                <w:rFonts w:eastAsia="Times New Roman"/>
                <w:b/>
                <w:bCs/>
                <w:sz w:val="18"/>
                <w:szCs w:val="18"/>
                <w:lang w:eastAsia="en-AU"/>
              </w:rPr>
              <w:t>Module C: Further study</w:t>
            </w:r>
          </w:p>
        </w:tc>
        <w:tc>
          <w:tcPr>
            <w:tcW w:w="3118" w:type="dxa"/>
            <w:hideMark/>
          </w:tcPr>
          <w:p w14:paraId="0CF48F7B" w14:textId="0DD4AE08"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w:t>
            </w:r>
            <w:r w:rsidR="008C4B0A">
              <w:rPr>
                <w:rFonts w:eastAsia="Times New Roman"/>
                <w:sz w:val="18"/>
                <w:szCs w:val="18"/>
                <w:lang w:eastAsia="en-AU"/>
              </w:rPr>
              <w:t>-</w:t>
            </w:r>
          </w:p>
        </w:tc>
      </w:tr>
      <w:tr w:rsidR="00040060" w:rsidRPr="00CF3E3D" w14:paraId="55FFD2EB"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24CF1CF"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FURSTUD</w:t>
            </w:r>
          </w:p>
        </w:tc>
        <w:tc>
          <w:tcPr>
            <w:tcW w:w="6060" w:type="dxa"/>
            <w:hideMark/>
          </w:tcPr>
          <w:p w14:paraId="5CE53723"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Are you currently a full-time or part-time student at a TAFE, university or other educational institution?</w:t>
            </w:r>
          </w:p>
        </w:tc>
        <w:tc>
          <w:tcPr>
            <w:tcW w:w="3118" w:type="dxa"/>
            <w:hideMark/>
          </w:tcPr>
          <w:p w14:paraId="6081289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 – full-time</w:t>
            </w:r>
            <w:r w:rsidRPr="00CF3E3D">
              <w:rPr>
                <w:rFonts w:eastAsia="Times New Roman"/>
                <w:sz w:val="18"/>
                <w:szCs w:val="18"/>
                <w:lang w:eastAsia="en-AU"/>
              </w:rPr>
              <w:br/>
              <w:t>2. Yes – part-time</w:t>
            </w:r>
            <w:r w:rsidRPr="00CF3E3D">
              <w:rPr>
                <w:rFonts w:eastAsia="Times New Roman"/>
                <w:sz w:val="18"/>
                <w:szCs w:val="18"/>
                <w:lang w:eastAsia="en-AU"/>
              </w:rPr>
              <w:br/>
              <w:t>5. No</w:t>
            </w:r>
          </w:p>
        </w:tc>
      </w:tr>
      <w:tr w:rsidR="00040060" w:rsidRPr="00CF3E3D" w14:paraId="42DD0E75"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24B70F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FURNEW</w:t>
            </w:r>
          </w:p>
        </w:tc>
        <w:tc>
          <w:tcPr>
            <w:tcW w:w="6060" w:type="dxa"/>
            <w:hideMark/>
          </w:tcPr>
          <w:p w14:paraId="333892C9"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Are you</w:t>
            </w:r>
            <w:r w:rsidRPr="00CF3E3D">
              <w:rPr>
                <w:rFonts w:eastAsia="Times New Roman"/>
                <w:b/>
                <w:bCs/>
                <w:sz w:val="18"/>
                <w:szCs w:val="18"/>
                <w:lang w:eastAsia="en-AU"/>
              </w:rPr>
              <w:t xml:space="preserve"> currently studying in a new course</w:t>
            </w:r>
            <w:r w:rsidRPr="00CF3E3D">
              <w:rPr>
                <w:rFonts w:eastAsia="Times New Roman"/>
                <w:sz w:val="18"/>
                <w:szCs w:val="18"/>
                <w:lang w:eastAsia="en-AU"/>
              </w:rPr>
              <w:t xml:space="preserve"> after completing your &lt;E308&gt;?    </w:t>
            </w:r>
          </w:p>
        </w:tc>
        <w:tc>
          <w:tcPr>
            <w:tcW w:w="3118" w:type="dxa"/>
            <w:hideMark/>
          </w:tcPr>
          <w:p w14:paraId="1C63FC91"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p>
        </w:tc>
      </w:tr>
      <w:tr w:rsidR="00040060" w:rsidRPr="00CF3E3D" w14:paraId="2406368A"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58078CB"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FURINST</w:t>
            </w:r>
          </w:p>
        </w:tc>
        <w:tc>
          <w:tcPr>
            <w:tcW w:w="6060" w:type="dxa"/>
            <w:hideMark/>
          </w:tcPr>
          <w:p w14:paraId="1CA6D8DE"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And the institution where you are currently studying?</w:t>
            </w:r>
          </w:p>
        </w:tc>
        <w:tc>
          <w:tcPr>
            <w:tcW w:w="3118" w:type="dxa"/>
            <w:hideMark/>
          </w:tcPr>
          <w:p w14:paraId="47DA7D50"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&lt;look up list&gt; USE FURINST LOOKUP LIST</w:t>
            </w:r>
          </w:p>
        </w:tc>
      </w:tr>
      <w:tr w:rsidR="00040060" w:rsidRPr="00CF3E3D" w14:paraId="68FB4229"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D6702C2"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FURQUAL</w:t>
            </w:r>
          </w:p>
        </w:tc>
        <w:tc>
          <w:tcPr>
            <w:tcW w:w="6060" w:type="dxa"/>
            <w:hideMark/>
          </w:tcPr>
          <w:p w14:paraId="13E18FEA"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What is the full title of the </w:t>
            </w:r>
            <w:r w:rsidRPr="00CF3E3D">
              <w:rPr>
                <w:rFonts w:eastAsia="Times New Roman"/>
                <w:b/>
                <w:bCs/>
                <w:sz w:val="18"/>
                <w:szCs w:val="18"/>
                <w:lang w:eastAsia="en-AU"/>
              </w:rPr>
              <w:t>qualification</w:t>
            </w:r>
            <w:r w:rsidRPr="00CF3E3D">
              <w:rPr>
                <w:rFonts w:eastAsia="Times New Roman"/>
                <w:sz w:val="18"/>
                <w:szCs w:val="18"/>
                <w:lang w:eastAsia="en-AU"/>
              </w:rPr>
              <w:t xml:space="preserve"> you are currently studying?</w:t>
            </w:r>
          </w:p>
        </w:tc>
        <w:tc>
          <w:tcPr>
            <w:tcW w:w="3118" w:type="dxa"/>
            <w:hideMark/>
          </w:tcPr>
          <w:p w14:paraId="4F5AC9C4"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&lt;verbatim text box&gt;</w:t>
            </w:r>
          </w:p>
        </w:tc>
      </w:tr>
      <w:tr w:rsidR="00040060" w:rsidRPr="00CF3E3D" w14:paraId="26D6A80D"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A26168F"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FURFOE</w:t>
            </w:r>
          </w:p>
        </w:tc>
        <w:tc>
          <w:tcPr>
            <w:tcW w:w="6060" w:type="dxa"/>
            <w:hideMark/>
          </w:tcPr>
          <w:p w14:paraId="723C227F"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What is your major field of education for this </w:t>
            </w:r>
            <w:r w:rsidRPr="00CF3E3D">
              <w:rPr>
                <w:rFonts w:eastAsia="Times New Roman"/>
                <w:b/>
                <w:bCs/>
                <w:sz w:val="18"/>
                <w:szCs w:val="18"/>
                <w:lang w:eastAsia="en-AU"/>
              </w:rPr>
              <w:t>qualification</w:t>
            </w:r>
            <w:r w:rsidRPr="00CF3E3D">
              <w:rPr>
                <w:rFonts w:eastAsia="Times New Roman"/>
                <w:sz w:val="18"/>
                <w:szCs w:val="18"/>
                <w:lang w:eastAsia="en-AU"/>
              </w:rPr>
              <w:t>?</w:t>
            </w:r>
          </w:p>
        </w:tc>
        <w:tc>
          <w:tcPr>
            <w:tcW w:w="3118" w:type="dxa"/>
            <w:hideMark/>
          </w:tcPr>
          <w:p w14:paraId="080444F9"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Natural and Physical Sciences</w:t>
            </w:r>
            <w:r w:rsidRPr="00CF3E3D">
              <w:rPr>
                <w:rFonts w:eastAsia="Times New Roman"/>
                <w:sz w:val="18"/>
                <w:szCs w:val="18"/>
                <w:lang w:eastAsia="en-AU"/>
              </w:rPr>
              <w:br/>
              <w:t>2. Information Technology</w:t>
            </w:r>
            <w:r w:rsidRPr="00CF3E3D">
              <w:rPr>
                <w:rFonts w:eastAsia="Times New Roman"/>
                <w:sz w:val="18"/>
                <w:szCs w:val="18"/>
                <w:lang w:eastAsia="en-AU"/>
              </w:rPr>
              <w:br/>
              <w:t>3. Engineering and Related Technologies</w:t>
            </w:r>
            <w:r w:rsidRPr="00CF3E3D">
              <w:rPr>
                <w:rFonts w:eastAsia="Times New Roman"/>
                <w:sz w:val="18"/>
                <w:szCs w:val="18"/>
                <w:lang w:eastAsia="en-AU"/>
              </w:rPr>
              <w:br/>
              <w:t>4. Architecture and Building</w:t>
            </w:r>
            <w:r w:rsidRPr="00CF3E3D">
              <w:rPr>
                <w:rFonts w:eastAsia="Times New Roman"/>
                <w:sz w:val="18"/>
                <w:szCs w:val="18"/>
                <w:lang w:eastAsia="en-AU"/>
              </w:rPr>
              <w:br/>
              <w:t>5. Agriculture Environmental and Related Studies</w:t>
            </w:r>
            <w:r w:rsidRPr="00CF3E3D">
              <w:rPr>
                <w:rFonts w:eastAsia="Times New Roman"/>
                <w:sz w:val="18"/>
                <w:szCs w:val="18"/>
                <w:lang w:eastAsia="en-AU"/>
              </w:rPr>
              <w:br/>
              <w:t>6. Health</w:t>
            </w:r>
            <w:r w:rsidRPr="00CF3E3D">
              <w:rPr>
                <w:rFonts w:eastAsia="Times New Roman"/>
                <w:sz w:val="18"/>
                <w:szCs w:val="18"/>
                <w:lang w:eastAsia="en-AU"/>
              </w:rPr>
              <w:br/>
              <w:t>7. Education</w:t>
            </w:r>
            <w:r w:rsidRPr="00CF3E3D">
              <w:rPr>
                <w:rFonts w:eastAsia="Times New Roman"/>
                <w:sz w:val="18"/>
                <w:szCs w:val="18"/>
                <w:lang w:eastAsia="en-AU"/>
              </w:rPr>
              <w:br/>
              <w:t>8. Management and Commerce</w:t>
            </w:r>
            <w:r w:rsidRPr="00CF3E3D">
              <w:rPr>
                <w:rFonts w:eastAsia="Times New Roman"/>
                <w:sz w:val="18"/>
                <w:szCs w:val="18"/>
                <w:lang w:eastAsia="en-AU"/>
              </w:rPr>
              <w:br/>
              <w:t>9. Society and Culture</w:t>
            </w:r>
            <w:r w:rsidRPr="00CF3E3D">
              <w:rPr>
                <w:rFonts w:eastAsia="Times New Roman"/>
                <w:sz w:val="18"/>
                <w:szCs w:val="18"/>
                <w:lang w:eastAsia="en-AU"/>
              </w:rPr>
              <w:br/>
              <w:t>10. Creative Arts</w:t>
            </w:r>
            <w:r w:rsidRPr="00CF3E3D">
              <w:rPr>
                <w:rFonts w:eastAsia="Times New Roman"/>
                <w:sz w:val="18"/>
                <w:szCs w:val="18"/>
                <w:lang w:eastAsia="en-AU"/>
              </w:rPr>
              <w:br/>
              <w:t>11. Food, Hospitality and Personal Services</w:t>
            </w:r>
            <w:r w:rsidRPr="00CF3E3D">
              <w:rPr>
                <w:rFonts w:eastAsia="Times New Roman"/>
                <w:sz w:val="18"/>
                <w:szCs w:val="18"/>
                <w:lang w:eastAsia="en-AU"/>
              </w:rPr>
              <w:br/>
              <w:t>12. Mixed field qualification</w:t>
            </w:r>
            <w:r w:rsidRPr="00CF3E3D">
              <w:rPr>
                <w:rFonts w:eastAsia="Times New Roman"/>
                <w:sz w:val="18"/>
                <w:szCs w:val="18"/>
                <w:lang w:eastAsia="en-AU"/>
              </w:rPr>
              <w:br/>
              <w:t>13. Other (Please specify)</w:t>
            </w:r>
          </w:p>
        </w:tc>
      </w:tr>
      <w:tr w:rsidR="00040060" w:rsidRPr="00CF3E3D" w14:paraId="19CF4798"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3F9B8EB"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FURLEV</w:t>
            </w:r>
          </w:p>
        </w:tc>
        <w:tc>
          <w:tcPr>
            <w:tcW w:w="6060" w:type="dxa"/>
            <w:hideMark/>
          </w:tcPr>
          <w:p w14:paraId="6E37B9B4"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is the level of this qualification?</w:t>
            </w:r>
          </w:p>
        </w:tc>
        <w:tc>
          <w:tcPr>
            <w:tcW w:w="3118" w:type="dxa"/>
            <w:hideMark/>
          </w:tcPr>
          <w:p w14:paraId="6ADC2048"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Higher Doctorate</w:t>
            </w:r>
            <w:r w:rsidRPr="00CF3E3D">
              <w:rPr>
                <w:rFonts w:eastAsia="Times New Roman"/>
                <w:sz w:val="18"/>
                <w:szCs w:val="18"/>
                <w:lang w:eastAsia="en-AU"/>
              </w:rPr>
              <w:br/>
              <w:t>2. Doctorate by Research</w:t>
            </w:r>
            <w:r w:rsidRPr="00CF3E3D">
              <w:rPr>
                <w:rFonts w:eastAsia="Times New Roman"/>
                <w:sz w:val="18"/>
                <w:szCs w:val="18"/>
                <w:lang w:eastAsia="en-AU"/>
              </w:rPr>
              <w:br/>
              <w:t>3. Doctorate by Coursework</w:t>
            </w:r>
            <w:r w:rsidRPr="00CF3E3D">
              <w:rPr>
                <w:rFonts w:eastAsia="Times New Roman"/>
                <w:sz w:val="18"/>
                <w:szCs w:val="18"/>
                <w:lang w:eastAsia="en-AU"/>
              </w:rPr>
              <w:br/>
              <w:t>4. Master Degree by Research</w:t>
            </w:r>
            <w:r w:rsidRPr="00CF3E3D">
              <w:rPr>
                <w:rFonts w:eastAsia="Times New Roman"/>
                <w:sz w:val="18"/>
                <w:szCs w:val="18"/>
                <w:lang w:eastAsia="en-AU"/>
              </w:rPr>
              <w:br/>
              <w:t>5. Master Degree by Coursework</w:t>
            </w:r>
            <w:r w:rsidRPr="00CF3E3D">
              <w:rPr>
                <w:rFonts w:eastAsia="Times New Roman"/>
                <w:sz w:val="18"/>
                <w:szCs w:val="18"/>
                <w:lang w:eastAsia="en-AU"/>
              </w:rPr>
              <w:br/>
              <w:t>6. Graduate Diploma</w:t>
            </w:r>
            <w:r w:rsidRPr="00CF3E3D">
              <w:rPr>
                <w:rFonts w:eastAsia="Times New Roman"/>
                <w:sz w:val="18"/>
                <w:szCs w:val="18"/>
                <w:lang w:eastAsia="en-AU"/>
              </w:rPr>
              <w:br/>
              <w:t>7. Graduate Certificate</w:t>
            </w:r>
            <w:r w:rsidRPr="00CF3E3D">
              <w:rPr>
                <w:rFonts w:eastAsia="Times New Roman"/>
                <w:sz w:val="18"/>
                <w:szCs w:val="18"/>
                <w:lang w:eastAsia="en-AU"/>
              </w:rPr>
              <w:br/>
              <w:t>8. Bachelor (Honours) Degree</w:t>
            </w:r>
            <w:r w:rsidRPr="00CF3E3D">
              <w:rPr>
                <w:rFonts w:eastAsia="Times New Roman"/>
                <w:sz w:val="18"/>
                <w:szCs w:val="18"/>
                <w:lang w:eastAsia="en-AU"/>
              </w:rPr>
              <w:br/>
              <w:t>9. Bachelor (Pass) Degree</w:t>
            </w:r>
            <w:r w:rsidRPr="00CF3E3D">
              <w:rPr>
                <w:rFonts w:eastAsia="Times New Roman"/>
                <w:sz w:val="18"/>
                <w:szCs w:val="18"/>
                <w:lang w:eastAsia="en-AU"/>
              </w:rPr>
              <w:br/>
              <w:t>10. Advanced Diploma</w:t>
            </w:r>
            <w:r w:rsidRPr="00CF3E3D">
              <w:rPr>
                <w:rFonts w:eastAsia="Times New Roman"/>
                <w:sz w:val="18"/>
                <w:szCs w:val="18"/>
                <w:lang w:eastAsia="en-AU"/>
              </w:rPr>
              <w:br/>
              <w:t>11. Associate Degree</w:t>
            </w:r>
            <w:r w:rsidRPr="00CF3E3D">
              <w:rPr>
                <w:rFonts w:eastAsia="Times New Roman"/>
                <w:sz w:val="18"/>
                <w:szCs w:val="18"/>
                <w:lang w:eastAsia="en-AU"/>
              </w:rPr>
              <w:br/>
              <w:t>12. Diploma</w:t>
            </w:r>
            <w:r w:rsidRPr="00CF3E3D">
              <w:rPr>
                <w:rFonts w:eastAsia="Times New Roman"/>
                <w:sz w:val="18"/>
                <w:szCs w:val="18"/>
                <w:lang w:eastAsia="en-AU"/>
              </w:rPr>
              <w:br/>
              <w:t>13. Non-award course</w:t>
            </w:r>
            <w:r w:rsidRPr="00CF3E3D">
              <w:rPr>
                <w:rFonts w:eastAsia="Times New Roman"/>
                <w:sz w:val="18"/>
                <w:szCs w:val="18"/>
                <w:lang w:eastAsia="en-AU"/>
              </w:rPr>
              <w:br/>
              <w:t>14. Bridging and Enabling course</w:t>
            </w:r>
            <w:r w:rsidRPr="00CF3E3D">
              <w:rPr>
                <w:rFonts w:eastAsia="Times New Roman"/>
                <w:sz w:val="18"/>
                <w:szCs w:val="18"/>
                <w:lang w:eastAsia="en-AU"/>
              </w:rPr>
              <w:br/>
              <w:t>15. Certificate I-IV</w:t>
            </w:r>
          </w:p>
        </w:tc>
      </w:tr>
      <w:tr w:rsidR="00040060" w:rsidRPr="00CF3E3D" w14:paraId="3FBB1CCC"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FFA592D"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lastRenderedPageBreak/>
              <w:t> </w:t>
            </w:r>
          </w:p>
        </w:tc>
        <w:tc>
          <w:tcPr>
            <w:tcW w:w="6060" w:type="dxa"/>
            <w:hideMark/>
          </w:tcPr>
          <w:p w14:paraId="023BEDB7"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b/>
                <w:bCs/>
                <w:sz w:val="18"/>
                <w:szCs w:val="18"/>
                <w:lang w:eastAsia="en-AU"/>
              </w:rPr>
            </w:pPr>
            <w:r w:rsidRPr="00CF3E3D">
              <w:rPr>
                <w:rFonts w:eastAsia="Times New Roman"/>
                <w:b/>
                <w:bCs/>
                <w:sz w:val="18"/>
                <w:szCs w:val="18"/>
                <w:lang w:eastAsia="en-AU"/>
              </w:rPr>
              <w:t>Module D2: OVERALL SATISFACTION / PREQ</w:t>
            </w:r>
          </w:p>
        </w:tc>
        <w:tc>
          <w:tcPr>
            <w:tcW w:w="3118" w:type="dxa"/>
            <w:hideMark/>
          </w:tcPr>
          <w:p w14:paraId="501B3B34"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w:t>
            </w:r>
          </w:p>
        </w:tc>
      </w:tr>
      <w:tr w:rsidR="00040060" w:rsidRPr="00CF3E3D" w14:paraId="6069A143"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84CA5F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CEQ</w:t>
            </w:r>
          </w:p>
        </w:tc>
        <w:tc>
          <w:tcPr>
            <w:tcW w:w="6060" w:type="dxa"/>
            <w:hideMark/>
          </w:tcPr>
          <w:p w14:paraId="7F879EC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Now a question regarding your &lt;FinalMajor1/FinalMajor2/</w:t>
            </w:r>
            <w:proofErr w:type="spellStart"/>
            <w:r w:rsidRPr="00CF3E3D">
              <w:rPr>
                <w:rFonts w:eastAsia="Times New Roman"/>
                <w:sz w:val="18"/>
                <w:szCs w:val="18"/>
                <w:lang w:eastAsia="en-AU"/>
              </w:rPr>
              <w:t>FinalCourseA</w:t>
            </w:r>
            <w:proofErr w:type="spellEnd"/>
            <w:r w:rsidRPr="00CF3E3D">
              <w:rPr>
                <w:rFonts w:eastAsia="Times New Roman"/>
                <w:sz w:val="18"/>
                <w:szCs w:val="18"/>
                <w:lang w:eastAsia="en-AU"/>
              </w:rPr>
              <w:t>&gt; &lt;major/qualification&gt;.</w:t>
            </w:r>
            <w:r w:rsidRPr="00CF3E3D">
              <w:rPr>
                <w:rFonts w:eastAsia="Times New Roman"/>
                <w:sz w:val="18"/>
                <w:szCs w:val="18"/>
                <w:lang w:eastAsia="en-AU"/>
              </w:rPr>
              <w:br/>
              <w:t>Please indicate the extent to which you strongly disagree, disagree, neither agree nor disagree, agree or strongly agree with the following statement.</w:t>
            </w:r>
            <w:r w:rsidRPr="00CF3E3D">
              <w:rPr>
                <w:rFonts w:eastAsia="Times New Roman"/>
                <w:sz w:val="18"/>
                <w:szCs w:val="18"/>
                <w:lang w:eastAsia="en-AU"/>
              </w:rPr>
              <w:br/>
              <w:t>(STATEMENTS)</w:t>
            </w:r>
            <w:r w:rsidRPr="00CF3E3D">
              <w:rPr>
                <w:rFonts w:eastAsia="Times New Roman"/>
                <w:sz w:val="18"/>
                <w:szCs w:val="18"/>
                <w:lang w:eastAsia="en-AU"/>
              </w:rPr>
              <w:br/>
              <w:t>ceq149 Overall, I was satisfied with the quality of this &lt;course&gt;</w:t>
            </w:r>
          </w:p>
        </w:tc>
        <w:tc>
          <w:tcPr>
            <w:tcW w:w="3118" w:type="dxa"/>
            <w:hideMark/>
          </w:tcPr>
          <w:p w14:paraId="10E29B39"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Strongly disagree</w:t>
            </w:r>
            <w:r w:rsidRPr="00CF3E3D">
              <w:rPr>
                <w:rFonts w:eastAsia="Times New Roman"/>
                <w:sz w:val="18"/>
                <w:szCs w:val="18"/>
                <w:lang w:eastAsia="en-AU"/>
              </w:rPr>
              <w:br/>
              <w:t>2. Disagree</w:t>
            </w:r>
            <w:r w:rsidRPr="00CF3E3D">
              <w:rPr>
                <w:rFonts w:eastAsia="Times New Roman"/>
                <w:sz w:val="18"/>
                <w:szCs w:val="18"/>
                <w:lang w:eastAsia="en-AU"/>
              </w:rPr>
              <w:br/>
              <w:t>3. Neither disagree nor agree</w:t>
            </w:r>
            <w:r w:rsidRPr="00CF3E3D">
              <w:rPr>
                <w:rFonts w:eastAsia="Times New Roman"/>
                <w:sz w:val="18"/>
                <w:szCs w:val="18"/>
                <w:lang w:eastAsia="en-AU"/>
              </w:rPr>
              <w:br/>
              <w:t>4. Agree</w:t>
            </w:r>
            <w:r w:rsidRPr="00CF3E3D">
              <w:rPr>
                <w:rFonts w:eastAsia="Times New Roman"/>
                <w:sz w:val="18"/>
                <w:szCs w:val="18"/>
                <w:lang w:eastAsia="en-AU"/>
              </w:rPr>
              <w:br/>
              <w:t>5. Strongly agree</w:t>
            </w:r>
          </w:p>
        </w:tc>
      </w:tr>
      <w:tr w:rsidR="00040060" w:rsidRPr="00CF3E3D" w14:paraId="640FF1F5"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4F5C7316"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CEQB</w:t>
            </w:r>
          </w:p>
        </w:tc>
        <w:tc>
          <w:tcPr>
            <w:tcW w:w="6060" w:type="dxa"/>
            <w:hideMark/>
          </w:tcPr>
          <w:p w14:paraId="28B7F47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Now thinking about your &lt;FinalMajor3/FinalMajor4/</w:t>
            </w:r>
            <w:proofErr w:type="spellStart"/>
            <w:r w:rsidRPr="00CF3E3D">
              <w:rPr>
                <w:rFonts w:eastAsia="Times New Roman"/>
                <w:sz w:val="18"/>
                <w:szCs w:val="18"/>
                <w:lang w:eastAsia="en-AU"/>
              </w:rPr>
              <w:t>FinalCourseB</w:t>
            </w:r>
            <w:proofErr w:type="spellEnd"/>
            <w:r w:rsidRPr="00CF3E3D">
              <w:rPr>
                <w:rFonts w:eastAsia="Times New Roman"/>
                <w:sz w:val="18"/>
                <w:szCs w:val="18"/>
                <w:lang w:eastAsia="en-AU"/>
              </w:rPr>
              <w:t>/FinalMajor2&gt; &lt;major/qualification&gt;.</w:t>
            </w:r>
            <w:r w:rsidRPr="00CF3E3D">
              <w:rPr>
                <w:rFonts w:eastAsia="Times New Roman"/>
                <w:sz w:val="18"/>
                <w:szCs w:val="18"/>
                <w:lang w:eastAsia="en-AU"/>
              </w:rPr>
              <w:br/>
              <w:t>Please indicate the extent to which you strongly disagree, disagree, neither agree nor disagree, agree or strongly agree the following statement.</w:t>
            </w:r>
            <w:r w:rsidRPr="00CF3E3D">
              <w:rPr>
                <w:rFonts w:eastAsia="Times New Roman"/>
                <w:sz w:val="18"/>
                <w:szCs w:val="18"/>
                <w:lang w:eastAsia="en-AU"/>
              </w:rPr>
              <w:br/>
              <w:t>(STATEMENTS)</w:t>
            </w:r>
            <w:r w:rsidRPr="00CF3E3D">
              <w:rPr>
                <w:rFonts w:eastAsia="Times New Roman"/>
                <w:sz w:val="18"/>
                <w:szCs w:val="18"/>
                <w:lang w:eastAsia="en-AU"/>
              </w:rPr>
              <w:br/>
              <w:t>ceq249 Overall, I was satisfied with the quality of this &lt;course&gt;</w:t>
            </w:r>
          </w:p>
        </w:tc>
        <w:tc>
          <w:tcPr>
            <w:tcW w:w="3118" w:type="dxa"/>
            <w:hideMark/>
          </w:tcPr>
          <w:p w14:paraId="342AABD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Strongly disagree</w:t>
            </w:r>
            <w:r w:rsidRPr="00CF3E3D">
              <w:rPr>
                <w:rFonts w:eastAsia="Times New Roman"/>
                <w:sz w:val="18"/>
                <w:szCs w:val="18"/>
                <w:lang w:eastAsia="en-AU"/>
              </w:rPr>
              <w:br/>
              <w:t>2. Disagree</w:t>
            </w:r>
            <w:r w:rsidRPr="00CF3E3D">
              <w:rPr>
                <w:rFonts w:eastAsia="Times New Roman"/>
                <w:sz w:val="18"/>
                <w:szCs w:val="18"/>
                <w:lang w:eastAsia="en-AU"/>
              </w:rPr>
              <w:br/>
              <w:t>3. Neither disagree nor agree</w:t>
            </w:r>
            <w:r w:rsidRPr="00CF3E3D">
              <w:rPr>
                <w:rFonts w:eastAsia="Times New Roman"/>
                <w:sz w:val="18"/>
                <w:szCs w:val="18"/>
                <w:lang w:eastAsia="en-AU"/>
              </w:rPr>
              <w:br/>
              <w:t>4. Agree</w:t>
            </w:r>
            <w:r w:rsidRPr="00CF3E3D">
              <w:rPr>
                <w:rFonts w:eastAsia="Times New Roman"/>
                <w:sz w:val="18"/>
                <w:szCs w:val="18"/>
                <w:lang w:eastAsia="en-AU"/>
              </w:rPr>
              <w:br/>
              <w:t>5. Strongly agree</w:t>
            </w:r>
          </w:p>
        </w:tc>
      </w:tr>
      <w:tr w:rsidR="00040060" w:rsidRPr="00CF3E3D" w14:paraId="6723C8CD"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2C23871"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PREQ</w:t>
            </w:r>
          </w:p>
        </w:tc>
        <w:tc>
          <w:tcPr>
            <w:tcW w:w="6060" w:type="dxa"/>
            <w:hideMark/>
          </w:tcPr>
          <w:p w14:paraId="7FFC2B3A"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Please tell us about your postgraduate research experience.</w:t>
            </w:r>
            <w:r w:rsidRPr="00CF3E3D">
              <w:rPr>
                <w:rFonts w:eastAsia="Times New Roman"/>
                <w:sz w:val="18"/>
                <w:szCs w:val="18"/>
                <w:lang w:eastAsia="en-AU"/>
              </w:rPr>
              <w:br/>
              <w:t>If you have had more than one supervisor or have studied in more than one department or faculty, please respond to the questions below in relation to your most recent supervision experience, whether by one or more supervisors.</w:t>
            </w:r>
            <w:r w:rsidRPr="00CF3E3D">
              <w:rPr>
                <w:rFonts w:eastAsia="Times New Roman"/>
                <w:sz w:val="18"/>
                <w:szCs w:val="18"/>
                <w:lang w:eastAsia="en-AU"/>
              </w:rPr>
              <w:br/>
              <w:t>Please interpret ‘thesis’ and other research</w:t>
            </w:r>
            <w:r w:rsidRPr="00CF3E3D">
              <w:rPr>
                <w:rFonts w:ascii="Cambria Math" w:eastAsia="Times New Roman" w:hAnsi="Cambria Math" w:cs="Cambria Math"/>
                <w:sz w:val="18"/>
                <w:szCs w:val="18"/>
                <w:lang w:eastAsia="en-AU"/>
              </w:rPr>
              <w:t>‐</w:t>
            </w:r>
            <w:r w:rsidRPr="00CF3E3D">
              <w:rPr>
                <w:rFonts w:eastAsia="Times New Roman"/>
                <w:sz w:val="18"/>
                <w:szCs w:val="18"/>
                <w:lang w:eastAsia="en-AU"/>
              </w:rPr>
              <w:t>related terms in the context of your own field of education.</w:t>
            </w:r>
            <w:r w:rsidRPr="00CF3E3D">
              <w:rPr>
                <w:rFonts w:eastAsia="Times New Roman"/>
                <w:sz w:val="18"/>
                <w:szCs w:val="18"/>
                <w:lang w:eastAsia="en-AU"/>
              </w:rPr>
              <w:br/>
              <w:t>Please indicate the extent to which you strongly disagree, disagree, neither agree nor disagree, agree or strongly agree with each of these statements.</w:t>
            </w:r>
            <w:r w:rsidRPr="00CF3E3D">
              <w:rPr>
                <w:rFonts w:eastAsia="Times New Roman"/>
                <w:sz w:val="18"/>
                <w:szCs w:val="18"/>
                <w:lang w:eastAsia="en-AU"/>
              </w:rPr>
              <w:br/>
              <w:t>(STATEMENTS)</w:t>
            </w:r>
            <w:r w:rsidRPr="00CF3E3D">
              <w:rPr>
                <w:rFonts w:eastAsia="Times New Roman"/>
                <w:sz w:val="18"/>
                <w:szCs w:val="18"/>
                <w:lang w:eastAsia="en-AU"/>
              </w:rPr>
              <w:br/>
              <w:t>preq01 Supervision was available when I needed it</w:t>
            </w:r>
            <w:r w:rsidRPr="00CF3E3D">
              <w:rPr>
                <w:rFonts w:eastAsia="Times New Roman"/>
                <w:sz w:val="18"/>
                <w:szCs w:val="18"/>
                <w:lang w:eastAsia="en-AU"/>
              </w:rPr>
              <w:br/>
              <w:t>preq02 The thesis examination process was fair</w:t>
            </w:r>
            <w:r w:rsidRPr="00CF3E3D">
              <w:rPr>
                <w:rFonts w:eastAsia="Times New Roman"/>
                <w:sz w:val="18"/>
                <w:szCs w:val="18"/>
                <w:lang w:eastAsia="en-AU"/>
              </w:rPr>
              <w:br/>
              <w:t>preq03 I had access to a suitable working space</w:t>
            </w:r>
            <w:r w:rsidRPr="00CF3E3D">
              <w:rPr>
                <w:rFonts w:eastAsia="Times New Roman"/>
                <w:sz w:val="18"/>
                <w:szCs w:val="18"/>
                <w:lang w:eastAsia="en-AU"/>
              </w:rPr>
              <w:br/>
              <w:t>preq04 I developed an understanding of the standard of work expected</w:t>
            </w:r>
            <w:r w:rsidRPr="00CF3E3D">
              <w:rPr>
                <w:rFonts w:eastAsia="Times New Roman"/>
                <w:sz w:val="18"/>
                <w:szCs w:val="18"/>
                <w:lang w:eastAsia="en-AU"/>
              </w:rPr>
              <w:br/>
              <w:t>preq29 I am confident that I can apply my skills outside the university sector</w:t>
            </w:r>
            <w:r w:rsidRPr="00CF3E3D">
              <w:rPr>
                <w:rFonts w:eastAsia="Times New Roman"/>
                <w:sz w:val="18"/>
                <w:szCs w:val="18"/>
                <w:lang w:eastAsia="en-AU"/>
              </w:rPr>
              <w:br/>
              <w:t>preq05 The department provided opportunities for social contact with other postgraduate students</w:t>
            </w:r>
            <w:r w:rsidRPr="00CF3E3D">
              <w:rPr>
                <w:rFonts w:eastAsia="Times New Roman"/>
                <w:sz w:val="18"/>
                <w:szCs w:val="18"/>
                <w:lang w:eastAsia="en-AU"/>
              </w:rPr>
              <w:br/>
              <w:t>preq30 I improved my ability to design and implement projects effectively</w:t>
            </w:r>
            <w:r w:rsidRPr="00CF3E3D">
              <w:rPr>
                <w:rFonts w:eastAsia="Times New Roman"/>
                <w:sz w:val="18"/>
                <w:szCs w:val="18"/>
                <w:lang w:eastAsia="en-AU"/>
              </w:rPr>
              <w:br/>
              <w:t>preq06 My research further developed my problem solving skills</w:t>
            </w:r>
            <w:r w:rsidRPr="00CF3E3D">
              <w:rPr>
                <w:rFonts w:eastAsia="Times New Roman"/>
                <w:sz w:val="18"/>
                <w:szCs w:val="18"/>
                <w:lang w:eastAsia="en-AU"/>
              </w:rPr>
              <w:br/>
              <w:t>preq07 My supervisor(s) made a real effort to understand difficulties I faced</w:t>
            </w:r>
            <w:r w:rsidRPr="00CF3E3D">
              <w:rPr>
                <w:rFonts w:eastAsia="Times New Roman"/>
                <w:sz w:val="18"/>
                <w:szCs w:val="18"/>
                <w:lang w:eastAsia="en-AU"/>
              </w:rPr>
              <w:br/>
              <w:t>preq08 I had good access to the technical support I needed</w:t>
            </w:r>
            <w:r w:rsidRPr="00CF3E3D">
              <w:rPr>
                <w:rFonts w:eastAsia="Times New Roman"/>
                <w:sz w:val="18"/>
                <w:szCs w:val="18"/>
                <w:lang w:eastAsia="en-AU"/>
              </w:rPr>
              <w:br/>
              <w:t>preq09 I was integrated into the department’s community</w:t>
            </w:r>
            <w:r w:rsidRPr="00CF3E3D">
              <w:rPr>
                <w:rFonts w:eastAsia="Times New Roman"/>
                <w:sz w:val="18"/>
                <w:szCs w:val="18"/>
                <w:lang w:eastAsia="en-AU"/>
              </w:rPr>
              <w:br/>
              <w:t>preq10 I improved my ability to communicate information effectively to diverse audiences</w:t>
            </w:r>
            <w:r w:rsidRPr="00CF3E3D">
              <w:rPr>
                <w:rFonts w:eastAsia="Times New Roman"/>
                <w:sz w:val="18"/>
                <w:szCs w:val="18"/>
                <w:lang w:eastAsia="en-AU"/>
              </w:rPr>
              <w:br/>
              <w:t>preq11 I understood the required standard for the thesis</w:t>
            </w:r>
            <w:r w:rsidRPr="00CF3E3D">
              <w:rPr>
                <w:rFonts w:eastAsia="Times New Roman"/>
                <w:sz w:val="18"/>
                <w:szCs w:val="18"/>
                <w:lang w:eastAsia="en-AU"/>
              </w:rPr>
              <w:br/>
              <w:t>preq31 I had opportunities to develop professional connections outside the university sector</w:t>
            </w:r>
            <w:r w:rsidRPr="00CF3E3D">
              <w:rPr>
                <w:rFonts w:eastAsia="Times New Roman"/>
                <w:sz w:val="18"/>
                <w:szCs w:val="18"/>
                <w:lang w:eastAsia="en-AU"/>
              </w:rPr>
              <w:br/>
              <w:t>preq12 I was able to organise good access to necessary equipment</w:t>
            </w:r>
            <w:r w:rsidRPr="00CF3E3D">
              <w:rPr>
                <w:rFonts w:eastAsia="Times New Roman"/>
                <w:sz w:val="18"/>
                <w:szCs w:val="18"/>
                <w:lang w:eastAsia="en-AU"/>
              </w:rPr>
              <w:br/>
              <w:t>preq13 My supervisor(s) provided additional information relevant to my topic</w:t>
            </w:r>
            <w:r w:rsidRPr="00CF3E3D">
              <w:rPr>
                <w:rFonts w:eastAsia="Times New Roman"/>
                <w:sz w:val="18"/>
                <w:szCs w:val="18"/>
                <w:lang w:eastAsia="en-AU"/>
              </w:rPr>
              <w:br/>
              <w:t>preq14 I developed my skills in critical analysis and evaluation</w:t>
            </w:r>
            <w:r w:rsidRPr="00CF3E3D">
              <w:rPr>
                <w:rFonts w:eastAsia="Times New Roman"/>
                <w:sz w:val="18"/>
                <w:szCs w:val="18"/>
                <w:lang w:eastAsia="en-AU"/>
              </w:rPr>
              <w:br/>
              <w:t>preq15 I was satisfied with the thesis examination process</w:t>
            </w:r>
            <w:r w:rsidRPr="00CF3E3D">
              <w:rPr>
                <w:rFonts w:eastAsia="Times New Roman"/>
                <w:sz w:val="18"/>
                <w:szCs w:val="18"/>
                <w:lang w:eastAsia="en-AU"/>
              </w:rPr>
              <w:br/>
              <w:t>preq16  The department provided opportunities for me to become involved in the broader research culture</w:t>
            </w:r>
            <w:r w:rsidRPr="00CF3E3D">
              <w:rPr>
                <w:rFonts w:eastAsia="Times New Roman"/>
                <w:sz w:val="18"/>
                <w:szCs w:val="18"/>
                <w:lang w:eastAsia="en-AU"/>
              </w:rPr>
              <w:br/>
              <w:t>preq17 I was given good guidance in topic selection and refinement</w:t>
            </w:r>
            <w:r w:rsidRPr="00CF3E3D">
              <w:rPr>
                <w:rFonts w:eastAsia="Times New Roman"/>
                <w:sz w:val="18"/>
                <w:szCs w:val="18"/>
                <w:lang w:eastAsia="en-AU"/>
              </w:rPr>
              <w:br/>
              <w:t>preq18 I had good access to computing facilities and services</w:t>
            </w:r>
            <w:r w:rsidRPr="00CF3E3D">
              <w:rPr>
                <w:rFonts w:eastAsia="Times New Roman"/>
                <w:sz w:val="18"/>
                <w:szCs w:val="18"/>
                <w:lang w:eastAsia="en-AU"/>
              </w:rPr>
              <w:br/>
              <w:t>preq32 I had opportunity to work on research problems with businesses, governments, communities or organisations outside the university sector</w:t>
            </w:r>
            <w:r w:rsidRPr="00CF3E3D">
              <w:rPr>
                <w:rFonts w:eastAsia="Times New Roman"/>
                <w:sz w:val="18"/>
                <w:szCs w:val="18"/>
                <w:lang w:eastAsia="en-AU"/>
              </w:rPr>
              <w:br/>
              <w:t>preq19 I understood the requirements of thesis examination</w:t>
            </w:r>
            <w:r w:rsidRPr="00CF3E3D">
              <w:rPr>
                <w:rFonts w:eastAsia="Times New Roman"/>
                <w:sz w:val="18"/>
                <w:szCs w:val="18"/>
                <w:lang w:eastAsia="en-AU"/>
              </w:rPr>
              <w:br/>
              <w:t>preq33 I developed my understanding of research integrity (e.g. rigour, ethics, transparency, attributing the contribution of others)</w:t>
            </w:r>
            <w:r w:rsidRPr="00CF3E3D">
              <w:rPr>
                <w:rFonts w:eastAsia="Times New Roman"/>
                <w:sz w:val="18"/>
                <w:szCs w:val="18"/>
                <w:lang w:eastAsia="en-AU"/>
              </w:rPr>
              <w:br/>
              <w:t>preq20 I improved my ability to plan and manage my time effectively</w:t>
            </w:r>
            <w:r w:rsidRPr="00CF3E3D">
              <w:rPr>
                <w:rFonts w:eastAsia="Times New Roman"/>
                <w:sz w:val="18"/>
                <w:szCs w:val="18"/>
                <w:lang w:eastAsia="en-AU"/>
              </w:rPr>
              <w:br/>
              <w:t>preq21 My supervisor(s) provided helpful feedback on my progress</w:t>
            </w:r>
            <w:r w:rsidRPr="00CF3E3D">
              <w:rPr>
                <w:rFonts w:eastAsia="Times New Roman"/>
                <w:sz w:val="18"/>
                <w:szCs w:val="18"/>
                <w:lang w:eastAsia="en-AU"/>
              </w:rPr>
              <w:br/>
              <w:t>preq22 A good seminar program for postgraduate students was provided</w:t>
            </w:r>
            <w:r w:rsidRPr="00CF3E3D">
              <w:rPr>
                <w:rFonts w:eastAsia="Times New Roman"/>
                <w:sz w:val="18"/>
                <w:szCs w:val="18"/>
                <w:lang w:eastAsia="en-AU"/>
              </w:rPr>
              <w:br/>
              <w:t>preq23 The research environment in the department or faculty stimulated my work</w:t>
            </w:r>
            <w:r w:rsidRPr="00CF3E3D">
              <w:rPr>
                <w:rFonts w:eastAsia="Times New Roman"/>
                <w:sz w:val="18"/>
                <w:szCs w:val="18"/>
                <w:lang w:eastAsia="en-AU"/>
              </w:rPr>
              <w:br/>
            </w:r>
            <w:r w:rsidRPr="00CF3E3D">
              <w:rPr>
                <w:rFonts w:eastAsia="Times New Roman"/>
                <w:sz w:val="18"/>
                <w:szCs w:val="18"/>
                <w:lang w:eastAsia="en-AU"/>
              </w:rPr>
              <w:lastRenderedPageBreak/>
              <w:t>preq24 I received good guidance in my literature search</w:t>
            </w:r>
            <w:r w:rsidRPr="00CF3E3D">
              <w:rPr>
                <w:rFonts w:eastAsia="Times New Roman"/>
                <w:sz w:val="18"/>
                <w:szCs w:val="18"/>
                <w:lang w:eastAsia="en-AU"/>
              </w:rPr>
              <w:br/>
              <w:t>preq34 I gained confidence in leading and influencing others</w:t>
            </w:r>
            <w:r w:rsidRPr="00CF3E3D">
              <w:rPr>
                <w:rFonts w:eastAsia="Times New Roman"/>
                <w:sz w:val="18"/>
                <w:szCs w:val="18"/>
                <w:lang w:eastAsia="en-AU"/>
              </w:rPr>
              <w:br/>
              <w:t>preq25 The examination of my thesis was completed in a reasonable time</w:t>
            </w:r>
            <w:r w:rsidRPr="00CF3E3D">
              <w:rPr>
                <w:rFonts w:eastAsia="Times New Roman"/>
                <w:sz w:val="18"/>
                <w:szCs w:val="18"/>
                <w:lang w:eastAsia="en-AU"/>
              </w:rPr>
              <w:br/>
              <w:t>preq26 As a result of my research, I feel confident about tackling unfamiliar problems</w:t>
            </w:r>
            <w:r w:rsidRPr="00CF3E3D">
              <w:rPr>
                <w:rFonts w:eastAsia="Times New Roman"/>
                <w:sz w:val="18"/>
                <w:szCs w:val="18"/>
                <w:lang w:eastAsia="en-AU"/>
              </w:rPr>
              <w:br/>
              <w:t>preq27 There was appropriate financial support for research activities</w:t>
            </w:r>
            <w:r w:rsidRPr="00CF3E3D">
              <w:rPr>
                <w:rFonts w:eastAsia="Times New Roman"/>
                <w:sz w:val="18"/>
                <w:szCs w:val="18"/>
                <w:lang w:eastAsia="en-AU"/>
              </w:rPr>
              <w:br/>
              <w:t>preq28 Overall, I was satisfied with the quality of my higher degree research experience</w:t>
            </w:r>
          </w:p>
        </w:tc>
        <w:tc>
          <w:tcPr>
            <w:tcW w:w="3118" w:type="dxa"/>
            <w:hideMark/>
          </w:tcPr>
          <w:p w14:paraId="08134AA8"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lastRenderedPageBreak/>
              <w:t>1. Strongly disagree</w:t>
            </w:r>
            <w:r w:rsidRPr="00CF3E3D">
              <w:rPr>
                <w:rFonts w:eastAsia="Times New Roman"/>
                <w:sz w:val="18"/>
                <w:szCs w:val="18"/>
                <w:lang w:eastAsia="en-AU"/>
              </w:rPr>
              <w:br/>
              <w:t>2. Disagree</w:t>
            </w:r>
            <w:r w:rsidRPr="00CF3E3D">
              <w:rPr>
                <w:rFonts w:eastAsia="Times New Roman"/>
                <w:sz w:val="18"/>
                <w:szCs w:val="18"/>
                <w:lang w:eastAsia="en-AU"/>
              </w:rPr>
              <w:br/>
              <w:t>3. Neither agree nor disagree</w:t>
            </w:r>
            <w:r w:rsidRPr="00CF3E3D">
              <w:rPr>
                <w:rFonts w:eastAsia="Times New Roman"/>
                <w:sz w:val="18"/>
                <w:szCs w:val="18"/>
                <w:lang w:eastAsia="en-AU"/>
              </w:rPr>
              <w:br/>
              <w:t>4. Agree</w:t>
            </w:r>
            <w:r w:rsidRPr="00CF3E3D">
              <w:rPr>
                <w:rFonts w:eastAsia="Times New Roman"/>
                <w:sz w:val="18"/>
                <w:szCs w:val="18"/>
                <w:lang w:eastAsia="en-AU"/>
              </w:rPr>
              <w:br/>
              <w:t>5. Strongly agree</w:t>
            </w:r>
          </w:p>
        </w:tc>
      </w:tr>
      <w:tr w:rsidR="00040060" w:rsidRPr="00CF3E3D" w14:paraId="25CF13D4"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2DB3C0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INTROB</w:t>
            </w:r>
          </w:p>
        </w:tc>
        <w:tc>
          <w:tcPr>
            <w:tcW w:w="6060" w:type="dxa"/>
            <w:hideMark/>
          </w:tcPr>
          <w:p w14:paraId="0F9AFDC3"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Now, a couple of general questions about your &lt;course&gt;…</w:t>
            </w:r>
          </w:p>
        </w:tc>
        <w:tc>
          <w:tcPr>
            <w:tcW w:w="3118" w:type="dxa"/>
            <w:hideMark/>
          </w:tcPr>
          <w:p w14:paraId="4805E92C" w14:textId="33251FFB" w:rsidR="00040060" w:rsidRPr="00CF3E3D" w:rsidRDefault="008C4B0A"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Pr>
                <w:rFonts w:eastAsia="Times New Roman"/>
                <w:sz w:val="18"/>
                <w:szCs w:val="18"/>
                <w:lang w:eastAsia="en-AU"/>
              </w:rPr>
              <w:t>-</w:t>
            </w:r>
          </w:p>
        </w:tc>
      </w:tr>
      <w:tr w:rsidR="00040060" w:rsidRPr="00CF3E3D" w14:paraId="53532F33"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438738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BESTASP</w:t>
            </w:r>
          </w:p>
        </w:tc>
        <w:tc>
          <w:tcPr>
            <w:tcW w:w="6060" w:type="dxa"/>
            <w:hideMark/>
          </w:tcPr>
          <w:p w14:paraId="54B3B3EA"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What were the best aspects of your &lt;course&gt;? </w:t>
            </w:r>
            <w:r w:rsidRPr="00CF3E3D">
              <w:rPr>
                <w:rFonts w:eastAsia="Times New Roman"/>
                <w:i/>
                <w:iCs/>
                <w:sz w:val="18"/>
                <w:szCs w:val="18"/>
                <w:lang w:eastAsia="en-AU"/>
              </w:rPr>
              <w:t xml:space="preserve">Please note, aspects could include things like the course content, teaching or assessments. </w:t>
            </w:r>
          </w:p>
        </w:tc>
        <w:tc>
          <w:tcPr>
            <w:tcW w:w="3118" w:type="dxa"/>
            <w:hideMark/>
          </w:tcPr>
          <w:p w14:paraId="0D09FD9D"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&lt;verbatim text box&gt;</w:t>
            </w:r>
          </w:p>
        </w:tc>
      </w:tr>
      <w:tr w:rsidR="00040060" w:rsidRPr="00CF3E3D" w14:paraId="1E613F36"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9469616"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IMPROVE</w:t>
            </w:r>
          </w:p>
        </w:tc>
        <w:tc>
          <w:tcPr>
            <w:tcW w:w="6060" w:type="dxa"/>
            <w:hideMark/>
          </w:tcPr>
          <w:p w14:paraId="63F8ACA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What aspects of your &lt;course&gt; were most in need of improvement? </w:t>
            </w:r>
            <w:r w:rsidRPr="00CF3E3D">
              <w:rPr>
                <w:rFonts w:eastAsia="Times New Roman"/>
                <w:i/>
                <w:iCs/>
                <w:sz w:val="18"/>
                <w:szCs w:val="18"/>
                <w:lang w:eastAsia="en-AU"/>
              </w:rPr>
              <w:t>Please note, aspects could include things like the course content, teaching or assessments.</w:t>
            </w:r>
          </w:p>
        </w:tc>
        <w:tc>
          <w:tcPr>
            <w:tcW w:w="3118" w:type="dxa"/>
            <w:hideMark/>
          </w:tcPr>
          <w:p w14:paraId="560524C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&lt;verbatim text box&gt;</w:t>
            </w:r>
          </w:p>
        </w:tc>
      </w:tr>
      <w:tr w:rsidR="00040060" w:rsidRPr="00CF3E3D" w14:paraId="0971AA47"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3C2CEB1" w14:textId="77777777" w:rsidR="00040060" w:rsidRPr="00CF3E3D" w:rsidRDefault="00040060" w:rsidP="007007AC">
            <w:pPr>
              <w:spacing w:before="0"/>
              <w:rPr>
                <w:rFonts w:eastAsia="Times New Roman"/>
                <w:b/>
                <w:bCs/>
                <w:sz w:val="18"/>
                <w:szCs w:val="18"/>
                <w:lang w:eastAsia="en-AU"/>
              </w:rPr>
            </w:pPr>
            <w:r w:rsidRPr="00CF3E3D">
              <w:rPr>
                <w:rFonts w:eastAsia="Times New Roman"/>
                <w:b/>
                <w:bCs/>
                <w:sz w:val="18"/>
                <w:szCs w:val="18"/>
                <w:lang w:eastAsia="en-AU"/>
              </w:rPr>
              <w:t> </w:t>
            </w:r>
          </w:p>
        </w:tc>
        <w:tc>
          <w:tcPr>
            <w:tcW w:w="6060" w:type="dxa"/>
            <w:hideMark/>
          </w:tcPr>
          <w:p w14:paraId="3380082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n-AU"/>
              </w:rPr>
            </w:pPr>
            <w:r w:rsidRPr="00CF3E3D">
              <w:rPr>
                <w:rFonts w:eastAsia="Times New Roman"/>
                <w:b/>
                <w:bCs/>
                <w:sz w:val="18"/>
                <w:szCs w:val="18"/>
                <w:lang w:eastAsia="en-AU"/>
              </w:rPr>
              <w:t>Module E: Graduate Preparation</w:t>
            </w:r>
          </w:p>
        </w:tc>
        <w:tc>
          <w:tcPr>
            <w:tcW w:w="3118" w:type="dxa"/>
            <w:hideMark/>
          </w:tcPr>
          <w:p w14:paraId="51C4E428" w14:textId="3248A711"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w:t>
            </w:r>
            <w:r w:rsidR="008C4B0A">
              <w:rPr>
                <w:rFonts w:eastAsia="Times New Roman"/>
                <w:sz w:val="18"/>
                <w:szCs w:val="18"/>
                <w:lang w:eastAsia="en-AU"/>
              </w:rPr>
              <w:t>-</w:t>
            </w:r>
          </w:p>
        </w:tc>
      </w:tr>
      <w:tr w:rsidR="00040060" w:rsidRPr="00CF3E3D" w14:paraId="7C44B2EC"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89E0DCD"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FORMREQ </w:t>
            </w:r>
          </w:p>
        </w:tc>
        <w:tc>
          <w:tcPr>
            <w:tcW w:w="6060" w:type="dxa"/>
            <w:hideMark/>
          </w:tcPr>
          <w:p w14:paraId="12847187"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Is a </w:t>
            </w:r>
            <w:r w:rsidRPr="00CF3E3D">
              <w:rPr>
                <w:rFonts w:eastAsia="Times New Roman"/>
                <w:b/>
                <w:bCs/>
                <w:sz w:val="18"/>
                <w:szCs w:val="18"/>
                <w:lang w:eastAsia="en-AU"/>
              </w:rPr>
              <w:t>&lt;</w:t>
            </w:r>
            <w:proofErr w:type="spellStart"/>
            <w:r w:rsidRPr="00CF3E3D">
              <w:rPr>
                <w:rFonts w:eastAsia="Times New Roman"/>
                <w:b/>
                <w:bCs/>
                <w:sz w:val="18"/>
                <w:szCs w:val="18"/>
                <w:lang w:eastAsia="en-AU"/>
              </w:rPr>
              <w:t>FinalCourseA</w:t>
            </w:r>
            <w:proofErr w:type="spellEnd"/>
            <w:r w:rsidRPr="00CF3E3D">
              <w:rPr>
                <w:rFonts w:eastAsia="Times New Roman"/>
                <w:b/>
                <w:bCs/>
                <w:sz w:val="18"/>
                <w:szCs w:val="18"/>
                <w:lang w:eastAsia="en-AU"/>
              </w:rPr>
              <w:t>/</w:t>
            </w:r>
            <w:proofErr w:type="spellStart"/>
            <w:r w:rsidRPr="00CF3E3D">
              <w:rPr>
                <w:rFonts w:eastAsia="Times New Roman"/>
                <w:b/>
                <w:bCs/>
                <w:sz w:val="18"/>
                <w:szCs w:val="18"/>
                <w:lang w:eastAsia="en-AU"/>
              </w:rPr>
              <w:t>FinalCourseB</w:t>
            </w:r>
            <w:proofErr w:type="spellEnd"/>
            <w:r w:rsidRPr="00CF3E3D">
              <w:rPr>
                <w:rFonts w:eastAsia="Times New Roman"/>
                <w:b/>
                <w:bCs/>
                <w:sz w:val="18"/>
                <w:szCs w:val="18"/>
                <w:lang w:eastAsia="en-AU"/>
              </w:rPr>
              <w:t>&gt;</w:t>
            </w:r>
            <w:r w:rsidRPr="00CF3E3D">
              <w:rPr>
                <w:rFonts w:eastAsia="Times New Roman"/>
                <w:sz w:val="18"/>
                <w:szCs w:val="18"/>
                <w:lang w:eastAsia="en-AU"/>
              </w:rPr>
              <w:t xml:space="preserve"> or similar qualification a formal requirement for you to do your current job?</w:t>
            </w:r>
          </w:p>
        </w:tc>
        <w:tc>
          <w:tcPr>
            <w:tcW w:w="3118" w:type="dxa"/>
            <w:hideMark/>
          </w:tcPr>
          <w:p w14:paraId="7E040BC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p>
        </w:tc>
      </w:tr>
      <w:tr w:rsidR="00040060" w:rsidRPr="00CF3E3D" w14:paraId="7D6BCBCB"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290FBA5"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QUALIMP</w:t>
            </w:r>
          </w:p>
        </w:tc>
        <w:tc>
          <w:tcPr>
            <w:tcW w:w="6060" w:type="dxa"/>
            <w:hideMark/>
          </w:tcPr>
          <w:p w14:paraId="3F12E925"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To what extent is it important for you to have a </w:t>
            </w:r>
            <w:r w:rsidRPr="00CF3E3D">
              <w:rPr>
                <w:rFonts w:eastAsia="Times New Roman"/>
                <w:b/>
                <w:bCs/>
                <w:sz w:val="18"/>
                <w:szCs w:val="18"/>
                <w:lang w:eastAsia="en-AU"/>
              </w:rPr>
              <w:t>&lt;</w:t>
            </w:r>
            <w:proofErr w:type="spellStart"/>
            <w:r w:rsidRPr="00CF3E3D">
              <w:rPr>
                <w:rFonts w:eastAsia="Times New Roman"/>
                <w:b/>
                <w:bCs/>
                <w:sz w:val="18"/>
                <w:szCs w:val="18"/>
                <w:lang w:eastAsia="en-AU"/>
              </w:rPr>
              <w:t>FinalCourseA</w:t>
            </w:r>
            <w:proofErr w:type="spellEnd"/>
            <w:r w:rsidRPr="00CF3E3D">
              <w:rPr>
                <w:rFonts w:eastAsia="Times New Roman"/>
                <w:b/>
                <w:bCs/>
                <w:sz w:val="18"/>
                <w:szCs w:val="18"/>
                <w:lang w:eastAsia="en-AU"/>
              </w:rPr>
              <w:t>/</w:t>
            </w:r>
            <w:proofErr w:type="spellStart"/>
            <w:r w:rsidRPr="00CF3E3D">
              <w:rPr>
                <w:rFonts w:eastAsia="Times New Roman"/>
                <w:b/>
                <w:bCs/>
                <w:sz w:val="18"/>
                <w:szCs w:val="18"/>
                <w:lang w:eastAsia="en-AU"/>
              </w:rPr>
              <w:t>FinalCourseB</w:t>
            </w:r>
            <w:proofErr w:type="spellEnd"/>
            <w:r w:rsidRPr="00CF3E3D">
              <w:rPr>
                <w:rFonts w:eastAsia="Times New Roman"/>
                <w:b/>
                <w:bCs/>
                <w:sz w:val="18"/>
                <w:szCs w:val="18"/>
                <w:lang w:eastAsia="en-AU"/>
              </w:rPr>
              <w:t>&gt;,</w:t>
            </w:r>
            <w:r w:rsidRPr="00CF3E3D">
              <w:rPr>
                <w:rFonts w:eastAsia="Times New Roman"/>
                <w:sz w:val="18"/>
                <w:szCs w:val="18"/>
                <w:lang w:eastAsia="en-AU"/>
              </w:rPr>
              <w:t xml:space="preserve"> to be able to do your job?</w:t>
            </w:r>
          </w:p>
        </w:tc>
        <w:tc>
          <w:tcPr>
            <w:tcW w:w="3118" w:type="dxa"/>
            <w:hideMark/>
          </w:tcPr>
          <w:p w14:paraId="53870230"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Not at all important</w:t>
            </w:r>
            <w:r w:rsidRPr="00CF3E3D">
              <w:rPr>
                <w:rFonts w:eastAsia="Times New Roman"/>
                <w:sz w:val="18"/>
                <w:szCs w:val="18"/>
                <w:lang w:eastAsia="en-AU"/>
              </w:rPr>
              <w:br/>
              <w:t>2. Not that important</w:t>
            </w:r>
            <w:r w:rsidRPr="00CF3E3D">
              <w:rPr>
                <w:rFonts w:eastAsia="Times New Roman"/>
                <w:sz w:val="18"/>
                <w:szCs w:val="18"/>
                <w:lang w:eastAsia="en-AU"/>
              </w:rPr>
              <w:br/>
              <w:t>3. Fairly important</w:t>
            </w:r>
            <w:r w:rsidRPr="00CF3E3D">
              <w:rPr>
                <w:rFonts w:eastAsia="Times New Roman"/>
                <w:sz w:val="18"/>
                <w:szCs w:val="18"/>
                <w:lang w:eastAsia="en-AU"/>
              </w:rPr>
              <w:br/>
              <w:t>4. Important</w:t>
            </w:r>
            <w:r w:rsidRPr="00CF3E3D">
              <w:rPr>
                <w:rFonts w:eastAsia="Times New Roman"/>
                <w:sz w:val="18"/>
                <w:szCs w:val="18"/>
                <w:lang w:eastAsia="en-AU"/>
              </w:rPr>
              <w:br/>
              <w:t>5. Very important</w:t>
            </w:r>
          </w:p>
        </w:tc>
      </w:tr>
      <w:tr w:rsidR="00040060" w:rsidRPr="00CF3E3D" w14:paraId="04FF89A9"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B761B3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CRSPREP</w:t>
            </w:r>
          </w:p>
        </w:tc>
        <w:tc>
          <w:tcPr>
            <w:tcW w:w="6060" w:type="dxa"/>
            <w:hideMark/>
          </w:tcPr>
          <w:p w14:paraId="6CFED92E"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Overall, how well did your </w:t>
            </w:r>
            <w:r w:rsidRPr="00CF3E3D">
              <w:rPr>
                <w:rFonts w:eastAsia="Times New Roman"/>
                <w:b/>
                <w:bCs/>
                <w:sz w:val="18"/>
                <w:szCs w:val="18"/>
                <w:lang w:eastAsia="en-AU"/>
              </w:rPr>
              <w:t>&lt;</w:t>
            </w:r>
            <w:proofErr w:type="spellStart"/>
            <w:r w:rsidRPr="00CF3E3D">
              <w:rPr>
                <w:rFonts w:eastAsia="Times New Roman"/>
                <w:b/>
                <w:bCs/>
                <w:sz w:val="18"/>
                <w:szCs w:val="18"/>
                <w:lang w:eastAsia="en-AU"/>
              </w:rPr>
              <w:t>FinalCourseA</w:t>
            </w:r>
            <w:proofErr w:type="spellEnd"/>
            <w:r w:rsidRPr="00CF3E3D">
              <w:rPr>
                <w:rFonts w:eastAsia="Times New Roman"/>
                <w:b/>
                <w:bCs/>
                <w:sz w:val="18"/>
                <w:szCs w:val="18"/>
                <w:lang w:eastAsia="en-AU"/>
              </w:rPr>
              <w:t>/</w:t>
            </w:r>
            <w:proofErr w:type="spellStart"/>
            <w:r w:rsidRPr="00CF3E3D">
              <w:rPr>
                <w:rFonts w:eastAsia="Times New Roman"/>
                <w:b/>
                <w:bCs/>
                <w:sz w:val="18"/>
                <w:szCs w:val="18"/>
                <w:lang w:eastAsia="en-AU"/>
              </w:rPr>
              <w:t>FinalCourseB</w:t>
            </w:r>
            <w:proofErr w:type="spellEnd"/>
            <w:r w:rsidRPr="00CF3E3D">
              <w:rPr>
                <w:rFonts w:eastAsia="Times New Roman"/>
                <w:b/>
                <w:bCs/>
                <w:sz w:val="18"/>
                <w:szCs w:val="18"/>
                <w:lang w:eastAsia="en-AU"/>
              </w:rPr>
              <w:t xml:space="preserve">&gt; </w:t>
            </w:r>
            <w:r w:rsidRPr="00CF3E3D">
              <w:rPr>
                <w:rFonts w:eastAsia="Times New Roman"/>
                <w:sz w:val="18"/>
                <w:szCs w:val="18"/>
                <w:lang w:eastAsia="en-AU"/>
              </w:rPr>
              <w:t xml:space="preserve">prepare you for your job? </w:t>
            </w:r>
          </w:p>
        </w:tc>
        <w:tc>
          <w:tcPr>
            <w:tcW w:w="3118" w:type="dxa"/>
            <w:hideMark/>
          </w:tcPr>
          <w:p w14:paraId="07DEAF81"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Not at all</w:t>
            </w:r>
            <w:r w:rsidRPr="00CF3E3D">
              <w:rPr>
                <w:rFonts w:eastAsia="Times New Roman"/>
                <w:sz w:val="18"/>
                <w:szCs w:val="18"/>
                <w:lang w:eastAsia="en-AU"/>
              </w:rPr>
              <w:br/>
              <w:t xml:space="preserve">2. Not well </w:t>
            </w:r>
            <w:r w:rsidRPr="00CF3E3D">
              <w:rPr>
                <w:rFonts w:eastAsia="Times New Roman"/>
                <w:sz w:val="18"/>
                <w:szCs w:val="18"/>
                <w:lang w:eastAsia="en-AU"/>
              </w:rPr>
              <w:br/>
              <w:t xml:space="preserve">3. Well </w:t>
            </w:r>
            <w:r w:rsidRPr="00CF3E3D">
              <w:rPr>
                <w:rFonts w:eastAsia="Times New Roman"/>
                <w:sz w:val="18"/>
                <w:szCs w:val="18"/>
                <w:lang w:eastAsia="en-AU"/>
              </w:rPr>
              <w:br/>
              <w:t xml:space="preserve">4. Very well </w:t>
            </w:r>
            <w:r w:rsidRPr="00CF3E3D">
              <w:rPr>
                <w:rFonts w:eastAsia="Times New Roman"/>
                <w:sz w:val="18"/>
                <w:szCs w:val="18"/>
                <w:lang w:eastAsia="en-AU"/>
              </w:rPr>
              <w:br/>
              <w:t>5. Don’t know / Unsure</w:t>
            </w:r>
          </w:p>
        </w:tc>
      </w:tr>
      <w:tr w:rsidR="00040060" w:rsidRPr="00CF3E3D" w14:paraId="2E9B96A5"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A50C8CC"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BESTPREP</w:t>
            </w:r>
          </w:p>
        </w:tc>
        <w:tc>
          <w:tcPr>
            <w:tcW w:w="6060" w:type="dxa"/>
            <w:hideMark/>
          </w:tcPr>
          <w:p w14:paraId="683420FC"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are the main ways that &lt; E306C &gt; prepared you for employment in your organisation?</w:t>
            </w:r>
          </w:p>
        </w:tc>
        <w:tc>
          <w:tcPr>
            <w:tcW w:w="3118" w:type="dxa"/>
            <w:hideMark/>
          </w:tcPr>
          <w:p w14:paraId="32E24C7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&lt;verbatim text box&gt;</w:t>
            </w:r>
          </w:p>
        </w:tc>
      </w:tr>
      <w:tr w:rsidR="00040060" w:rsidRPr="00CF3E3D" w14:paraId="527805DA"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1EEFAA1"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IMPPREP</w:t>
            </w:r>
          </w:p>
        </w:tc>
        <w:tc>
          <w:tcPr>
            <w:tcW w:w="6060" w:type="dxa"/>
            <w:hideMark/>
          </w:tcPr>
          <w:p w14:paraId="6811BF4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are the main ways &lt;E306C&gt; could have better prepared you for employment in your organisation?</w:t>
            </w:r>
          </w:p>
        </w:tc>
        <w:tc>
          <w:tcPr>
            <w:tcW w:w="3118" w:type="dxa"/>
            <w:hideMark/>
          </w:tcPr>
          <w:p w14:paraId="0BE45AB2"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&lt;verbatim text box&gt;</w:t>
            </w:r>
          </w:p>
        </w:tc>
      </w:tr>
      <w:tr w:rsidR="00040060" w:rsidRPr="00CF3E3D" w14:paraId="3B1DA193"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18555F5"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FSBEPREP</w:t>
            </w:r>
          </w:p>
        </w:tc>
        <w:tc>
          <w:tcPr>
            <w:tcW w:w="6060" w:type="dxa"/>
            <w:noWrap/>
            <w:hideMark/>
          </w:tcPr>
          <w:p w14:paraId="533F8912"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are the main ways that &lt; E306C &gt; prepared you for further study?</w:t>
            </w:r>
          </w:p>
        </w:tc>
        <w:tc>
          <w:tcPr>
            <w:tcW w:w="3118" w:type="dxa"/>
            <w:hideMark/>
          </w:tcPr>
          <w:p w14:paraId="477A550D"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&lt;verbatim text box&gt;</w:t>
            </w:r>
          </w:p>
        </w:tc>
      </w:tr>
      <w:tr w:rsidR="00040060" w:rsidRPr="00CF3E3D" w14:paraId="29E03618"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noWrap/>
            <w:hideMark/>
          </w:tcPr>
          <w:p w14:paraId="7ACC53AC"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FSIMPREP</w:t>
            </w:r>
          </w:p>
        </w:tc>
        <w:tc>
          <w:tcPr>
            <w:tcW w:w="6060" w:type="dxa"/>
            <w:noWrap/>
            <w:hideMark/>
          </w:tcPr>
          <w:p w14:paraId="0BB2F46F"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are the main ways &lt;E306C&gt; could have better prepared you for further study?</w:t>
            </w:r>
          </w:p>
        </w:tc>
        <w:tc>
          <w:tcPr>
            <w:tcW w:w="3118" w:type="dxa"/>
            <w:hideMark/>
          </w:tcPr>
          <w:p w14:paraId="6B57FF0B"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&lt;verbatim text box&gt;</w:t>
            </w:r>
          </w:p>
        </w:tc>
      </w:tr>
      <w:tr w:rsidR="00040060" w:rsidRPr="00CF3E3D" w14:paraId="7B8D0F3D"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1987FC2E" w14:textId="283E0A93" w:rsidR="00040060" w:rsidRPr="00CF3E3D" w:rsidRDefault="00040060" w:rsidP="007007AC">
            <w:pPr>
              <w:spacing w:before="0"/>
              <w:rPr>
                <w:rFonts w:eastAsia="Times New Roman"/>
                <w:b/>
                <w:bCs/>
                <w:sz w:val="18"/>
                <w:szCs w:val="18"/>
                <w:lang w:eastAsia="en-AU"/>
              </w:rPr>
            </w:pPr>
            <w:r w:rsidRPr="00CF3E3D">
              <w:rPr>
                <w:rFonts w:eastAsia="Times New Roman"/>
                <w:b/>
                <w:bCs/>
                <w:sz w:val="18"/>
                <w:szCs w:val="18"/>
                <w:lang w:eastAsia="en-AU"/>
              </w:rPr>
              <w:t> </w:t>
            </w:r>
            <w:r w:rsidR="008C4B0A">
              <w:rPr>
                <w:rFonts w:eastAsia="Times New Roman"/>
                <w:b/>
                <w:bCs/>
                <w:sz w:val="18"/>
                <w:szCs w:val="18"/>
                <w:lang w:eastAsia="en-AU"/>
              </w:rPr>
              <w:t>-</w:t>
            </w:r>
          </w:p>
        </w:tc>
        <w:tc>
          <w:tcPr>
            <w:tcW w:w="6060" w:type="dxa"/>
            <w:hideMark/>
          </w:tcPr>
          <w:p w14:paraId="10E232CD"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n-AU"/>
              </w:rPr>
            </w:pPr>
            <w:r w:rsidRPr="00CF3E3D">
              <w:rPr>
                <w:rFonts w:eastAsia="Times New Roman"/>
                <w:b/>
                <w:bCs/>
                <w:sz w:val="18"/>
                <w:szCs w:val="18"/>
                <w:lang w:eastAsia="en-AU"/>
              </w:rPr>
              <w:t>Module F: Additional Items</w:t>
            </w:r>
          </w:p>
        </w:tc>
        <w:tc>
          <w:tcPr>
            <w:tcW w:w="3118" w:type="dxa"/>
            <w:hideMark/>
          </w:tcPr>
          <w:p w14:paraId="50C39DE4" w14:textId="6F28633F"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w:t>
            </w:r>
            <w:r w:rsidR="008C4B0A">
              <w:rPr>
                <w:rFonts w:eastAsia="Times New Roman"/>
                <w:sz w:val="18"/>
                <w:szCs w:val="18"/>
                <w:lang w:eastAsia="en-AU"/>
              </w:rPr>
              <w:t>-</w:t>
            </w:r>
          </w:p>
        </w:tc>
      </w:tr>
      <w:tr w:rsidR="00040060" w:rsidRPr="00CF3E3D" w14:paraId="4B5738D0"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noWrap/>
            <w:hideMark/>
          </w:tcPr>
          <w:p w14:paraId="6D8E8813"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INTLINTROA</w:t>
            </w:r>
          </w:p>
        </w:tc>
        <w:tc>
          <w:tcPr>
            <w:tcW w:w="6060" w:type="dxa"/>
            <w:hideMark/>
          </w:tcPr>
          <w:p w14:paraId="100736EB"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And now some specifics about your *(IF STUDENTTYPE=1, DISPLAY: &lt;course/program&gt;, IF STUDENTTYPE=2, DISPLAY: &lt;postgraduate research&gt;.)</w:t>
            </w:r>
          </w:p>
        </w:tc>
        <w:tc>
          <w:tcPr>
            <w:tcW w:w="3118" w:type="dxa"/>
            <w:hideMark/>
          </w:tcPr>
          <w:p w14:paraId="7FD28C24" w14:textId="7B744A6A" w:rsidR="00040060" w:rsidRPr="00CF3E3D" w:rsidRDefault="008C4B0A"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Pr>
                <w:rFonts w:eastAsia="Times New Roman"/>
                <w:sz w:val="18"/>
                <w:szCs w:val="18"/>
                <w:lang w:eastAsia="en-AU"/>
              </w:rPr>
              <w:t>-</w:t>
            </w:r>
          </w:p>
        </w:tc>
      </w:tr>
      <w:tr w:rsidR="00040060" w:rsidRPr="00CF3E3D" w14:paraId="6473E1ED"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noWrap/>
            <w:hideMark/>
          </w:tcPr>
          <w:p w14:paraId="6C2B679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OSSTUDY</w:t>
            </w:r>
          </w:p>
        </w:tc>
        <w:tc>
          <w:tcPr>
            <w:tcW w:w="6060" w:type="dxa"/>
            <w:hideMark/>
          </w:tcPr>
          <w:p w14:paraId="5831F880"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Did you undertake any overseas study during your *(IF STUDENTTYPE=1, DISPLAY: &lt;course&gt;IF STUDENTTYPE=2, DISPLAY: &lt;postgraduate research&gt; e.g. student exchange or study abroad?)</w:t>
            </w:r>
          </w:p>
        </w:tc>
        <w:tc>
          <w:tcPr>
            <w:tcW w:w="3118" w:type="dxa"/>
            <w:hideMark/>
          </w:tcPr>
          <w:p w14:paraId="10172F07"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r w:rsidRPr="00CF3E3D">
              <w:rPr>
                <w:rFonts w:eastAsia="Times New Roman"/>
                <w:sz w:val="18"/>
                <w:szCs w:val="18"/>
                <w:lang w:eastAsia="en-AU"/>
              </w:rPr>
              <w:br/>
              <w:t>3. Not applicable</w:t>
            </w:r>
          </w:p>
        </w:tc>
      </w:tr>
      <w:tr w:rsidR="00040060" w:rsidRPr="00CF3E3D" w14:paraId="3EF20349"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noWrap/>
            <w:hideMark/>
          </w:tcPr>
          <w:p w14:paraId="4CAF3EC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INTERN</w:t>
            </w:r>
          </w:p>
        </w:tc>
        <w:tc>
          <w:tcPr>
            <w:tcW w:w="6060" w:type="dxa"/>
            <w:noWrap/>
            <w:hideMark/>
          </w:tcPr>
          <w:p w14:paraId="7A073D0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Did your &lt;</w:t>
            </w:r>
            <w:proofErr w:type="spellStart"/>
            <w:r w:rsidRPr="00CF3E3D">
              <w:rPr>
                <w:rFonts w:eastAsia="Times New Roman"/>
                <w:sz w:val="18"/>
                <w:szCs w:val="18"/>
                <w:lang w:eastAsia="en-AU"/>
              </w:rPr>
              <w:t>FinalCourseA</w:t>
            </w:r>
            <w:proofErr w:type="spellEnd"/>
            <w:r w:rsidRPr="00CF3E3D">
              <w:rPr>
                <w:rFonts w:eastAsia="Times New Roman"/>
                <w:sz w:val="18"/>
                <w:szCs w:val="18"/>
                <w:lang w:eastAsia="en-AU"/>
              </w:rPr>
              <w:t>/</w:t>
            </w:r>
            <w:proofErr w:type="spellStart"/>
            <w:r w:rsidRPr="00CF3E3D">
              <w:rPr>
                <w:rFonts w:eastAsia="Times New Roman"/>
                <w:sz w:val="18"/>
                <w:szCs w:val="18"/>
                <w:lang w:eastAsia="en-AU"/>
              </w:rPr>
              <w:t>FinalCourseB</w:t>
            </w:r>
            <w:proofErr w:type="spellEnd"/>
            <w:r w:rsidRPr="00CF3E3D">
              <w:rPr>
                <w:rFonts w:eastAsia="Times New Roman"/>
                <w:sz w:val="18"/>
                <w:szCs w:val="18"/>
                <w:lang w:eastAsia="en-AU"/>
              </w:rPr>
              <w:t>&gt; include an internship component?</w:t>
            </w:r>
          </w:p>
        </w:tc>
        <w:tc>
          <w:tcPr>
            <w:tcW w:w="3118" w:type="dxa"/>
            <w:hideMark/>
          </w:tcPr>
          <w:p w14:paraId="02BD9B0D"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r w:rsidRPr="00CF3E3D">
              <w:rPr>
                <w:rFonts w:eastAsia="Times New Roman"/>
                <w:sz w:val="18"/>
                <w:szCs w:val="18"/>
                <w:lang w:eastAsia="en-AU"/>
              </w:rPr>
              <w:br/>
              <w:t>3. Don’t know</w:t>
            </w:r>
          </w:p>
        </w:tc>
      </w:tr>
      <w:tr w:rsidR="00040060" w:rsidRPr="00CF3E3D" w14:paraId="01F42825"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6574DEE3"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INTLEARN</w:t>
            </w:r>
          </w:p>
        </w:tc>
        <w:tc>
          <w:tcPr>
            <w:tcW w:w="6060" w:type="dxa"/>
            <w:hideMark/>
          </w:tcPr>
          <w:p w14:paraId="4F97935D"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Did you participate in other types of work-integrated learning (e.g. placements, practicums, consultancies, industry research projects) as part of your &lt;</w:t>
            </w:r>
            <w:proofErr w:type="spellStart"/>
            <w:r w:rsidRPr="00CF3E3D">
              <w:rPr>
                <w:rFonts w:eastAsia="Times New Roman"/>
                <w:sz w:val="18"/>
                <w:szCs w:val="18"/>
                <w:lang w:eastAsia="en-AU"/>
              </w:rPr>
              <w:t>FinalCourseA</w:t>
            </w:r>
            <w:proofErr w:type="spellEnd"/>
            <w:r w:rsidRPr="00CF3E3D">
              <w:rPr>
                <w:rFonts w:eastAsia="Times New Roman"/>
                <w:sz w:val="18"/>
                <w:szCs w:val="18"/>
                <w:lang w:eastAsia="en-AU"/>
              </w:rPr>
              <w:t>/</w:t>
            </w:r>
            <w:proofErr w:type="spellStart"/>
            <w:r w:rsidRPr="00CF3E3D">
              <w:rPr>
                <w:rFonts w:eastAsia="Times New Roman"/>
                <w:sz w:val="18"/>
                <w:szCs w:val="18"/>
                <w:lang w:eastAsia="en-AU"/>
              </w:rPr>
              <w:t>FinalCourseB</w:t>
            </w:r>
            <w:proofErr w:type="spellEnd"/>
            <w:r w:rsidRPr="00CF3E3D">
              <w:rPr>
                <w:rFonts w:eastAsia="Times New Roman"/>
                <w:sz w:val="18"/>
                <w:szCs w:val="18"/>
                <w:lang w:eastAsia="en-AU"/>
              </w:rPr>
              <w:t>&gt;?</w:t>
            </w:r>
          </w:p>
        </w:tc>
        <w:tc>
          <w:tcPr>
            <w:tcW w:w="3118" w:type="dxa"/>
            <w:hideMark/>
          </w:tcPr>
          <w:p w14:paraId="04FD3C04"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r w:rsidRPr="00CF3E3D">
              <w:rPr>
                <w:rFonts w:eastAsia="Times New Roman"/>
                <w:sz w:val="18"/>
                <w:szCs w:val="18"/>
                <w:lang w:eastAsia="en-AU"/>
              </w:rPr>
              <w:br/>
              <w:t>3.  Not applicable</w:t>
            </w:r>
          </w:p>
        </w:tc>
      </w:tr>
      <w:tr w:rsidR="00040060" w:rsidRPr="00CF3E3D" w14:paraId="1861AB35"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EB4B9E2"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TRAINING</w:t>
            </w:r>
          </w:p>
        </w:tc>
        <w:tc>
          <w:tcPr>
            <w:tcW w:w="6060" w:type="dxa"/>
            <w:hideMark/>
          </w:tcPr>
          <w:p w14:paraId="464BCD8C"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Did your &lt;</w:t>
            </w:r>
            <w:proofErr w:type="spellStart"/>
            <w:r w:rsidRPr="00CF3E3D">
              <w:rPr>
                <w:rFonts w:eastAsia="Times New Roman"/>
                <w:sz w:val="18"/>
                <w:szCs w:val="18"/>
                <w:lang w:eastAsia="en-AU"/>
              </w:rPr>
              <w:t>FinalCourseA</w:t>
            </w:r>
            <w:proofErr w:type="spellEnd"/>
            <w:r w:rsidRPr="00CF3E3D">
              <w:rPr>
                <w:rFonts w:eastAsia="Times New Roman"/>
                <w:sz w:val="18"/>
                <w:szCs w:val="18"/>
                <w:lang w:eastAsia="en-AU"/>
              </w:rPr>
              <w:t>/</w:t>
            </w:r>
            <w:proofErr w:type="spellStart"/>
            <w:r w:rsidRPr="00CF3E3D">
              <w:rPr>
                <w:rFonts w:eastAsia="Times New Roman"/>
                <w:sz w:val="18"/>
                <w:szCs w:val="18"/>
                <w:lang w:eastAsia="en-AU"/>
              </w:rPr>
              <w:t>FinalCourseB</w:t>
            </w:r>
            <w:proofErr w:type="spellEnd"/>
            <w:r w:rsidRPr="00CF3E3D">
              <w:rPr>
                <w:rFonts w:eastAsia="Times New Roman"/>
                <w:sz w:val="18"/>
                <w:szCs w:val="18"/>
                <w:lang w:eastAsia="en-AU"/>
              </w:rPr>
              <w:t>&gt; include training in….</w:t>
            </w:r>
            <w:r w:rsidRPr="00CF3E3D">
              <w:rPr>
                <w:rFonts w:eastAsia="Times New Roman"/>
                <w:sz w:val="18"/>
                <w:szCs w:val="18"/>
                <w:lang w:eastAsia="en-AU"/>
              </w:rPr>
              <w:br/>
              <w:t>(STATEMENTS)</w:t>
            </w:r>
            <w:r w:rsidRPr="00CF3E3D">
              <w:rPr>
                <w:rFonts w:eastAsia="Times New Roman"/>
                <w:sz w:val="18"/>
                <w:szCs w:val="18"/>
                <w:lang w:eastAsia="en-AU"/>
              </w:rPr>
              <w:br/>
              <w:t>Pgreslink101/IPA Intellectual property awareness</w:t>
            </w:r>
            <w:r w:rsidRPr="00CF3E3D">
              <w:rPr>
                <w:rFonts w:eastAsia="Times New Roman"/>
                <w:sz w:val="18"/>
                <w:szCs w:val="18"/>
                <w:lang w:eastAsia="en-AU"/>
              </w:rPr>
              <w:br/>
              <w:t xml:space="preserve">Pgreslink102/BUSMAN Business management </w:t>
            </w:r>
            <w:r w:rsidRPr="00CF3E3D">
              <w:rPr>
                <w:rFonts w:eastAsia="Times New Roman"/>
                <w:sz w:val="18"/>
                <w:szCs w:val="18"/>
                <w:lang w:eastAsia="en-AU"/>
              </w:rPr>
              <w:br/>
              <w:t>Pgreslink103/ENTPNR Entrepreneurship</w:t>
            </w:r>
          </w:p>
        </w:tc>
        <w:tc>
          <w:tcPr>
            <w:tcW w:w="3118" w:type="dxa"/>
            <w:hideMark/>
          </w:tcPr>
          <w:p w14:paraId="65195869"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r w:rsidRPr="00CF3E3D">
              <w:rPr>
                <w:rFonts w:eastAsia="Times New Roman"/>
                <w:sz w:val="18"/>
                <w:szCs w:val="18"/>
                <w:lang w:eastAsia="en-AU"/>
              </w:rPr>
              <w:br/>
              <w:t>3. Don’t know</w:t>
            </w:r>
          </w:p>
        </w:tc>
      </w:tr>
      <w:tr w:rsidR="00040060" w:rsidRPr="00CF3E3D" w14:paraId="3EA49736"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75F1DBC7"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lastRenderedPageBreak/>
              <w:t>COFUND</w:t>
            </w:r>
          </w:p>
        </w:tc>
        <w:tc>
          <w:tcPr>
            <w:tcW w:w="6060" w:type="dxa"/>
            <w:hideMark/>
          </w:tcPr>
          <w:p w14:paraId="5A896517"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Was your &lt;</w:t>
            </w:r>
            <w:proofErr w:type="spellStart"/>
            <w:r w:rsidRPr="00CF3E3D">
              <w:rPr>
                <w:rFonts w:eastAsia="Times New Roman"/>
                <w:sz w:val="18"/>
                <w:szCs w:val="18"/>
                <w:lang w:eastAsia="en-AU"/>
              </w:rPr>
              <w:t>FinalCourseA</w:t>
            </w:r>
            <w:proofErr w:type="spellEnd"/>
            <w:r w:rsidRPr="00CF3E3D">
              <w:rPr>
                <w:rFonts w:eastAsia="Times New Roman"/>
                <w:sz w:val="18"/>
                <w:szCs w:val="18"/>
                <w:lang w:eastAsia="en-AU"/>
              </w:rPr>
              <w:t>/</w:t>
            </w:r>
            <w:proofErr w:type="spellStart"/>
            <w:r w:rsidRPr="00CF3E3D">
              <w:rPr>
                <w:rFonts w:eastAsia="Times New Roman"/>
                <w:sz w:val="18"/>
                <w:szCs w:val="18"/>
                <w:lang w:eastAsia="en-AU"/>
              </w:rPr>
              <w:t>FinalCourseB</w:t>
            </w:r>
            <w:proofErr w:type="spellEnd"/>
            <w:r w:rsidRPr="00CF3E3D">
              <w:rPr>
                <w:rFonts w:eastAsia="Times New Roman"/>
                <w:sz w:val="18"/>
                <w:szCs w:val="18"/>
                <w:lang w:eastAsia="en-AU"/>
              </w:rPr>
              <w:t xml:space="preserve">&gt; jointly supervised or co-funded by an industry partner? </w:t>
            </w:r>
            <w:r w:rsidRPr="00CF3E3D">
              <w:rPr>
                <w:rFonts w:eastAsia="Times New Roman"/>
                <w:i/>
                <w:iCs/>
                <w:sz w:val="18"/>
                <w:szCs w:val="18"/>
                <w:lang w:eastAsia="en-AU"/>
              </w:rPr>
              <w:t>Please select all that apply.</w:t>
            </w:r>
          </w:p>
        </w:tc>
        <w:tc>
          <w:tcPr>
            <w:tcW w:w="3118" w:type="dxa"/>
            <w:hideMark/>
          </w:tcPr>
          <w:p w14:paraId="63F810AD"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1/JOINTSUP. Yes it was jointly supervised</w:t>
            </w:r>
            <w:r w:rsidRPr="00CF3E3D">
              <w:rPr>
                <w:rFonts w:eastAsia="Times New Roman"/>
                <w:sz w:val="18"/>
                <w:szCs w:val="18"/>
                <w:lang w:eastAsia="en-AU"/>
              </w:rPr>
              <w:br/>
              <w:t>2/COFUND. Yes it was co-funded</w:t>
            </w:r>
            <w:r w:rsidRPr="00CF3E3D">
              <w:rPr>
                <w:rFonts w:eastAsia="Times New Roman"/>
                <w:sz w:val="18"/>
                <w:szCs w:val="18"/>
                <w:lang w:eastAsia="en-AU"/>
              </w:rPr>
              <w:br/>
              <w:t>3/NOJSCF.  No *(EXCLUSIVE)</w:t>
            </w:r>
            <w:r w:rsidRPr="00CF3E3D">
              <w:rPr>
                <w:rFonts w:eastAsia="Times New Roman"/>
                <w:sz w:val="18"/>
                <w:szCs w:val="18"/>
                <w:lang w:eastAsia="en-AU"/>
              </w:rPr>
              <w:br/>
              <w:t>4/DKJSCF.  Don’t know *(EXCLUSIVE)</w:t>
            </w:r>
          </w:p>
        </w:tc>
      </w:tr>
      <w:tr w:rsidR="00040060" w:rsidRPr="00CF3E3D" w14:paraId="59BA07F8"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4B49CEB4" w14:textId="3757BF51" w:rsidR="00040060" w:rsidRPr="00CF3E3D" w:rsidRDefault="00040060" w:rsidP="007007AC">
            <w:pPr>
              <w:spacing w:before="0"/>
              <w:rPr>
                <w:rFonts w:eastAsia="Times New Roman"/>
                <w:b/>
                <w:bCs/>
                <w:sz w:val="18"/>
                <w:szCs w:val="18"/>
                <w:lang w:eastAsia="en-AU"/>
              </w:rPr>
            </w:pPr>
            <w:r w:rsidRPr="00CF3E3D">
              <w:rPr>
                <w:rFonts w:eastAsia="Times New Roman"/>
                <w:b/>
                <w:bCs/>
                <w:sz w:val="18"/>
                <w:szCs w:val="18"/>
                <w:lang w:eastAsia="en-AU"/>
              </w:rPr>
              <w:t> </w:t>
            </w:r>
            <w:r w:rsidR="008C4B0A">
              <w:rPr>
                <w:rFonts w:eastAsia="Times New Roman"/>
                <w:b/>
                <w:bCs/>
                <w:sz w:val="18"/>
                <w:szCs w:val="18"/>
                <w:lang w:eastAsia="en-AU"/>
              </w:rPr>
              <w:t>-</w:t>
            </w:r>
          </w:p>
        </w:tc>
        <w:tc>
          <w:tcPr>
            <w:tcW w:w="6060" w:type="dxa"/>
            <w:hideMark/>
          </w:tcPr>
          <w:p w14:paraId="698BB24B"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b/>
                <w:bCs/>
                <w:sz w:val="18"/>
                <w:szCs w:val="18"/>
                <w:lang w:eastAsia="en-AU"/>
              </w:rPr>
            </w:pPr>
            <w:r w:rsidRPr="00CF3E3D">
              <w:rPr>
                <w:rFonts w:eastAsia="Times New Roman"/>
                <w:b/>
                <w:bCs/>
                <w:sz w:val="18"/>
                <w:szCs w:val="18"/>
                <w:lang w:eastAsia="en-AU"/>
              </w:rPr>
              <w:t>Module G: Contact details</w:t>
            </w:r>
          </w:p>
        </w:tc>
        <w:tc>
          <w:tcPr>
            <w:tcW w:w="3118" w:type="dxa"/>
            <w:hideMark/>
          </w:tcPr>
          <w:p w14:paraId="2F43DE75" w14:textId="3C53552D"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w:t>
            </w:r>
            <w:r w:rsidR="008C4B0A">
              <w:rPr>
                <w:rFonts w:eastAsia="Times New Roman"/>
                <w:sz w:val="18"/>
                <w:szCs w:val="18"/>
                <w:lang w:eastAsia="en-AU"/>
              </w:rPr>
              <w:t>-</w:t>
            </w:r>
          </w:p>
        </w:tc>
      </w:tr>
      <w:tr w:rsidR="00040060" w:rsidRPr="00CF3E3D" w14:paraId="106C51C6"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0D08A4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CONTACT </w:t>
            </w:r>
          </w:p>
        </w:tc>
        <w:tc>
          <w:tcPr>
            <w:tcW w:w="6060" w:type="dxa"/>
            <w:hideMark/>
          </w:tcPr>
          <w:p w14:paraId="6B560083"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 xml:space="preserve">In a couple of years’ time, we are undertaking a follow up survey with graduates to see how their career has developed. </w:t>
            </w:r>
            <w:r w:rsidRPr="00CF3E3D">
              <w:rPr>
                <w:rFonts w:eastAsia="Times New Roman"/>
                <w:sz w:val="18"/>
                <w:szCs w:val="18"/>
                <w:lang w:eastAsia="en-AU"/>
              </w:rPr>
              <w:br/>
              <w:t xml:space="preserve"> </w:t>
            </w:r>
            <w:r w:rsidRPr="00CF3E3D">
              <w:rPr>
                <w:rFonts w:eastAsia="Times New Roman"/>
                <w:sz w:val="18"/>
                <w:szCs w:val="18"/>
                <w:lang w:eastAsia="en-AU"/>
              </w:rPr>
              <w:br/>
              <w:t xml:space="preserve">Do you consent to being invited to participate in this important future research? </w:t>
            </w:r>
            <w:r w:rsidRPr="00CF3E3D">
              <w:rPr>
                <w:rFonts w:eastAsia="Times New Roman"/>
                <w:sz w:val="18"/>
                <w:szCs w:val="18"/>
                <w:lang w:eastAsia="en-AU"/>
              </w:rPr>
              <w:br/>
            </w:r>
            <w:r w:rsidRPr="00CF3E3D">
              <w:rPr>
                <w:rFonts w:eastAsia="Times New Roman"/>
                <w:sz w:val="18"/>
                <w:szCs w:val="18"/>
                <w:lang w:eastAsia="en-AU"/>
              </w:rPr>
              <w:br/>
              <w:t xml:space="preserve">For further information on the survey please click here (link to: https://www.qilt.edu.au/qilt-surveys).  </w:t>
            </w:r>
          </w:p>
        </w:tc>
        <w:tc>
          <w:tcPr>
            <w:tcW w:w="3118" w:type="dxa"/>
            <w:hideMark/>
          </w:tcPr>
          <w:p w14:paraId="5D5E944E"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p>
        </w:tc>
      </w:tr>
      <w:tr w:rsidR="00040060" w:rsidRPr="00CF3E3D" w14:paraId="6E7C9E25"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2689DFD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ALUMNI </w:t>
            </w:r>
          </w:p>
        </w:tc>
        <w:tc>
          <w:tcPr>
            <w:tcW w:w="6060" w:type="dxa"/>
            <w:hideMark/>
          </w:tcPr>
          <w:p w14:paraId="125C01F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Do you consent to your details being passed on to your Alumni services at your institution for them to update your details?</w:t>
            </w:r>
          </w:p>
        </w:tc>
        <w:tc>
          <w:tcPr>
            <w:tcW w:w="3118" w:type="dxa"/>
            <w:hideMark/>
          </w:tcPr>
          <w:p w14:paraId="6EC3F436"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p>
        </w:tc>
      </w:tr>
      <w:tr w:rsidR="00040060" w:rsidRPr="00CF3E3D" w14:paraId="47C0B71D"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3DCBEC4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EMAIL </w:t>
            </w:r>
          </w:p>
        </w:tc>
        <w:tc>
          <w:tcPr>
            <w:tcW w:w="6060" w:type="dxa"/>
            <w:hideMark/>
          </w:tcPr>
          <w:p w14:paraId="53332200"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We would like to make sure all your contact information is up to date. Is the email address below a permanent email address that we can use in the future?</w:t>
            </w:r>
          </w:p>
        </w:tc>
        <w:tc>
          <w:tcPr>
            <w:tcW w:w="3118" w:type="dxa"/>
            <w:hideMark/>
          </w:tcPr>
          <w:p w14:paraId="6BAC302A"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Permanent email address is as above</w:t>
            </w:r>
            <w:r w:rsidRPr="00CF3E3D">
              <w:rPr>
                <w:rFonts w:eastAsia="Times New Roman"/>
                <w:sz w:val="18"/>
                <w:szCs w:val="18"/>
                <w:lang w:eastAsia="en-AU"/>
              </w:rPr>
              <w:br/>
              <w:t>2. Enter new permanent email address &lt;email box&gt;</w:t>
            </w:r>
            <w:r w:rsidRPr="00CF3E3D">
              <w:rPr>
                <w:rFonts w:eastAsia="Times New Roman"/>
                <w:sz w:val="18"/>
                <w:szCs w:val="18"/>
                <w:lang w:eastAsia="en-AU"/>
              </w:rPr>
              <w:br/>
              <w:t xml:space="preserve">3. Don’t have a permanent email address </w:t>
            </w:r>
            <w:r w:rsidRPr="00CF3E3D">
              <w:rPr>
                <w:rFonts w:eastAsia="Times New Roman"/>
                <w:sz w:val="18"/>
                <w:szCs w:val="18"/>
                <w:lang w:eastAsia="en-AU"/>
              </w:rPr>
              <w:br/>
              <w:t>4. Do not wish to be re-contacted by email</w:t>
            </w:r>
          </w:p>
        </w:tc>
      </w:tr>
      <w:tr w:rsidR="00040060" w:rsidRPr="00CF3E3D" w14:paraId="7CB558D5"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473DB71D"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ADDRESS</w:t>
            </w:r>
          </w:p>
        </w:tc>
        <w:tc>
          <w:tcPr>
            <w:tcW w:w="6060" w:type="dxa"/>
            <w:hideMark/>
          </w:tcPr>
          <w:p w14:paraId="25A6BCBD"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The postal address we have for you is:</w:t>
            </w:r>
            <w:r w:rsidRPr="00CF3E3D">
              <w:rPr>
                <w:rFonts w:eastAsia="Times New Roman"/>
                <w:sz w:val="18"/>
                <w:szCs w:val="18"/>
                <w:lang w:eastAsia="en-AU"/>
              </w:rPr>
              <w:br/>
              <w:t>&lt;add1&gt; &lt;add2&gt; &lt;add3&gt;</w:t>
            </w:r>
            <w:r w:rsidRPr="00CF3E3D">
              <w:rPr>
                <w:rFonts w:eastAsia="Times New Roman"/>
                <w:sz w:val="18"/>
                <w:szCs w:val="18"/>
                <w:lang w:eastAsia="en-AU"/>
              </w:rPr>
              <w:br/>
              <w:t>&lt;suburb&gt; &lt;state&gt; &lt;</w:t>
            </w:r>
            <w:proofErr w:type="spellStart"/>
            <w:r w:rsidRPr="00CF3E3D">
              <w:rPr>
                <w:rFonts w:eastAsia="Times New Roman"/>
                <w:sz w:val="18"/>
                <w:szCs w:val="18"/>
                <w:lang w:eastAsia="en-AU"/>
              </w:rPr>
              <w:t>pcode</w:t>
            </w:r>
            <w:proofErr w:type="spellEnd"/>
            <w:r w:rsidRPr="00CF3E3D">
              <w:rPr>
                <w:rFonts w:eastAsia="Times New Roman"/>
                <w:sz w:val="18"/>
                <w:szCs w:val="18"/>
                <w:lang w:eastAsia="en-AU"/>
              </w:rPr>
              <w:t>&gt;</w:t>
            </w:r>
            <w:r w:rsidRPr="00CF3E3D">
              <w:rPr>
                <w:rFonts w:eastAsia="Times New Roman"/>
                <w:sz w:val="18"/>
                <w:szCs w:val="18"/>
                <w:lang w:eastAsia="en-AU"/>
              </w:rPr>
              <w:br/>
              <w:t>&lt;country&gt;</w:t>
            </w:r>
            <w:r w:rsidRPr="00CF3E3D">
              <w:rPr>
                <w:rFonts w:eastAsia="Times New Roman"/>
                <w:sz w:val="18"/>
                <w:szCs w:val="18"/>
                <w:lang w:eastAsia="en-AU"/>
              </w:rPr>
              <w:br/>
            </w:r>
            <w:r w:rsidRPr="00CF3E3D">
              <w:rPr>
                <w:rFonts w:eastAsia="Times New Roman"/>
                <w:sz w:val="18"/>
                <w:szCs w:val="18"/>
                <w:lang w:eastAsia="en-AU"/>
              </w:rPr>
              <w:br/>
              <w:t>Is this correct?</w:t>
            </w:r>
          </w:p>
        </w:tc>
        <w:tc>
          <w:tcPr>
            <w:tcW w:w="3118" w:type="dxa"/>
            <w:hideMark/>
          </w:tcPr>
          <w:p w14:paraId="08A3530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 *(DISPLAY AND EDIT ADDRESS ONE FIELD AT A TIME WHERE NECESSARY)</w:t>
            </w:r>
            <w:r w:rsidRPr="00CF3E3D">
              <w:rPr>
                <w:rFonts w:eastAsia="Times New Roman"/>
                <w:sz w:val="18"/>
                <w:szCs w:val="18"/>
                <w:lang w:eastAsia="en-AU"/>
              </w:rPr>
              <w:br/>
              <w:t>3. Do not wish to be contacted by post</w:t>
            </w:r>
          </w:p>
        </w:tc>
      </w:tr>
      <w:tr w:rsidR="00040060" w:rsidRPr="00CF3E3D" w14:paraId="56BC402D"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41DD80B"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ADDRESS2 </w:t>
            </w:r>
          </w:p>
        </w:tc>
        <w:tc>
          <w:tcPr>
            <w:tcW w:w="6060" w:type="dxa"/>
            <w:hideMark/>
          </w:tcPr>
          <w:p w14:paraId="17F5F0CB"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We do not have any postal information provided for you. Would you like to update your postal details?</w:t>
            </w:r>
          </w:p>
        </w:tc>
        <w:tc>
          <w:tcPr>
            <w:tcW w:w="3118" w:type="dxa"/>
            <w:hideMark/>
          </w:tcPr>
          <w:p w14:paraId="51236A92"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r w:rsidRPr="00CF3E3D">
              <w:rPr>
                <w:rFonts w:eastAsia="Times New Roman"/>
                <w:sz w:val="18"/>
                <w:szCs w:val="18"/>
                <w:lang w:eastAsia="en-AU"/>
              </w:rPr>
              <w:br/>
              <w:t>3. Do not wish to be contacted by post</w:t>
            </w:r>
          </w:p>
        </w:tc>
      </w:tr>
      <w:tr w:rsidR="00040060" w:rsidRPr="00CF3E3D" w14:paraId="74C58D9F" w14:textId="77777777" w:rsidTr="0082003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0EF6CFB9"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 xml:space="preserve">C4 </w:t>
            </w:r>
          </w:p>
        </w:tc>
        <w:tc>
          <w:tcPr>
            <w:tcW w:w="6060" w:type="dxa"/>
            <w:hideMark/>
          </w:tcPr>
          <w:p w14:paraId="2D8BA9B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Would you like to be notified via email when the national data is released on the Quality Indicators for Learning and Teaching (QILT) website?</w:t>
            </w:r>
          </w:p>
        </w:tc>
        <w:tc>
          <w:tcPr>
            <w:tcW w:w="3118" w:type="dxa"/>
            <w:hideMark/>
          </w:tcPr>
          <w:p w14:paraId="61FAFCEA" w14:textId="77777777" w:rsidR="00040060" w:rsidRPr="00CF3E3D" w:rsidRDefault="00040060" w:rsidP="007007AC">
            <w:pPr>
              <w:spacing w:before="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Yes</w:t>
            </w:r>
            <w:r w:rsidRPr="00CF3E3D">
              <w:rPr>
                <w:rFonts w:eastAsia="Times New Roman"/>
                <w:sz w:val="18"/>
                <w:szCs w:val="18"/>
                <w:lang w:eastAsia="en-AU"/>
              </w:rPr>
              <w:br/>
              <w:t>2. No</w:t>
            </w:r>
          </w:p>
        </w:tc>
      </w:tr>
      <w:tr w:rsidR="00040060" w:rsidRPr="00CF3E3D" w14:paraId="438838D0" w14:textId="77777777" w:rsidTr="008200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hideMark/>
          </w:tcPr>
          <w:p w14:paraId="59D70D30" w14:textId="77777777" w:rsidR="00040060" w:rsidRPr="00CF3E3D" w:rsidRDefault="00040060" w:rsidP="007007AC">
            <w:pPr>
              <w:spacing w:before="0"/>
              <w:rPr>
                <w:rFonts w:eastAsia="Times New Roman"/>
                <w:sz w:val="18"/>
                <w:szCs w:val="18"/>
                <w:lang w:eastAsia="en-AU"/>
              </w:rPr>
            </w:pPr>
            <w:r w:rsidRPr="00CF3E3D">
              <w:rPr>
                <w:rFonts w:eastAsia="Times New Roman"/>
                <w:sz w:val="18"/>
                <w:szCs w:val="18"/>
                <w:lang w:eastAsia="en-AU"/>
              </w:rPr>
              <w:t>NTFEMAIL</w:t>
            </w:r>
          </w:p>
        </w:tc>
        <w:tc>
          <w:tcPr>
            <w:tcW w:w="6060" w:type="dxa"/>
            <w:hideMark/>
          </w:tcPr>
          <w:p w14:paraId="2A21D12A"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What is the best email address to send the notification to?</w:t>
            </w:r>
          </w:p>
        </w:tc>
        <w:tc>
          <w:tcPr>
            <w:tcW w:w="3118" w:type="dxa"/>
            <w:hideMark/>
          </w:tcPr>
          <w:p w14:paraId="6E621338" w14:textId="77777777" w:rsidR="00040060" w:rsidRPr="00CF3E3D" w:rsidRDefault="00040060" w:rsidP="007007AC">
            <w:pPr>
              <w:spacing w:before="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CF3E3D">
              <w:rPr>
                <w:rFonts w:eastAsia="Times New Roman"/>
                <w:sz w:val="18"/>
                <w:szCs w:val="18"/>
                <w:lang w:eastAsia="en-AU"/>
              </w:rPr>
              <w:t>1. Address as above</w:t>
            </w:r>
            <w:r w:rsidRPr="00CF3E3D">
              <w:rPr>
                <w:rFonts w:eastAsia="Times New Roman"/>
                <w:sz w:val="18"/>
                <w:szCs w:val="18"/>
                <w:lang w:eastAsia="en-AU"/>
              </w:rPr>
              <w:br/>
              <w:t>2. Enter new email address</w:t>
            </w:r>
          </w:p>
        </w:tc>
      </w:tr>
    </w:tbl>
    <w:p w14:paraId="27641E73" w14:textId="19D77E80" w:rsidR="008C4B0A" w:rsidRDefault="008C4B0A" w:rsidP="008C4B0A">
      <w:pPr>
        <w:pStyle w:val="FigureNote"/>
      </w:pPr>
      <w:bookmarkStart w:id="254" w:name="_Toc116035564"/>
      <w:bookmarkStart w:id="255" w:name="_Toc116039919"/>
      <w:r w:rsidRPr="00CF3E3D">
        <w:t xml:space="preserve">Note: A </w:t>
      </w:r>
      <w:r>
        <w:t xml:space="preserve">‘-‘ </w:t>
      </w:r>
      <w:r w:rsidRPr="00CF3E3D">
        <w:t xml:space="preserve">indicates there is no data </w:t>
      </w:r>
      <w:r>
        <w:t xml:space="preserve">/ information available </w:t>
      </w:r>
      <w:r w:rsidRPr="00CF3E3D">
        <w:t>for that cell</w:t>
      </w:r>
    </w:p>
    <w:p w14:paraId="5BF86BF0" w14:textId="63F77583" w:rsidR="00040060" w:rsidRPr="00040060" w:rsidRDefault="00040060" w:rsidP="00040060">
      <w:pPr>
        <w:pStyle w:val="Heading2"/>
        <w:numPr>
          <w:ilvl w:val="0"/>
          <w:numId w:val="0"/>
        </w:numPr>
        <w:ind w:left="851" w:hanging="851"/>
        <w:rPr>
          <w:color w:val="000000" w:themeColor="text1"/>
        </w:rPr>
      </w:pPr>
      <w:r w:rsidRPr="00040060">
        <w:rPr>
          <w:color w:val="000000" w:themeColor="text1"/>
        </w:rPr>
        <w:t>3.2 Additional items</w:t>
      </w:r>
      <w:bookmarkEnd w:id="254"/>
      <w:bookmarkEnd w:id="255"/>
    </w:p>
    <w:p w14:paraId="6451B100" w14:textId="77777777" w:rsidR="00040060" w:rsidRPr="00CF3E3D" w:rsidRDefault="00040060" w:rsidP="00040060">
      <w:pPr>
        <w:pStyle w:val="Body"/>
      </w:pPr>
      <w:r w:rsidRPr="00CF3E3D">
        <w:t xml:space="preserve">A total of 16 institutions (14 universities and 2 NUHEIs) included institution specific items in the 2022 GOS. Institution specific items can be the same or a variation on questions included in prior years, or new questions entirely. Some of the content covered by institution specific items included questions relating to the net promoter score, work preparedness, further study plans, time spent in internships, volunteering and other co-curricular activities, and likelihood of recommending the course or institution to others. These institution-specific items were presented to graduates after the core instrument. A statement (The following items have been included by &lt;E306CTXT&gt; to gather feedback from recent graduates on issues important to their institution) was added before the items to further emphasise a clear distinction between the core instrument and any additional items. </w:t>
      </w:r>
    </w:p>
    <w:p w14:paraId="2D002C89" w14:textId="77777777" w:rsidR="00040060" w:rsidRPr="00CF3E3D" w:rsidRDefault="00040060" w:rsidP="00040060">
      <w:pPr>
        <w:pStyle w:val="Body"/>
      </w:pPr>
      <w:r w:rsidRPr="00CF3E3D">
        <w:t>The CEQ (excluding from overall satisfaction) and the Graduate Attributes Scale (GAS) became institution opt-in from the 2021 GOS. A total of 40 institutions (19 universities and 21 NUHEIs) included the CEQ, and 37 institutions (22 universities and 15 NUHEIs) included the GAS.</w:t>
      </w:r>
    </w:p>
    <w:p w14:paraId="7AB94DF2" w14:textId="53CACBAB" w:rsidR="00040060" w:rsidRDefault="00040060" w:rsidP="00040060">
      <w:pPr>
        <w:pStyle w:val="Body"/>
      </w:pPr>
      <w:r w:rsidRPr="00CF3E3D">
        <w:lastRenderedPageBreak/>
        <w:t xml:space="preserve">Stakeholders including the Australian Association of Graduate Employers (AAGE), Australian Collaborative Education Network Limited (ACEN), and Optometry Council of Australia and New Zealand (OCANZ) included items in the 2022 GOS. Content covered by the stakeholder items included employment pathways, work integrated learning and preparedness of optometry graduates. Institutions were invited to participate in these items, where applicable, by each of the relevant stakeholders. </w:t>
      </w:r>
    </w:p>
    <w:p w14:paraId="25F44A32" w14:textId="27CF294C" w:rsidR="00387C3F" w:rsidRDefault="00387C3F">
      <w:pPr>
        <w:rPr>
          <w:rFonts w:eastAsia="Times New Roman" w:cs="Times New Roman"/>
          <w:szCs w:val="20"/>
        </w:rPr>
      </w:pPr>
      <w:r>
        <w:br w:type="page"/>
      </w:r>
    </w:p>
    <w:p w14:paraId="10B93D0C" w14:textId="77777777" w:rsidR="00387C3F" w:rsidRPr="00387C3F" w:rsidRDefault="00387C3F" w:rsidP="00387C3F">
      <w:pPr>
        <w:pStyle w:val="Heading1"/>
        <w:numPr>
          <w:ilvl w:val="0"/>
          <w:numId w:val="0"/>
        </w:numPr>
        <w:rPr>
          <w:color w:val="000000" w:themeColor="text1"/>
        </w:rPr>
      </w:pPr>
      <w:bookmarkStart w:id="256" w:name="_Toc116035565"/>
      <w:bookmarkStart w:id="257" w:name="_Toc116039920"/>
      <w:r w:rsidRPr="00387C3F">
        <w:rPr>
          <w:color w:val="000000" w:themeColor="text1"/>
        </w:rPr>
        <w:lastRenderedPageBreak/>
        <w:t xml:space="preserve">Appendix 4 </w:t>
      </w:r>
      <w:bookmarkStart w:id="258" w:name="_Hlk109644849"/>
      <w:r w:rsidRPr="00387C3F">
        <w:rPr>
          <w:color w:val="000000" w:themeColor="text1"/>
        </w:rPr>
        <w:t>Construction of confidence intervals</w:t>
      </w:r>
      <w:bookmarkEnd w:id="256"/>
      <w:bookmarkEnd w:id="258"/>
      <w:bookmarkEnd w:id="257"/>
    </w:p>
    <w:p w14:paraId="2D67ADA2" w14:textId="77777777" w:rsidR="00387C3F" w:rsidRPr="00CF3E3D" w:rsidRDefault="00387C3F" w:rsidP="00387C3F">
      <w:pPr>
        <w:pStyle w:val="Body"/>
      </w:pPr>
      <w:r w:rsidRPr="00CF3E3D">
        <w:t>The 90 per cent confidence intervals presented in this report were calculated using the Finite Population Correction (FPC) to account for the relatively large size of the sample relative to the in-scope population. The FPC is generally used when the sampling fraction exceeds five per cent.</w:t>
      </w:r>
    </w:p>
    <w:p w14:paraId="7D7CE322" w14:textId="77777777" w:rsidR="00387C3F" w:rsidRPr="00CF3E3D" w:rsidRDefault="00387C3F" w:rsidP="00387C3F">
      <w:pPr>
        <w:pStyle w:val="Body"/>
      </w:pPr>
      <w:r w:rsidRPr="00CF3E3D">
        <w:t xml:space="preserve">Because percentage agreement scores are reported for the 2022 GOS, the formula for the confidence interval of a proportion is used. The </w:t>
      </w:r>
      <w:proofErr w:type="spellStart"/>
      <w:r w:rsidRPr="00CF3E3D">
        <w:t>Agresti-Coull</w:t>
      </w:r>
      <w:proofErr w:type="spellEnd"/>
      <w:r w:rsidRPr="00CF3E3D">
        <w:t xml:space="preserve"> method is used as it performs well with both small and large counts, consistently producing intervals that are more likely to contain the true value of the proportion in comparison to the previous Wald method.</w:t>
      </w:r>
    </w:p>
    <w:p w14:paraId="3B2293E6" w14:textId="77777777" w:rsidR="00387C3F" w:rsidRPr="00CF3E3D" w:rsidRDefault="00387C3F" w:rsidP="00387C3F">
      <w:pPr>
        <w:pStyle w:val="Body"/>
      </w:pPr>
      <w:r w:rsidRPr="00CF3E3D">
        <w:t xml:space="preserve">Where </w:t>
      </w:r>
      <m:oMath>
        <m:groupChr>
          <m:groupChrPr>
            <m:chr m:val="̃"/>
            <m:pos m:val="top"/>
            <m:vertJc m:val="bot"/>
            <m:ctrlPr>
              <w:rPr>
                <w:rFonts w:ascii="Cambria Math" w:hAnsi="Cambria Math"/>
              </w:rPr>
            </m:ctrlPr>
          </m:groupChrPr>
          <m:e>
            <m:r>
              <w:rPr>
                <w:rFonts w:ascii="Cambria Math" w:hAnsi="Cambria Math"/>
              </w:rPr>
              <m:t>p</m:t>
            </m:r>
          </m:e>
        </m:groupChr>
      </m:oMath>
      <w:r w:rsidRPr="00CF3E3D">
        <w:t xml:space="preserve"> is the adjusted estimated proportion of satisfied responses, </w:t>
      </w:r>
      <m:oMath>
        <m:r>
          <w:rPr>
            <w:rFonts w:ascii="Cambria Math" w:hAnsi="Cambria Math"/>
          </w:rPr>
          <m:t>N</m:t>
        </m:r>
      </m:oMath>
      <w:r w:rsidRPr="00CF3E3D">
        <w:t xml:space="preserve"> is the size of the population in the relevant subgroup, </w:t>
      </w:r>
      <m:oMath>
        <m:r>
          <w:rPr>
            <w:rFonts w:ascii="Cambria Math" w:hAnsi="Cambria Math"/>
          </w:rPr>
          <m:t>n</m:t>
        </m:r>
      </m:oMath>
      <w:r w:rsidRPr="00CF3E3D">
        <w:t xml:space="preserve"> is the number of valid responses in the relevant subgroup,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CF3E3D">
        <w:t xml:space="preserve"> is the number of positive responses in the relevant subgroup, </w:t>
      </w:r>
      <m:oMath>
        <m:r>
          <w:rPr>
            <w:rFonts w:ascii="Cambria Math" w:hAnsi="Cambria Math"/>
          </w:rPr>
          <m:t>1.645</m:t>
        </m:r>
      </m:oMath>
      <w:r w:rsidRPr="00CF3E3D">
        <w:t xml:space="preserve"> is the standard normal value for 90 per cent confidence and </w:t>
      </w:r>
      <m:oMath>
        <m:r>
          <w:rPr>
            <w:rFonts w:ascii="Cambria Math" w:hAnsi="Cambria Math"/>
          </w:rPr>
          <m:t>FPC</m:t>
        </m:r>
      </m:oMath>
      <w:r w:rsidRPr="00CF3E3D">
        <w:t xml:space="preserve"> is the Finite Population Correction term.</w:t>
      </w:r>
    </w:p>
    <w:p w14:paraId="3890C4D5" w14:textId="77777777" w:rsidR="00387C3F" w:rsidRPr="00CF3E3D" w:rsidRDefault="00387C3F" w:rsidP="00387C3F">
      <w:pPr>
        <w:pStyle w:val="Body"/>
      </w:pPr>
      <w:r w:rsidRPr="00CF3E3D">
        <w:t xml:space="preserve">The 90 per cent confidence interval of each estimated proportion is then calculated as the adjusted proportion plus or minus its 90 per cent confidence interval bound. </w:t>
      </w:r>
    </w:p>
    <w:p w14:paraId="24DBF6E6" w14:textId="77777777" w:rsidR="00387C3F" w:rsidRPr="00387C3F" w:rsidRDefault="00387C3F" w:rsidP="00387C3F">
      <w:pPr>
        <w:pStyle w:val="Caption"/>
        <w:rPr>
          <w:color w:val="000000" w:themeColor="text1"/>
        </w:rPr>
      </w:pPr>
      <w:bookmarkStart w:id="259" w:name="_Toc76446421"/>
      <w:bookmarkStart w:id="260" w:name="_Toc77927545"/>
      <w:r w:rsidRPr="00387C3F">
        <w:rPr>
          <w:color w:val="000000" w:themeColor="text1"/>
        </w:rPr>
        <w:t xml:space="preserve">Figure </w:t>
      </w:r>
      <w:r w:rsidRPr="00387C3F">
        <w:rPr>
          <w:color w:val="000000" w:themeColor="text1"/>
        </w:rPr>
        <w:fldChar w:fldCharType="begin"/>
      </w:r>
      <w:r w:rsidRPr="00387C3F">
        <w:rPr>
          <w:color w:val="000000" w:themeColor="text1"/>
        </w:rPr>
        <w:instrText xml:space="preserve"> SEQ Figure \* ARABIC </w:instrText>
      </w:r>
      <w:r w:rsidRPr="00387C3F">
        <w:rPr>
          <w:color w:val="000000" w:themeColor="text1"/>
        </w:rPr>
        <w:fldChar w:fldCharType="separate"/>
      </w:r>
      <w:r w:rsidRPr="00387C3F">
        <w:rPr>
          <w:noProof/>
          <w:color w:val="000000" w:themeColor="text1"/>
        </w:rPr>
        <w:t>1</w:t>
      </w:r>
      <w:r w:rsidRPr="00387C3F">
        <w:rPr>
          <w:color w:val="000000" w:themeColor="text1"/>
        </w:rPr>
        <w:fldChar w:fldCharType="end"/>
      </w:r>
      <w:r w:rsidRPr="00387C3F">
        <w:rPr>
          <w:color w:val="000000" w:themeColor="text1"/>
        </w:rPr>
        <w:t xml:space="preserve"> Formula for a 90 per cent confidence interval using the </w:t>
      </w:r>
      <w:proofErr w:type="spellStart"/>
      <w:r w:rsidRPr="00387C3F">
        <w:rPr>
          <w:color w:val="000000" w:themeColor="text1"/>
        </w:rPr>
        <w:t>Agresti-Coull</w:t>
      </w:r>
      <w:proofErr w:type="spellEnd"/>
      <w:r w:rsidRPr="00387C3F">
        <w:rPr>
          <w:color w:val="000000" w:themeColor="text1"/>
        </w:rPr>
        <w:t xml:space="preserve"> method with FPC</w:t>
      </w:r>
      <w:bookmarkEnd w:id="259"/>
      <w:bookmarkEnd w:id="260"/>
    </w:p>
    <w:p w14:paraId="259B8F07" w14:textId="77777777" w:rsidR="00387C3F" w:rsidRPr="00387C3F" w:rsidRDefault="0067537F" w:rsidP="00387C3F">
      <w:pPr>
        <w:pStyle w:val="Caption"/>
        <w:rPr>
          <w:iCs/>
          <w:color w:val="000000" w:themeColor="text1"/>
        </w:rPr>
      </w:pPr>
      <m:oMath>
        <m:groupChr>
          <m:groupChrPr>
            <m:chr m:val="̃"/>
            <m:pos m:val="top"/>
            <m:vertJc m:val="bot"/>
            <m:ctrlPr>
              <w:rPr>
                <w:rFonts w:ascii="Cambria Math" w:hAnsi="Cambria Math"/>
                <w:color w:val="000000" w:themeColor="text1"/>
              </w:rPr>
            </m:ctrlPr>
          </m:groupChrPr>
          <m:e>
            <m:r>
              <m:rPr>
                <m:sty m:val="bi"/>
              </m:rPr>
              <w:rPr>
                <w:rFonts w:ascii="Cambria Math" w:hAnsi="Cambria Math"/>
                <w:color w:val="000000" w:themeColor="text1"/>
              </w:rPr>
              <m:t>p</m:t>
            </m:r>
          </m:e>
        </m:groupChr>
        <m:r>
          <m:rPr>
            <m:sty m:val="b"/>
          </m:rPr>
          <w:rPr>
            <w:rFonts w:ascii="Cambria Math" w:hAnsi="Cambria Math"/>
            <w:color w:val="000000" w:themeColor="text1"/>
          </w:rPr>
          <m:t>±1.645*</m:t>
        </m:r>
        <m:r>
          <m:rPr>
            <m:sty m:val="bi"/>
          </m:rPr>
          <w:rPr>
            <w:rFonts w:ascii="Cambria Math" w:hAnsi="Cambria Math"/>
            <w:color w:val="000000" w:themeColor="text1"/>
          </w:rPr>
          <m:t>FPC</m:t>
        </m:r>
        <m:r>
          <m:rPr>
            <m:sty m:val="b"/>
          </m:rPr>
          <w:rPr>
            <w:rFonts w:ascii="Cambria Math" w:hAnsi="Cambria Math"/>
            <w:color w:val="000000" w:themeColor="text1"/>
          </w:rPr>
          <m:t>*</m:t>
        </m:r>
        <m:rad>
          <m:radPr>
            <m:degHide m:val="1"/>
            <m:ctrlPr>
              <w:rPr>
                <w:rFonts w:ascii="Cambria Math" w:hAnsi="Cambria Math"/>
                <w:color w:val="000000" w:themeColor="text1"/>
              </w:rPr>
            </m:ctrlPr>
          </m:radPr>
          <m:deg/>
          <m:e>
            <m:groupChr>
              <m:groupChrPr>
                <m:chr m:val="̃"/>
                <m:pos m:val="top"/>
                <m:vertJc m:val="bot"/>
                <m:ctrlPr>
                  <w:rPr>
                    <w:rFonts w:ascii="Cambria Math" w:hAnsi="Cambria Math"/>
                    <w:color w:val="000000" w:themeColor="text1"/>
                  </w:rPr>
                </m:ctrlPr>
              </m:groupChrPr>
              <m:e>
                <m:r>
                  <m:rPr>
                    <m:sty m:val="bi"/>
                  </m:rPr>
                  <w:rPr>
                    <w:rFonts w:ascii="Cambria Math" w:hAnsi="Cambria Math"/>
                    <w:color w:val="000000" w:themeColor="text1"/>
                  </w:rPr>
                  <m:t>p</m:t>
                </m:r>
              </m:e>
            </m:groupChr>
            <m:r>
              <m:rPr>
                <m:sty m:val="b"/>
              </m:rPr>
              <w:rPr>
                <w:rFonts w:ascii="Cambria Math" w:hAnsi="Cambria Math"/>
                <w:color w:val="000000" w:themeColor="text1"/>
              </w:rPr>
              <m:t>(1-</m:t>
            </m:r>
            <m:groupChr>
              <m:groupChrPr>
                <m:chr m:val="̃"/>
                <m:pos m:val="top"/>
                <m:vertJc m:val="bot"/>
                <m:ctrlPr>
                  <w:rPr>
                    <w:rFonts w:ascii="Cambria Math" w:hAnsi="Cambria Math"/>
                    <w:color w:val="000000" w:themeColor="text1"/>
                  </w:rPr>
                </m:ctrlPr>
              </m:groupChrPr>
              <m:e>
                <m:r>
                  <m:rPr>
                    <m:sty m:val="bi"/>
                  </m:rPr>
                  <w:rPr>
                    <w:rFonts w:ascii="Cambria Math" w:hAnsi="Cambria Math"/>
                    <w:color w:val="000000" w:themeColor="text1"/>
                  </w:rPr>
                  <m:t>p</m:t>
                </m:r>
              </m:e>
            </m:groupChr>
            <m:r>
              <m:rPr>
                <m:sty m:val="b"/>
              </m:rPr>
              <w:rPr>
                <w:rFonts w:ascii="Cambria Math" w:hAnsi="Cambria Math"/>
                <w:color w:val="000000" w:themeColor="text1"/>
              </w:rPr>
              <m:t xml:space="preserve">)/ </m:t>
            </m:r>
            <m:groupChr>
              <m:groupChrPr>
                <m:chr m:val="̃"/>
                <m:pos m:val="top"/>
                <m:vertJc m:val="bot"/>
                <m:ctrlPr>
                  <w:rPr>
                    <w:rFonts w:ascii="Cambria Math" w:hAnsi="Cambria Math"/>
                    <w:color w:val="000000" w:themeColor="text1"/>
                  </w:rPr>
                </m:ctrlPr>
              </m:groupChrPr>
              <m:e>
                <m:r>
                  <m:rPr>
                    <m:sty m:val="bi"/>
                  </m:rPr>
                  <w:rPr>
                    <w:rFonts w:ascii="Cambria Math" w:hAnsi="Cambria Math"/>
                    <w:color w:val="000000" w:themeColor="text1"/>
                  </w:rPr>
                  <m:t>n</m:t>
                </m:r>
              </m:e>
            </m:groupChr>
          </m:e>
        </m:rad>
      </m:oMath>
      <w:r w:rsidR="00387C3F" w:rsidRPr="00387C3F">
        <w:rPr>
          <w:color w:val="000000" w:themeColor="text1"/>
        </w:rPr>
        <w:t xml:space="preserve"> </w:t>
      </w:r>
    </w:p>
    <w:p w14:paraId="5BCABF3B" w14:textId="7A025CBA" w:rsidR="00387C3F" w:rsidRDefault="00387C3F" w:rsidP="00387C3F">
      <w:pPr>
        <w:pStyle w:val="Tabletitle"/>
      </w:pPr>
      <w:bookmarkStart w:id="261" w:name="_Toc77927546"/>
      <w:r w:rsidRPr="00CF3E3D">
        <w:t xml:space="preserve">where  </w:t>
      </w:r>
      <m:oMath>
        <m:groupChr>
          <m:groupChrPr>
            <m:chr m:val="̃"/>
            <m:pos m:val="top"/>
            <m:vertJc m:val="bot"/>
            <m:ctrlPr>
              <w:rPr>
                <w:rFonts w:ascii="Cambria Math" w:hAnsi="Cambria Math"/>
              </w:rPr>
            </m:ctrlPr>
          </m:groupChrPr>
          <m:e>
            <m:r>
              <m:rPr>
                <m:sty m:val="bi"/>
              </m:rPr>
              <w:rPr>
                <w:rFonts w:ascii="Cambria Math" w:hAnsi="Cambria Math"/>
              </w:rPr>
              <m:t>p</m:t>
            </m:r>
          </m:e>
        </m:groupChr>
        <m:r>
          <m:rPr>
            <m:sty m:val="b"/>
          </m:rPr>
          <w:rPr>
            <w:rFonts w:ascii="Cambria Math" w:hAnsi="Cambria Math"/>
          </w:rPr>
          <m:t>=</m:t>
        </m:r>
        <m:groupChr>
          <m:groupChrPr>
            <m:chr m:val="̃"/>
            <m:pos m:val="top"/>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e>
        </m:groupChr>
        <m:r>
          <m:rPr>
            <m:sty m:val="b"/>
          </m:rPr>
          <w:rPr>
            <w:rFonts w:ascii="Cambria Math" w:hAnsi="Cambria Math"/>
          </w:rPr>
          <m:t>/</m:t>
        </m:r>
        <m:groupChr>
          <m:groupChrPr>
            <m:chr m:val="̃"/>
            <m:pos m:val="top"/>
            <m:vertJc m:val="bot"/>
            <m:ctrlPr>
              <w:rPr>
                <w:rFonts w:ascii="Cambria Math" w:hAnsi="Cambria Math"/>
              </w:rPr>
            </m:ctrlPr>
          </m:groupChrPr>
          <m:e>
            <m:r>
              <m:rPr>
                <m:sty m:val="bi"/>
              </m:rPr>
              <w:rPr>
                <w:rFonts w:ascii="Cambria Math" w:hAnsi="Cambria Math"/>
              </w:rPr>
              <m:t>n</m:t>
            </m:r>
          </m:e>
        </m:groupChr>
      </m:oMath>
      <w:r w:rsidRPr="00CF3E3D">
        <w:t xml:space="preserve">,  </w:t>
      </w:r>
      <m:oMath>
        <m:groupChr>
          <m:groupChrPr>
            <m:chr m:val="̃"/>
            <m:pos m:val="top"/>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e>
        </m:groupChr>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r>
          <m:rPr>
            <m:sty m:val="b"/>
          </m:rPr>
          <w:rPr>
            <w:rFonts w:ascii="Cambria Math" w:hAnsi="Cambria Math"/>
          </w:rPr>
          <m:t>+</m:t>
        </m:r>
      </m:oMath>
      <w:r w:rsidRPr="00CF3E3D">
        <w:t xml:space="preserve"> </w:t>
      </w:r>
      <m:oMath>
        <m:sSup>
          <m:sSupPr>
            <m:ctrlPr>
              <w:rPr>
                <w:rFonts w:ascii="Cambria Math" w:hAnsi="Cambria Math"/>
              </w:rPr>
            </m:ctrlPr>
          </m:sSupPr>
          <m:e>
            <m:r>
              <m:rPr>
                <m:sty m:val="b"/>
              </m:rPr>
              <w:rPr>
                <w:rFonts w:ascii="Cambria Math" w:hAnsi="Cambria Math"/>
              </w:rPr>
              <m:t>1.645</m:t>
            </m:r>
          </m:e>
          <m:sup>
            <m:r>
              <m:rPr>
                <m:sty m:val="b"/>
              </m:rPr>
              <w:rPr>
                <w:rFonts w:ascii="Cambria Math" w:hAnsi="Cambria Math"/>
              </w:rPr>
              <m:t>2</m:t>
            </m:r>
          </m:sup>
        </m:sSup>
        <m:r>
          <m:rPr>
            <m:sty m:val="b"/>
          </m:rPr>
          <w:rPr>
            <w:rFonts w:ascii="Cambria Math" w:hAnsi="Cambria Math"/>
          </w:rPr>
          <m:t>/2</m:t>
        </m:r>
      </m:oMath>
      <w:r w:rsidRPr="00CF3E3D">
        <w:t xml:space="preserve">  and  </w:t>
      </w:r>
      <m:oMath>
        <m:groupChr>
          <m:groupChrPr>
            <m:chr m:val="̃"/>
            <m:pos m:val="top"/>
            <m:vertJc m:val="bot"/>
            <m:ctrlPr>
              <w:rPr>
                <w:rFonts w:ascii="Cambria Math" w:hAnsi="Cambria Math"/>
              </w:rPr>
            </m:ctrlPr>
          </m:groupChrPr>
          <m:e>
            <m:r>
              <m:rPr>
                <m:sty m:val="bi"/>
              </m:rPr>
              <w:rPr>
                <w:rFonts w:ascii="Cambria Math" w:hAnsi="Cambria Math"/>
              </w:rPr>
              <m:t>n</m:t>
            </m:r>
          </m:e>
        </m:groupChr>
        <m:r>
          <m:rPr>
            <m:sty m:val="b"/>
          </m:rPr>
          <w:rPr>
            <w:rFonts w:ascii="Cambria Math" w:hAnsi="Cambria Math"/>
          </w:rPr>
          <m:t>=</m:t>
        </m:r>
        <m:r>
          <m:rPr>
            <m:sty m:val="bi"/>
          </m:rPr>
          <w:rPr>
            <w:rFonts w:ascii="Cambria Math" w:hAnsi="Cambria Math"/>
          </w:rPr>
          <m:t>n</m:t>
        </m:r>
        <m:r>
          <m:rPr>
            <m:sty m:val="b"/>
          </m:rPr>
          <w:rPr>
            <w:rFonts w:ascii="Cambria Math" w:hAnsi="Cambria Math"/>
          </w:rPr>
          <m:t>+</m:t>
        </m:r>
        <m:sSup>
          <m:sSupPr>
            <m:ctrlPr>
              <w:rPr>
                <w:rFonts w:ascii="Cambria Math" w:hAnsi="Cambria Math"/>
              </w:rPr>
            </m:ctrlPr>
          </m:sSupPr>
          <m:e>
            <m:r>
              <m:rPr>
                <m:sty m:val="b"/>
              </m:rPr>
              <w:rPr>
                <w:rFonts w:ascii="Cambria Math" w:hAnsi="Cambria Math"/>
              </w:rPr>
              <m:t>1.645</m:t>
            </m:r>
          </m:e>
          <m:sup>
            <m:r>
              <m:rPr>
                <m:sty m:val="b"/>
              </m:rPr>
              <w:rPr>
                <w:rFonts w:ascii="Cambria Math" w:hAnsi="Cambria Math"/>
              </w:rPr>
              <m:t>2</m:t>
            </m:r>
          </m:sup>
        </m:sSup>
      </m:oMath>
      <w:r w:rsidRPr="00CF3E3D">
        <w:t xml:space="preserve">  and  </w:t>
      </w:r>
      <m:oMath>
        <m:r>
          <m:rPr>
            <m:sty m:val="bi"/>
          </m:rPr>
          <w:rPr>
            <w:rFonts w:ascii="Cambria Math" w:hAnsi="Cambria Math"/>
          </w:rPr>
          <m:t>FPC</m:t>
        </m:r>
        <m:r>
          <m:rPr>
            <m:sty m:val="b"/>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N</m:t>
                </m:r>
                <m:r>
                  <m:rPr>
                    <m:sty m:val="b"/>
                  </m:rPr>
                  <w:rPr>
                    <w:rFonts w:ascii="Cambria Math" w:hAnsi="Cambria Math"/>
                  </w:rPr>
                  <m:t xml:space="preserve"> - </m:t>
                </m:r>
                <m:r>
                  <m:rPr>
                    <m:sty m:val="bi"/>
                  </m:rPr>
                  <w:rPr>
                    <w:rFonts w:ascii="Cambria Math" w:hAnsi="Cambria Math"/>
                  </w:rPr>
                  <m:t>n</m:t>
                </m:r>
              </m:num>
              <m:den>
                <m:r>
                  <m:rPr>
                    <m:sty m:val="bi"/>
                  </m:rPr>
                  <w:rPr>
                    <w:rFonts w:ascii="Cambria Math" w:hAnsi="Cambria Math"/>
                  </w:rPr>
                  <m:t>N</m:t>
                </m:r>
                <m:r>
                  <m:rPr>
                    <m:sty m:val="b"/>
                  </m:rPr>
                  <w:rPr>
                    <w:rFonts w:ascii="Cambria Math" w:hAnsi="Cambria Math"/>
                  </w:rPr>
                  <m:t xml:space="preserve"> - 1</m:t>
                </m:r>
              </m:den>
            </m:f>
          </m:e>
        </m:rad>
      </m:oMath>
      <w:bookmarkEnd w:id="261"/>
    </w:p>
    <w:p w14:paraId="47AC3512" w14:textId="2C9C7908" w:rsidR="00F52390" w:rsidRDefault="00F52390">
      <w:pPr>
        <w:rPr>
          <w:rFonts w:ascii="ArialMT" w:eastAsiaTheme="minorEastAsia" w:hAnsi="ArialMT" w:cs="ArialMT"/>
          <w:b/>
          <w:color w:val="auto"/>
          <w:szCs w:val="20"/>
          <w:lang w:val="en-GB"/>
        </w:rPr>
      </w:pPr>
      <w:r>
        <w:br w:type="page"/>
      </w:r>
    </w:p>
    <w:p w14:paraId="1EADF984" w14:textId="77777777" w:rsidR="00F52390" w:rsidRPr="00F52390" w:rsidRDefault="00F52390" w:rsidP="00F52390">
      <w:pPr>
        <w:pStyle w:val="Heading1"/>
        <w:numPr>
          <w:ilvl w:val="0"/>
          <w:numId w:val="0"/>
        </w:numPr>
        <w:ind w:left="851" w:hanging="851"/>
        <w:rPr>
          <w:color w:val="000000" w:themeColor="text1"/>
        </w:rPr>
      </w:pPr>
      <w:bookmarkStart w:id="262" w:name="_Toc116035566"/>
      <w:bookmarkStart w:id="263" w:name="_Toc116039921"/>
      <w:r w:rsidRPr="00F52390">
        <w:rPr>
          <w:color w:val="000000" w:themeColor="text1"/>
        </w:rPr>
        <w:lastRenderedPageBreak/>
        <w:t>Appendix 5 Study area concordance</w:t>
      </w:r>
      <w:bookmarkEnd w:id="262"/>
      <w:bookmarkEnd w:id="263"/>
    </w:p>
    <w:p w14:paraId="1349FB72" w14:textId="77777777" w:rsidR="00F52390" w:rsidRPr="00CF3E3D" w:rsidRDefault="00F52390" w:rsidP="00F52390">
      <w:pPr>
        <w:pStyle w:val="Body"/>
      </w:pPr>
      <w:r w:rsidRPr="00CF3E3D">
        <w:t xml:space="preserve">Study areas for the QILT surveys, including the GOS, are defined in accordance with the ABS Australian Standard Classification of Education (ASCED). The QILT website, and this report generally use 21 aggregated study areas as the basis of analysis. Targets for data collection are based on 45 study areas. Concordance between these study areas and ASCED fields are listed below in </w:t>
      </w:r>
      <w:r w:rsidRPr="00CF3E3D">
        <w:fldChar w:fldCharType="begin"/>
      </w:r>
      <w:r w:rsidRPr="00CF3E3D">
        <w:instrText xml:space="preserve"> REF _Ref77927080 \h  \* MERGEFORMAT </w:instrText>
      </w:r>
      <w:r w:rsidRPr="00CF3E3D">
        <w:fldChar w:fldCharType="separate"/>
      </w:r>
      <w:r w:rsidRPr="00CF3E3D">
        <w:t xml:space="preserve">Table </w:t>
      </w:r>
      <w:r>
        <w:rPr>
          <w:noProof/>
        </w:rPr>
        <w:t>31</w:t>
      </w:r>
      <w:r w:rsidRPr="00CF3E3D">
        <w:fldChar w:fldCharType="end"/>
      </w:r>
      <w:r w:rsidRPr="00CF3E3D">
        <w:t>. Details of the fields of education are available from the ABS website.</w:t>
      </w:r>
    </w:p>
    <w:p w14:paraId="18400AA0" w14:textId="3E9F5239" w:rsidR="00F52390" w:rsidRPr="00F52390" w:rsidRDefault="00F52390" w:rsidP="00F52390">
      <w:pPr>
        <w:pStyle w:val="Caption"/>
        <w:rPr>
          <w:color w:val="000000" w:themeColor="text1"/>
        </w:rPr>
      </w:pPr>
      <w:bookmarkStart w:id="264" w:name="_Ref77927080"/>
      <w:bookmarkStart w:id="265" w:name="_Toc116035825"/>
      <w:bookmarkStart w:id="266" w:name="_Toc116040380"/>
      <w:r w:rsidRPr="00F52390">
        <w:rPr>
          <w:color w:val="000000" w:themeColor="text1"/>
        </w:rPr>
        <w:t xml:space="preserve">Table </w:t>
      </w:r>
      <w:r w:rsidRPr="00F52390">
        <w:rPr>
          <w:color w:val="000000" w:themeColor="text1"/>
        </w:rPr>
        <w:fldChar w:fldCharType="begin"/>
      </w:r>
      <w:r w:rsidRPr="00F52390">
        <w:rPr>
          <w:color w:val="000000" w:themeColor="text1"/>
        </w:rPr>
        <w:instrText xml:space="preserve"> SEQ Table \* ARABIC </w:instrText>
      </w:r>
      <w:r w:rsidRPr="00F52390">
        <w:rPr>
          <w:color w:val="000000" w:themeColor="text1"/>
        </w:rPr>
        <w:fldChar w:fldCharType="separate"/>
      </w:r>
      <w:r>
        <w:rPr>
          <w:noProof/>
          <w:color w:val="000000" w:themeColor="text1"/>
        </w:rPr>
        <w:t>31</w:t>
      </w:r>
      <w:r w:rsidRPr="00F52390">
        <w:rPr>
          <w:color w:val="000000" w:themeColor="text1"/>
        </w:rPr>
        <w:fldChar w:fldCharType="end"/>
      </w:r>
      <w:bookmarkEnd w:id="264"/>
      <w:r w:rsidRPr="00F52390">
        <w:rPr>
          <w:color w:val="000000" w:themeColor="text1"/>
        </w:rPr>
        <w:t xml:space="preserve"> Study area concordance</w:t>
      </w:r>
      <w:bookmarkEnd w:id="265"/>
      <w:bookmarkEnd w:id="266"/>
    </w:p>
    <w:tbl>
      <w:tblPr>
        <w:tblStyle w:val="SRC1"/>
        <w:tblW w:w="4678" w:type="pct"/>
        <w:tblLayout w:type="fixed"/>
        <w:tblCellMar>
          <w:left w:w="28" w:type="dxa"/>
          <w:right w:w="28" w:type="dxa"/>
        </w:tblCellMar>
        <w:tblLook w:val="04A0" w:firstRow="1" w:lastRow="0" w:firstColumn="1" w:lastColumn="0" w:noHBand="0" w:noVBand="1"/>
      </w:tblPr>
      <w:tblGrid>
        <w:gridCol w:w="1101"/>
        <w:gridCol w:w="1154"/>
        <w:gridCol w:w="1309"/>
        <w:gridCol w:w="1353"/>
        <w:gridCol w:w="3569"/>
      </w:tblGrid>
      <w:tr w:rsidR="00F52390" w:rsidRPr="00871E7A" w14:paraId="327F8B55"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648" w:type="pct"/>
          </w:tcPr>
          <w:p w14:paraId="6BE4572B" w14:textId="77777777" w:rsidR="00F52390" w:rsidRPr="00F52390" w:rsidRDefault="00F52390" w:rsidP="007007AC">
            <w:pPr>
              <w:rPr>
                <w:rStyle w:val="Body02BOLD"/>
                <w:b/>
                <w:bCs/>
                <w:color w:val="FFFFFF" w:themeColor="background1"/>
                <w:sz w:val="18"/>
                <w:szCs w:val="18"/>
              </w:rPr>
            </w:pPr>
            <w:bookmarkStart w:id="267" w:name="Title31"/>
            <w:bookmarkEnd w:id="267"/>
            <w:r w:rsidRPr="00F52390">
              <w:rPr>
                <w:rStyle w:val="Body02BOLD"/>
                <w:b/>
                <w:bCs/>
                <w:color w:val="FFFFFF" w:themeColor="background1"/>
                <w:sz w:val="18"/>
                <w:szCs w:val="18"/>
              </w:rPr>
              <w:t>Study area</w:t>
            </w:r>
          </w:p>
        </w:tc>
        <w:tc>
          <w:tcPr>
            <w:tcW w:w="680" w:type="pct"/>
          </w:tcPr>
          <w:p w14:paraId="31F0EB8E" w14:textId="77777777" w:rsidR="00F52390" w:rsidRPr="00F52390" w:rsidRDefault="00F52390" w:rsidP="007007AC">
            <w:pPr>
              <w:cnfStyle w:val="100000000000" w:firstRow="1" w:lastRow="0" w:firstColumn="0" w:lastColumn="0" w:oddVBand="0" w:evenVBand="0" w:oddHBand="0" w:evenHBand="0" w:firstRowFirstColumn="0" w:firstRowLastColumn="0" w:lastRowFirstColumn="0" w:lastRowLastColumn="0"/>
              <w:rPr>
                <w:rStyle w:val="Body02BOLD"/>
                <w:b/>
                <w:bCs/>
                <w:color w:val="FFFFFF" w:themeColor="background1"/>
                <w:sz w:val="18"/>
                <w:szCs w:val="18"/>
              </w:rPr>
            </w:pPr>
            <w:r w:rsidRPr="00F52390">
              <w:rPr>
                <w:rStyle w:val="Body02BOLD"/>
                <w:b/>
                <w:bCs/>
                <w:color w:val="FFFFFF" w:themeColor="background1"/>
                <w:sz w:val="18"/>
                <w:szCs w:val="18"/>
              </w:rPr>
              <w:t>Study area</w:t>
            </w:r>
          </w:p>
        </w:tc>
        <w:tc>
          <w:tcPr>
            <w:tcW w:w="771" w:type="pct"/>
          </w:tcPr>
          <w:p w14:paraId="028985D3" w14:textId="77777777" w:rsidR="00F52390" w:rsidRPr="00F52390" w:rsidRDefault="00F52390" w:rsidP="007007AC">
            <w:pPr>
              <w:cnfStyle w:val="100000000000" w:firstRow="1" w:lastRow="0" w:firstColumn="0" w:lastColumn="0" w:oddVBand="0" w:evenVBand="0" w:oddHBand="0" w:evenHBand="0" w:firstRowFirstColumn="0" w:firstRowLastColumn="0" w:lastRowFirstColumn="0" w:lastRowLastColumn="0"/>
              <w:rPr>
                <w:rStyle w:val="Body02BOLD"/>
                <w:b/>
                <w:bCs/>
                <w:color w:val="FFFFFF" w:themeColor="background1"/>
                <w:sz w:val="18"/>
                <w:szCs w:val="18"/>
              </w:rPr>
            </w:pPr>
            <w:r w:rsidRPr="00F52390">
              <w:rPr>
                <w:rStyle w:val="Body02BOLD"/>
                <w:b/>
                <w:bCs/>
                <w:color w:val="FFFFFF" w:themeColor="background1"/>
                <w:sz w:val="18"/>
                <w:szCs w:val="18"/>
              </w:rPr>
              <w:t>Study area 45</w:t>
            </w:r>
          </w:p>
        </w:tc>
        <w:tc>
          <w:tcPr>
            <w:tcW w:w="797" w:type="pct"/>
          </w:tcPr>
          <w:p w14:paraId="70DF9DF5" w14:textId="77777777" w:rsidR="00F52390" w:rsidRPr="00F52390" w:rsidRDefault="00F52390" w:rsidP="007007AC">
            <w:pPr>
              <w:cnfStyle w:val="100000000000" w:firstRow="1" w:lastRow="0" w:firstColumn="0" w:lastColumn="0" w:oddVBand="0" w:evenVBand="0" w:oddHBand="0" w:evenHBand="0" w:firstRowFirstColumn="0" w:firstRowLastColumn="0" w:lastRowFirstColumn="0" w:lastRowLastColumn="0"/>
              <w:rPr>
                <w:rStyle w:val="Body02BOLD"/>
                <w:b/>
                <w:bCs/>
                <w:color w:val="FFFFFF" w:themeColor="background1"/>
                <w:sz w:val="18"/>
                <w:szCs w:val="18"/>
              </w:rPr>
            </w:pPr>
            <w:r w:rsidRPr="00F52390">
              <w:rPr>
                <w:rStyle w:val="Body02BOLD"/>
                <w:b/>
                <w:bCs/>
                <w:color w:val="FFFFFF" w:themeColor="background1"/>
                <w:sz w:val="18"/>
                <w:szCs w:val="18"/>
              </w:rPr>
              <w:t>Study area 45</w:t>
            </w:r>
          </w:p>
        </w:tc>
        <w:tc>
          <w:tcPr>
            <w:tcW w:w="2103" w:type="pct"/>
          </w:tcPr>
          <w:p w14:paraId="4DBBA396" w14:textId="77777777" w:rsidR="00F52390" w:rsidRPr="00F52390" w:rsidRDefault="00F52390" w:rsidP="007007AC">
            <w:pPr>
              <w:cnfStyle w:val="100000000000" w:firstRow="1" w:lastRow="0" w:firstColumn="0" w:lastColumn="0" w:oddVBand="0" w:evenVBand="0" w:oddHBand="0" w:evenHBand="0" w:firstRowFirstColumn="0" w:firstRowLastColumn="0" w:lastRowFirstColumn="0" w:lastRowLastColumn="0"/>
              <w:rPr>
                <w:rStyle w:val="Body02BOLD"/>
                <w:b/>
                <w:bCs/>
                <w:color w:val="FFFFFF" w:themeColor="background1"/>
                <w:sz w:val="18"/>
                <w:szCs w:val="18"/>
              </w:rPr>
            </w:pPr>
            <w:r w:rsidRPr="00F52390">
              <w:rPr>
                <w:bCs/>
                <w:color w:val="FFFFFF" w:themeColor="background1"/>
                <w:sz w:val="18"/>
                <w:szCs w:val="18"/>
                <w:lang w:bidi="en-US"/>
              </w:rPr>
              <w:t>Field of Education</w:t>
            </w:r>
          </w:p>
        </w:tc>
      </w:tr>
      <w:tr w:rsidR="00F52390" w:rsidRPr="00871E7A" w14:paraId="5AA5B38C"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62110D8D" w14:textId="77777777" w:rsidR="00F52390" w:rsidRPr="00871E7A" w:rsidRDefault="00F52390" w:rsidP="007007AC">
            <w:pPr>
              <w:rPr>
                <w:rStyle w:val="Body02BOLD"/>
                <w:b w:val="0"/>
                <w:bCs/>
                <w:sz w:val="18"/>
                <w:szCs w:val="18"/>
              </w:rPr>
            </w:pPr>
            <w:r w:rsidRPr="00871E7A">
              <w:rPr>
                <w:rStyle w:val="Body02BOLD"/>
                <w:b w:val="0"/>
                <w:bCs/>
                <w:sz w:val="18"/>
                <w:szCs w:val="18"/>
              </w:rPr>
              <w:t>0</w:t>
            </w:r>
          </w:p>
        </w:tc>
        <w:tc>
          <w:tcPr>
            <w:tcW w:w="680" w:type="pct"/>
          </w:tcPr>
          <w:p w14:paraId="4341B39D"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Non-award</w:t>
            </w:r>
          </w:p>
        </w:tc>
        <w:tc>
          <w:tcPr>
            <w:tcW w:w="771" w:type="pct"/>
            <w:hideMark/>
          </w:tcPr>
          <w:p w14:paraId="4A945C4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w:t>
            </w:r>
          </w:p>
        </w:tc>
        <w:tc>
          <w:tcPr>
            <w:tcW w:w="797" w:type="pct"/>
            <w:hideMark/>
          </w:tcPr>
          <w:p w14:paraId="38A44218"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Non-award</w:t>
            </w:r>
          </w:p>
        </w:tc>
        <w:tc>
          <w:tcPr>
            <w:tcW w:w="2103" w:type="pct"/>
            <w:hideMark/>
          </w:tcPr>
          <w:p w14:paraId="10885EB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000000</w:t>
            </w:r>
          </w:p>
        </w:tc>
      </w:tr>
      <w:tr w:rsidR="00F52390" w:rsidRPr="00871E7A" w14:paraId="3ED01F3C" w14:textId="77777777" w:rsidTr="00F5239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21E5D661" w14:textId="77777777" w:rsidR="00F52390" w:rsidRPr="00871E7A" w:rsidRDefault="00F52390" w:rsidP="007007AC">
            <w:pPr>
              <w:rPr>
                <w:rStyle w:val="Body02BOLD"/>
                <w:b w:val="0"/>
                <w:bCs/>
                <w:sz w:val="18"/>
                <w:szCs w:val="18"/>
              </w:rPr>
            </w:pPr>
            <w:r w:rsidRPr="00871E7A">
              <w:rPr>
                <w:rStyle w:val="Body02BOLD"/>
                <w:b w:val="0"/>
                <w:bCs/>
                <w:sz w:val="18"/>
                <w:szCs w:val="18"/>
              </w:rPr>
              <w:t>1</w:t>
            </w:r>
          </w:p>
        </w:tc>
        <w:tc>
          <w:tcPr>
            <w:tcW w:w="680" w:type="pct"/>
          </w:tcPr>
          <w:p w14:paraId="095E1CE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Science and mathematics</w:t>
            </w:r>
          </w:p>
        </w:tc>
        <w:tc>
          <w:tcPr>
            <w:tcW w:w="771" w:type="pct"/>
            <w:hideMark/>
          </w:tcPr>
          <w:p w14:paraId="7A86D52D"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w:t>
            </w:r>
          </w:p>
        </w:tc>
        <w:tc>
          <w:tcPr>
            <w:tcW w:w="797" w:type="pct"/>
            <w:hideMark/>
          </w:tcPr>
          <w:p w14:paraId="21AD1FB4"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Natural </w:t>
            </w:r>
            <w:r>
              <w:rPr>
                <w:rStyle w:val="Body02BOLD"/>
                <w:b w:val="0"/>
                <w:bCs/>
                <w:sz w:val="18"/>
                <w:szCs w:val="18"/>
              </w:rPr>
              <w:t>and</w:t>
            </w:r>
            <w:r w:rsidRPr="00871E7A">
              <w:rPr>
                <w:rStyle w:val="Body02BOLD"/>
                <w:b w:val="0"/>
                <w:bCs/>
                <w:sz w:val="18"/>
                <w:szCs w:val="18"/>
              </w:rPr>
              <w:t xml:space="preserve"> Physical Sciences</w:t>
            </w:r>
          </w:p>
        </w:tc>
        <w:tc>
          <w:tcPr>
            <w:tcW w:w="2103" w:type="pct"/>
            <w:hideMark/>
          </w:tcPr>
          <w:p w14:paraId="09A5F5B7"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010000, 010300, 010301, 010303, 010500, 010501, 010503, 010599, 010700, 010701, 010703, 010705, 010707, 010709, 010711, 010713, 010799, 019900, 019999</w:t>
            </w:r>
          </w:p>
        </w:tc>
      </w:tr>
      <w:tr w:rsidR="00F52390" w:rsidRPr="00871E7A" w14:paraId="35590C9F"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514B0BA6" w14:textId="77777777" w:rsidR="00F52390" w:rsidRPr="00871E7A" w:rsidRDefault="00F52390" w:rsidP="007007AC">
            <w:pPr>
              <w:rPr>
                <w:rStyle w:val="Body02BOLD"/>
                <w:b w:val="0"/>
                <w:bCs/>
                <w:sz w:val="18"/>
                <w:szCs w:val="18"/>
              </w:rPr>
            </w:pPr>
            <w:r w:rsidRPr="00871E7A">
              <w:rPr>
                <w:rStyle w:val="Body02BOLD"/>
                <w:b w:val="0"/>
                <w:bCs/>
                <w:sz w:val="18"/>
                <w:szCs w:val="18"/>
              </w:rPr>
              <w:t>1</w:t>
            </w:r>
          </w:p>
        </w:tc>
        <w:tc>
          <w:tcPr>
            <w:tcW w:w="680" w:type="pct"/>
          </w:tcPr>
          <w:p w14:paraId="470ACAC0"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Science and mathematics</w:t>
            </w:r>
          </w:p>
        </w:tc>
        <w:tc>
          <w:tcPr>
            <w:tcW w:w="771" w:type="pct"/>
            <w:hideMark/>
          </w:tcPr>
          <w:p w14:paraId="041113B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w:t>
            </w:r>
          </w:p>
        </w:tc>
        <w:tc>
          <w:tcPr>
            <w:tcW w:w="797" w:type="pct"/>
            <w:hideMark/>
          </w:tcPr>
          <w:p w14:paraId="1E2E703C"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Mathematics</w:t>
            </w:r>
          </w:p>
        </w:tc>
        <w:tc>
          <w:tcPr>
            <w:tcW w:w="2103" w:type="pct"/>
            <w:hideMark/>
          </w:tcPr>
          <w:p w14:paraId="769460F8"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010100, 010101, 010103, 010199</w:t>
            </w:r>
          </w:p>
        </w:tc>
      </w:tr>
      <w:tr w:rsidR="00F52390" w:rsidRPr="00871E7A" w14:paraId="09F4FE2A"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3445F36C" w14:textId="77777777" w:rsidR="00F52390" w:rsidRPr="00871E7A" w:rsidRDefault="00F52390" w:rsidP="007007AC">
            <w:pPr>
              <w:rPr>
                <w:rStyle w:val="Body02BOLD"/>
                <w:b w:val="0"/>
                <w:bCs/>
                <w:sz w:val="18"/>
                <w:szCs w:val="18"/>
              </w:rPr>
            </w:pPr>
            <w:r w:rsidRPr="00871E7A">
              <w:rPr>
                <w:rStyle w:val="Body02BOLD"/>
                <w:b w:val="0"/>
                <w:bCs/>
                <w:sz w:val="18"/>
                <w:szCs w:val="18"/>
              </w:rPr>
              <w:t>1</w:t>
            </w:r>
          </w:p>
        </w:tc>
        <w:tc>
          <w:tcPr>
            <w:tcW w:w="680" w:type="pct"/>
          </w:tcPr>
          <w:p w14:paraId="7A9850E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Science and mathematics</w:t>
            </w:r>
          </w:p>
        </w:tc>
        <w:tc>
          <w:tcPr>
            <w:tcW w:w="771" w:type="pct"/>
            <w:hideMark/>
          </w:tcPr>
          <w:p w14:paraId="40645927"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w:t>
            </w:r>
          </w:p>
        </w:tc>
        <w:tc>
          <w:tcPr>
            <w:tcW w:w="797" w:type="pct"/>
            <w:hideMark/>
          </w:tcPr>
          <w:p w14:paraId="64BCFFA9"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Biological Sciences</w:t>
            </w:r>
          </w:p>
        </w:tc>
        <w:tc>
          <w:tcPr>
            <w:tcW w:w="2103" w:type="pct"/>
            <w:hideMark/>
          </w:tcPr>
          <w:p w14:paraId="41A8F61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010900, 010901, 010903, 010905, 010907, 010909, 010911, 010913, 010915, 010999</w:t>
            </w:r>
          </w:p>
        </w:tc>
      </w:tr>
      <w:tr w:rsidR="00F52390" w:rsidRPr="00871E7A" w14:paraId="20FAC45E"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16C73AC5" w14:textId="77777777" w:rsidR="00F52390" w:rsidRPr="00871E7A" w:rsidRDefault="00F52390" w:rsidP="007007AC">
            <w:pPr>
              <w:rPr>
                <w:rStyle w:val="Body02BOLD"/>
                <w:b w:val="0"/>
                <w:bCs/>
                <w:sz w:val="18"/>
                <w:szCs w:val="18"/>
              </w:rPr>
            </w:pPr>
            <w:r w:rsidRPr="00871E7A">
              <w:rPr>
                <w:rStyle w:val="Body02BOLD"/>
                <w:b w:val="0"/>
                <w:bCs/>
                <w:sz w:val="18"/>
                <w:szCs w:val="18"/>
              </w:rPr>
              <w:t>1</w:t>
            </w:r>
          </w:p>
        </w:tc>
        <w:tc>
          <w:tcPr>
            <w:tcW w:w="680" w:type="pct"/>
          </w:tcPr>
          <w:p w14:paraId="7426632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Science and mathematics</w:t>
            </w:r>
          </w:p>
        </w:tc>
        <w:tc>
          <w:tcPr>
            <w:tcW w:w="771" w:type="pct"/>
            <w:hideMark/>
          </w:tcPr>
          <w:p w14:paraId="7FB74D05"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4</w:t>
            </w:r>
          </w:p>
        </w:tc>
        <w:tc>
          <w:tcPr>
            <w:tcW w:w="797" w:type="pct"/>
            <w:hideMark/>
          </w:tcPr>
          <w:p w14:paraId="3612C84E"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Medical Science </w:t>
            </w:r>
            <w:r>
              <w:rPr>
                <w:rStyle w:val="Body02BOLD"/>
                <w:b w:val="0"/>
                <w:bCs/>
                <w:sz w:val="18"/>
                <w:szCs w:val="18"/>
              </w:rPr>
              <w:t>and</w:t>
            </w:r>
            <w:r w:rsidRPr="00871E7A">
              <w:rPr>
                <w:rStyle w:val="Body02BOLD"/>
                <w:b w:val="0"/>
                <w:bCs/>
                <w:sz w:val="18"/>
                <w:szCs w:val="18"/>
              </w:rPr>
              <w:t xml:space="preserve"> Technology</w:t>
            </w:r>
          </w:p>
        </w:tc>
        <w:tc>
          <w:tcPr>
            <w:tcW w:w="2103" w:type="pct"/>
            <w:hideMark/>
          </w:tcPr>
          <w:p w14:paraId="099B2C2F"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019901, 019903, 019905, 019907, 019909</w:t>
            </w:r>
          </w:p>
        </w:tc>
      </w:tr>
      <w:tr w:rsidR="00F52390" w:rsidRPr="00871E7A" w14:paraId="5EC6E3FD" w14:textId="77777777" w:rsidTr="00F52390">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pct"/>
          </w:tcPr>
          <w:p w14:paraId="4F4C13F4" w14:textId="77777777" w:rsidR="00F52390" w:rsidRPr="00871E7A" w:rsidRDefault="00F52390" w:rsidP="007007AC">
            <w:pPr>
              <w:rPr>
                <w:rStyle w:val="Body02BOLD"/>
                <w:b w:val="0"/>
                <w:bCs/>
                <w:sz w:val="18"/>
                <w:szCs w:val="18"/>
              </w:rPr>
            </w:pPr>
            <w:r w:rsidRPr="00871E7A">
              <w:rPr>
                <w:rStyle w:val="Body02BOLD"/>
                <w:b w:val="0"/>
                <w:bCs/>
                <w:sz w:val="18"/>
                <w:szCs w:val="18"/>
              </w:rPr>
              <w:t>2</w:t>
            </w:r>
          </w:p>
        </w:tc>
        <w:tc>
          <w:tcPr>
            <w:tcW w:w="680" w:type="pct"/>
          </w:tcPr>
          <w:p w14:paraId="34A64E42"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Computing </w:t>
            </w:r>
            <w:r>
              <w:rPr>
                <w:rStyle w:val="Body02BOLD"/>
                <w:b w:val="0"/>
                <w:bCs/>
                <w:sz w:val="18"/>
                <w:szCs w:val="18"/>
              </w:rPr>
              <w:t>and</w:t>
            </w:r>
            <w:r w:rsidRPr="00871E7A">
              <w:rPr>
                <w:rStyle w:val="Body02BOLD"/>
                <w:b w:val="0"/>
                <w:bCs/>
                <w:sz w:val="18"/>
                <w:szCs w:val="18"/>
              </w:rPr>
              <w:t xml:space="preserve"> Information Systems</w:t>
            </w:r>
          </w:p>
        </w:tc>
        <w:tc>
          <w:tcPr>
            <w:tcW w:w="771" w:type="pct"/>
            <w:hideMark/>
          </w:tcPr>
          <w:p w14:paraId="6B1512EA"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5</w:t>
            </w:r>
          </w:p>
        </w:tc>
        <w:tc>
          <w:tcPr>
            <w:tcW w:w="797" w:type="pct"/>
            <w:hideMark/>
          </w:tcPr>
          <w:p w14:paraId="22838C27"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Computing </w:t>
            </w:r>
            <w:r>
              <w:rPr>
                <w:rStyle w:val="Body02BOLD"/>
                <w:b w:val="0"/>
                <w:bCs/>
                <w:sz w:val="18"/>
                <w:szCs w:val="18"/>
              </w:rPr>
              <w:t>and</w:t>
            </w:r>
            <w:r w:rsidRPr="00871E7A">
              <w:rPr>
                <w:rStyle w:val="Body02BOLD"/>
                <w:b w:val="0"/>
                <w:bCs/>
                <w:sz w:val="18"/>
                <w:szCs w:val="18"/>
              </w:rPr>
              <w:t xml:space="preserve"> Information Systems</w:t>
            </w:r>
          </w:p>
        </w:tc>
        <w:tc>
          <w:tcPr>
            <w:tcW w:w="2103" w:type="pct"/>
            <w:hideMark/>
          </w:tcPr>
          <w:p w14:paraId="2BA4726F"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020000, 020100, 020101, 020103, 020105, 020107, 020109, 020111, 020113, 020115, 020117, 020119, 020199, 020300, 020301, 020303, 020305, 020307, 020399, 029900, 029901, 029999</w:t>
            </w:r>
          </w:p>
        </w:tc>
      </w:tr>
      <w:tr w:rsidR="00F52390" w:rsidRPr="00871E7A" w14:paraId="4F816E15" w14:textId="77777777" w:rsidTr="00F52390">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48" w:type="pct"/>
          </w:tcPr>
          <w:p w14:paraId="0F254EAF" w14:textId="77777777" w:rsidR="00F52390" w:rsidRPr="00871E7A" w:rsidRDefault="00F52390" w:rsidP="007007AC">
            <w:pPr>
              <w:rPr>
                <w:rStyle w:val="Body02BOLD"/>
                <w:b w:val="0"/>
                <w:bCs/>
                <w:sz w:val="18"/>
                <w:szCs w:val="18"/>
              </w:rPr>
            </w:pPr>
            <w:r w:rsidRPr="00871E7A">
              <w:rPr>
                <w:rStyle w:val="Body02BOLD"/>
                <w:b w:val="0"/>
                <w:bCs/>
                <w:sz w:val="18"/>
                <w:szCs w:val="18"/>
              </w:rPr>
              <w:t>3</w:t>
            </w:r>
          </w:p>
        </w:tc>
        <w:tc>
          <w:tcPr>
            <w:tcW w:w="680" w:type="pct"/>
          </w:tcPr>
          <w:p w14:paraId="2548470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60D9748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p>
        </w:tc>
        <w:tc>
          <w:tcPr>
            <w:tcW w:w="771" w:type="pct"/>
            <w:hideMark/>
          </w:tcPr>
          <w:p w14:paraId="1158B74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6</w:t>
            </w:r>
          </w:p>
        </w:tc>
        <w:tc>
          <w:tcPr>
            <w:tcW w:w="797" w:type="pct"/>
            <w:hideMark/>
          </w:tcPr>
          <w:p w14:paraId="137C4D9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 - Other</w:t>
            </w:r>
          </w:p>
        </w:tc>
        <w:tc>
          <w:tcPr>
            <w:tcW w:w="2103" w:type="pct"/>
            <w:hideMark/>
          </w:tcPr>
          <w:p w14:paraId="22B9DDDF"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030000, 030100, 030101, 030103, 030105, 030107, 030109, 030111, 030113, 030115, 030117, 030199, 030500, 030501, 030503, 030505, 030507, 030509, 030511, 030513, 030515, 030599, 031100, 031101, 031103, 031199, 031700, 031701, 031703, 031705, 031799, 039900, 039901, 039903, 039905, 039907, 039909, 039999</w:t>
            </w:r>
          </w:p>
        </w:tc>
      </w:tr>
      <w:tr w:rsidR="00F52390" w:rsidRPr="00871E7A" w14:paraId="5F60AEF7"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3368ECB4" w14:textId="77777777" w:rsidR="00F52390" w:rsidRPr="00871E7A" w:rsidRDefault="00F52390" w:rsidP="007007AC">
            <w:pPr>
              <w:rPr>
                <w:rStyle w:val="Body02BOLD"/>
                <w:b w:val="0"/>
                <w:bCs/>
                <w:sz w:val="18"/>
                <w:szCs w:val="18"/>
              </w:rPr>
            </w:pPr>
            <w:r w:rsidRPr="00871E7A">
              <w:rPr>
                <w:rStyle w:val="Body02BOLD"/>
                <w:b w:val="0"/>
                <w:bCs/>
                <w:sz w:val="18"/>
                <w:szCs w:val="18"/>
              </w:rPr>
              <w:t>3</w:t>
            </w:r>
          </w:p>
        </w:tc>
        <w:tc>
          <w:tcPr>
            <w:tcW w:w="680" w:type="pct"/>
          </w:tcPr>
          <w:p w14:paraId="5B4D7D6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46D07AE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p>
        </w:tc>
        <w:tc>
          <w:tcPr>
            <w:tcW w:w="771" w:type="pct"/>
            <w:hideMark/>
          </w:tcPr>
          <w:p w14:paraId="47071F38"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7</w:t>
            </w:r>
          </w:p>
        </w:tc>
        <w:tc>
          <w:tcPr>
            <w:tcW w:w="797" w:type="pct"/>
            <w:hideMark/>
          </w:tcPr>
          <w:p w14:paraId="77458F7E"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Engineering - Process </w:t>
            </w:r>
            <w:r>
              <w:rPr>
                <w:rStyle w:val="Body02BOLD"/>
                <w:b w:val="0"/>
                <w:bCs/>
                <w:sz w:val="18"/>
                <w:szCs w:val="18"/>
              </w:rPr>
              <w:t>and</w:t>
            </w:r>
            <w:r w:rsidRPr="00871E7A">
              <w:rPr>
                <w:rStyle w:val="Body02BOLD"/>
                <w:b w:val="0"/>
                <w:bCs/>
                <w:sz w:val="18"/>
                <w:szCs w:val="18"/>
              </w:rPr>
              <w:t xml:space="preserve"> Resources</w:t>
            </w:r>
          </w:p>
        </w:tc>
        <w:tc>
          <w:tcPr>
            <w:tcW w:w="2103" w:type="pct"/>
            <w:hideMark/>
          </w:tcPr>
          <w:p w14:paraId="429EC10C"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030300, 030301, 030303, 030305, 030307, 030399</w:t>
            </w:r>
          </w:p>
        </w:tc>
      </w:tr>
      <w:tr w:rsidR="00F52390" w:rsidRPr="00871E7A" w14:paraId="29AD2CD5" w14:textId="77777777" w:rsidTr="00F5239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1B25301F" w14:textId="77777777" w:rsidR="00F52390" w:rsidRPr="00871E7A" w:rsidRDefault="00F52390" w:rsidP="007007AC">
            <w:pPr>
              <w:rPr>
                <w:rStyle w:val="Body02BOLD"/>
                <w:b w:val="0"/>
                <w:bCs/>
                <w:sz w:val="18"/>
                <w:szCs w:val="18"/>
              </w:rPr>
            </w:pPr>
            <w:r w:rsidRPr="00871E7A">
              <w:rPr>
                <w:rStyle w:val="Body02BOLD"/>
                <w:b w:val="0"/>
                <w:bCs/>
                <w:sz w:val="18"/>
                <w:szCs w:val="18"/>
              </w:rPr>
              <w:t>3</w:t>
            </w:r>
          </w:p>
        </w:tc>
        <w:tc>
          <w:tcPr>
            <w:tcW w:w="680" w:type="pct"/>
          </w:tcPr>
          <w:p w14:paraId="7CB3C86F"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181D4CD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p>
        </w:tc>
        <w:tc>
          <w:tcPr>
            <w:tcW w:w="771" w:type="pct"/>
            <w:hideMark/>
          </w:tcPr>
          <w:p w14:paraId="371A0AD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8</w:t>
            </w:r>
          </w:p>
        </w:tc>
        <w:tc>
          <w:tcPr>
            <w:tcW w:w="797" w:type="pct"/>
            <w:hideMark/>
          </w:tcPr>
          <w:p w14:paraId="7D1F4E38"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 - Mechanical</w:t>
            </w:r>
          </w:p>
        </w:tc>
        <w:tc>
          <w:tcPr>
            <w:tcW w:w="2103" w:type="pct"/>
            <w:hideMark/>
          </w:tcPr>
          <w:p w14:paraId="3508B24E"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030700, 030701, 030703, 030705, 030707, 030709, 030711, 030713, 030715, 030717, 030799</w:t>
            </w:r>
          </w:p>
        </w:tc>
      </w:tr>
      <w:tr w:rsidR="00F52390" w:rsidRPr="00871E7A" w14:paraId="4E5FFD00"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739DC0B1" w14:textId="77777777" w:rsidR="00F52390" w:rsidRPr="00871E7A" w:rsidRDefault="00F52390" w:rsidP="007007AC">
            <w:pPr>
              <w:rPr>
                <w:rStyle w:val="Body02BOLD"/>
                <w:b w:val="0"/>
                <w:bCs/>
                <w:sz w:val="18"/>
                <w:szCs w:val="18"/>
              </w:rPr>
            </w:pPr>
            <w:r w:rsidRPr="00871E7A">
              <w:rPr>
                <w:rStyle w:val="Body02BOLD"/>
                <w:b w:val="0"/>
                <w:bCs/>
                <w:sz w:val="18"/>
                <w:szCs w:val="18"/>
              </w:rPr>
              <w:t>3</w:t>
            </w:r>
          </w:p>
        </w:tc>
        <w:tc>
          <w:tcPr>
            <w:tcW w:w="680" w:type="pct"/>
          </w:tcPr>
          <w:p w14:paraId="05F633ED"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5132B4AF"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p>
        </w:tc>
        <w:tc>
          <w:tcPr>
            <w:tcW w:w="771" w:type="pct"/>
            <w:hideMark/>
          </w:tcPr>
          <w:p w14:paraId="214A7026"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9</w:t>
            </w:r>
          </w:p>
        </w:tc>
        <w:tc>
          <w:tcPr>
            <w:tcW w:w="797" w:type="pct"/>
            <w:hideMark/>
          </w:tcPr>
          <w:p w14:paraId="3FBD1BB9"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 - Civil</w:t>
            </w:r>
          </w:p>
        </w:tc>
        <w:tc>
          <w:tcPr>
            <w:tcW w:w="2103" w:type="pct"/>
            <w:hideMark/>
          </w:tcPr>
          <w:p w14:paraId="54DD71B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030900, 030901, 030903, 030905, 030907, 030909, 030911, 030913, 030999</w:t>
            </w:r>
          </w:p>
        </w:tc>
      </w:tr>
      <w:tr w:rsidR="00F52390" w:rsidRPr="00871E7A" w14:paraId="060329B9" w14:textId="77777777" w:rsidTr="00F5239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5379D772" w14:textId="77777777" w:rsidR="00F52390" w:rsidRPr="00871E7A" w:rsidRDefault="00F52390" w:rsidP="007007AC">
            <w:pPr>
              <w:rPr>
                <w:rStyle w:val="Body02BOLD"/>
                <w:b w:val="0"/>
                <w:bCs/>
                <w:sz w:val="18"/>
                <w:szCs w:val="18"/>
              </w:rPr>
            </w:pPr>
            <w:r w:rsidRPr="00871E7A">
              <w:rPr>
                <w:rStyle w:val="Body02BOLD"/>
                <w:b w:val="0"/>
                <w:bCs/>
                <w:sz w:val="18"/>
                <w:szCs w:val="18"/>
              </w:rPr>
              <w:t>3</w:t>
            </w:r>
          </w:p>
        </w:tc>
        <w:tc>
          <w:tcPr>
            <w:tcW w:w="680" w:type="pct"/>
          </w:tcPr>
          <w:p w14:paraId="044B0037"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4C54029D"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p>
        </w:tc>
        <w:tc>
          <w:tcPr>
            <w:tcW w:w="771" w:type="pct"/>
            <w:hideMark/>
          </w:tcPr>
          <w:p w14:paraId="4DF5298F"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10</w:t>
            </w:r>
          </w:p>
        </w:tc>
        <w:tc>
          <w:tcPr>
            <w:tcW w:w="797" w:type="pct"/>
            <w:hideMark/>
          </w:tcPr>
          <w:p w14:paraId="51483BB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Engineering - Electrical </w:t>
            </w:r>
            <w:r>
              <w:rPr>
                <w:rStyle w:val="Body02BOLD"/>
                <w:b w:val="0"/>
                <w:bCs/>
                <w:sz w:val="18"/>
                <w:szCs w:val="18"/>
              </w:rPr>
              <w:t>and</w:t>
            </w:r>
            <w:r w:rsidRPr="00871E7A">
              <w:rPr>
                <w:rStyle w:val="Body02BOLD"/>
                <w:b w:val="0"/>
                <w:bCs/>
                <w:sz w:val="18"/>
                <w:szCs w:val="18"/>
              </w:rPr>
              <w:t xml:space="preserve"> Electronic</w:t>
            </w:r>
          </w:p>
        </w:tc>
        <w:tc>
          <w:tcPr>
            <w:tcW w:w="2103" w:type="pct"/>
            <w:hideMark/>
          </w:tcPr>
          <w:p w14:paraId="5B271951"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031300, 031301, 031303, 031305, 031307, 031309, 031311, 031313, 031315, 031317, 031399</w:t>
            </w:r>
          </w:p>
        </w:tc>
      </w:tr>
      <w:tr w:rsidR="00F52390" w:rsidRPr="00871E7A" w14:paraId="16FE15EB"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26443E5" w14:textId="77777777" w:rsidR="00F52390" w:rsidRPr="00871E7A" w:rsidRDefault="00F52390" w:rsidP="007007AC">
            <w:pPr>
              <w:rPr>
                <w:rStyle w:val="Body02BOLD"/>
                <w:b w:val="0"/>
                <w:bCs/>
                <w:sz w:val="18"/>
                <w:szCs w:val="18"/>
              </w:rPr>
            </w:pPr>
            <w:r w:rsidRPr="00871E7A">
              <w:rPr>
                <w:rStyle w:val="Body02BOLD"/>
                <w:b w:val="0"/>
                <w:bCs/>
                <w:sz w:val="18"/>
                <w:szCs w:val="18"/>
              </w:rPr>
              <w:t>3</w:t>
            </w:r>
          </w:p>
        </w:tc>
        <w:tc>
          <w:tcPr>
            <w:tcW w:w="680" w:type="pct"/>
          </w:tcPr>
          <w:p w14:paraId="1B8D900B"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20DBC66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p>
        </w:tc>
        <w:tc>
          <w:tcPr>
            <w:tcW w:w="771" w:type="pct"/>
            <w:hideMark/>
          </w:tcPr>
          <w:p w14:paraId="2A56E6B6"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11</w:t>
            </w:r>
          </w:p>
        </w:tc>
        <w:tc>
          <w:tcPr>
            <w:tcW w:w="797" w:type="pct"/>
            <w:hideMark/>
          </w:tcPr>
          <w:p w14:paraId="62DD9BAC"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 - Aerospace</w:t>
            </w:r>
          </w:p>
        </w:tc>
        <w:tc>
          <w:tcPr>
            <w:tcW w:w="2103" w:type="pct"/>
            <w:hideMark/>
          </w:tcPr>
          <w:p w14:paraId="6AAA013B"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031500, 031501, 031503, 031505, 031507, 031599</w:t>
            </w:r>
          </w:p>
        </w:tc>
      </w:tr>
      <w:tr w:rsidR="00F52390" w:rsidRPr="00871E7A" w14:paraId="12DDDCD7"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2C9B97E9" w14:textId="77777777" w:rsidR="00F52390" w:rsidRPr="00871E7A" w:rsidRDefault="00F52390" w:rsidP="007007AC">
            <w:pPr>
              <w:rPr>
                <w:rStyle w:val="Body02BOLD"/>
                <w:b w:val="0"/>
                <w:bCs/>
                <w:sz w:val="18"/>
                <w:szCs w:val="18"/>
              </w:rPr>
            </w:pPr>
            <w:r w:rsidRPr="00871E7A">
              <w:rPr>
                <w:rStyle w:val="Body02BOLD"/>
                <w:b w:val="0"/>
                <w:bCs/>
                <w:sz w:val="18"/>
                <w:szCs w:val="18"/>
              </w:rPr>
              <w:t>4</w:t>
            </w:r>
          </w:p>
        </w:tc>
        <w:tc>
          <w:tcPr>
            <w:tcW w:w="680" w:type="pct"/>
          </w:tcPr>
          <w:p w14:paraId="681FA0AE"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Architecture and built environment</w:t>
            </w:r>
          </w:p>
        </w:tc>
        <w:tc>
          <w:tcPr>
            <w:tcW w:w="771" w:type="pct"/>
            <w:hideMark/>
          </w:tcPr>
          <w:p w14:paraId="206427A7"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12</w:t>
            </w:r>
          </w:p>
        </w:tc>
        <w:tc>
          <w:tcPr>
            <w:tcW w:w="797" w:type="pct"/>
            <w:hideMark/>
          </w:tcPr>
          <w:p w14:paraId="3D51EF7C"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Architecture </w:t>
            </w:r>
            <w:r>
              <w:rPr>
                <w:rStyle w:val="Body02BOLD"/>
                <w:b w:val="0"/>
                <w:bCs/>
                <w:sz w:val="18"/>
                <w:szCs w:val="18"/>
              </w:rPr>
              <w:t>and</w:t>
            </w:r>
            <w:r w:rsidRPr="00871E7A">
              <w:rPr>
                <w:rStyle w:val="Body02BOLD"/>
                <w:b w:val="0"/>
                <w:bCs/>
                <w:sz w:val="18"/>
                <w:szCs w:val="18"/>
              </w:rPr>
              <w:t xml:space="preserve"> Urban Environments</w:t>
            </w:r>
          </w:p>
        </w:tc>
        <w:tc>
          <w:tcPr>
            <w:tcW w:w="2103" w:type="pct"/>
            <w:hideMark/>
          </w:tcPr>
          <w:p w14:paraId="0B5D3C45"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040000, 040100, 040101, 040103, 040105, 040107, 040199</w:t>
            </w:r>
          </w:p>
        </w:tc>
      </w:tr>
      <w:tr w:rsidR="00F52390" w:rsidRPr="00871E7A" w14:paraId="5ED6D8AA" w14:textId="77777777" w:rsidTr="00F5239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646DD94D" w14:textId="77777777" w:rsidR="00F52390" w:rsidRPr="00871E7A" w:rsidRDefault="00F52390" w:rsidP="007007AC">
            <w:pPr>
              <w:rPr>
                <w:rStyle w:val="Body02BOLD"/>
                <w:b w:val="0"/>
                <w:bCs/>
                <w:sz w:val="18"/>
                <w:szCs w:val="18"/>
              </w:rPr>
            </w:pPr>
            <w:r w:rsidRPr="00871E7A">
              <w:rPr>
                <w:rStyle w:val="Body02BOLD"/>
                <w:b w:val="0"/>
                <w:bCs/>
                <w:sz w:val="18"/>
                <w:szCs w:val="18"/>
              </w:rPr>
              <w:lastRenderedPageBreak/>
              <w:t>4</w:t>
            </w:r>
          </w:p>
        </w:tc>
        <w:tc>
          <w:tcPr>
            <w:tcW w:w="680" w:type="pct"/>
          </w:tcPr>
          <w:p w14:paraId="65365DD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Architecture and built environment</w:t>
            </w:r>
          </w:p>
        </w:tc>
        <w:tc>
          <w:tcPr>
            <w:tcW w:w="771" w:type="pct"/>
            <w:hideMark/>
          </w:tcPr>
          <w:p w14:paraId="71BA5558"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13</w:t>
            </w:r>
          </w:p>
        </w:tc>
        <w:tc>
          <w:tcPr>
            <w:tcW w:w="797" w:type="pct"/>
            <w:hideMark/>
          </w:tcPr>
          <w:p w14:paraId="14690E2D"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Building </w:t>
            </w:r>
            <w:r>
              <w:rPr>
                <w:rStyle w:val="Body02BOLD"/>
                <w:b w:val="0"/>
                <w:bCs/>
                <w:sz w:val="18"/>
                <w:szCs w:val="18"/>
              </w:rPr>
              <w:t>and</w:t>
            </w:r>
            <w:r w:rsidRPr="00871E7A">
              <w:rPr>
                <w:rStyle w:val="Body02BOLD"/>
                <w:b w:val="0"/>
                <w:bCs/>
                <w:sz w:val="18"/>
                <w:szCs w:val="18"/>
              </w:rPr>
              <w:t xml:space="preserve"> Construction</w:t>
            </w:r>
          </w:p>
        </w:tc>
        <w:tc>
          <w:tcPr>
            <w:tcW w:w="2103" w:type="pct"/>
            <w:hideMark/>
          </w:tcPr>
          <w:p w14:paraId="1D519BE8"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040300, 040301, 040303, 040305, 040307, 040309, 040311, 040313, 040315, 040317, 040319, 040321, 040323, 040325, 040327, 040329, 040399</w:t>
            </w:r>
          </w:p>
        </w:tc>
      </w:tr>
      <w:tr w:rsidR="00F52390" w:rsidRPr="00871E7A" w14:paraId="337935D9" w14:textId="77777777" w:rsidTr="00F5239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7342D33D" w14:textId="77777777" w:rsidR="00F52390" w:rsidRPr="00871E7A" w:rsidRDefault="00F52390" w:rsidP="007007AC">
            <w:pPr>
              <w:rPr>
                <w:rStyle w:val="Body02BOLD"/>
                <w:b w:val="0"/>
                <w:bCs/>
                <w:sz w:val="18"/>
                <w:szCs w:val="18"/>
              </w:rPr>
            </w:pPr>
            <w:r w:rsidRPr="00871E7A">
              <w:rPr>
                <w:rStyle w:val="Body02BOLD"/>
                <w:b w:val="0"/>
                <w:bCs/>
                <w:sz w:val="18"/>
                <w:szCs w:val="18"/>
              </w:rPr>
              <w:t>5</w:t>
            </w:r>
          </w:p>
        </w:tc>
        <w:tc>
          <w:tcPr>
            <w:tcW w:w="680" w:type="pct"/>
          </w:tcPr>
          <w:p w14:paraId="65AEB110"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Agriculture and environmental studies</w:t>
            </w:r>
          </w:p>
        </w:tc>
        <w:tc>
          <w:tcPr>
            <w:tcW w:w="771" w:type="pct"/>
            <w:hideMark/>
          </w:tcPr>
          <w:p w14:paraId="79CB8DD9"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14</w:t>
            </w:r>
          </w:p>
        </w:tc>
        <w:tc>
          <w:tcPr>
            <w:tcW w:w="797" w:type="pct"/>
            <w:hideMark/>
          </w:tcPr>
          <w:p w14:paraId="110DB24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Agriculture </w:t>
            </w:r>
            <w:r>
              <w:rPr>
                <w:rStyle w:val="Body02BOLD"/>
                <w:b w:val="0"/>
                <w:bCs/>
                <w:sz w:val="18"/>
                <w:szCs w:val="18"/>
              </w:rPr>
              <w:t>and</w:t>
            </w:r>
            <w:r w:rsidRPr="00871E7A">
              <w:rPr>
                <w:rStyle w:val="Body02BOLD"/>
                <w:b w:val="0"/>
                <w:bCs/>
                <w:sz w:val="18"/>
                <w:szCs w:val="18"/>
              </w:rPr>
              <w:t xml:space="preserve"> Forestry</w:t>
            </w:r>
          </w:p>
        </w:tc>
        <w:tc>
          <w:tcPr>
            <w:tcW w:w="2103" w:type="pct"/>
            <w:hideMark/>
          </w:tcPr>
          <w:p w14:paraId="557CE565"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050000, 050100, 050101, 050103, 050105, 050199, 050300, 050301, 050303, 050500, 050501, 050700, 050701, 050799, 059900, 059901, 059999</w:t>
            </w:r>
          </w:p>
        </w:tc>
      </w:tr>
      <w:tr w:rsidR="00F52390" w:rsidRPr="00871E7A" w14:paraId="0D4E4BC0"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C139DB9" w14:textId="77777777" w:rsidR="00F52390" w:rsidRPr="00871E7A" w:rsidRDefault="00F52390" w:rsidP="007007AC">
            <w:pPr>
              <w:rPr>
                <w:rStyle w:val="Body02BOLD"/>
                <w:b w:val="0"/>
                <w:bCs/>
                <w:sz w:val="18"/>
                <w:szCs w:val="18"/>
              </w:rPr>
            </w:pPr>
            <w:r w:rsidRPr="00871E7A">
              <w:rPr>
                <w:rStyle w:val="Body02BOLD"/>
                <w:b w:val="0"/>
                <w:bCs/>
                <w:sz w:val="18"/>
                <w:szCs w:val="18"/>
              </w:rPr>
              <w:t>5</w:t>
            </w:r>
          </w:p>
        </w:tc>
        <w:tc>
          <w:tcPr>
            <w:tcW w:w="680" w:type="pct"/>
          </w:tcPr>
          <w:p w14:paraId="27969E8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Agriculture and environmental studies</w:t>
            </w:r>
          </w:p>
        </w:tc>
        <w:tc>
          <w:tcPr>
            <w:tcW w:w="771" w:type="pct"/>
            <w:hideMark/>
          </w:tcPr>
          <w:p w14:paraId="584C25C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15</w:t>
            </w:r>
          </w:p>
        </w:tc>
        <w:tc>
          <w:tcPr>
            <w:tcW w:w="797" w:type="pct"/>
            <w:hideMark/>
          </w:tcPr>
          <w:p w14:paraId="7C5194AF"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Environmental Studies</w:t>
            </w:r>
          </w:p>
        </w:tc>
        <w:tc>
          <w:tcPr>
            <w:tcW w:w="2103" w:type="pct"/>
            <w:hideMark/>
          </w:tcPr>
          <w:p w14:paraId="60C1FE86"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050900, 050901, 050999</w:t>
            </w:r>
          </w:p>
        </w:tc>
      </w:tr>
      <w:tr w:rsidR="00F52390" w:rsidRPr="00871E7A" w14:paraId="535BE91D" w14:textId="77777777" w:rsidTr="00F523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pct"/>
          </w:tcPr>
          <w:p w14:paraId="0FBCBBE7" w14:textId="77777777" w:rsidR="00F52390" w:rsidRPr="00871E7A" w:rsidRDefault="00F52390" w:rsidP="007007AC">
            <w:pPr>
              <w:rPr>
                <w:rStyle w:val="Body02BOLD"/>
                <w:b w:val="0"/>
                <w:bCs/>
                <w:sz w:val="18"/>
                <w:szCs w:val="18"/>
              </w:rPr>
            </w:pPr>
            <w:r w:rsidRPr="00871E7A">
              <w:rPr>
                <w:rStyle w:val="Body02BOLD"/>
                <w:b w:val="0"/>
                <w:bCs/>
                <w:sz w:val="18"/>
                <w:szCs w:val="18"/>
              </w:rPr>
              <w:t>6</w:t>
            </w:r>
          </w:p>
        </w:tc>
        <w:tc>
          <w:tcPr>
            <w:tcW w:w="680" w:type="pct"/>
          </w:tcPr>
          <w:p w14:paraId="56813467"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Health services and support</w:t>
            </w:r>
          </w:p>
        </w:tc>
        <w:tc>
          <w:tcPr>
            <w:tcW w:w="771" w:type="pct"/>
            <w:hideMark/>
          </w:tcPr>
          <w:p w14:paraId="35C4490E"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16</w:t>
            </w:r>
          </w:p>
        </w:tc>
        <w:tc>
          <w:tcPr>
            <w:tcW w:w="797" w:type="pct"/>
            <w:hideMark/>
          </w:tcPr>
          <w:p w14:paraId="46337EA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Health Services </w:t>
            </w:r>
            <w:r>
              <w:rPr>
                <w:rStyle w:val="Body02BOLD"/>
                <w:b w:val="0"/>
                <w:bCs/>
                <w:sz w:val="18"/>
                <w:szCs w:val="18"/>
              </w:rPr>
              <w:t xml:space="preserve">and </w:t>
            </w:r>
            <w:r w:rsidRPr="00871E7A">
              <w:rPr>
                <w:rStyle w:val="Body02BOLD"/>
                <w:b w:val="0"/>
                <w:bCs/>
                <w:sz w:val="18"/>
                <w:szCs w:val="18"/>
              </w:rPr>
              <w:t>Support</w:t>
            </w:r>
          </w:p>
        </w:tc>
        <w:tc>
          <w:tcPr>
            <w:tcW w:w="2103" w:type="pct"/>
            <w:hideMark/>
          </w:tcPr>
          <w:p w14:paraId="408F4521"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060000, 060900, 060901, 060903, 060999, 061500, 061501, 061700, 061705, 061707, 061709, 061711, 061713, 061799, 061900, 061901, 061903, 061905, 061999, 069900, 069901, 069903, 069905, 069907, 069999</w:t>
            </w:r>
          </w:p>
        </w:tc>
      </w:tr>
      <w:tr w:rsidR="00F52390" w:rsidRPr="00871E7A" w14:paraId="76A6F247"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080AED7B" w14:textId="77777777" w:rsidR="00F52390" w:rsidRPr="00871E7A" w:rsidRDefault="00F52390" w:rsidP="007007AC">
            <w:pPr>
              <w:rPr>
                <w:rStyle w:val="Body02BOLD"/>
                <w:b w:val="0"/>
                <w:bCs/>
                <w:sz w:val="18"/>
                <w:szCs w:val="18"/>
              </w:rPr>
            </w:pPr>
            <w:r w:rsidRPr="00871E7A">
              <w:rPr>
                <w:rStyle w:val="Body02BOLD"/>
                <w:b w:val="0"/>
                <w:bCs/>
                <w:sz w:val="18"/>
                <w:szCs w:val="18"/>
              </w:rPr>
              <w:t>6</w:t>
            </w:r>
          </w:p>
        </w:tc>
        <w:tc>
          <w:tcPr>
            <w:tcW w:w="680" w:type="pct"/>
          </w:tcPr>
          <w:p w14:paraId="26454966"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Health services and support</w:t>
            </w:r>
          </w:p>
        </w:tc>
        <w:tc>
          <w:tcPr>
            <w:tcW w:w="771" w:type="pct"/>
            <w:hideMark/>
          </w:tcPr>
          <w:p w14:paraId="4B1D8CFE"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17</w:t>
            </w:r>
          </w:p>
        </w:tc>
        <w:tc>
          <w:tcPr>
            <w:tcW w:w="797" w:type="pct"/>
            <w:hideMark/>
          </w:tcPr>
          <w:p w14:paraId="47B6DC4B"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Public Health</w:t>
            </w:r>
          </w:p>
        </w:tc>
        <w:tc>
          <w:tcPr>
            <w:tcW w:w="2103" w:type="pct"/>
            <w:hideMark/>
          </w:tcPr>
          <w:p w14:paraId="4D2DF1ED"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061300, 061301, 061303, 061305, 061307, 061309, 061311, 061399</w:t>
            </w:r>
          </w:p>
        </w:tc>
      </w:tr>
      <w:tr w:rsidR="00F52390" w:rsidRPr="00871E7A" w14:paraId="50F0D906" w14:textId="77777777" w:rsidTr="00F5239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7DA97E2F" w14:textId="77777777" w:rsidR="00F52390" w:rsidRPr="00871E7A" w:rsidRDefault="00F52390" w:rsidP="007007AC">
            <w:pPr>
              <w:rPr>
                <w:rStyle w:val="Body02BOLD"/>
                <w:b w:val="0"/>
                <w:bCs/>
                <w:sz w:val="18"/>
                <w:szCs w:val="18"/>
              </w:rPr>
            </w:pPr>
            <w:r w:rsidRPr="00871E7A">
              <w:rPr>
                <w:rStyle w:val="Body02BOLD"/>
                <w:b w:val="0"/>
                <w:bCs/>
                <w:sz w:val="18"/>
                <w:szCs w:val="18"/>
              </w:rPr>
              <w:t>7</w:t>
            </w:r>
          </w:p>
        </w:tc>
        <w:tc>
          <w:tcPr>
            <w:tcW w:w="680" w:type="pct"/>
          </w:tcPr>
          <w:p w14:paraId="6A5ABC98"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Medicine</w:t>
            </w:r>
          </w:p>
        </w:tc>
        <w:tc>
          <w:tcPr>
            <w:tcW w:w="771" w:type="pct"/>
            <w:hideMark/>
          </w:tcPr>
          <w:p w14:paraId="3602063C"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18</w:t>
            </w:r>
          </w:p>
        </w:tc>
        <w:tc>
          <w:tcPr>
            <w:tcW w:w="797" w:type="pct"/>
            <w:hideMark/>
          </w:tcPr>
          <w:p w14:paraId="06B5FEAC"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Medicine</w:t>
            </w:r>
          </w:p>
        </w:tc>
        <w:tc>
          <w:tcPr>
            <w:tcW w:w="2103" w:type="pct"/>
            <w:hideMark/>
          </w:tcPr>
          <w:p w14:paraId="0EF7BBE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060100, 060101, 060103, 060105, 060107, 060109, 060111, 060113, 060115, 060117, 060119, 060199</w:t>
            </w:r>
          </w:p>
        </w:tc>
      </w:tr>
      <w:tr w:rsidR="00F52390" w:rsidRPr="00871E7A" w14:paraId="14315CBE"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2C28CED" w14:textId="77777777" w:rsidR="00F52390" w:rsidRPr="00871E7A" w:rsidRDefault="00F52390" w:rsidP="007007AC">
            <w:pPr>
              <w:rPr>
                <w:rStyle w:val="Body02BOLD"/>
                <w:b w:val="0"/>
                <w:bCs/>
                <w:sz w:val="18"/>
                <w:szCs w:val="18"/>
              </w:rPr>
            </w:pPr>
            <w:r w:rsidRPr="00871E7A">
              <w:rPr>
                <w:rStyle w:val="Body02BOLD"/>
                <w:b w:val="0"/>
                <w:bCs/>
                <w:sz w:val="18"/>
                <w:szCs w:val="18"/>
              </w:rPr>
              <w:t>8</w:t>
            </w:r>
          </w:p>
        </w:tc>
        <w:tc>
          <w:tcPr>
            <w:tcW w:w="680" w:type="pct"/>
          </w:tcPr>
          <w:p w14:paraId="3CA5407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Nursing</w:t>
            </w:r>
          </w:p>
        </w:tc>
        <w:tc>
          <w:tcPr>
            <w:tcW w:w="771" w:type="pct"/>
            <w:hideMark/>
          </w:tcPr>
          <w:p w14:paraId="2AA6929C"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19</w:t>
            </w:r>
          </w:p>
        </w:tc>
        <w:tc>
          <w:tcPr>
            <w:tcW w:w="797" w:type="pct"/>
            <w:hideMark/>
          </w:tcPr>
          <w:p w14:paraId="535336CC"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Nursing</w:t>
            </w:r>
          </w:p>
        </w:tc>
        <w:tc>
          <w:tcPr>
            <w:tcW w:w="2103" w:type="pct"/>
            <w:hideMark/>
          </w:tcPr>
          <w:p w14:paraId="3A6A1EEE"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060300, 060301, 060303, 060305, 060307, 060309, 060311, 060313, 060315, 060399</w:t>
            </w:r>
          </w:p>
        </w:tc>
      </w:tr>
      <w:tr w:rsidR="00F52390" w:rsidRPr="00871E7A" w14:paraId="5B5A1DE2"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4BF950D" w14:textId="77777777" w:rsidR="00F52390" w:rsidRPr="00871E7A" w:rsidRDefault="00F52390" w:rsidP="007007AC">
            <w:pPr>
              <w:rPr>
                <w:rStyle w:val="Body02BOLD"/>
                <w:b w:val="0"/>
                <w:bCs/>
                <w:sz w:val="18"/>
                <w:szCs w:val="18"/>
              </w:rPr>
            </w:pPr>
            <w:r w:rsidRPr="00871E7A">
              <w:rPr>
                <w:rStyle w:val="Body02BOLD"/>
                <w:b w:val="0"/>
                <w:bCs/>
                <w:sz w:val="18"/>
                <w:szCs w:val="18"/>
              </w:rPr>
              <w:t>9</w:t>
            </w:r>
          </w:p>
        </w:tc>
        <w:tc>
          <w:tcPr>
            <w:tcW w:w="680" w:type="pct"/>
          </w:tcPr>
          <w:p w14:paraId="04C5FE20"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Pharmacy</w:t>
            </w:r>
          </w:p>
        </w:tc>
        <w:tc>
          <w:tcPr>
            <w:tcW w:w="771" w:type="pct"/>
            <w:hideMark/>
          </w:tcPr>
          <w:p w14:paraId="3AB2C267"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20</w:t>
            </w:r>
          </w:p>
        </w:tc>
        <w:tc>
          <w:tcPr>
            <w:tcW w:w="797" w:type="pct"/>
            <w:hideMark/>
          </w:tcPr>
          <w:p w14:paraId="76D8CCC5"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Pharmacy</w:t>
            </w:r>
          </w:p>
        </w:tc>
        <w:tc>
          <w:tcPr>
            <w:tcW w:w="2103" w:type="pct"/>
            <w:hideMark/>
          </w:tcPr>
          <w:p w14:paraId="76349C39"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060500, 060501</w:t>
            </w:r>
          </w:p>
        </w:tc>
      </w:tr>
      <w:tr w:rsidR="00F52390" w:rsidRPr="00871E7A" w14:paraId="4AA04451"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2B394596" w14:textId="77777777" w:rsidR="00F52390" w:rsidRPr="00871E7A" w:rsidRDefault="00F52390" w:rsidP="007007AC">
            <w:pPr>
              <w:rPr>
                <w:rStyle w:val="Body02BOLD"/>
                <w:b w:val="0"/>
                <w:bCs/>
                <w:sz w:val="18"/>
                <w:szCs w:val="18"/>
              </w:rPr>
            </w:pPr>
            <w:r w:rsidRPr="00871E7A">
              <w:rPr>
                <w:rStyle w:val="Body02BOLD"/>
                <w:b w:val="0"/>
                <w:bCs/>
                <w:sz w:val="18"/>
                <w:szCs w:val="18"/>
              </w:rPr>
              <w:t>10</w:t>
            </w:r>
          </w:p>
        </w:tc>
        <w:tc>
          <w:tcPr>
            <w:tcW w:w="680" w:type="pct"/>
          </w:tcPr>
          <w:p w14:paraId="4F2F6734"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Dentistry</w:t>
            </w:r>
          </w:p>
        </w:tc>
        <w:tc>
          <w:tcPr>
            <w:tcW w:w="771" w:type="pct"/>
            <w:hideMark/>
          </w:tcPr>
          <w:p w14:paraId="68971C51"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21</w:t>
            </w:r>
          </w:p>
        </w:tc>
        <w:tc>
          <w:tcPr>
            <w:tcW w:w="797" w:type="pct"/>
            <w:hideMark/>
          </w:tcPr>
          <w:p w14:paraId="082634E2"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Dentistry</w:t>
            </w:r>
          </w:p>
        </w:tc>
        <w:tc>
          <w:tcPr>
            <w:tcW w:w="2103" w:type="pct"/>
            <w:hideMark/>
          </w:tcPr>
          <w:p w14:paraId="3CC77354"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060700, 060701, 060703, 060705, 060799</w:t>
            </w:r>
          </w:p>
        </w:tc>
      </w:tr>
      <w:tr w:rsidR="00F52390" w:rsidRPr="00871E7A" w14:paraId="7DD4841F"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0169B95C" w14:textId="77777777" w:rsidR="00F52390" w:rsidRPr="00871E7A" w:rsidRDefault="00F52390" w:rsidP="007007AC">
            <w:pPr>
              <w:rPr>
                <w:rStyle w:val="Body02BOLD"/>
                <w:b w:val="0"/>
                <w:bCs/>
                <w:sz w:val="18"/>
                <w:szCs w:val="18"/>
              </w:rPr>
            </w:pPr>
            <w:r w:rsidRPr="00871E7A">
              <w:rPr>
                <w:rStyle w:val="Body02BOLD"/>
                <w:b w:val="0"/>
                <w:bCs/>
                <w:sz w:val="18"/>
                <w:szCs w:val="18"/>
              </w:rPr>
              <w:t>11</w:t>
            </w:r>
          </w:p>
        </w:tc>
        <w:tc>
          <w:tcPr>
            <w:tcW w:w="680" w:type="pct"/>
          </w:tcPr>
          <w:p w14:paraId="4FF8C168"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Veterinary science</w:t>
            </w:r>
          </w:p>
        </w:tc>
        <w:tc>
          <w:tcPr>
            <w:tcW w:w="771" w:type="pct"/>
            <w:hideMark/>
          </w:tcPr>
          <w:p w14:paraId="15209B7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22</w:t>
            </w:r>
          </w:p>
        </w:tc>
        <w:tc>
          <w:tcPr>
            <w:tcW w:w="797" w:type="pct"/>
            <w:hideMark/>
          </w:tcPr>
          <w:p w14:paraId="1EF8B34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Veterinary Science</w:t>
            </w:r>
          </w:p>
        </w:tc>
        <w:tc>
          <w:tcPr>
            <w:tcW w:w="2103" w:type="pct"/>
            <w:hideMark/>
          </w:tcPr>
          <w:p w14:paraId="46030B47"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061100, 061101, 061103, 061199</w:t>
            </w:r>
          </w:p>
        </w:tc>
      </w:tr>
      <w:tr w:rsidR="00F52390" w:rsidRPr="00871E7A" w14:paraId="145D9241"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5CDD9797" w14:textId="77777777" w:rsidR="00F52390" w:rsidRPr="00871E7A" w:rsidRDefault="00F52390" w:rsidP="007007AC">
            <w:pPr>
              <w:rPr>
                <w:rStyle w:val="Body02BOLD"/>
                <w:b w:val="0"/>
                <w:bCs/>
                <w:sz w:val="18"/>
                <w:szCs w:val="18"/>
              </w:rPr>
            </w:pPr>
            <w:r w:rsidRPr="00871E7A">
              <w:rPr>
                <w:rStyle w:val="Body02BOLD"/>
                <w:b w:val="0"/>
                <w:bCs/>
                <w:sz w:val="18"/>
                <w:szCs w:val="18"/>
              </w:rPr>
              <w:t>12</w:t>
            </w:r>
          </w:p>
        </w:tc>
        <w:tc>
          <w:tcPr>
            <w:tcW w:w="680" w:type="pct"/>
          </w:tcPr>
          <w:p w14:paraId="3C0D5F49"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Rehabilitation</w:t>
            </w:r>
          </w:p>
        </w:tc>
        <w:tc>
          <w:tcPr>
            <w:tcW w:w="771" w:type="pct"/>
            <w:hideMark/>
          </w:tcPr>
          <w:p w14:paraId="680D4EC8"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23</w:t>
            </w:r>
          </w:p>
        </w:tc>
        <w:tc>
          <w:tcPr>
            <w:tcW w:w="797" w:type="pct"/>
            <w:hideMark/>
          </w:tcPr>
          <w:p w14:paraId="619431A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Physiotherapy</w:t>
            </w:r>
          </w:p>
        </w:tc>
        <w:tc>
          <w:tcPr>
            <w:tcW w:w="2103" w:type="pct"/>
            <w:hideMark/>
          </w:tcPr>
          <w:p w14:paraId="0D411209"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061701</w:t>
            </w:r>
          </w:p>
        </w:tc>
      </w:tr>
      <w:tr w:rsidR="00F52390" w:rsidRPr="00871E7A" w14:paraId="5FCFE7C7"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64C076D1" w14:textId="77777777" w:rsidR="00F52390" w:rsidRPr="00871E7A" w:rsidRDefault="00F52390" w:rsidP="007007AC">
            <w:pPr>
              <w:rPr>
                <w:rStyle w:val="Body02BOLD"/>
                <w:b w:val="0"/>
                <w:bCs/>
                <w:sz w:val="18"/>
                <w:szCs w:val="18"/>
              </w:rPr>
            </w:pPr>
            <w:r w:rsidRPr="00871E7A">
              <w:rPr>
                <w:rStyle w:val="Body02BOLD"/>
                <w:b w:val="0"/>
                <w:bCs/>
                <w:sz w:val="18"/>
                <w:szCs w:val="18"/>
              </w:rPr>
              <w:t>12</w:t>
            </w:r>
          </w:p>
        </w:tc>
        <w:tc>
          <w:tcPr>
            <w:tcW w:w="680" w:type="pct"/>
          </w:tcPr>
          <w:p w14:paraId="469B1A6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Rehabilitation</w:t>
            </w:r>
          </w:p>
        </w:tc>
        <w:tc>
          <w:tcPr>
            <w:tcW w:w="771" w:type="pct"/>
            <w:hideMark/>
          </w:tcPr>
          <w:p w14:paraId="4750992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24</w:t>
            </w:r>
          </w:p>
        </w:tc>
        <w:tc>
          <w:tcPr>
            <w:tcW w:w="797" w:type="pct"/>
            <w:hideMark/>
          </w:tcPr>
          <w:p w14:paraId="7A10BF7D"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Occupational Therapy</w:t>
            </w:r>
          </w:p>
        </w:tc>
        <w:tc>
          <w:tcPr>
            <w:tcW w:w="2103" w:type="pct"/>
            <w:hideMark/>
          </w:tcPr>
          <w:p w14:paraId="6F8F1971"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061703</w:t>
            </w:r>
          </w:p>
        </w:tc>
      </w:tr>
      <w:tr w:rsidR="00F52390" w:rsidRPr="00871E7A" w14:paraId="21F64AE2" w14:textId="77777777" w:rsidTr="00F5239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45FBB481" w14:textId="77777777" w:rsidR="00F52390" w:rsidRPr="00871E7A" w:rsidRDefault="00F52390" w:rsidP="007007AC">
            <w:pPr>
              <w:rPr>
                <w:rStyle w:val="Body02BOLD"/>
                <w:b w:val="0"/>
                <w:bCs/>
                <w:sz w:val="18"/>
                <w:szCs w:val="18"/>
              </w:rPr>
            </w:pPr>
            <w:r w:rsidRPr="00871E7A">
              <w:rPr>
                <w:rStyle w:val="Body02BOLD"/>
                <w:b w:val="0"/>
                <w:bCs/>
                <w:sz w:val="18"/>
                <w:szCs w:val="18"/>
              </w:rPr>
              <w:t>13</w:t>
            </w:r>
          </w:p>
        </w:tc>
        <w:tc>
          <w:tcPr>
            <w:tcW w:w="680" w:type="pct"/>
          </w:tcPr>
          <w:p w14:paraId="6448925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Teacher education</w:t>
            </w:r>
          </w:p>
        </w:tc>
        <w:tc>
          <w:tcPr>
            <w:tcW w:w="771" w:type="pct"/>
            <w:hideMark/>
          </w:tcPr>
          <w:p w14:paraId="4F2275B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25</w:t>
            </w:r>
          </w:p>
        </w:tc>
        <w:tc>
          <w:tcPr>
            <w:tcW w:w="797" w:type="pct"/>
            <w:hideMark/>
          </w:tcPr>
          <w:p w14:paraId="780A8EBF"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Teacher Education - Other</w:t>
            </w:r>
          </w:p>
        </w:tc>
        <w:tc>
          <w:tcPr>
            <w:tcW w:w="2103" w:type="pct"/>
            <w:hideMark/>
          </w:tcPr>
          <w:p w14:paraId="4813281A"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070000, 070100, 070107, 070109, 070111, 070113, 070115, 070117, 070199, 070300, 070301, 070303, 079900, 079999</w:t>
            </w:r>
          </w:p>
        </w:tc>
      </w:tr>
      <w:tr w:rsidR="00F52390" w:rsidRPr="00871E7A" w14:paraId="7ED4D400"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00A386FD" w14:textId="77777777" w:rsidR="00F52390" w:rsidRPr="00871E7A" w:rsidRDefault="00F52390" w:rsidP="007007AC">
            <w:pPr>
              <w:rPr>
                <w:rStyle w:val="Body02BOLD"/>
                <w:b w:val="0"/>
                <w:bCs/>
                <w:sz w:val="18"/>
                <w:szCs w:val="18"/>
              </w:rPr>
            </w:pPr>
            <w:r w:rsidRPr="00871E7A">
              <w:rPr>
                <w:rStyle w:val="Body02BOLD"/>
                <w:b w:val="0"/>
                <w:bCs/>
                <w:sz w:val="18"/>
                <w:szCs w:val="18"/>
              </w:rPr>
              <w:t>13</w:t>
            </w:r>
          </w:p>
        </w:tc>
        <w:tc>
          <w:tcPr>
            <w:tcW w:w="680" w:type="pct"/>
          </w:tcPr>
          <w:p w14:paraId="1C7E44F2"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Teacher education</w:t>
            </w:r>
          </w:p>
        </w:tc>
        <w:tc>
          <w:tcPr>
            <w:tcW w:w="771" w:type="pct"/>
            <w:hideMark/>
          </w:tcPr>
          <w:p w14:paraId="3327B1C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26</w:t>
            </w:r>
          </w:p>
        </w:tc>
        <w:tc>
          <w:tcPr>
            <w:tcW w:w="797" w:type="pct"/>
            <w:hideMark/>
          </w:tcPr>
          <w:p w14:paraId="14DB4D8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Teacher Education - Early Childhood</w:t>
            </w:r>
          </w:p>
        </w:tc>
        <w:tc>
          <w:tcPr>
            <w:tcW w:w="2103" w:type="pct"/>
            <w:hideMark/>
          </w:tcPr>
          <w:p w14:paraId="3C39573F"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070101</w:t>
            </w:r>
          </w:p>
        </w:tc>
      </w:tr>
      <w:tr w:rsidR="00F52390" w:rsidRPr="00871E7A" w14:paraId="0A6E3456"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5D610DD" w14:textId="77777777" w:rsidR="00F52390" w:rsidRPr="00871E7A" w:rsidRDefault="00F52390" w:rsidP="007007AC">
            <w:pPr>
              <w:rPr>
                <w:rStyle w:val="Body02BOLD"/>
                <w:b w:val="0"/>
                <w:bCs/>
                <w:sz w:val="18"/>
                <w:szCs w:val="18"/>
              </w:rPr>
            </w:pPr>
            <w:r w:rsidRPr="00871E7A">
              <w:rPr>
                <w:rStyle w:val="Body02BOLD"/>
                <w:b w:val="0"/>
                <w:bCs/>
                <w:sz w:val="18"/>
                <w:szCs w:val="18"/>
              </w:rPr>
              <w:t>13</w:t>
            </w:r>
          </w:p>
        </w:tc>
        <w:tc>
          <w:tcPr>
            <w:tcW w:w="680" w:type="pct"/>
          </w:tcPr>
          <w:p w14:paraId="4051DAB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Teacher education</w:t>
            </w:r>
          </w:p>
        </w:tc>
        <w:tc>
          <w:tcPr>
            <w:tcW w:w="771" w:type="pct"/>
            <w:hideMark/>
          </w:tcPr>
          <w:p w14:paraId="1F40253A"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27</w:t>
            </w:r>
          </w:p>
        </w:tc>
        <w:tc>
          <w:tcPr>
            <w:tcW w:w="797" w:type="pct"/>
            <w:hideMark/>
          </w:tcPr>
          <w:p w14:paraId="7AE0E2E1"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Teacher Education - Primary </w:t>
            </w:r>
            <w:r>
              <w:rPr>
                <w:rStyle w:val="Body02BOLD"/>
                <w:b w:val="0"/>
                <w:bCs/>
                <w:sz w:val="18"/>
                <w:szCs w:val="18"/>
              </w:rPr>
              <w:t>and</w:t>
            </w:r>
            <w:r w:rsidRPr="00871E7A">
              <w:rPr>
                <w:rStyle w:val="Body02BOLD"/>
                <w:b w:val="0"/>
                <w:bCs/>
                <w:sz w:val="18"/>
                <w:szCs w:val="18"/>
              </w:rPr>
              <w:t xml:space="preserve"> Secondary</w:t>
            </w:r>
          </w:p>
        </w:tc>
        <w:tc>
          <w:tcPr>
            <w:tcW w:w="2103" w:type="pct"/>
            <w:hideMark/>
          </w:tcPr>
          <w:p w14:paraId="206CD68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070103, 070105</w:t>
            </w:r>
          </w:p>
        </w:tc>
      </w:tr>
      <w:tr w:rsidR="00F52390" w:rsidRPr="00871E7A" w14:paraId="0BE2F9A3"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0DA8B6D" w14:textId="77777777" w:rsidR="00F52390" w:rsidRPr="00871E7A" w:rsidRDefault="00F52390" w:rsidP="007007AC">
            <w:pPr>
              <w:rPr>
                <w:rStyle w:val="Body02BOLD"/>
                <w:b w:val="0"/>
                <w:bCs/>
                <w:sz w:val="18"/>
                <w:szCs w:val="18"/>
              </w:rPr>
            </w:pPr>
            <w:r w:rsidRPr="00871E7A">
              <w:rPr>
                <w:rStyle w:val="Body02BOLD"/>
                <w:b w:val="0"/>
                <w:bCs/>
                <w:sz w:val="18"/>
                <w:szCs w:val="18"/>
              </w:rPr>
              <w:t>14</w:t>
            </w:r>
          </w:p>
        </w:tc>
        <w:tc>
          <w:tcPr>
            <w:tcW w:w="680" w:type="pct"/>
          </w:tcPr>
          <w:p w14:paraId="1B23B9AE"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hideMark/>
          </w:tcPr>
          <w:p w14:paraId="4496FCF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28</w:t>
            </w:r>
          </w:p>
        </w:tc>
        <w:tc>
          <w:tcPr>
            <w:tcW w:w="797" w:type="pct"/>
            <w:hideMark/>
          </w:tcPr>
          <w:p w14:paraId="6F733E69"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Accounting</w:t>
            </w:r>
          </w:p>
        </w:tc>
        <w:tc>
          <w:tcPr>
            <w:tcW w:w="2103" w:type="pct"/>
            <w:hideMark/>
          </w:tcPr>
          <w:p w14:paraId="332E2234"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080100, 080101</w:t>
            </w:r>
          </w:p>
        </w:tc>
      </w:tr>
      <w:tr w:rsidR="00F52390" w:rsidRPr="00871E7A" w14:paraId="6D99CE00" w14:textId="77777777" w:rsidTr="00F5239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1D8FA667" w14:textId="77777777" w:rsidR="00F52390" w:rsidRPr="00871E7A" w:rsidRDefault="00F52390" w:rsidP="007007AC">
            <w:pPr>
              <w:rPr>
                <w:rStyle w:val="Body02BOLD"/>
                <w:b w:val="0"/>
                <w:bCs/>
                <w:sz w:val="18"/>
                <w:szCs w:val="18"/>
              </w:rPr>
            </w:pPr>
            <w:r w:rsidRPr="00871E7A">
              <w:rPr>
                <w:rStyle w:val="Body02BOLD"/>
                <w:b w:val="0"/>
                <w:bCs/>
                <w:sz w:val="18"/>
                <w:szCs w:val="18"/>
              </w:rPr>
              <w:t>14</w:t>
            </w:r>
          </w:p>
        </w:tc>
        <w:tc>
          <w:tcPr>
            <w:tcW w:w="680" w:type="pct"/>
          </w:tcPr>
          <w:p w14:paraId="2AEF7C22"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hideMark/>
          </w:tcPr>
          <w:p w14:paraId="4079FF77"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29</w:t>
            </w:r>
          </w:p>
        </w:tc>
        <w:tc>
          <w:tcPr>
            <w:tcW w:w="797" w:type="pct"/>
            <w:hideMark/>
          </w:tcPr>
          <w:p w14:paraId="234A4D47"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Business Management</w:t>
            </w:r>
          </w:p>
        </w:tc>
        <w:tc>
          <w:tcPr>
            <w:tcW w:w="2103" w:type="pct"/>
            <w:hideMark/>
          </w:tcPr>
          <w:p w14:paraId="7483567C"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080300, 080301, 080303, 080305, 080307, 080309, 080311, 080313, 080315, 080317, 080319, 080321, 080323, 080399</w:t>
            </w:r>
          </w:p>
        </w:tc>
      </w:tr>
      <w:tr w:rsidR="00F52390" w:rsidRPr="00871E7A" w14:paraId="431738F6"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080D90D" w14:textId="77777777" w:rsidR="00F52390" w:rsidRPr="00871E7A" w:rsidRDefault="00F52390" w:rsidP="007007AC">
            <w:pPr>
              <w:rPr>
                <w:rStyle w:val="Body02BOLD"/>
                <w:b w:val="0"/>
                <w:bCs/>
                <w:sz w:val="18"/>
                <w:szCs w:val="18"/>
              </w:rPr>
            </w:pPr>
            <w:r w:rsidRPr="00871E7A">
              <w:rPr>
                <w:rStyle w:val="Body02BOLD"/>
                <w:b w:val="0"/>
                <w:bCs/>
                <w:sz w:val="18"/>
                <w:szCs w:val="18"/>
              </w:rPr>
              <w:t>14</w:t>
            </w:r>
          </w:p>
        </w:tc>
        <w:tc>
          <w:tcPr>
            <w:tcW w:w="680" w:type="pct"/>
          </w:tcPr>
          <w:p w14:paraId="2A1395B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hideMark/>
          </w:tcPr>
          <w:p w14:paraId="4C63B76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30</w:t>
            </w:r>
          </w:p>
        </w:tc>
        <w:tc>
          <w:tcPr>
            <w:tcW w:w="797" w:type="pct"/>
            <w:hideMark/>
          </w:tcPr>
          <w:p w14:paraId="28805C37"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Sales </w:t>
            </w:r>
            <w:r>
              <w:rPr>
                <w:rStyle w:val="Body02BOLD"/>
                <w:b w:val="0"/>
                <w:bCs/>
                <w:sz w:val="18"/>
                <w:szCs w:val="18"/>
              </w:rPr>
              <w:t>and</w:t>
            </w:r>
            <w:r w:rsidRPr="00871E7A">
              <w:rPr>
                <w:rStyle w:val="Body02BOLD"/>
                <w:b w:val="0"/>
                <w:bCs/>
                <w:sz w:val="18"/>
                <w:szCs w:val="18"/>
              </w:rPr>
              <w:t xml:space="preserve"> Marketing</w:t>
            </w:r>
          </w:p>
        </w:tc>
        <w:tc>
          <w:tcPr>
            <w:tcW w:w="2103" w:type="pct"/>
            <w:hideMark/>
          </w:tcPr>
          <w:p w14:paraId="5F5E6360"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080500, 080501, 080503, 080505, 080507, 080509, 080599</w:t>
            </w:r>
          </w:p>
        </w:tc>
      </w:tr>
      <w:tr w:rsidR="00F52390" w:rsidRPr="00871E7A" w14:paraId="5E6E0A05"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6CF0FC19" w14:textId="77777777" w:rsidR="00F52390" w:rsidRPr="00871E7A" w:rsidRDefault="00F52390" w:rsidP="007007AC">
            <w:pPr>
              <w:rPr>
                <w:rStyle w:val="Body02BOLD"/>
                <w:b w:val="0"/>
                <w:bCs/>
                <w:sz w:val="18"/>
                <w:szCs w:val="18"/>
              </w:rPr>
            </w:pPr>
            <w:r w:rsidRPr="00871E7A">
              <w:rPr>
                <w:rStyle w:val="Body02BOLD"/>
                <w:b w:val="0"/>
                <w:bCs/>
                <w:sz w:val="18"/>
                <w:szCs w:val="18"/>
              </w:rPr>
              <w:t>14</w:t>
            </w:r>
          </w:p>
        </w:tc>
        <w:tc>
          <w:tcPr>
            <w:tcW w:w="680" w:type="pct"/>
          </w:tcPr>
          <w:p w14:paraId="740436E7"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hideMark/>
          </w:tcPr>
          <w:p w14:paraId="60BB2471"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31</w:t>
            </w:r>
          </w:p>
        </w:tc>
        <w:tc>
          <w:tcPr>
            <w:tcW w:w="797" w:type="pct"/>
            <w:hideMark/>
          </w:tcPr>
          <w:p w14:paraId="0671EBE1"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Management </w:t>
            </w:r>
            <w:r>
              <w:rPr>
                <w:rStyle w:val="Body02BOLD"/>
                <w:b w:val="0"/>
                <w:bCs/>
                <w:sz w:val="18"/>
                <w:szCs w:val="18"/>
              </w:rPr>
              <w:t>and</w:t>
            </w:r>
            <w:r w:rsidRPr="00871E7A">
              <w:rPr>
                <w:rStyle w:val="Body02BOLD"/>
                <w:b w:val="0"/>
                <w:bCs/>
                <w:sz w:val="18"/>
                <w:szCs w:val="18"/>
              </w:rPr>
              <w:t xml:space="preserve"> Commerce - Other</w:t>
            </w:r>
          </w:p>
        </w:tc>
        <w:tc>
          <w:tcPr>
            <w:tcW w:w="2103" w:type="pct"/>
            <w:hideMark/>
          </w:tcPr>
          <w:p w14:paraId="5B72CEA2"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080000, 080900, 080901, 080903, 080905, 080999, 089900, 089901, 089903, 089999</w:t>
            </w:r>
          </w:p>
        </w:tc>
      </w:tr>
      <w:tr w:rsidR="00F52390" w:rsidRPr="00871E7A" w14:paraId="7DDE9761"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3E83549B" w14:textId="77777777" w:rsidR="00F52390" w:rsidRPr="00871E7A" w:rsidRDefault="00F52390" w:rsidP="007007AC">
            <w:pPr>
              <w:rPr>
                <w:rStyle w:val="Body02BOLD"/>
                <w:b w:val="0"/>
                <w:bCs/>
                <w:sz w:val="18"/>
                <w:szCs w:val="18"/>
              </w:rPr>
            </w:pPr>
            <w:r w:rsidRPr="00871E7A">
              <w:rPr>
                <w:rStyle w:val="Body02BOLD"/>
                <w:b w:val="0"/>
                <w:bCs/>
                <w:sz w:val="18"/>
                <w:szCs w:val="18"/>
              </w:rPr>
              <w:lastRenderedPageBreak/>
              <w:t>14</w:t>
            </w:r>
          </w:p>
        </w:tc>
        <w:tc>
          <w:tcPr>
            <w:tcW w:w="680" w:type="pct"/>
          </w:tcPr>
          <w:p w14:paraId="4F51A2A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hideMark/>
          </w:tcPr>
          <w:p w14:paraId="09D92960"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32</w:t>
            </w:r>
          </w:p>
        </w:tc>
        <w:tc>
          <w:tcPr>
            <w:tcW w:w="797" w:type="pct"/>
            <w:hideMark/>
          </w:tcPr>
          <w:p w14:paraId="6B14F96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Banking </w:t>
            </w:r>
            <w:r>
              <w:rPr>
                <w:rStyle w:val="Body02BOLD"/>
                <w:b w:val="0"/>
                <w:bCs/>
                <w:sz w:val="18"/>
                <w:szCs w:val="18"/>
              </w:rPr>
              <w:t xml:space="preserve">and </w:t>
            </w:r>
            <w:r w:rsidRPr="00871E7A">
              <w:rPr>
                <w:rStyle w:val="Body02BOLD"/>
                <w:b w:val="0"/>
                <w:bCs/>
                <w:sz w:val="18"/>
                <w:szCs w:val="18"/>
              </w:rPr>
              <w:t>Finance</w:t>
            </w:r>
          </w:p>
        </w:tc>
        <w:tc>
          <w:tcPr>
            <w:tcW w:w="2103" w:type="pct"/>
            <w:hideMark/>
          </w:tcPr>
          <w:p w14:paraId="1EB0C0B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081100, 081101, 081103, 081105, 081199</w:t>
            </w:r>
          </w:p>
        </w:tc>
      </w:tr>
      <w:tr w:rsidR="00F52390" w:rsidRPr="00871E7A" w14:paraId="566D2005"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5F624F16" w14:textId="77777777" w:rsidR="00F52390" w:rsidRPr="00871E7A" w:rsidRDefault="00F52390" w:rsidP="007007AC">
            <w:pPr>
              <w:rPr>
                <w:rStyle w:val="Body02BOLD"/>
                <w:b w:val="0"/>
                <w:bCs/>
                <w:sz w:val="18"/>
                <w:szCs w:val="18"/>
              </w:rPr>
            </w:pPr>
            <w:r w:rsidRPr="00871E7A">
              <w:rPr>
                <w:rStyle w:val="Body02BOLD"/>
                <w:b w:val="0"/>
                <w:bCs/>
                <w:sz w:val="18"/>
                <w:szCs w:val="18"/>
              </w:rPr>
              <w:t>14</w:t>
            </w:r>
          </w:p>
        </w:tc>
        <w:tc>
          <w:tcPr>
            <w:tcW w:w="680" w:type="pct"/>
          </w:tcPr>
          <w:p w14:paraId="5980D9BB"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tcPr>
          <w:p w14:paraId="3F2DB380"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40</w:t>
            </w:r>
          </w:p>
        </w:tc>
        <w:tc>
          <w:tcPr>
            <w:tcW w:w="797" w:type="pct"/>
          </w:tcPr>
          <w:p w14:paraId="574C03CD"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Economics</w:t>
            </w:r>
          </w:p>
        </w:tc>
        <w:tc>
          <w:tcPr>
            <w:tcW w:w="2103" w:type="pct"/>
          </w:tcPr>
          <w:p w14:paraId="1A3AA232"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091900, 091901, 091903</w:t>
            </w:r>
          </w:p>
        </w:tc>
      </w:tr>
      <w:tr w:rsidR="00F52390" w:rsidRPr="00871E7A" w14:paraId="382EA0BD"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33724113" w14:textId="77777777" w:rsidR="00F52390" w:rsidRPr="00871E7A" w:rsidRDefault="00F52390" w:rsidP="007007AC">
            <w:pPr>
              <w:rPr>
                <w:rStyle w:val="Body02BOLD"/>
                <w:b w:val="0"/>
                <w:bCs/>
                <w:sz w:val="18"/>
                <w:szCs w:val="18"/>
              </w:rPr>
            </w:pPr>
            <w:r w:rsidRPr="00871E7A">
              <w:rPr>
                <w:rStyle w:val="Body02BOLD"/>
                <w:b w:val="0"/>
                <w:bCs/>
                <w:sz w:val="18"/>
                <w:szCs w:val="18"/>
              </w:rPr>
              <w:t>15</w:t>
            </w:r>
          </w:p>
        </w:tc>
        <w:tc>
          <w:tcPr>
            <w:tcW w:w="680" w:type="pct"/>
          </w:tcPr>
          <w:p w14:paraId="413746E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Humanities, culture and social sciences</w:t>
            </w:r>
          </w:p>
        </w:tc>
        <w:tc>
          <w:tcPr>
            <w:tcW w:w="771" w:type="pct"/>
            <w:hideMark/>
          </w:tcPr>
          <w:p w14:paraId="00A7CCF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33</w:t>
            </w:r>
          </w:p>
        </w:tc>
        <w:tc>
          <w:tcPr>
            <w:tcW w:w="797" w:type="pct"/>
            <w:hideMark/>
          </w:tcPr>
          <w:p w14:paraId="406E9FF5"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Political Science</w:t>
            </w:r>
          </w:p>
        </w:tc>
        <w:tc>
          <w:tcPr>
            <w:tcW w:w="2103" w:type="pct"/>
            <w:hideMark/>
          </w:tcPr>
          <w:p w14:paraId="6EFB4262"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090100, 090101, 090103</w:t>
            </w:r>
          </w:p>
        </w:tc>
      </w:tr>
      <w:tr w:rsidR="00F52390" w:rsidRPr="00871E7A" w14:paraId="4B3BBAC8" w14:textId="77777777" w:rsidTr="00F52390">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pct"/>
          </w:tcPr>
          <w:p w14:paraId="6FD9454E" w14:textId="77777777" w:rsidR="00F52390" w:rsidRPr="00871E7A" w:rsidRDefault="00F52390" w:rsidP="007007AC">
            <w:pPr>
              <w:rPr>
                <w:rStyle w:val="Body02BOLD"/>
                <w:b w:val="0"/>
                <w:bCs/>
                <w:sz w:val="18"/>
                <w:szCs w:val="18"/>
              </w:rPr>
            </w:pPr>
            <w:r w:rsidRPr="00871E7A">
              <w:rPr>
                <w:rStyle w:val="Body02BOLD"/>
                <w:b w:val="0"/>
                <w:bCs/>
                <w:sz w:val="18"/>
                <w:szCs w:val="18"/>
              </w:rPr>
              <w:t>15</w:t>
            </w:r>
          </w:p>
        </w:tc>
        <w:tc>
          <w:tcPr>
            <w:tcW w:w="680" w:type="pct"/>
          </w:tcPr>
          <w:p w14:paraId="7D44A89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Humanities, culture and social sciences</w:t>
            </w:r>
          </w:p>
        </w:tc>
        <w:tc>
          <w:tcPr>
            <w:tcW w:w="771" w:type="pct"/>
            <w:hideMark/>
          </w:tcPr>
          <w:p w14:paraId="4E046805"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34</w:t>
            </w:r>
          </w:p>
        </w:tc>
        <w:tc>
          <w:tcPr>
            <w:tcW w:w="797" w:type="pct"/>
            <w:hideMark/>
          </w:tcPr>
          <w:p w14:paraId="1A176674"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Humanities inc</w:t>
            </w:r>
            <w:r>
              <w:rPr>
                <w:rStyle w:val="Body02BOLD"/>
                <w:b w:val="0"/>
                <w:bCs/>
                <w:sz w:val="18"/>
                <w:szCs w:val="18"/>
              </w:rPr>
              <w:t>luding</w:t>
            </w:r>
            <w:r w:rsidRPr="00871E7A">
              <w:rPr>
                <w:rStyle w:val="Body02BOLD"/>
                <w:b w:val="0"/>
                <w:bCs/>
                <w:sz w:val="18"/>
                <w:szCs w:val="18"/>
              </w:rPr>
              <w:t xml:space="preserve"> History </w:t>
            </w:r>
            <w:r>
              <w:rPr>
                <w:rStyle w:val="Body02BOLD"/>
                <w:b w:val="0"/>
                <w:bCs/>
                <w:sz w:val="18"/>
                <w:szCs w:val="18"/>
              </w:rPr>
              <w:t>and</w:t>
            </w:r>
            <w:r w:rsidRPr="00871E7A">
              <w:rPr>
                <w:rStyle w:val="Body02BOLD"/>
                <w:b w:val="0"/>
                <w:bCs/>
                <w:sz w:val="18"/>
                <w:szCs w:val="18"/>
              </w:rPr>
              <w:t xml:space="preserve"> Geography</w:t>
            </w:r>
          </w:p>
        </w:tc>
        <w:tc>
          <w:tcPr>
            <w:tcW w:w="2103" w:type="pct"/>
            <w:hideMark/>
          </w:tcPr>
          <w:p w14:paraId="0EC2336E"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090000, 090300, 090301, 090303, 090305, 090307, 090309, 090311, 090313, 090399, 091300, 091301, 091303, 091700, 091701, 091703, 099900, 099901, 099903, 099905, 099999</w:t>
            </w:r>
          </w:p>
        </w:tc>
      </w:tr>
      <w:tr w:rsidR="00F52390" w:rsidRPr="00871E7A" w14:paraId="73C66224" w14:textId="77777777" w:rsidTr="00F5239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4D7970DC" w14:textId="77777777" w:rsidR="00F52390" w:rsidRPr="00871E7A" w:rsidRDefault="00F52390" w:rsidP="007007AC">
            <w:pPr>
              <w:rPr>
                <w:rStyle w:val="Body02BOLD"/>
                <w:b w:val="0"/>
                <w:bCs/>
                <w:sz w:val="18"/>
                <w:szCs w:val="18"/>
              </w:rPr>
            </w:pPr>
            <w:r w:rsidRPr="00871E7A">
              <w:rPr>
                <w:rStyle w:val="Body02BOLD"/>
                <w:b w:val="0"/>
                <w:bCs/>
                <w:sz w:val="18"/>
                <w:szCs w:val="18"/>
              </w:rPr>
              <w:t>15</w:t>
            </w:r>
          </w:p>
        </w:tc>
        <w:tc>
          <w:tcPr>
            <w:tcW w:w="680" w:type="pct"/>
          </w:tcPr>
          <w:p w14:paraId="46EB7878"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Humanities, culture and social sciences</w:t>
            </w:r>
          </w:p>
        </w:tc>
        <w:tc>
          <w:tcPr>
            <w:tcW w:w="771" w:type="pct"/>
            <w:hideMark/>
          </w:tcPr>
          <w:p w14:paraId="5279778C"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35</w:t>
            </w:r>
          </w:p>
        </w:tc>
        <w:tc>
          <w:tcPr>
            <w:tcW w:w="797" w:type="pct"/>
            <w:hideMark/>
          </w:tcPr>
          <w:p w14:paraId="18EC1B8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Language </w:t>
            </w:r>
            <w:r>
              <w:rPr>
                <w:rStyle w:val="Body02BOLD"/>
                <w:b w:val="0"/>
                <w:bCs/>
                <w:sz w:val="18"/>
                <w:szCs w:val="18"/>
              </w:rPr>
              <w:t>and</w:t>
            </w:r>
            <w:r w:rsidRPr="00871E7A">
              <w:rPr>
                <w:rStyle w:val="Body02BOLD"/>
                <w:b w:val="0"/>
                <w:bCs/>
                <w:sz w:val="18"/>
                <w:szCs w:val="18"/>
              </w:rPr>
              <w:t xml:space="preserve"> Literature</w:t>
            </w:r>
          </w:p>
        </w:tc>
        <w:tc>
          <w:tcPr>
            <w:tcW w:w="2103" w:type="pct"/>
            <w:hideMark/>
          </w:tcPr>
          <w:p w14:paraId="34E94344"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091500, 091501, 091503, 091505, 091507, 091509, 091511, 091513, 091515, 091517, 091519, 091521, 091523, 091599</w:t>
            </w:r>
          </w:p>
        </w:tc>
      </w:tr>
      <w:tr w:rsidR="00F52390" w:rsidRPr="00871E7A" w14:paraId="00922ECC"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1CAFE223" w14:textId="77777777" w:rsidR="00F52390" w:rsidRPr="00871E7A" w:rsidRDefault="00F52390" w:rsidP="007007AC">
            <w:pPr>
              <w:rPr>
                <w:rStyle w:val="Body02BOLD"/>
                <w:b w:val="0"/>
                <w:bCs/>
                <w:sz w:val="18"/>
                <w:szCs w:val="18"/>
              </w:rPr>
            </w:pPr>
            <w:r w:rsidRPr="00871E7A">
              <w:rPr>
                <w:rStyle w:val="Body02BOLD"/>
                <w:b w:val="0"/>
                <w:bCs/>
                <w:sz w:val="18"/>
                <w:szCs w:val="18"/>
              </w:rPr>
              <w:t>16</w:t>
            </w:r>
          </w:p>
        </w:tc>
        <w:tc>
          <w:tcPr>
            <w:tcW w:w="680" w:type="pct"/>
          </w:tcPr>
          <w:p w14:paraId="2283114A"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Social work</w:t>
            </w:r>
          </w:p>
        </w:tc>
        <w:tc>
          <w:tcPr>
            <w:tcW w:w="771" w:type="pct"/>
            <w:hideMark/>
          </w:tcPr>
          <w:p w14:paraId="193AFCAE"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36</w:t>
            </w:r>
          </w:p>
        </w:tc>
        <w:tc>
          <w:tcPr>
            <w:tcW w:w="797" w:type="pct"/>
            <w:hideMark/>
          </w:tcPr>
          <w:p w14:paraId="06FC6CEA"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Social Work</w:t>
            </w:r>
          </w:p>
        </w:tc>
        <w:tc>
          <w:tcPr>
            <w:tcW w:w="2103" w:type="pct"/>
            <w:hideMark/>
          </w:tcPr>
          <w:p w14:paraId="1CEB0E59"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090500, 090501, 090503, 090505, 090507, 090509, 090511, 090513, 090515, 090599</w:t>
            </w:r>
          </w:p>
        </w:tc>
      </w:tr>
      <w:tr w:rsidR="00F52390" w:rsidRPr="00871E7A" w14:paraId="1282988C"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031A0003" w14:textId="77777777" w:rsidR="00F52390" w:rsidRPr="00871E7A" w:rsidRDefault="00F52390" w:rsidP="007007AC">
            <w:pPr>
              <w:rPr>
                <w:rStyle w:val="Body02BOLD"/>
                <w:b w:val="0"/>
                <w:bCs/>
                <w:sz w:val="18"/>
                <w:szCs w:val="18"/>
              </w:rPr>
            </w:pPr>
            <w:r w:rsidRPr="00871E7A">
              <w:rPr>
                <w:rStyle w:val="Body02BOLD"/>
                <w:b w:val="0"/>
                <w:bCs/>
                <w:sz w:val="18"/>
                <w:szCs w:val="18"/>
              </w:rPr>
              <w:t>17</w:t>
            </w:r>
          </w:p>
        </w:tc>
        <w:tc>
          <w:tcPr>
            <w:tcW w:w="680" w:type="pct"/>
          </w:tcPr>
          <w:p w14:paraId="177F138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Psychology</w:t>
            </w:r>
          </w:p>
        </w:tc>
        <w:tc>
          <w:tcPr>
            <w:tcW w:w="771" w:type="pct"/>
            <w:hideMark/>
          </w:tcPr>
          <w:p w14:paraId="011D46B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37</w:t>
            </w:r>
          </w:p>
        </w:tc>
        <w:tc>
          <w:tcPr>
            <w:tcW w:w="797" w:type="pct"/>
            <w:hideMark/>
          </w:tcPr>
          <w:p w14:paraId="5B2DF6A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Psychology</w:t>
            </w:r>
          </w:p>
        </w:tc>
        <w:tc>
          <w:tcPr>
            <w:tcW w:w="2103" w:type="pct"/>
            <w:hideMark/>
          </w:tcPr>
          <w:p w14:paraId="0D5BB6DB"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090700, 090701, 090799</w:t>
            </w:r>
          </w:p>
        </w:tc>
      </w:tr>
      <w:tr w:rsidR="00F52390" w:rsidRPr="00871E7A" w14:paraId="2F602E80"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3722F40C" w14:textId="77777777" w:rsidR="00F52390" w:rsidRPr="00871E7A" w:rsidRDefault="00F52390" w:rsidP="007007AC">
            <w:pPr>
              <w:rPr>
                <w:rStyle w:val="Body02BOLD"/>
                <w:b w:val="0"/>
                <w:bCs/>
                <w:sz w:val="18"/>
                <w:szCs w:val="18"/>
              </w:rPr>
            </w:pPr>
            <w:r w:rsidRPr="00871E7A">
              <w:rPr>
                <w:rStyle w:val="Body02BOLD"/>
                <w:b w:val="0"/>
                <w:bCs/>
                <w:sz w:val="18"/>
                <w:szCs w:val="18"/>
              </w:rPr>
              <w:t>18</w:t>
            </w:r>
          </w:p>
        </w:tc>
        <w:tc>
          <w:tcPr>
            <w:tcW w:w="680" w:type="pct"/>
          </w:tcPr>
          <w:p w14:paraId="52F94B3F"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Law and paralegal studies</w:t>
            </w:r>
          </w:p>
        </w:tc>
        <w:tc>
          <w:tcPr>
            <w:tcW w:w="771" w:type="pct"/>
            <w:hideMark/>
          </w:tcPr>
          <w:p w14:paraId="40C89664"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38</w:t>
            </w:r>
          </w:p>
        </w:tc>
        <w:tc>
          <w:tcPr>
            <w:tcW w:w="797" w:type="pct"/>
            <w:hideMark/>
          </w:tcPr>
          <w:p w14:paraId="6A3E4062"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Law</w:t>
            </w:r>
          </w:p>
        </w:tc>
        <w:tc>
          <w:tcPr>
            <w:tcW w:w="2103" w:type="pct"/>
            <w:hideMark/>
          </w:tcPr>
          <w:p w14:paraId="7138E96F"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090900, 090901, 090903, 090905, 090907, 090909, 090911, 090913, 090999</w:t>
            </w:r>
          </w:p>
        </w:tc>
      </w:tr>
      <w:tr w:rsidR="00F52390" w:rsidRPr="00871E7A" w14:paraId="76CE43BE"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17E4C2FD" w14:textId="77777777" w:rsidR="00F52390" w:rsidRPr="00871E7A" w:rsidRDefault="00F52390" w:rsidP="007007AC">
            <w:pPr>
              <w:rPr>
                <w:rStyle w:val="Body02BOLD"/>
                <w:b w:val="0"/>
                <w:bCs/>
                <w:sz w:val="18"/>
                <w:szCs w:val="18"/>
              </w:rPr>
            </w:pPr>
            <w:r w:rsidRPr="00871E7A">
              <w:rPr>
                <w:rStyle w:val="Body02BOLD"/>
                <w:b w:val="0"/>
                <w:bCs/>
                <w:sz w:val="18"/>
                <w:szCs w:val="18"/>
              </w:rPr>
              <w:t>18</w:t>
            </w:r>
          </w:p>
        </w:tc>
        <w:tc>
          <w:tcPr>
            <w:tcW w:w="680" w:type="pct"/>
          </w:tcPr>
          <w:p w14:paraId="3E191942"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Law and paralegal studies</w:t>
            </w:r>
          </w:p>
        </w:tc>
        <w:tc>
          <w:tcPr>
            <w:tcW w:w="771" w:type="pct"/>
            <w:hideMark/>
          </w:tcPr>
          <w:p w14:paraId="63EADF67"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39</w:t>
            </w:r>
          </w:p>
        </w:tc>
        <w:tc>
          <w:tcPr>
            <w:tcW w:w="797" w:type="pct"/>
            <w:hideMark/>
          </w:tcPr>
          <w:p w14:paraId="448957DF"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Justice Studies </w:t>
            </w:r>
            <w:r>
              <w:rPr>
                <w:rStyle w:val="Body02BOLD"/>
                <w:b w:val="0"/>
                <w:bCs/>
                <w:sz w:val="18"/>
                <w:szCs w:val="18"/>
              </w:rPr>
              <w:t>and</w:t>
            </w:r>
            <w:r w:rsidRPr="00871E7A">
              <w:rPr>
                <w:rStyle w:val="Body02BOLD"/>
                <w:b w:val="0"/>
                <w:bCs/>
                <w:sz w:val="18"/>
                <w:szCs w:val="18"/>
              </w:rPr>
              <w:t xml:space="preserve"> Policing</w:t>
            </w:r>
          </w:p>
        </w:tc>
        <w:tc>
          <w:tcPr>
            <w:tcW w:w="2103" w:type="pct"/>
            <w:hideMark/>
          </w:tcPr>
          <w:p w14:paraId="63FCDD9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091100, 091101, 091103, 091105, 091199</w:t>
            </w:r>
          </w:p>
        </w:tc>
      </w:tr>
      <w:tr w:rsidR="00F52390" w:rsidRPr="00871E7A" w14:paraId="288D63F7" w14:textId="77777777" w:rsidTr="00F5239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6209D851" w14:textId="77777777" w:rsidR="00F52390" w:rsidRPr="00871E7A" w:rsidRDefault="00F52390" w:rsidP="007007AC">
            <w:pPr>
              <w:rPr>
                <w:rStyle w:val="Body02BOLD"/>
                <w:b w:val="0"/>
                <w:bCs/>
                <w:sz w:val="18"/>
                <w:szCs w:val="18"/>
              </w:rPr>
            </w:pPr>
            <w:r w:rsidRPr="00871E7A">
              <w:rPr>
                <w:rStyle w:val="Body02BOLD"/>
                <w:b w:val="0"/>
                <w:bCs/>
                <w:sz w:val="18"/>
                <w:szCs w:val="18"/>
              </w:rPr>
              <w:t>19</w:t>
            </w:r>
          </w:p>
        </w:tc>
        <w:tc>
          <w:tcPr>
            <w:tcW w:w="680" w:type="pct"/>
          </w:tcPr>
          <w:p w14:paraId="2EBC84DA"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Creative arts</w:t>
            </w:r>
          </w:p>
        </w:tc>
        <w:tc>
          <w:tcPr>
            <w:tcW w:w="771" w:type="pct"/>
            <w:hideMark/>
          </w:tcPr>
          <w:p w14:paraId="1141687A"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42</w:t>
            </w:r>
          </w:p>
        </w:tc>
        <w:tc>
          <w:tcPr>
            <w:tcW w:w="797" w:type="pct"/>
            <w:hideMark/>
          </w:tcPr>
          <w:p w14:paraId="1551DC86"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Art </w:t>
            </w:r>
            <w:r>
              <w:rPr>
                <w:rStyle w:val="Body02BOLD"/>
                <w:b w:val="0"/>
                <w:bCs/>
                <w:sz w:val="18"/>
                <w:szCs w:val="18"/>
              </w:rPr>
              <w:t>and</w:t>
            </w:r>
            <w:r w:rsidRPr="00871E7A">
              <w:rPr>
                <w:rStyle w:val="Body02BOLD"/>
                <w:b w:val="0"/>
                <w:bCs/>
                <w:sz w:val="18"/>
                <w:szCs w:val="18"/>
              </w:rPr>
              <w:t xml:space="preserve"> Design</w:t>
            </w:r>
          </w:p>
        </w:tc>
        <w:tc>
          <w:tcPr>
            <w:tcW w:w="2103" w:type="pct"/>
            <w:hideMark/>
          </w:tcPr>
          <w:p w14:paraId="0085D01C"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100000, 100300, 100301, 100303, 100305, 100307, 100309, 100399, 100500, 100501, 100503, 100505, 100599, 109900, 109999</w:t>
            </w:r>
          </w:p>
        </w:tc>
      </w:tr>
      <w:tr w:rsidR="00F52390" w:rsidRPr="00871E7A" w14:paraId="3C6E8C3F"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5340D17F" w14:textId="77777777" w:rsidR="00F52390" w:rsidRPr="00871E7A" w:rsidRDefault="00F52390" w:rsidP="007007AC">
            <w:pPr>
              <w:rPr>
                <w:rStyle w:val="Body02BOLD"/>
                <w:b w:val="0"/>
                <w:bCs/>
                <w:sz w:val="18"/>
                <w:szCs w:val="18"/>
              </w:rPr>
            </w:pPr>
            <w:r w:rsidRPr="00871E7A">
              <w:rPr>
                <w:rStyle w:val="Body02BOLD"/>
                <w:b w:val="0"/>
                <w:bCs/>
                <w:sz w:val="18"/>
                <w:szCs w:val="18"/>
              </w:rPr>
              <w:t>19</w:t>
            </w:r>
          </w:p>
        </w:tc>
        <w:tc>
          <w:tcPr>
            <w:tcW w:w="680" w:type="pct"/>
          </w:tcPr>
          <w:p w14:paraId="78B1E783"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Creative arts</w:t>
            </w:r>
          </w:p>
        </w:tc>
        <w:tc>
          <w:tcPr>
            <w:tcW w:w="771" w:type="pct"/>
            <w:hideMark/>
          </w:tcPr>
          <w:p w14:paraId="5C0B842D"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43</w:t>
            </w:r>
          </w:p>
        </w:tc>
        <w:tc>
          <w:tcPr>
            <w:tcW w:w="797" w:type="pct"/>
            <w:hideMark/>
          </w:tcPr>
          <w:p w14:paraId="40DA884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Music </w:t>
            </w:r>
            <w:r>
              <w:rPr>
                <w:rStyle w:val="Body02BOLD"/>
                <w:b w:val="0"/>
                <w:bCs/>
                <w:sz w:val="18"/>
                <w:szCs w:val="18"/>
              </w:rPr>
              <w:t>and</w:t>
            </w:r>
            <w:r w:rsidRPr="00871E7A">
              <w:rPr>
                <w:rStyle w:val="Body02BOLD"/>
                <w:b w:val="0"/>
                <w:bCs/>
                <w:sz w:val="18"/>
                <w:szCs w:val="18"/>
              </w:rPr>
              <w:t xml:space="preserve"> Performing Arts</w:t>
            </w:r>
          </w:p>
        </w:tc>
        <w:tc>
          <w:tcPr>
            <w:tcW w:w="2103" w:type="pct"/>
            <w:hideMark/>
          </w:tcPr>
          <w:p w14:paraId="1AAB65D6"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100100, 100101, 100103, 100105, 100199</w:t>
            </w:r>
          </w:p>
        </w:tc>
      </w:tr>
      <w:tr w:rsidR="00F52390" w:rsidRPr="00871E7A" w14:paraId="3AE31154" w14:textId="77777777" w:rsidTr="00F5239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78072DFE" w14:textId="77777777" w:rsidR="00F52390" w:rsidRPr="00871E7A" w:rsidRDefault="00F52390" w:rsidP="007007AC">
            <w:pPr>
              <w:rPr>
                <w:rStyle w:val="Body02BOLD"/>
                <w:b w:val="0"/>
                <w:bCs/>
                <w:sz w:val="18"/>
                <w:szCs w:val="18"/>
              </w:rPr>
            </w:pPr>
            <w:r w:rsidRPr="00871E7A">
              <w:rPr>
                <w:rStyle w:val="Body02BOLD"/>
                <w:b w:val="0"/>
                <w:bCs/>
                <w:sz w:val="18"/>
                <w:szCs w:val="18"/>
              </w:rPr>
              <w:t>20</w:t>
            </w:r>
          </w:p>
        </w:tc>
        <w:tc>
          <w:tcPr>
            <w:tcW w:w="680" w:type="pct"/>
          </w:tcPr>
          <w:p w14:paraId="467C52B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Communications</w:t>
            </w:r>
          </w:p>
        </w:tc>
        <w:tc>
          <w:tcPr>
            <w:tcW w:w="771" w:type="pct"/>
            <w:hideMark/>
          </w:tcPr>
          <w:p w14:paraId="2A7D6662"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44</w:t>
            </w:r>
          </w:p>
        </w:tc>
        <w:tc>
          <w:tcPr>
            <w:tcW w:w="797" w:type="pct"/>
            <w:hideMark/>
          </w:tcPr>
          <w:p w14:paraId="27CD90C6"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Communication, Media </w:t>
            </w:r>
            <w:r>
              <w:rPr>
                <w:rStyle w:val="Body02BOLD"/>
                <w:b w:val="0"/>
                <w:bCs/>
                <w:sz w:val="18"/>
                <w:szCs w:val="18"/>
              </w:rPr>
              <w:t>and</w:t>
            </w:r>
            <w:r w:rsidRPr="00871E7A">
              <w:rPr>
                <w:rStyle w:val="Body02BOLD"/>
                <w:b w:val="0"/>
                <w:bCs/>
                <w:sz w:val="18"/>
                <w:szCs w:val="18"/>
              </w:rPr>
              <w:t xml:space="preserve"> Journalism</w:t>
            </w:r>
          </w:p>
        </w:tc>
        <w:tc>
          <w:tcPr>
            <w:tcW w:w="2103" w:type="pct"/>
            <w:hideMark/>
          </w:tcPr>
          <w:p w14:paraId="1437C73C"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100700, 100701, 100703, 100705, 100707, 100799</w:t>
            </w:r>
          </w:p>
        </w:tc>
      </w:tr>
      <w:tr w:rsidR="00F52390" w:rsidRPr="00871E7A" w14:paraId="4B1B767C" w14:textId="77777777" w:rsidTr="00F5239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341C96C3" w14:textId="77777777" w:rsidR="00F52390" w:rsidRPr="00871E7A" w:rsidRDefault="00F52390" w:rsidP="007007AC">
            <w:pPr>
              <w:rPr>
                <w:rStyle w:val="Body02BOLD"/>
                <w:b w:val="0"/>
                <w:bCs/>
                <w:sz w:val="18"/>
                <w:szCs w:val="18"/>
              </w:rPr>
            </w:pPr>
            <w:r w:rsidRPr="00871E7A">
              <w:rPr>
                <w:rStyle w:val="Body02BOLD"/>
                <w:b w:val="0"/>
                <w:bCs/>
                <w:sz w:val="18"/>
                <w:szCs w:val="18"/>
              </w:rPr>
              <w:t>21</w:t>
            </w:r>
          </w:p>
        </w:tc>
        <w:tc>
          <w:tcPr>
            <w:tcW w:w="680" w:type="pct"/>
          </w:tcPr>
          <w:p w14:paraId="47D0891C"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Tourism, Hospitality, Personal Services, Sport and recreation</w:t>
            </w:r>
          </w:p>
        </w:tc>
        <w:tc>
          <w:tcPr>
            <w:tcW w:w="771" w:type="pct"/>
            <w:hideMark/>
          </w:tcPr>
          <w:p w14:paraId="2628E1F2"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41</w:t>
            </w:r>
          </w:p>
        </w:tc>
        <w:tc>
          <w:tcPr>
            <w:tcW w:w="797" w:type="pct"/>
            <w:hideMark/>
          </w:tcPr>
          <w:p w14:paraId="0970D48A"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Sport </w:t>
            </w:r>
            <w:r>
              <w:rPr>
                <w:rStyle w:val="Body02BOLD"/>
                <w:b w:val="0"/>
                <w:bCs/>
                <w:sz w:val="18"/>
                <w:szCs w:val="18"/>
              </w:rPr>
              <w:t>and</w:t>
            </w:r>
            <w:r w:rsidRPr="00871E7A">
              <w:rPr>
                <w:rStyle w:val="Body02BOLD"/>
                <w:b w:val="0"/>
                <w:bCs/>
                <w:sz w:val="18"/>
                <w:szCs w:val="18"/>
              </w:rPr>
              <w:t xml:space="preserve"> Recreation</w:t>
            </w:r>
          </w:p>
        </w:tc>
        <w:tc>
          <w:tcPr>
            <w:tcW w:w="2103" w:type="pct"/>
            <w:hideMark/>
          </w:tcPr>
          <w:p w14:paraId="48965A85" w14:textId="77777777" w:rsidR="00F52390" w:rsidRPr="00871E7A" w:rsidRDefault="00F52390" w:rsidP="007007AC">
            <w:pPr>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092100, 092101, 092103, 092199</w:t>
            </w:r>
          </w:p>
        </w:tc>
      </w:tr>
      <w:tr w:rsidR="00F52390" w:rsidRPr="00871E7A" w14:paraId="1C91AE96" w14:textId="77777777" w:rsidTr="00F52390">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48" w:type="pct"/>
          </w:tcPr>
          <w:p w14:paraId="779D4889" w14:textId="77777777" w:rsidR="00F52390" w:rsidRPr="00871E7A" w:rsidRDefault="00F52390" w:rsidP="007007AC">
            <w:pPr>
              <w:rPr>
                <w:rStyle w:val="Body02BOLD"/>
                <w:b w:val="0"/>
                <w:bCs/>
                <w:sz w:val="18"/>
                <w:szCs w:val="18"/>
              </w:rPr>
            </w:pPr>
            <w:r w:rsidRPr="00871E7A">
              <w:rPr>
                <w:rStyle w:val="Body02BOLD"/>
                <w:b w:val="0"/>
                <w:bCs/>
                <w:sz w:val="18"/>
                <w:szCs w:val="18"/>
              </w:rPr>
              <w:t>21</w:t>
            </w:r>
          </w:p>
        </w:tc>
        <w:tc>
          <w:tcPr>
            <w:tcW w:w="680" w:type="pct"/>
          </w:tcPr>
          <w:p w14:paraId="67F4B9A3"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Tourism, Hospitality, Personal Services, Sport and recreation</w:t>
            </w:r>
          </w:p>
        </w:tc>
        <w:tc>
          <w:tcPr>
            <w:tcW w:w="771" w:type="pct"/>
            <w:hideMark/>
          </w:tcPr>
          <w:p w14:paraId="32828472"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45</w:t>
            </w:r>
          </w:p>
        </w:tc>
        <w:tc>
          <w:tcPr>
            <w:tcW w:w="797" w:type="pct"/>
            <w:hideMark/>
          </w:tcPr>
          <w:p w14:paraId="541FE846"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Tourism, Hospitality </w:t>
            </w:r>
            <w:r>
              <w:rPr>
                <w:rStyle w:val="Body02BOLD"/>
                <w:b w:val="0"/>
                <w:bCs/>
                <w:sz w:val="18"/>
                <w:szCs w:val="18"/>
              </w:rPr>
              <w:t>and</w:t>
            </w:r>
            <w:r w:rsidRPr="00871E7A">
              <w:rPr>
                <w:rStyle w:val="Body02BOLD"/>
                <w:b w:val="0"/>
                <w:bCs/>
                <w:sz w:val="18"/>
                <w:szCs w:val="18"/>
              </w:rPr>
              <w:t xml:space="preserve"> Personal Services</w:t>
            </w:r>
          </w:p>
        </w:tc>
        <w:tc>
          <w:tcPr>
            <w:tcW w:w="2103" w:type="pct"/>
            <w:hideMark/>
          </w:tcPr>
          <w:p w14:paraId="671E9D9E" w14:textId="77777777" w:rsidR="00F52390" w:rsidRPr="00871E7A" w:rsidRDefault="00F52390" w:rsidP="007007AC">
            <w:pPr>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080700, 080701, 110000, 110100, 110101, 110103, 110105, 110107, 110109, 110111, 110199, 110300, 110301, 110303, 110399, 120000, 120100, 120101, 120103, 120105, 120199, 120300, 120301, 120303, 120305, 120399, 120500, 120501, 120503, 120505, 120599, 129900, 129999</w:t>
            </w:r>
          </w:p>
        </w:tc>
      </w:tr>
    </w:tbl>
    <w:p w14:paraId="09DBEC8B" w14:textId="5CE7FCF7" w:rsidR="00F52390" w:rsidRDefault="00F52390" w:rsidP="00387C3F">
      <w:pPr>
        <w:pStyle w:val="Tabletitle"/>
      </w:pPr>
    </w:p>
    <w:p w14:paraId="4AE06CFA" w14:textId="77777777" w:rsidR="00F52390" w:rsidRDefault="00F52390">
      <w:pPr>
        <w:rPr>
          <w:rFonts w:ascii="ArialMT" w:eastAsiaTheme="minorEastAsia" w:hAnsi="ArialMT" w:cs="ArialMT"/>
          <w:b/>
          <w:color w:val="auto"/>
          <w:szCs w:val="20"/>
          <w:lang w:val="en-GB"/>
        </w:rPr>
      </w:pPr>
      <w:r>
        <w:br w:type="page"/>
      </w:r>
    </w:p>
    <w:p w14:paraId="7FE828A2" w14:textId="77777777" w:rsidR="00F52390" w:rsidRPr="00F52390" w:rsidRDefault="00F52390" w:rsidP="00F52390">
      <w:pPr>
        <w:pStyle w:val="Heading1"/>
        <w:numPr>
          <w:ilvl w:val="0"/>
          <w:numId w:val="0"/>
        </w:numPr>
        <w:ind w:left="851" w:hanging="851"/>
        <w:rPr>
          <w:color w:val="000000" w:themeColor="text1"/>
        </w:rPr>
      </w:pPr>
      <w:bookmarkStart w:id="268" w:name="_Toc116035567"/>
      <w:bookmarkStart w:id="269" w:name="_Toc116039922"/>
      <w:r w:rsidRPr="00F52390">
        <w:rPr>
          <w:color w:val="000000" w:themeColor="text1"/>
        </w:rPr>
        <w:lastRenderedPageBreak/>
        <w:t>Appendix 6 Additional tables and figures</w:t>
      </w:r>
      <w:bookmarkEnd w:id="268"/>
      <w:bookmarkEnd w:id="269"/>
    </w:p>
    <w:p w14:paraId="086BC76A" w14:textId="77777777" w:rsidR="00F52390" w:rsidRPr="00F52390" w:rsidRDefault="00F52390" w:rsidP="00F52390">
      <w:pPr>
        <w:pStyle w:val="Body"/>
      </w:pPr>
      <w:r w:rsidRPr="00F52390">
        <w:t>This report is accompanied by additional benchmarking tables and figures which may be used alongside this report and data visualisation to support institutional benchmarking and analysis.</w:t>
      </w:r>
    </w:p>
    <w:p w14:paraId="29CDEB07" w14:textId="77777777" w:rsidR="00F52390" w:rsidRPr="00F52390" w:rsidRDefault="00F52390" w:rsidP="00F52390">
      <w:pPr>
        <w:pStyle w:val="Body"/>
      </w:pPr>
      <w:r w:rsidRPr="00F52390">
        <w:t>Listed below are tables and figures related to specific concepts relevant to the GOS, as well as a listing of tables that can be used to explore additional themes related to the GOS.</w:t>
      </w:r>
    </w:p>
    <w:p w14:paraId="5BBE23E3" w14:textId="77777777" w:rsidR="00F52390" w:rsidRPr="00F52390" w:rsidRDefault="00F52390" w:rsidP="00F52390">
      <w:pPr>
        <w:pStyle w:val="Heading2"/>
        <w:numPr>
          <w:ilvl w:val="0"/>
          <w:numId w:val="0"/>
        </w:numPr>
        <w:ind w:left="851" w:hanging="851"/>
        <w:rPr>
          <w:color w:val="000000" w:themeColor="text1"/>
        </w:rPr>
      </w:pPr>
      <w:bookmarkStart w:id="270" w:name="_Hlk77852718"/>
      <w:bookmarkStart w:id="271" w:name="_Toc116035568"/>
      <w:bookmarkStart w:id="272" w:name="_Toc116039923"/>
      <w:r w:rsidRPr="00F52390">
        <w:rPr>
          <w:color w:val="000000" w:themeColor="text1"/>
        </w:rPr>
        <w:t xml:space="preserve">6.1 </w:t>
      </w:r>
      <w:bookmarkEnd w:id="270"/>
      <w:r w:rsidRPr="00F52390">
        <w:rPr>
          <w:color w:val="000000" w:themeColor="text1"/>
        </w:rPr>
        <w:t>GOS results</w:t>
      </w:r>
      <w:bookmarkEnd w:id="271"/>
      <w:bookmarkEnd w:id="272"/>
    </w:p>
    <w:p w14:paraId="2873AC15" w14:textId="77777777" w:rsidR="00F52390" w:rsidRPr="00F52390" w:rsidRDefault="00F52390" w:rsidP="00F52390">
      <w:pPr>
        <w:pStyle w:val="Heading3"/>
        <w:numPr>
          <w:ilvl w:val="0"/>
          <w:numId w:val="0"/>
        </w:numPr>
        <w:ind w:left="851" w:hanging="851"/>
        <w:rPr>
          <w:color w:val="000000" w:themeColor="text1"/>
        </w:rPr>
      </w:pPr>
      <w:bookmarkStart w:id="273" w:name="_Toc116035569"/>
      <w:bookmarkStart w:id="274" w:name="_Toc116039924"/>
      <w:r w:rsidRPr="00F52390">
        <w:rPr>
          <w:color w:val="000000" w:themeColor="text1"/>
        </w:rPr>
        <w:t>6.1.1 Labour force outcomes</w:t>
      </w:r>
      <w:bookmarkEnd w:id="273"/>
      <w:bookmarkEnd w:id="274"/>
    </w:p>
    <w:p w14:paraId="789D7BB1" w14:textId="77777777" w:rsidR="00F52390" w:rsidRPr="00CF3E3D" w:rsidRDefault="00F52390" w:rsidP="00F52390">
      <w:pPr>
        <w:pStyle w:val="Body"/>
      </w:pPr>
      <w:r w:rsidRPr="00CF3E3D">
        <w:t xml:space="preserve">This group of tables and figures includes labour force outcomes, including full-time and overall employment rates, labour force participation rate and median salary for graduates. Labour force outcomes can be viewed at the course level, by provider type, institution, gender, and study area. </w:t>
      </w:r>
    </w:p>
    <w:p w14:paraId="4C9F1BE1" w14:textId="461E7375" w:rsidR="00F52390" w:rsidRPr="00F52390" w:rsidRDefault="00F52390" w:rsidP="00F52390">
      <w:pPr>
        <w:pStyle w:val="Caption"/>
        <w:rPr>
          <w:color w:val="000000" w:themeColor="text1"/>
        </w:rPr>
      </w:pPr>
      <w:bookmarkStart w:id="275" w:name="_Toc116035826"/>
      <w:bookmarkStart w:id="276" w:name="_Toc116040381"/>
      <w:r w:rsidRPr="00F52390">
        <w:rPr>
          <w:color w:val="000000" w:themeColor="text1"/>
        </w:rPr>
        <w:t xml:space="preserve">Table </w:t>
      </w:r>
      <w:r w:rsidRPr="00F52390">
        <w:rPr>
          <w:color w:val="000000" w:themeColor="text1"/>
        </w:rPr>
        <w:fldChar w:fldCharType="begin"/>
      </w:r>
      <w:r w:rsidRPr="00F52390">
        <w:rPr>
          <w:color w:val="000000" w:themeColor="text1"/>
        </w:rPr>
        <w:instrText xml:space="preserve"> SEQ Table \* ARABIC </w:instrText>
      </w:r>
      <w:r w:rsidRPr="00F52390">
        <w:rPr>
          <w:color w:val="000000" w:themeColor="text1"/>
        </w:rPr>
        <w:fldChar w:fldCharType="separate"/>
      </w:r>
      <w:r>
        <w:rPr>
          <w:noProof/>
          <w:color w:val="000000" w:themeColor="text1"/>
        </w:rPr>
        <w:t>32</w:t>
      </w:r>
      <w:r w:rsidRPr="00F52390">
        <w:rPr>
          <w:color w:val="000000" w:themeColor="text1"/>
        </w:rPr>
        <w:fldChar w:fldCharType="end"/>
      </w:r>
      <w:r w:rsidRPr="00F52390">
        <w:rPr>
          <w:color w:val="000000" w:themeColor="text1"/>
        </w:rPr>
        <w:t xml:space="preserve"> Tables and figures associated with labour force outcomes</w:t>
      </w:r>
      <w:bookmarkEnd w:id="275"/>
      <w:bookmarkEnd w:id="276"/>
    </w:p>
    <w:tbl>
      <w:tblPr>
        <w:tblStyle w:val="SRC1"/>
        <w:tblW w:w="0" w:type="auto"/>
        <w:tblLook w:val="04A0" w:firstRow="1" w:lastRow="0" w:firstColumn="1" w:lastColumn="0" w:noHBand="0" w:noVBand="1"/>
      </w:tblPr>
      <w:tblGrid>
        <w:gridCol w:w="1980"/>
        <w:gridCol w:w="3402"/>
        <w:gridCol w:w="3634"/>
      </w:tblGrid>
      <w:tr w:rsidR="00F52390" w:rsidRPr="00CF3E3D" w14:paraId="6DE27C05"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0EFD53D8" w14:textId="77777777" w:rsidR="00F52390" w:rsidRPr="00F52390" w:rsidRDefault="00F52390" w:rsidP="007007AC">
            <w:pPr>
              <w:spacing w:before="0"/>
              <w:rPr>
                <w:b w:val="0"/>
                <w:bCs/>
                <w:color w:val="FFFFFF" w:themeColor="background1"/>
                <w:sz w:val="18"/>
                <w:szCs w:val="18"/>
              </w:rPr>
            </w:pPr>
            <w:bookmarkStart w:id="277" w:name="Title32"/>
            <w:bookmarkEnd w:id="277"/>
            <w:r w:rsidRPr="00F52390">
              <w:rPr>
                <w:bCs/>
                <w:color w:val="FFFFFF" w:themeColor="background1"/>
                <w:sz w:val="18"/>
                <w:szCs w:val="18"/>
              </w:rPr>
              <w:t>Report table</w:t>
            </w:r>
          </w:p>
        </w:tc>
        <w:tc>
          <w:tcPr>
            <w:tcW w:w="3402" w:type="dxa"/>
          </w:tcPr>
          <w:p w14:paraId="2786356D"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Sheet name</w:t>
            </w:r>
          </w:p>
        </w:tc>
        <w:tc>
          <w:tcPr>
            <w:tcW w:w="3634" w:type="dxa"/>
          </w:tcPr>
          <w:p w14:paraId="62BC53AA"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Table title</w:t>
            </w:r>
          </w:p>
        </w:tc>
      </w:tr>
      <w:tr w:rsidR="00F52390" w:rsidRPr="00CF3E3D" w14:paraId="59645A82"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24BCAECC" w14:textId="77777777" w:rsidR="00F52390" w:rsidRPr="00CF3E3D" w:rsidRDefault="00F52390" w:rsidP="007007AC">
            <w:pPr>
              <w:spacing w:before="0"/>
              <w:rPr>
                <w:sz w:val="18"/>
                <w:szCs w:val="18"/>
              </w:rPr>
            </w:pPr>
            <w:r w:rsidRPr="00CF3E3D">
              <w:rPr>
                <w:sz w:val="18"/>
                <w:szCs w:val="18"/>
              </w:rPr>
              <w:t>Table 02/Table 03</w:t>
            </w:r>
          </w:p>
        </w:tc>
        <w:tc>
          <w:tcPr>
            <w:tcW w:w="3402" w:type="dxa"/>
          </w:tcPr>
          <w:p w14:paraId="758A9FFF"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OVERALL_ALL_ALL_2Y</w:t>
            </w:r>
          </w:p>
        </w:tc>
        <w:tc>
          <w:tcPr>
            <w:tcW w:w="3634" w:type="dxa"/>
          </w:tcPr>
          <w:p w14:paraId="6228FC4F"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Graduate employment and study outcomes, by study level, 2021 and 2022</w:t>
            </w:r>
          </w:p>
        </w:tc>
      </w:tr>
      <w:tr w:rsidR="00F52390" w:rsidRPr="00CF3E3D" w14:paraId="1118A4D6"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9F11812" w14:textId="77777777" w:rsidR="00F52390" w:rsidRPr="00CF3E3D" w:rsidRDefault="00F52390" w:rsidP="007007AC">
            <w:pPr>
              <w:spacing w:before="0"/>
              <w:rPr>
                <w:sz w:val="18"/>
                <w:szCs w:val="18"/>
              </w:rPr>
            </w:pPr>
            <w:r w:rsidRPr="00CF3E3D">
              <w:rPr>
                <w:sz w:val="18"/>
                <w:szCs w:val="18"/>
              </w:rPr>
              <w:t>Table 07</w:t>
            </w:r>
          </w:p>
        </w:tc>
        <w:tc>
          <w:tcPr>
            <w:tcW w:w="3402" w:type="dxa"/>
          </w:tcPr>
          <w:p w14:paraId="31356B7E"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EMP_UG_ALL_2Y_AREA</w:t>
            </w:r>
          </w:p>
        </w:tc>
        <w:tc>
          <w:tcPr>
            <w:tcW w:w="3634" w:type="dxa"/>
          </w:tcPr>
          <w:p w14:paraId="69698B7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employment outcomes by study area, 2021 and 2022 (%)</w:t>
            </w:r>
          </w:p>
        </w:tc>
      </w:tr>
      <w:tr w:rsidR="00F52390" w:rsidRPr="00CF3E3D" w14:paraId="54B658FE"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9784D3A" w14:textId="1B51B359" w:rsidR="00F52390" w:rsidRPr="00CF3E3D" w:rsidRDefault="00771F1F" w:rsidP="007007AC">
            <w:pPr>
              <w:spacing w:before="0"/>
              <w:rPr>
                <w:sz w:val="18"/>
                <w:szCs w:val="18"/>
              </w:rPr>
            </w:pPr>
            <w:r>
              <w:rPr>
                <w:sz w:val="18"/>
                <w:szCs w:val="18"/>
              </w:rPr>
              <w:t>-</w:t>
            </w:r>
          </w:p>
        </w:tc>
        <w:tc>
          <w:tcPr>
            <w:tcW w:w="3402" w:type="dxa"/>
          </w:tcPr>
          <w:p w14:paraId="17379FB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EMP_PGC_ALL_2Y_AREA</w:t>
            </w:r>
          </w:p>
        </w:tc>
        <w:tc>
          <w:tcPr>
            <w:tcW w:w="3634" w:type="dxa"/>
          </w:tcPr>
          <w:p w14:paraId="4BF6C37C"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coursework employment outcomes by study area, 2021 and 2022 (%)</w:t>
            </w:r>
          </w:p>
        </w:tc>
      </w:tr>
      <w:tr w:rsidR="00F52390" w:rsidRPr="00CF3E3D" w14:paraId="2F58391E"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280E628" w14:textId="285A299C" w:rsidR="00F52390" w:rsidRPr="00CF3E3D" w:rsidRDefault="00771F1F" w:rsidP="007007AC">
            <w:pPr>
              <w:spacing w:before="0"/>
              <w:rPr>
                <w:sz w:val="18"/>
                <w:szCs w:val="18"/>
              </w:rPr>
            </w:pPr>
            <w:r>
              <w:rPr>
                <w:sz w:val="18"/>
                <w:szCs w:val="18"/>
              </w:rPr>
              <w:t>-</w:t>
            </w:r>
          </w:p>
        </w:tc>
        <w:tc>
          <w:tcPr>
            <w:tcW w:w="3402" w:type="dxa"/>
          </w:tcPr>
          <w:p w14:paraId="560A7D39"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EMP_PGR_ALL_2Y_AREA</w:t>
            </w:r>
          </w:p>
        </w:tc>
        <w:tc>
          <w:tcPr>
            <w:tcW w:w="3634" w:type="dxa"/>
          </w:tcPr>
          <w:p w14:paraId="6B72D4B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research employment outcomes by study area, 2021 and 2022 (%)</w:t>
            </w:r>
          </w:p>
        </w:tc>
      </w:tr>
      <w:tr w:rsidR="00F52390" w:rsidRPr="00CF3E3D" w14:paraId="13B0C70A"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6940172" w14:textId="25FB1C11" w:rsidR="00F52390" w:rsidRPr="00CF3E3D" w:rsidRDefault="00771F1F" w:rsidP="007007AC">
            <w:pPr>
              <w:spacing w:before="0"/>
              <w:rPr>
                <w:sz w:val="18"/>
                <w:szCs w:val="18"/>
              </w:rPr>
            </w:pPr>
            <w:r>
              <w:rPr>
                <w:sz w:val="18"/>
                <w:szCs w:val="18"/>
              </w:rPr>
              <w:t>-</w:t>
            </w:r>
          </w:p>
        </w:tc>
        <w:tc>
          <w:tcPr>
            <w:tcW w:w="3402" w:type="dxa"/>
          </w:tcPr>
          <w:p w14:paraId="5708728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EMP_UG_ALL_2Y</w:t>
            </w:r>
          </w:p>
        </w:tc>
        <w:tc>
          <w:tcPr>
            <w:tcW w:w="3634" w:type="dxa"/>
          </w:tcPr>
          <w:p w14:paraId="7A1F0932"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employment outcomes, 2021 and 2022 (%)</w:t>
            </w:r>
          </w:p>
        </w:tc>
      </w:tr>
      <w:tr w:rsidR="00F52390" w:rsidRPr="00CF3E3D" w14:paraId="01CD9944"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FD0987B" w14:textId="2D707C36" w:rsidR="00F52390" w:rsidRPr="00CF3E3D" w:rsidRDefault="00771F1F" w:rsidP="007007AC">
            <w:pPr>
              <w:spacing w:before="0"/>
              <w:rPr>
                <w:sz w:val="18"/>
                <w:szCs w:val="18"/>
              </w:rPr>
            </w:pPr>
            <w:r>
              <w:rPr>
                <w:sz w:val="18"/>
                <w:szCs w:val="18"/>
              </w:rPr>
              <w:t>-</w:t>
            </w:r>
          </w:p>
        </w:tc>
        <w:tc>
          <w:tcPr>
            <w:tcW w:w="3402" w:type="dxa"/>
          </w:tcPr>
          <w:p w14:paraId="00769C53"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EMP_PG_ALL_2Y</w:t>
            </w:r>
          </w:p>
        </w:tc>
        <w:tc>
          <w:tcPr>
            <w:tcW w:w="3634" w:type="dxa"/>
          </w:tcPr>
          <w:p w14:paraId="6157D685"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employment outcomes, 2021 and 2022 (%)</w:t>
            </w:r>
          </w:p>
        </w:tc>
      </w:tr>
      <w:tr w:rsidR="00F52390" w:rsidRPr="00CF3E3D" w14:paraId="795DDBC4"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77D88B0" w14:textId="77777777" w:rsidR="00F52390" w:rsidRPr="00CF3E3D" w:rsidRDefault="00F52390" w:rsidP="007007AC">
            <w:pPr>
              <w:spacing w:before="0"/>
              <w:rPr>
                <w:sz w:val="18"/>
                <w:szCs w:val="18"/>
              </w:rPr>
            </w:pPr>
            <w:r w:rsidRPr="00CF3E3D">
              <w:rPr>
                <w:sz w:val="18"/>
                <w:szCs w:val="18"/>
              </w:rPr>
              <w:t>Table 06</w:t>
            </w:r>
          </w:p>
        </w:tc>
        <w:tc>
          <w:tcPr>
            <w:tcW w:w="3402" w:type="dxa"/>
          </w:tcPr>
          <w:p w14:paraId="35F1B09E"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EMP_UG_ALL_2Y_DG</w:t>
            </w:r>
          </w:p>
        </w:tc>
        <w:tc>
          <w:tcPr>
            <w:tcW w:w="3634" w:type="dxa"/>
          </w:tcPr>
          <w:p w14:paraId="14115E5D"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employment outcomes by demographic group, 2021 and 2022 (%)</w:t>
            </w:r>
          </w:p>
        </w:tc>
      </w:tr>
      <w:tr w:rsidR="00F52390" w:rsidRPr="00CF3E3D" w14:paraId="5735C96E"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20C4E112" w14:textId="4F59FAC2" w:rsidR="00F52390" w:rsidRPr="00CF3E3D" w:rsidRDefault="00771F1F" w:rsidP="007007AC">
            <w:pPr>
              <w:spacing w:before="0"/>
              <w:rPr>
                <w:sz w:val="18"/>
                <w:szCs w:val="18"/>
              </w:rPr>
            </w:pPr>
            <w:r>
              <w:rPr>
                <w:sz w:val="18"/>
                <w:szCs w:val="18"/>
              </w:rPr>
              <w:t>-</w:t>
            </w:r>
          </w:p>
        </w:tc>
        <w:tc>
          <w:tcPr>
            <w:tcW w:w="3402" w:type="dxa"/>
          </w:tcPr>
          <w:p w14:paraId="3BFB348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EMP_PGC_ALL_2Y_DG</w:t>
            </w:r>
          </w:p>
        </w:tc>
        <w:tc>
          <w:tcPr>
            <w:tcW w:w="3634" w:type="dxa"/>
          </w:tcPr>
          <w:p w14:paraId="2F1BC3D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coursework employment outcomes by demographic group, 2021 and 2022 (%)</w:t>
            </w:r>
          </w:p>
        </w:tc>
      </w:tr>
      <w:tr w:rsidR="00F52390" w:rsidRPr="00CF3E3D" w14:paraId="75D857C7"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57D5A20" w14:textId="49F5C7D5" w:rsidR="00F52390" w:rsidRPr="00CF3E3D" w:rsidRDefault="00771F1F" w:rsidP="007007AC">
            <w:pPr>
              <w:spacing w:before="0"/>
              <w:rPr>
                <w:sz w:val="18"/>
                <w:szCs w:val="18"/>
              </w:rPr>
            </w:pPr>
            <w:r>
              <w:rPr>
                <w:sz w:val="18"/>
                <w:szCs w:val="18"/>
              </w:rPr>
              <w:t>-</w:t>
            </w:r>
          </w:p>
        </w:tc>
        <w:tc>
          <w:tcPr>
            <w:tcW w:w="3402" w:type="dxa"/>
          </w:tcPr>
          <w:p w14:paraId="74F75D4E"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EMP_PGR_ALL_2Y_DG</w:t>
            </w:r>
          </w:p>
        </w:tc>
        <w:tc>
          <w:tcPr>
            <w:tcW w:w="3634" w:type="dxa"/>
          </w:tcPr>
          <w:p w14:paraId="50C377D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research employment outcomes by demographic group, 2021 and 2022 (%)</w:t>
            </w:r>
          </w:p>
        </w:tc>
      </w:tr>
      <w:tr w:rsidR="00F52390" w:rsidRPr="00CF3E3D" w14:paraId="30BDA2D9"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7AC58BE" w14:textId="75000AAC" w:rsidR="00F52390" w:rsidRPr="00CF3E3D" w:rsidRDefault="00771F1F" w:rsidP="007007AC">
            <w:pPr>
              <w:spacing w:before="0"/>
              <w:rPr>
                <w:sz w:val="18"/>
                <w:szCs w:val="18"/>
              </w:rPr>
            </w:pPr>
            <w:r>
              <w:rPr>
                <w:sz w:val="18"/>
                <w:szCs w:val="18"/>
              </w:rPr>
              <w:t>-</w:t>
            </w:r>
          </w:p>
        </w:tc>
        <w:tc>
          <w:tcPr>
            <w:tcW w:w="3402" w:type="dxa"/>
          </w:tcPr>
          <w:p w14:paraId="79D536C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EMP_UG_ALL_1Y_FURSTUD</w:t>
            </w:r>
          </w:p>
        </w:tc>
        <w:tc>
          <w:tcPr>
            <w:tcW w:w="3634" w:type="dxa"/>
          </w:tcPr>
          <w:p w14:paraId="03A3749F"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Labour market outcomes of undergraduate graduates, by full-time study status, 2022</w:t>
            </w:r>
          </w:p>
        </w:tc>
      </w:tr>
      <w:tr w:rsidR="00F52390" w:rsidRPr="00CF3E3D" w14:paraId="12D74D0B"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61D2350" w14:textId="1DA64F97" w:rsidR="00F52390" w:rsidRPr="00CF3E3D" w:rsidRDefault="00771F1F" w:rsidP="007007AC">
            <w:pPr>
              <w:spacing w:before="0"/>
              <w:rPr>
                <w:sz w:val="18"/>
                <w:szCs w:val="18"/>
              </w:rPr>
            </w:pPr>
            <w:r>
              <w:rPr>
                <w:sz w:val="18"/>
                <w:szCs w:val="18"/>
              </w:rPr>
              <w:t>-</w:t>
            </w:r>
          </w:p>
        </w:tc>
        <w:tc>
          <w:tcPr>
            <w:tcW w:w="3402" w:type="dxa"/>
          </w:tcPr>
          <w:p w14:paraId="56E0B50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EMP_PG_ALL_1Y_FURSTUD</w:t>
            </w:r>
          </w:p>
        </w:tc>
        <w:tc>
          <w:tcPr>
            <w:tcW w:w="3634" w:type="dxa"/>
          </w:tcPr>
          <w:p w14:paraId="058D252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Labour market outcomes of postgraduate graduates, by full-time study status, 2022</w:t>
            </w:r>
          </w:p>
        </w:tc>
      </w:tr>
      <w:tr w:rsidR="00F52390" w:rsidRPr="00CF3E3D" w14:paraId="28C5A757"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8B36CD8" w14:textId="104804F0" w:rsidR="00F52390" w:rsidRPr="00CF3E3D" w:rsidRDefault="00771F1F" w:rsidP="007007AC">
            <w:pPr>
              <w:spacing w:before="0"/>
              <w:rPr>
                <w:sz w:val="18"/>
                <w:szCs w:val="18"/>
              </w:rPr>
            </w:pPr>
            <w:r>
              <w:rPr>
                <w:sz w:val="18"/>
                <w:szCs w:val="18"/>
              </w:rPr>
              <w:t>-</w:t>
            </w:r>
          </w:p>
        </w:tc>
        <w:tc>
          <w:tcPr>
            <w:tcW w:w="3402" w:type="dxa"/>
          </w:tcPr>
          <w:p w14:paraId="4663901B"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EMP_UG_ALL_2Y_AREA45</w:t>
            </w:r>
          </w:p>
        </w:tc>
        <w:tc>
          <w:tcPr>
            <w:tcW w:w="3634" w:type="dxa"/>
          </w:tcPr>
          <w:p w14:paraId="749C3C63"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employment outcomes by 45 study areas, 2021 and 2022 (%)</w:t>
            </w:r>
          </w:p>
        </w:tc>
      </w:tr>
      <w:tr w:rsidR="00F52390" w:rsidRPr="00CF3E3D" w14:paraId="1A270D44"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1B1745F" w14:textId="35F21DB1" w:rsidR="00F52390" w:rsidRPr="00CF3E3D" w:rsidRDefault="00771F1F" w:rsidP="007007AC">
            <w:pPr>
              <w:spacing w:before="0"/>
              <w:rPr>
                <w:sz w:val="18"/>
                <w:szCs w:val="18"/>
              </w:rPr>
            </w:pPr>
            <w:r>
              <w:rPr>
                <w:sz w:val="18"/>
                <w:szCs w:val="18"/>
              </w:rPr>
              <w:t>-</w:t>
            </w:r>
          </w:p>
        </w:tc>
        <w:tc>
          <w:tcPr>
            <w:tcW w:w="3402" w:type="dxa"/>
          </w:tcPr>
          <w:p w14:paraId="4FCA2A1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EMP_PGC_ALL_2Y_AREA45</w:t>
            </w:r>
          </w:p>
        </w:tc>
        <w:tc>
          <w:tcPr>
            <w:tcW w:w="3634" w:type="dxa"/>
          </w:tcPr>
          <w:p w14:paraId="19BD9C6F"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coursework employment outcomes by 45 study areas, 2021 and 2022 (%)</w:t>
            </w:r>
          </w:p>
        </w:tc>
      </w:tr>
      <w:tr w:rsidR="00F52390" w:rsidRPr="00CF3E3D" w14:paraId="7A26F997"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734B35B" w14:textId="2469D31D" w:rsidR="00F52390" w:rsidRPr="00CF3E3D" w:rsidRDefault="00771F1F" w:rsidP="007007AC">
            <w:pPr>
              <w:spacing w:before="0"/>
              <w:rPr>
                <w:sz w:val="18"/>
                <w:szCs w:val="18"/>
              </w:rPr>
            </w:pPr>
            <w:r>
              <w:rPr>
                <w:sz w:val="18"/>
                <w:szCs w:val="18"/>
              </w:rPr>
              <w:t>-</w:t>
            </w:r>
          </w:p>
        </w:tc>
        <w:tc>
          <w:tcPr>
            <w:tcW w:w="3402" w:type="dxa"/>
          </w:tcPr>
          <w:p w14:paraId="6BD1991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EMP_PGR_ALL_2Y_AREA45</w:t>
            </w:r>
          </w:p>
        </w:tc>
        <w:tc>
          <w:tcPr>
            <w:tcW w:w="3634" w:type="dxa"/>
          </w:tcPr>
          <w:p w14:paraId="62EB5BA0"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research employment outcomes by 45 study areas, 2021 and 2022 (%)</w:t>
            </w:r>
          </w:p>
        </w:tc>
      </w:tr>
      <w:tr w:rsidR="00F52390" w:rsidRPr="00CF3E3D" w14:paraId="53830CC9"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4420859" w14:textId="0AD4C1C6" w:rsidR="00F52390" w:rsidRPr="00CF3E3D" w:rsidRDefault="00771F1F" w:rsidP="007007AC">
            <w:pPr>
              <w:spacing w:before="0"/>
              <w:rPr>
                <w:sz w:val="18"/>
                <w:szCs w:val="18"/>
              </w:rPr>
            </w:pPr>
            <w:r>
              <w:rPr>
                <w:sz w:val="18"/>
                <w:szCs w:val="18"/>
              </w:rPr>
              <w:lastRenderedPageBreak/>
              <w:t>-</w:t>
            </w:r>
          </w:p>
        </w:tc>
        <w:tc>
          <w:tcPr>
            <w:tcW w:w="3402" w:type="dxa"/>
          </w:tcPr>
          <w:p w14:paraId="344706C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EMP_UG_UNI_2Y_AREA</w:t>
            </w:r>
          </w:p>
        </w:tc>
        <w:tc>
          <w:tcPr>
            <w:tcW w:w="3634" w:type="dxa"/>
          </w:tcPr>
          <w:p w14:paraId="23DC3FA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employment outcomes by study area, universities only, 2021 and 2022 (%)</w:t>
            </w:r>
          </w:p>
        </w:tc>
      </w:tr>
      <w:tr w:rsidR="00F52390" w:rsidRPr="00CF3E3D" w14:paraId="1E7600B6"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58E656A" w14:textId="1F1A9249" w:rsidR="00F52390" w:rsidRPr="00CF3E3D" w:rsidRDefault="00771F1F" w:rsidP="007007AC">
            <w:pPr>
              <w:spacing w:before="0"/>
              <w:rPr>
                <w:sz w:val="18"/>
                <w:szCs w:val="18"/>
              </w:rPr>
            </w:pPr>
            <w:r>
              <w:rPr>
                <w:sz w:val="18"/>
                <w:szCs w:val="18"/>
              </w:rPr>
              <w:t>-</w:t>
            </w:r>
          </w:p>
        </w:tc>
        <w:tc>
          <w:tcPr>
            <w:tcW w:w="3402" w:type="dxa"/>
          </w:tcPr>
          <w:p w14:paraId="22D59104"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EMP_UG_NUHEI_2Y_AREA</w:t>
            </w:r>
          </w:p>
        </w:tc>
        <w:tc>
          <w:tcPr>
            <w:tcW w:w="3634" w:type="dxa"/>
          </w:tcPr>
          <w:p w14:paraId="76290371"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employment outcomes by study area, NUHEIs only, 2021 and 2022 (%)</w:t>
            </w:r>
          </w:p>
        </w:tc>
      </w:tr>
      <w:tr w:rsidR="00F52390" w:rsidRPr="00CF3E3D" w14:paraId="14A19FBD"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00606EE" w14:textId="596ACDB0" w:rsidR="00F52390" w:rsidRPr="00CF3E3D" w:rsidRDefault="00771F1F" w:rsidP="007007AC">
            <w:pPr>
              <w:spacing w:before="0"/>
              <w:rPr>
                <w:sz w:val="18"/>
                <w:szCs w:val="18"/>
              </w:rPr>
            </w:pPr>
            <w:r>
              <w:rPr>
                <w:sz w:val="18"/>
                <w:szCs w:val="18"/>
              </w:rPr>
              <w:t>-</w:t>
            </w:r>
          </w:p>
        </w:tc>
        <w:tc>
          <w:tcPr>
            <w:tcW w:w="3402" w:type="dxa"/>
          </w:tcPr>
          <w:p w14:paraId="7244B6DE"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EMP_UG_UNI_2Y_DG</w:t>
            </w:r>
          </w:p>
        </w:tc>
        <w:tc>
          <w:tcPr>
            <w:tcW w:w="3634" w:type="dxa"/>
          </w:tcPr>
          <w:p w14:paraId="51285DC1"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employment outcomes by demographic group, universities only, 2021 and 2022 (%)</w:t>
            </w:r>
          </w:p>
        </w:tc>
      </w:tr>
      <w:tr w:rsidR="00F52390" w:rsidRPr="00CF3E3D" w14:paraId="7DFAA28D"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779DB59" w14:textId="7161CA9A" w:rsidR="00F52390" w:rsidRPr="00CF3E3D" w:rsidRDefault="00771F1F" w:rsidP="007007AC">
            <w:pPr>
              <w:spacing w:before="0"/>
              <w:rPr>
                <w:sz w:val="18"/>
                <w:szCs w:val="18"/>
              </w:rPr>
            </w:pPr>
            <w:r>
              <w:rPr>
                <w:sz w:val="18"/>
                <w:szCs w:val="18"/>
              </w:rPr>
              <w:t>-</w:t>
            </w:r>
          </w:p>
        </w:tc>
        <w:tc>
          <w:tcPr>
            <w:tcW w:w="3402" w:type="dxa"/>
          </w:tcPr>
          <w:p w14:paraId="38E095F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EMP_UG_NUHEI_2Y_DG</w:t>
            </w:r>
          </w:p>
        </w:tc>
        <w:tc>
          <w:tcPr>
            <w:tcW w:w="3634" w:type="dxa"/>
          </w:tcPr>
          <w:p w14:paraId="1AE5D3C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employment outcomes by demographic group, NUHEIs only, 2021 and 2022 (%)</w:t>
            </w:r>
          </w:p>
        </w:tc>
      </w:tr>
      <w:tr w:rsidR="00F52390" w:rsidRPr="00CF3E3D" w14:paraId="24ED7260"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33B07F1" w14:textId="77777777" w:rsidR="00F52390" w:rsidRPr="00CF3E3D" w:rsidRDefault="00F52390" w:rsidP="007007AC">
            <w:pPr>
              <w:spacing w:before="0"/>
              <w:rPr>
                <w:sz w:val="18"/>
                <w:szCs w:val="18"/>
              </w:rPr>
            </w:pPr>
            <w:r w:rsidRPr="00CF3E3D">
              <w:rPr>
                <w:sz w:val="18"/>
                <w:szCs w:val="18"/>
              </w:rPr>
              <w:t>Table 01/Figure 01</w:t>
            </w:r>
          </w:p>
        </w:tc>
        <w:tc>
          <w:tcPr>
            <w:tcW w:w="3402" w:type="dxa"/>
          </w:tcPr>
          <w:p w14:paraId="5AAC60D2"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EMP_UG_ALL_3Y_PERIOD</w:t>
            </w:r>
          </w:p>
        </w:tc>
        <w:tc>
          <w:tcPr>
            <w:tcW w:w="3634" w:type="dxa"/>
          </w:tcPr>
          <w:p w14:paraId="220B41F1"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employment rates by survey round, 2020-2022 (%)</w:t>
            </w:r>
          </w:p>
        </w:tc>
      </w:tr>
      <w:tr w:rsidR="00F52390" w:rsidRPr="00CF3E3D" w14:paraId="3A40BED1"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4498CB7" w14:textId="4FA664D7" w:rsidR="00F52390" w:rsidRPr="00CF3E3D" w:rsidRDefault="00771F1F" w:rsidP="007007AC">
            <w:pPr>
              <w:spacing w:before="0"/>
              <w:rPr>
                <w:sz w:val="18"/>
                <w:szCs w:val="18"/>
              </w:rPr>
            </w:pPr>
            <w:r>
              <w:rPr>
                <w:sz w:val="18"/>
                <w:szCs w:val="18"/>
              </w:rPr>
              <w:t>-</w:t>
            </w:r>
          </w:p>
        </w:tc>
        <w:tc>
          <w:tcPr>
            <w:tcW w:w="3402" w:type="dxa"/>
          </w:tcPr>
          <w:p w14:paraId="54A8190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EMP_PGC_ALL_3Y_PERIOD</w:t>
            </w:r>
          </w:p>
        </w:tc>
        <w:tc>
          <w:tcPr>
            <w:tcW w:w="3634" w:type="dxa"/>
          </w:tcPr>
          <w:p w14:paraId="4FD5057F"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coursework employment rates by survey round, 2020-2022 (%)</w:t>
            </w:r>
          </w:p>
        </w:tc>
      </w:tr>
      <w:tr w:rsidR="00F52390" w:rsidRPr="00CF3E3D" w14:paraId="1AADEF1A"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0E51E0F" w14:textId="3D775F5A" w:rsidR="00F52390" w:rsidRPr="00CF3E3D" w:rsidRDefault="00771F1F" w:rsidP="007007AC">
            <w:pPr>
              <w:spacing w:before="0"/>
              <w:rPr>
                <w:sz w:val="18"/>
                <w:szCs w:val="18"/>
              </w:rPr>
            </w:pPr>
            <w:r>
              <w:rPr>
                <w:sz w:val="18"/>
                <w:szCs w:val="18"/>
              </w:rPr>
              <w:t>-</w:t>
            </w:r>
          </w:p>
        </w:tc>
        <w:tc>
          <w:tcPr>
            <w:tcW w:w="3402" w:type="dxa"/>
          </w:tcPr>
          <w:p w14:paraId="50BEFFE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EMP_PGR_ALL_3Y_PERIOD</w:t>
            </w:r>
          </w:p>
        </w:tc>
        <w:tc>
          <w:tcPr>
            <w:tcW w:w="3634" w:type="dxa"/>
          </w:tcPr>
          <w:p w14:paraId="4A6B8A8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research employment rates by survey round, 2020-2022 (%)</w:t>
            </w:r>
          </w:p>
        </w:tc>
      </w:tr>
      <w:tr w:rsidR="00F52390" w:rsidRPr="00CF3E3D" w14:paraId="2FFE17B6"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DBA89AC" w14:textId="77777777" w:rsidR="00F52390" w:rsidRPr="00CF3E3D" w:rsidRDefault="00F52390" w:rsidP="007007AC">
            <w:pPr>
              <w:spacing w:before="0"/>
              <w:rPr>
                <w:sz w:val="18"/>
                <w:szCs w:val="18"/>
              </w:rPr>
            </w:pPr>
            <w:r w:rsidRPr="00CF3E3D">
              <w:rPr>
                <w:sz w:val="18"/>
                <w:szCs w:val="18"/>
              </w:rPr>
              <w:t>Table 04/Table 08</w:t>
            </w:r>
          </w:p>
        </w:tc>
        <w:tc>
          <w:tcPr>
            <w:tcW w:w="3402" w:type="dxa"/>
          </w:tcPr>
          <w:p w14:paraId="18403B11"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SAL_UG_ALL_2Y_AREA_SEX</w:t>
            </w:r>
          </w:p>
        </w:tc>
        <w:tc>
          <w:tcPr>
            <w:tcW w:w="3634" w:type="dxa"/>
          </w:tcPr>
          <w:p w14:paraId="7326BBC3"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median full-time salaries by study area and gender, 2021 and 2022 ($)</w:t>
            </w:r>
          </w:p>
        </w:tc>
      </w:tr>
      <w:tr w:rsidR="00F52390" w:rsidRPr="00CF3E3D" w14:paraId="7E245670"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1E05BF0" w14:textId="77777777" w:rsidR="00F52390" w:rsidRPr="00CF3E3D" w:rsidRDefault="00F52390" w:rsidP="007007AC">
            <w:pPr>
              <w:spacing w:before="0"/>
              <w:rPr>
                <w:sz w:val="18"/>
                <w:szCs w:val="18"/>
              </w:rPr>
            </w:pPr>
            <w:r w:rsidRPr="00CF3E3D">
              <w:rPr>
                <w:sz w:val="18"/>
                <w:szCs w:val="18"/>
              </w:rPr>
              <w:t>Table 04</w:t>
            </w:r>
          </w:p>
        </w:tc>
        <w:tc>
          <w:tcPr>
            <w:tcW w:w="3402" w:type="dxa"/>
          </w:tcPr>
          <w:p w14:paraId="5733D03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SAL_PGC_ALL_2Y_AREA_SEX</w:t>
            </w:r>
          </w:p>
        </w:tc>
        <w:tc>
          <w:tcPr>
            <w:tcW w:w="3634" w:type="dxa"/>
          </w:tcPr>
          <w:p w14:paraId="79C7B98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coursework median full-time salaries by study area and gender, 2021 and 2022 ($)</w:t>
            </w:r>
          </w:p>
        </w:tc>
      </w:tr>
      <w:tr w:rsidR="00F52390" w:rsidRPr="00CF3E3D" w14:paraId="505142A2"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314F91A" w14:textId="77777777" w:rsidR="00F52390" w:rsidRPr="00CF3E3D" w:rsidRDefault="00F52390" w:rsidP="007007AC">
            <w:pPr>
              <w:spacing w:before="0"/>
              <w:rPr>
                <w:sz w:val="18"/>
                <w:szCs w:val="18"/>
              </w:rPr>
            </w:pPr>
            <w:r w:rsidRPr="00CF3E3D">
              <w:rPr>
                <w:sz w:val="18"/>
                <w:szCs w:val="18"/>
              </w:rPr>
              <w:t>Table 04</w:t>
            </w:r>
          </w:p>
        </w:tc>
        <w:tc>
          <w:tcPr>
            <w:tcW w:w="3402" w:type="dxa"/>
          </w:tcPr>
          <w:p w14:paraId="66A5425E"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SAL_PGR_ALL_2Y_AREA_SEX</w:t>
            </w:r>
          </w:p>
        </w:tc>
        <w:tc>
          <w:tcPr>
            <w:tcW w:w="3634" w:type="dxa"/>
          </w:tcPr>
          <w:p w14:paraId="6CF00DE0"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research median full-time salaries by study area and gender, 2021 and 2022 ($)</w:t>
            </w:r>
          </w:p>
        </w:tc>
      </w:tr>
      <w:tr w:rsidR="00F52390" w:rsidRPr="00CF3E3D" w14:paraId="28E6E09E"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8762F38" w14:textId="77777777" w:rsidR="00F52390" w:rsidRPr="00CF3E3D" w:rsidRDefault="00F52390" w:rsidP="007007AC">
            <w:pPr>
              <w:spacing w:before="0"/>
              <w:rPr>
                <w:sz w:val="18"/>
                <w:szCs w:val="18"/>
              </w:rPr>
            </w:pPr>
            <w:r w:rsidRPr="00CF3E3D">
              <w:rPr>
                <w:sz w:val="18"/>
                <w:szCs w:val="18"/>
              </w:rPr>
              <w:t>Table 06</w:t>
            </w:r>
          </w:p>
        </w:tc>
        <w:tc>
          <w:tcPr>
            <w:tcW w:w="3402" w:type="dxa"/>
          </w:tcPr>
          <w:p w14:paraId="48FE668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SAL_UG_ALL_2Y_DG</w:t>
            </w:r>
          </w:p>
        </w:tc>
        <w:tc>
          <w:tcPr>
            <w:tcW w:w="3634" w:type="dxa"/>
          </w:tcPr>
          <w:p w14:paraId="62B084E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median full-time salaries by demographic group, 2021 and 2022 ($)</w:t>
            </w:r>
          </w:p>
        </w:tc>
      </w:tr>
      <w:tr w:rsidR="00F52390" w:rsidRPr="00CF3E3D" w14:paraId="162411DC"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C43D34F" w14:textId="2791D1F8" w:rsidR="00F52390" w:rsidRPr="00CF3E3D" w:rsidRDefault="00771F1F" w:rsidP="007007AC">
            <w:pPr>
              <w:spacing w:before="0"/>
              <w:rPr>
                <w:sz w:val="18"/>
                <w:szCs w:val="18"/>
              </w:rPr>
            </w:pPr>
            <w:r>
              <w:rPr>
                <w:sz w:val="18"/>
                <w:szCs w:val="18"/>
              </w:rPr>
              <w:t>-</w:t>
            </w:r>
          </w:p>
        </w:tc>
        <w:tc>
          <w:tcPr>
            <w:tcW w:w="3402" w:type="dxa"/>
          </w:tcPr>
          <w:p w14:paraId="110E433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SAL_PGC_ALL_2Y_DG</w:t>
            </w:r>
          </w:p>
        </w:tc>
        <w:tc>
          <w:tcPr>
            <w:tcW w:w="3634" w:type="dxa"/>
          </w:tcPr>
          <w:p w14:paraId="6B361DD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coursework median full-time salaries by demographic group, 2021 and 2022 ($)</w:t>
            </w:r>
          </w:p>
        </w:tc>
      </w:tr>
      <w:tr w:rsidR="00F52390" w:rsidRPr="00CF3E3D" w14:paraId="2BACF6E3"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0CDDA80" w14:textId="2030DB81" w:rsidR="00F52390" w:rsidRPr="00CF3E3D" w:rsidRDefault="00771F1F" w:rsidP="007007AC">
            <w:pPr>
              <w:spacing w:before="0"/>
              <w:rPr>
                <w:sz w:val="18"/>
                <w:szCs w:val="18"/>
              </w:rPr>
            </w:pPr>
            <w:r>
              <w:rPr>
                <w:sz w:val="18"/>
                <w:szCs w:val="18"/>
              </w:rPr>
              <w:t>-</w:t>
            </w:r>
          </w:p>
        </w:tc>
        <w:tc>
          <w:tcPr>
            <w:tcW w:w="3402" w:type="dxa"/>
          </w:tcPr>
          <w:p w14:paraId="74440F1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SAL_PGR_ALL_2Y_DG</w:t>
            </w:r>
          </w:p>
        </w:tc>
        <w:tc>
          <w:tcPr>
            <w:tcW w:w="3634" w:type="dxa"/>
          </w:tcPr>
          <w:p w14:paraId="720457E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research median full-time salaries by demographic group, 2021 and 2022 ($)</w:t>
            </w:r>
          </w:p>
        </w:tc>
      </w:tr>
      <w:tr w:rsidR="00F52390" w:rsidRPr="00CF3E3D" w14:paraId="36000818"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25881E56" w14:textId="0D61B77D" w:rsidR="00F52390" w:rsidRPr="00CF3E3D" w:rsidRDefault="00771F1F" w:rsidP="007007AC">
            <w:pPr>
              <w:spacing w:before="0"/>
              <w:rPr>
                <w:sz w:val="18"/>
                <w:szCs w:val="18"/>
              </w:rPr>
            </w:pPr>
            <w:r>
              <w:rPr>
                <w:sz w:val="18"/>
                <w:szCs w:val="18"/>
              </w:rPr>
              <w:t>-</w:t>
            </w:r>
          </w:p>
        </w:tc>
        <w:tc>
          <w:tcPr>
            <w:tcW w:w="3402" w:type="dxa"/>
          </w:tcPr>
          <w:p w14:paraId="720081B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SAL_UG_ALL_2Y_AREA45_SEX</w:t>
            </w:r>
          </w:p>
        </w:tc>
        <w:tc>
          <w:tcPr>
            <w:tcW w:w="3634" w:type="dxa"/>
          </w:tcPr>
          <w:p w14:paraId="187E07D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median full-time salaries by 45 study areas and gender, 2021 and 2022 ($)</w:t>
            </w:r>
          </w:p>
        </w:tc>
      </w:tr>
      <w:tr w:rsidR="00F52390" w:rsidRPr="00CF3E3D" w14:paraId="5BDBD7EE"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A4348A7" w14:textId="78C8DECB" w:rsidR="00F52390" w:rsidRPr="00CF3E3D" w:rsidRDefault="00771F1F" w:rsidP="007007AC">
            <w:pPr>
              <w:spacing w:before="0"/>
              <w:rPr>
                <w:sz w:val="18"/>
                <w:szCs w:val="18"/>
              </w:rPr>
            </w:pPr>
            <w:r>
              <w:rPr>
                <w:sz w:val="18"/>
                <w:szCs w:val="18"/>
              </w:rPr>
              <w:t>-</w:t>
            </w:r>
          </w:p>
        </w:tc>
        <w:tc>
          <w:tcPr>
            <w:tcW w:w="3402" w:type="dxa"/>
          </w:tcPr>
          <w:p w14:paraId="4246F088"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SAL_PGC_ALL_2Y_AREA45_SEX</w:t>
            </w:r>
          </w:p>
        </w:tc>
        <w:tc>
          <w:tcPr>
            <w:tcW w:w="3634" w:type="dxa"/>
          </w:tcPr>
          <w:p w14:paraId="36865E4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coursework median full-time salaries by 45 study areas and gender, 2021 and 2022 ($)</w:t>
            </w:r>
          </w:p>
        </w:tc>
      </w:tr>
      <w:tr w:rsidR="00F52390" w:rsidRPr="00CF3E3D" w14:paraId="05464B85"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BF7B542" w14:textId="4D180E47" w:rsidR="00F52390" w:rsidRPr="00CF3E3D" w:rsidRDefault="00771F1F" w:rsidP="007007AC">
            <w:pPr>
              <w:spacing w:before="0"/>
              <w:rPr>
                <w:sz w:val="18"/>
                <w:szCs w:val="18"/>
              </w:rPr>
            </w:pPr>
            <w:r>
              <w:rPr>
                <w:sz w:val="18"/>
                <w:szCs w:val="18"/>
              </w:rPr>
              <w:t>-</w:t>
            </w:r>
          </w:p>
        </w:tc>
        <w:tc>
          <w:tcPr>
            <w:tcW w:w="3402" w:type="dxa"/>
          </w:tcPr>
          <w:p w14:paraId="08F158C1"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SAL_PGR_ALL_2Y_AREA45_SEX</w:t>
            </w:r>
          </w:p>
        </w:tc>
        <w:tc>
          <w:tcPr>
            <w:tcW w:w="3634" w:type="dxa"/>
          </w:tcPr>
          <w:p w14:paraId="2DE6AB4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research median full-time salaries by 45 study areas and gender, 2021 and 2022 ($)</w:t>
            </w:r>
          </w:p>
        </w:tc>
      </w:tr>
      <w:tr w:rsidR="00F52390" w:rsidRPr="00CF3E3D" w14:paraId="73DCCC0F"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4CBD6AD" w14:textId="77777777" w:rsidR="00F52390" w:rsidRPr="00CF3E3D" w:rsidRDefault="00F52390" w:rsidP="007007AC">
            <w:pPr>
              <w:spacing w:before="0"/>
              <w:rPr>
                <w:sz w:val="18"/>
                <w:szCs w:val="18"/>
              </w:rPr>
            </w:pPr>
            <w:r w:rsidRPr="00CF3E3D">
              <w:rPr>
                <w:sz w:val="18"/>
                <w:szCs w:val="18"/>
              </w:rPr>
              <w:t>Table 09/Table 10</w:t>
            </w:r>
          </w:p>
        </w:tc>
        <w:tc>
          <w:tcPr>
            <w:tcW w:w="3402" w:type="dxa"/>
          </w:tcPr>
          <w:p w14:paraId="4AF78EE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LF_UG_UNI_1Y</w:t>
            </w:r>
          </w:p>
        </w:tc>
        <w:tc>
          <w:tcPr>
            <w:tcW w:w="3634" w:type="dxa"/>
          </w:tcPr>
          <w:p w14:paraId="1631141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Labour force indicators 2022, undergraduates (universities only)</w:t>
            </w:r>
          </w:p>
        </w:tc>
      </w:tr>
      <w:tr w:rsidR="00F52390" w:rsidRPr="00CF3E3D" w14:paraId="62F39F1B"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88D5880" w14:textId="2EE88F70" w:rsidR="00F52390" w:rsidRPr="00CF3E3D" w:rsidRDefault="00771F1F" w:rsidP="007007AC">
            <w:pPr>
              <w:spacing w:before="0"/>
              <w:rPr>
                <w:sz w:val="18"/>
                <w:szCs w:val="18"/>
              </w:rPr>
            </w:pPr>
            <w:r>
              <w:rPr>
                <w:sz w:val="18"/>
                <w:szCs w:val="18"/>
              </w:rPr>
              <w:t>-</w:t>
            </w:r>
          </w:p>
        </w:tc>
        <w:tc>
          <w:tcPr>
            <w:tcW w:w="3402" w:type="dxa"/>
          </w:tcPr>
          <w:p w14:paraId="61892CD8"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LF_UG_UNI_3Y</w:t>
            </w:r>
          </w:p>
        </w:tc>
        <w:tc>
          <w:tcPr>
            <w:tcW w:w="3634" w:type="dxa"/>
          </w:tcPr>
          <w:p w14:paraId="668A4E88"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Labour force indicators 2020-2022, undergraduates (universities only)</w:t>
            </w:r>
          </w:p>
        </w:tc>
      </w:tr>
      <w:tr w:rsidR="00F52390" w:rsidRPr="00CF3E3D" w14:paraId="6239DF65"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72BB7A2" w14:textId="2AD386C4" w:rsidR="00F52390" w:rsidRPr="00CF3E3D" w:rsidRDefault="00771F1F" w:rsidP="007007AC">
            <w:pPr>
              <w:spacing w:before="0"/>
              <w:rPr>
                <w:sz w:val="18"/>
                <w:szCs w:val="18"/>
              </w:rPr>
            </w:pPr>
            <w:r>
              <w:rPr>
                <w:sz w:val="18"/>
                <w:szCs w:val="18"/>
              </w:rPr>
              <w:t>-</w:t>
            </w:r>
          </w:p>
        </w:tc>
        <w:tc>
          <w:tcPr>
            <w:tcW w:w="3402" w:type="dxa"/>
          </w:tcPr>
          <w:p w14:paraId="2330A01D"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LF_PGC_UNI_1Y</w:t>
            </w:r>
          </w:p>
        </w:tc>
        <w:tc>
          <w:tcPr>
            <w:tcW w:w="3634" w:type="dxa"/>
          </w:tcPr>
          <w:p w14:paraId="1B7B3F58"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Labour force indicators 2022, postgraduate coursework (universities only)</w:t>
            </w:r>
          </w:p>
        </w:tc>
      </w:tr>
      <w:tr w:rsidR="00F52390" w:rsidRPr="00CF3E3D" w14:paraId="66CF55A4"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13C0A05" w14:textId="0FE5E732" w:rsidR="00F52390" w:rsidRPr="00CF3E3D" w:rsidRDefault="00771F1F" w:rsidP="007007AC">
            <w:pPr>
              <w:spacing w:before="0"/>
              <w:rPr>
                <w:sz w:val="18"/>
                <w:szCs w:val="18"/>
              </w:rPr>
            </w:pPr>
            <w:r>
              <w:rPr>
                <w:sz w:val="18"/>
                <w:szCs w:val="18"/>
              </w:rPr>
              <w:t>-</w:t>
            </w:r>
          </w:p>
        </w:tc>
        <w:tc>
          <w:tcPr>
            <w:tcW w:w="3402" w:type="dxa"/>
          </w:tcPr>
          <w:p w14:paraId="575943F9"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LF_PGC_UNI_3Y</w:t>
            </w:r>
          </w:p>
        </w:tc>
        <w:tc>
          <w:tcPr>
            <w:tcW w:w="3634" w:type="dxa"/>
          </w:tcPr>
          <w:p w14:paraId="16917F5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Labour force indicators 2020-2022, postgraduate coursework (universities only)</w:t>
            </w:r>
          </w:p>
        </w:tc>
      </w:tr>
      <w:tr w:rsidR="00F52390" w:rsidRPr="00CF3E3D" w14:paraId="7049ACCB"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B156C64" w14:textId="01E3226A" w:rsidR="00F52390" w:rsidRPr="00CF3E3D" w:rsidRDefault="00771F1F" w:rsidP="007007AC">
            <w:pPr>
              <w:spacing w:before="0"/>
              <w:rPr>
                <w:sz w:val="18"/>
                <w:szCs w:val="18"/>
              </w:rPr>
            </w:pPr>
            <w:r>
              <w:rPr>
                <w:sz w:val="18"/>
                <w:szCs w:val="18"/>
              </w:rPr>
              <w:lastRenderedPageBreak/>
              <w:t>-</w:t>
            </w:r>
          </w:p>
        </w:tc>
        <w:tc>
          <w:tcPr>
            <w:tcW w:w="3402" w:type="dxa"/>
          </w:tcPr>
          <w:p w14:paraId="3FEBFCD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LF_PGR_UNI_3Y</w:t>
            </w:r>
          </w:p>
        </w:tc>
        <w:tc>
          <w:tcPr>
            <w:tcW w:w="3634" w:type="dxa"/>
          </w:tcPr>
          <w:p w14:paraId="5B4E922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Labour force indicators 2020-2022, postgraduate research (universities only)</w:t>
            </w:r>
          </w:p>
        </w:tc>
      </w:tr>
      <w:tr w:rsidR="00F52390" w:rsidRPr="00CF3E3D" w14:paraId="55273C50"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576E4A7" w14:textId="77777777" w:rsidR="00F52390" w:rsidRPr="00CF3E3D" w:rsidRDefault="00F52390" w:rsidP="007007AC">
            <w:pPr>
              <w:spacing w:before="0"/>
              <w:rPr>
                <w:sz w:val="18"/>
                <w:szCs w:val="18"/>
              </w:rPr>
            </w:pPr>
            <w:r w:rsidRPr="00CF3E3D">
              <w:rPr>
                <w:sz w:val="18"/>
                <w:szCs w:val="18"/>
              </w:rPr>
              <w:t>Table 11</w:t>
            </w:r>
          </w:p>
        </w:tc>
        <w:tc>
          <w:tcPr>
            <w:tcW w:w="3402" w:type="dxa"/>
          </w:tcPr>
          <w:p w14:paraId="4D2EACB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LF_UG_NUHEI_3Y</w:t>
            </w:r>
          </w:p>
        </w:tc>
        <w:tc>
          <w:tcPr>
            <w:tcW w:w="3634" w:type="dxa"/>
          </w:tcPr>
          <w:p w14:paraId="12A4BE5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Labour force indicators 2020-2022, undergraduates (NUHEIs only)</w:t>
            </w:r>
          </w:p>
        </w:tc>
      </w:tr>
      <w:tr w:rsidR="00F52390" w:rsidRPr="00CF3E3D" w14:paraId="072838E2"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D41BD0D" w14:textId="01ABE74C" w:rsidR="00F52390" w:rsidRPr="00CF3E3D" w:rsidRDefault="00771F1F" w:rsidP="007007AC">
            <w:pPr>
              <w:spacing w:before="0"/>
              <w:rPr>
                <w:sz w:val="18"/>
                <w:szCs w:val="18"/>
              </w:rPr>
            </w:pPr>
            <w:r>
              <w:rPr>
                <w:sz w:val="18"/>
                <w:szCs w:val="18"/>
              </w:rPr>
              <w:t>-</w:t>
            </w:r>
          </w:p>
        </w:tc>
        <w:tc>
          <w:tcPr>
            <w:tcW w:w="3402" w:type="dxa"/>
          </w:tcPr>
          <w:p w14:paraId="3DFE7C7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LF_PGC_NUHEI_3Y</w:t>
            </w:r>
          </w:p>
        </w:tc>
        <w:tc>
          <w:tcPr>
            <w:tcW w:w="3634" w:type="dxa"/>
          </w:tcPr>
          <w:p w14:paraId="66F95B1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Labour force indicators 2020-2022, postgraduate coursework (NUHEIs only)</w:t>
            </w:r>
          </w:p>
        </w:tc>
      </w:tr>
      <w:tr w:rsidR="00F52390" w:rsidRPr="00CF3E3D" w14:paraId="087691AC"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2D1ADA12" w14:textId="3AD4F739" w:rsidR="00F52390" w:rsidRPr="00CF3E3D" w:rsidRDefault="00771F1F" w:rsidP="007007AC">
            <w:pPr>
              <w:spacing w:before="0"/>
              <w:rPr>
                <w:sz w:val="18"/>
                <w:szCs w:val="18"/>
              </w:rPr>
            </w:pPr>
            <w:r>
              <w:rPr>
                <w:sz w:val="18"/>
                <w:szCs w:val="18"/>
              </w:rPr>
              <w:t>-</w:t>
            </w:r>
          </w:p>
        </w:tc>
        <w:tc>
          <w:tcPr>
            <w:tcW w:w="3402" w:type="dxa"/>
          </w:tcPr>
          <w:p w14:paraId="7A2C9F34"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LF_UG_UNI_2Y</w:t>
            </w:r>
          </w:p>
        </w:tc>
        <w:tc>
          <w:tcPr>
            <w:tcW w:w="3634" w:type="dxa"/>
          </w:tcPr>
          <w:p w14:paraId="1CE496B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labour force indicators, universities only, 2021 and 2022</w:t>
            </w:r>
          </w:p>
        </w:tc>
      </w:tr>
      <w:tr w:rsidR="00F52390" w:rsidRPr="00CF3E3D" w14:paraId="34CEDE34"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7BF26E3" w14:textId="171D216B" w:rsidR="00F52390" w:rsidRPr="00CF3E3D" w:rsidRDefault="00771F1F" w:rsidP="007007AC">
            <w:pPr>
              <w:spacing w:before="0"/>
              <w:rPr>
                <w:sz w:val="18"/>
                <w:szCs w:val="18"/>
              </w:rPr>
            </w:pPr>
            <w:r>
              <w:rPr>
                <w:sz w:val="18"/>
                <w:szCs w:val="18"/>
              </w:rPr>
              <w:t>-</w:t>
            </w:r>
          </w:p>
        </w:tc>
        <w:tc>
          <w:tcPr>
            <w:tcW w:w="3402" w:type="dxa"/>
          </w:tcPr>
          <w:p w14:paraId="0B439D2C"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LF_UG_NUHEI_2Y</w:t>
            </w:r>
          </w:p>
        </w:tc>
        <w:tc>
          <w:tcPr>
            <w:tcW w:w="3634" w:type="dxa"/>
          </w:tcPr>
          <w:p w14:paraId="3BF15822"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labour force indicators, NUHEIs only, 2021 and 2022</w:t>
            </w:r>
          </w:p>
        </w:tc>
      </w:tr>
      <w:tr w:rsidR="00F52390" w:rsidRPr="00CF3E3D" w14:paraId="4F977C88"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F2F4029" w14:textId="77777777" w:rsidR="00F52390" w:rsidRPr="00CF3E3D" w:rsidRDefault="00F52390" w:rsidP="007007AC">
            <w:pPr>
              <w:spacing w:before="0"/>
              <w:rPr>
                <w:sz w:val="18"/>
                <w:szCs w:val="18"/>
              </w:rPr>
            </w:pPr>
            <w:r w:rsidRPr="00CF3E3D">
              <w:rPr>
                <w:sz w:val="18"/>
                <w:szCs w:val="18"/>
              </w:rPr>
              <w:t>Table 05</w:t>
            </w:r>
          </w:p>
        </w:tc>
        <w:tc>
          <w:tcPr>
            <w:tcW w:w="3402" w:type="dxa"/>
          </w:tcPr>
          <w:p w14:paraId="52BD6BD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PREFMHRS_UG_ALL_1Y_E315</w:t>
            </w:r>
          </w:p>
        </w:tc>
        <w:tc>
          <w:tcPr>
            <w:tcW w:w="3634" w:type="dxa"/>
          </w:tcPr>
          <w:p w14:paraId="47DEF630"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Proportion of employed undergraduates seeking or not seeking more hours, by gender, 2022 (%)</w:t>
            </w:r>
          </w:p>
        </w:tc>
      </w:tr>
      <w:tr w:rsidR="00F52390" w:rsidRPr="00CF3E3D" w14:paraId="222513F6"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191593B" w14:textId="5397BE4B" w:rsidR="00F52390" w:rsidRPr="00CF3E3D" w:rsidRDefault="00771F1F" w:rsidP="007007AC">
            <w:pPr>
              <w:spacing w:before="0"/>
              <w:rPr>
                <w:sz w:val="18"/>
                <w:szCs w:val="18"/>
              </w:rPr>
            </w:pPr>
            <w:r>
              <w:rPr>
                <w:sz w:val="18"/>
                <w:szCs w:val="18"/>
              </w:rPr>
              <w:t>-</w:t>
            </w:r>
          </w:p>
        </w:tc>
        <w:tc>
          <w:tcPr>
            <w:tcW w:w="3402" w:type="dxa"/>
          </w:tcPr>
          <w:p w14:paraId="4018EE8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PREFMHRS_PGC_ALL_1Y_E315</w:t>
            </w:r>
          </w:p>
        </w:tc>
        <w:tc>
          <w:tcPr>
            <w:tcW w:w="3634" w:type="dxa"/>
          </w:tcPr>
          <w:p w14:paraId="1783461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Proportion of employed postgraduates (coursework) seeking or not seeking more hours, by gender, 2022 (%)</w:t>
            </w:r>
          </w:p>
        </w:tc>
      </w:tr>
      <w:tr w:rsidR="00F52390" w:rsidRPr="00CF3E3D" w14:paraId="5B2A4B93"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37B86E8" w14:textId="705A1589" w:rsidR="00F52390" w:rsidRPr="00CF3E3D" w:rsidRDefault="00771F1F" w:rsidP="007007AC">
            <w:pPr>
              <w:spacing w:before="0"/>
              <w:rPr>
                <w:sz w:val="18"/>
                <w:szCs w:val="18"/>
              </w:rPr>
            </w:pPr>
            <w:r>
              <w:rPr>
                <w:sz w:val="18"/>
                <w:szCs w:val="18"/>
              </w:rPr>
              <w:t>-</w:t>
            </w:r>
          </w:p>
        </w:tc>
        <w:tc>
          <w:tcPr>
            <w:tcW w:w="3402" w:type="dxa"/>
          </w:tcPr>
          <w:p w14:paraId="34F3312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PREFMHRS_PGR_ALL_1Y_E315</w:t>
            </w:r>
          </w:p>
        </w:tc>
        <w:tc>
          <w:tcPr>
            <w:tcW w:w="3634" w:type="dxa"/>
          </w:tcPr>
          <w:p w14:paraId="70B1417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Proportion of employed postgraduates (research) seeking or not seeking more hours, by gender, 2022 (%)</w:t>
            </w:r>
          </w:p>
        </w:tc>
      </w:tr>
      <w:tr w:rsidR="00F52390" w:rsidRPr="00CF3E3D" w14:paraId="33A7CB56"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0A2274A" w14:textId="7F6C1477" w:rsidR="00F52390" w:rsidRPr="00CF3E3D" w:rsidRDefault="00771F1F" w:rsidP="007007AC">
            <w:pPr>
              <w:spacing w:before="0"/>
              <w:rPr>
                <w:sz w:val="18"/>
                <w:szCs w:val="18"/>
              </w:rPr>
            </w:pPr>
            <w:r>
              <w:rPr>
                <w:sz w:val="18"/>
                <w:szCs w:val="18"/>
              </w:rPr>
              <w:t>-</w:t>
            </w:r>
          </w:p>
        </w:tc>
        <w:tc>
          <w:tcPr>
            <w:tcW w:w="3402" w:type="dxa"/>
          </w:tcPr>
          <w:p w14:paraId="67C9F00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PARTEMP_UG_ALL_1Y_AREA_SEX</w:t>
            </w:r>
          </w:p>
        </w:tc>
        <w:tc>
          <w:tcPr>
            <w:tcW w:w="3634" w:type="dxa"/>
          </w:tcPr>
          <w:p w14:paraId="490A854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Part-time employment, by study area and gender, as a proportion of all employed graduates, 2022 (%)</w:t>
            </w:r>
          </w:p>
        </w:tc>
      </w:tr>
      <w:tr w:rsidR="00F52390" w:rsidRPr="00CF3E3D" w14:paraId="02122AB9"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7307437" w14:textId="4AF90FCC" w:rsidR="00F52390" w:rsidRPr="00CF3E3D" w:rsidRDefault="00771F1F" w:rsidP="007007AC">
            <w:pPr>
              <w:spacing w:before="0"/>
              <w:rPr>
                <w:sz w:val="18"/>
                <w:szCs w:val="18"/>
              </w:rPr>
            </w:pPr>
            <w:r>
              <w:rPr>
                <w:sz w:val="18"/>
                <w:szCs w:val="18"/>
              </w:rPr>
              <w:t>-</w:t>
            </w:r>
          </w:p>
        </w:tc>
        <w:tc>
          <w:tcPr>
            <w:tcW w:w="3402" w:type="dxa"/>
          </w:tcPr>
          <w:p w14:paraId="28E730E2"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FTE_UG_UNI_1Y_FIG</w:t>
            </w:r>
          </w:p>
        </w:tc>
        <w:tc>
          <w:tcPr>
            <w:tcW w:w="3634" w:type="dxa"/>
          </w:tcPr>
          <w:p w14:paraId="484B0BD8"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Graduate employment and study outcomes, by study level, 2021 and 2022</w:t>
            </w:r>
          </w:p>
        </w:tc>
      </w:tr>
      <w:tr w:rsidR="00F52390" w:rsidRPr="00CF3E3D" w14:paraId="48B96180"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DFDB91A" w14:textId="4FDFD5A8" w:rsidR="00F52390" w:rsidRPr="00CF3E3D" w:rsidRDefault="00771F1F" w:rsidP="007007AC">
            <w:pPr>
              <w:spacing w:before="0"/>
              <w:rPr>
                <w:sz w:val="18"/>
                <w:szCs w:val="18"/>
              </w:rPr>
            </w:pPr>
            <w:r>
              <w:rPr>
                <w:sz w:val="18"/>
                <w:szCs w:val="18"/>
              </w:rPr>
              <w:t>-</w:t>
            </w:r>
          </w:p>
        </w:tc>
        <w:tc>
          <w:tcPr>
            <w:tcW w:w="3402" w:type="dxa"/>
          </w:tcPr>
          <w:p w14:paraId="59B2CF4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FTE_UG_UNI_3Y_FIG</w:t>
            </w:r>
          </w:p>
        </w:tc>
        <w:tc>
          <w:tcPr>
            <w:tcW w:w="3634" w:type="dxa"/>
          </w:tcPr>
          <w:p w14:paraId="3BC67D1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employment outcomes by study area, 2021 and 2022 (%)</w:t>
            </w:r>
          </w:p>
        </w:tc>
      </w:tr>
      <w:tr w:rsidR="00F52390" w:rsidRPr="00CF3E3D" w14:paraId="3B4CA35A"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ADE414C" w14:textId="591471FC" w:rsidR="00F52390" w:rsidRPr="00CF3E3D" w:rsidRDefault="00771F1F" w:rsidP="007007AC">
            <w:pPr>
              <w:spacing w:before="0"/>
              <w:rPr>
                <w:sz w:val="18"/>
                <w:szCs w:val="18"/>
              </w:rPr>
            </w:pPr>
            <w:r>
              <w:rPr>
                <w:sz w:val="18"/>
                <w:szCs w:val="18"/>
              </w:rPr>
              <w:t>-</w:t>
            </w:r>
          </w:p>
        </w:tc>
        <w:tc>
          <w:tcPr>
            <w:tcW w:w="3402" w:type="dxa"/>
          </w:tcPr>
          <w:p w14:paraId="0B7BB344"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SAL_UG_UNI_1Y_FIG</w:t>
            </w:r>
          </w:p>
        </w:tc>
        <w:tc>
          <w:tcPr>
            <w:tcW w:w="3634" w:type="dxa"/>
          </w:tcPr>
          <w:p w14:paraId="2398E31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coursework employment outcomes by study area, 2021 and 2022 (%)</w:t>
            </w:r>
          </w:p>
        </w:tc>
      </w:tr>
      <w:tr w:rsidR="00F52390" w:rsidRPr="00CF3E3D" w14:paraId="1AC33CB3"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6237DCE" w14:textId="0065B63B" w:rsidR="00F52390" w:rsidRPr="00CF3E3D" w:rsidRDefault="00771F1F" w:rsidP="007007AC">
            <w:pPr>
              <w:spacing w:before="0"/>
              <w:rPr>
                <w:sz w:val="18"/>
                <w:szCs w:val="18"/>
              </w:rPr>
            </w:pPr>
            <w:r>
              <w:rPr>
                <w:sz w:val="18"/>
                <w:szCs w:val="18"/>
              </w:rPr>
              <w:t>-</w:t>
            </w:r>
          </w:p>
        </w:tc>
        <w:tc>
          <w:tcPr>
            <w:tcW w:w="3402" w:type="dxa"/>
          </w:tcPr>
          <w:p w14:paraId="1A9DED9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SAL_UG_UNI_3Y_FIG</w:t>
            </w:r>
          </w:p>
        </w:tc>
        <w:tc>
          <w:tcPr>
            <w:tcW w:w="3634" w:type="dxa"/>
          </w:tcPr>
          <w:p w14:paraId="37B0F56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research employment outcomes by study area, 2021 and 2022 (%)</w:t>
            </w:r>
          </w:p>
        </w:tc>
      </w:tr>
      <w:tr w:rsidR="00F52390" w:rsidRPr="00CF3E3D" w14:paraId="762C36CA"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EFC4F0E" w14:textId="590C9534" w:rsidR="00F52390" w:rsidRPr="00CF3E3D" w:rsidRDefault="00771F1F" w:rsidP="007007AC">
            <w:pPr>
              <w:spacing w:before="0"/>
              <w:rPr>
                <w:sz w:val="18"/>
                <w:szCs w:val="18"/>
              </w:rPr>
            </w:pPr>
            <w:r>
              <w:rPr>
                <w:sz w:val="18"/>
                <w:szCs w:val="18"/>
              </w:rPr>
              <w:t>-</w:t>
            </w:r>
          </w:p>
        </w:tc>
        <w:tc>
          <w:tcPr>
            <w:tcW w:w="3402" w:type="dxa"/>
          </w:tcPr>
          <w:p w14:paraId="4071B67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FTE_UG_NUHEI_3Y_FIG</w:t>
            </w:r>
          </w:p>
        </w:tc>
        <w:tc>
          <w:tcPr>
            <w:tcW w:w="3634" w:type="dxa"/>
          </w:tcPr>
          <w:p w14:paraId="65728A30"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employment outcomes, 2021 and 2022 (%)</w:t>
            </w:r>
          </w:p>
        </w:tc>
      </w:tr>
      <w:tr w:rsidR="00F52390" w:rsidRPr="00CF3E3D" w14:paraId="0D0E186B"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93EDE0B" w14:textId="52C4C654" w:rsidR="00F52390" w:rsidRPr="00CF3E3D" w:rsidRDefault="00771F1F" w:rsidP="007007AC">
            <w:pPr>
              <w:spacing w:before="0"/>
              <w:rPr>
                <w:sz w:val="18"/>
                <w:szCs w:val="18"/>
              </w:rPr>
            </w:pPr>
            <w:r>
              <w:rPr>
                <w:sz w:val="18"/>
                <w:szCs w:val="18"/>
              </w:rPr>
              <w:t>-</w:t>
            </w:r>
          </w:p>
        </w:tc>
        <w:tc>
          <w:tcPr>
            <w:tcW w:w="3402" w:type="dxa"/>
          </w:tcPr>
          <w:p w14:paraId="1BD90CD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SAL_UG_NUHEI_3Y_FIG</w:t>
            </w:r>
          </w:p>
        </w:tc>
        <w:tc>
          <w:tcPr>
            <w:tcW w:w="3634" w:type="dxa"/>
          </w:tcPr>
          <w:p w14:paraId="70CD3F9B"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employment outcomes, 2021 and 2022 (%)</w:t>
            </w:r>
          </w:p>
        </w:tc>
      </w:tr>
      <w:tr w:rsidR="00F52390" w:rsidRPr="00CF3E3D" w14:paraId="7132F67F"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0CB8521" w14:textId="61F975F5" w:rsidR="00F52390" w:rsidRPr="00CF3E3D" w:rsidRDefault="00771F1F" w:rsidP="007007AC">
            <w:pPr>
              <w:spacing w:before="0"/>
              <w:rPr>
                <w:sz w:val="18"/>
                <w:szCs w:val="18"/>
              </w:rPr>
            </w:pPr>
            <w:r>
              <w:rPr>
                <w:sz w:val="18"/>
                <w:szCs w:val="18"/>
              </w:rPr>
              <w:t>-</w:t>
            </w:r>
          </w:p>
        </w:tc>
        <w:tc>
          <w:tcPr>
            <w:tcW w:w="3402" w:type="dxa"/>
          </w:tcPr>
          <w:p w14:paraId="4ABF2F09"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FTE_PGC_UNI_1Y_FIG</w:t>
            </w:r>
          </w:p>
        </w:tc>
        <w:tc>
          <w:tcPr>
            <w:tcW w:w="3634" w:type="dxa"/>
          </w:tcPr>
          <w:p w14:paraId="237C436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employment outcomes by demographic group, 2021 and 2022 (%)</w:t>
            </w:r>
          </w:p>
        </w:tc>
      </w:tr>
      <w:tr w:rsidR="00F52390" w:rsidRPr="00CF3E3D" w14:paraId="7DD26E2F"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B2760CB" w14:textId="3A2F11FE" w:rsidR="00F52390" w:rsidRPr="00CF3E3D" w:rsidRDefault="00771F1F" w:rsidP="007007AC">
            <w:pPr>
              <w:spacing w:before="0"/>
              <w:rPr>
                <w:sz w:val="18"/>
                <w:szCs w:val="18"/>
              </w:rPr>
            </w:pPr>
            <w:r>
              <w:rPr>
                <w:sz w:val="18"/>
                <w:szCs w:val="18"/>
              </w:rPr>
              <w:t>-</w:t>
            </w:r>
          </w:p>
        </w:tc>
        <w:tc>
          <w:tcPr>
            <w:tcW w:w="3402" w:type="dxa"/>
          </w:tcPr>
          <w:p w14:paraId="40B932EC"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FTE_PGC_UNI_3Y_FIG</w:t>
            </w:r>
          </w:p>
        </w:tc>
        <w:tc>
          <w:tcPr>
            <w:tcW w:w="3634" w:type="dxa"/>
          </w:tcPr>
          <w:p w14:paraId="1BE3662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coursework employment outcomes by demographic group, 2021 and 2022 (%)</w:t>
            </w:r>
          </w:p>
        </w:tc>
      </w:tr>
      <w:tr w:rsidR="00F52390" w:rsidRPr="00CF3E3D" w14:paraId="6C5A032B"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CD9EBA0" w14:textId="3AD21CE2" w:rsidR="00F52390" w:rsidRPr="00CF3E3D" w:rsidRDefault="00771F1F" w:rsidP="007007AC">
            <w:pPr>
              <w:spacing w:before="0"/>
              <w:rPr>
                <w:sz w:val="18"/>
                <w:szCs w:val="18"/>
              </w:rPr>
            </w:pPr>
            <w:r>
              <w:rPr>
                <w:sz w:val="18"/>
                <w:szCs w:val="18"/>
              </w:rPr>
              <w:t>-</w:t>
            </w:r>
          </w:p>
        </w:tc>
        <w:tc>
          <w:tcPr>
            <w:tcW w:w="3402" w:type="dxa"/>
          </w:tcPr>
          <w:p w14:paraId="1F3117FE"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FTE_PGC_NUHEI_3Y_FIG</w:t>
            </w:r>
          </w:p>
        </w:tc>
        <w:tc>
          <w:tcPr>
            <w:tcW w:w="3634" w:type="dxa"/>
          </w:tcPr>
          <w:p w14:paraId="39722DF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research employment outcomes by demographic group, 2021 and 2022 (%)</w:t>
            </w:r>
          </w:p>
        </w:tc>
      </w:tr>
      <w:tr w:rsidR="00F52390" w:rsidRPr="00CF3E3D" w14:paraId="6A2E7AC3"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438696D" w14:textId="29AADB40" w:rsidR="00F52390" w:rsidRPr="00CF3E3D" w:rsidRDefault="00771F1F" w:rsidP="007007AC">
            <w:pPr>
              <w:spacing w:before="0"/>
              <w:rPr>
                <w:sz w:val="18"/>
                <w:szCs w:val="18"/>
              </w:rPr>
            </w:pPr>
            <w:r>
              <w:rPr>
                <w:sz w:val="18"/>
                <w:szCs w:val="18"/>
              </w:rPr>
              <w:t>-</w:t>
            </w:r>
          </w:p>
        </w:tc>
        <w:tc>
          <w:tcPr>
            <w:tcW w:w="3402" w:type="dxa"/>
          </w:tcPr>
          <w:p w14:paraId="13316E84"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SAL_PGC_UNI_1Y_FIG</w:t>
            </w:r>
          </w:p>
        </w:tc>
        <w:tc>
          <w:tcPr>
            <w:tcW w:w="3634" w:type="dxa"/>
          </w:tcPr>
          <w:p w14:paraId="6A69715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Labour market outcomes of undergraduate graduates, by full-time study status, 2022</w:t>
            </w:r>
          </w:p>
        </w:tc>
      </w:tr>
      <w:tr w:rsidR="00F52390" w:rsidRPr="00CF3E3D" w14:paraId="0EA47D16"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428685A" w14:textId="1AA9F53A" w:rsidR="00F52390" w:rsidRPr="00CF3E3D" w:rsidRDefault="00771F1F" w:rsidP="007007AC">
            <w:pPr>
              <w:spacing w:before="0"/>
              <w:rPr>
                <w:sz w:val="18"/>
                <w:szCs w:val="18"/>
              </w:rPr>
            </w:pPr>
            <w:r>
              <w:rPr>
                <w:sz w:val="18"/>
                <w:szCs w:val="18"/>
              </w:rPr>
              <w:t>-</w:t>
            </w:r>
          </w:p>
        </w:tc>
        <w:tc>
          <w:tcPr>
            <w:tcW w:w="3402" w:type="dxa"/>
          </w:tcPr>
          <w:p w14:paraId="6D38128B"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SAL_PGC_UNI_3Y_FIG</w:t>
            </w:r>
          </w:p>
        </w:tc>
        <w:tc>
          <w:tcPr>
            <w:tcW w:w="3634" w:type="dxa"/>
          </w:tcPr>
          <w:p w14:paraId="1B2C5423"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Labour market outcomes of postgraduate graduates, by full-time study status, 2022</w:t>
            </w:r>
          </w:p>
        </w:tc>
      </w:tr>
      <w:tr w:rsidR="00F52390" w:rsidRPr="00CF3E3D" w14:paraId="1893E9A7"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75F7B93" w14:textId="053176C9" w:rsidR="00F52390" w:rsidRPr="00CF3E3D" w:rsidRDefault="00771F1F" w:rsidP="007007AC">
            <w:pPr>
              <w:spacing w:before="0"/>
              <w:rPr>
                <w:sz w:val="18"/>
                <w:szCs w:val="18"/>
              </w:rPr>
            </w:pPr>
            <w:r>
              <w:rPr>
                <w:sz w:val="18"/>
                <w:szCs w:val="18"/>
              </w:rPr>
              <w:t>-</w:t>
            </w:r>
          </w:p>
        </w:tc>
        <w:tc>
          <w:tcPr>
            <w:tcW w:w="3402" w:type="dxa"/>
          </w:tcPr>
          <w:p w14:paraId="0514944B"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SAL_PGC_NUHEI_1Y_FIG</w:t>
            </w:r>
          </w:p>
        </w:tc>
        <w:tc>
          <w:tcPr>
            <w:tcW w:w="3634" w:type="dxa"/>
          </w:tcPr>
          <w:p w14:paraId="0189A53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employment outcomes by 45 study areas, 2021 and 2022 (%)</w:t>
            </w:r>
          </w:p>
        </w:tc>
      </w:tr>
      <w:tr w:rsidR="00F52390" w:rsidRPr="00CF3E3D" w14:paraId="4DDAD4AA"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D7767C2" w14:textId="55A69FC9" w:rsidR="00F52390" w:rsidRPr="00CF3E3D" w:rsidRDefault="00771F1F" w:rsidP="007007AC">
            <w:pPr>
              <w:spacing w:before="0"/>
              <w:rPr>
                <w:sz w:val="18"/>
                <w:szCs w:val="18"/>
              </w:rPr>
            </w:pPr>
            <w:r>
              <w:rPr>
                <w:sz w:val="18"/>
                <w:szCs w:val="18"/>
              </w:rPr>
              <w:lastRenderedPageBreak/>
              <w:t>-</w:t>
            </w:r>
          </w:p>
        </w:tc>
        <w:tc>
          <w:tcPr>
            <w:tcW w:w="3402" w:type="dxa"/>
          </w:tcPr>
          <w:p w14:paraId="68D47CB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FTE_PGR_UNI_3Y_FIG</w:t>
            </w:r>
          </w:p>
        </w:tc>
        <w:tc>
          <w:tcPr>
            <w:tcW w:w="3634" w:type="dxa"/>
          </w:tcPr>
          <w:p w14:paraId="3AC25F9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coursework employment outcomes by 45 study areas, 2021 and 2022 (%)</w:t>
            </w:r>
          </w:p>
        </w:tc>
      </w:tr>
      <w:tr w:rsidR="00F52390" w:rsidRPr="00CF3E3D" w14:paraId="6C2CB0AB"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F1D544C" w14:textId="744CC6A5" w:rsidR="00F52390" w:rsidRPr="00CF3E3D" w:rsidRDefault="00771F1F" w:rsidP="007007AC">
            <w:pPr>
              <w:spacing w:before="0"/>
              <w:rPr>
                <w:sz w:val="18"/>
                <w:szCs w:val="18"/>
              </w:rPr>
            </w:pPr>
            <w:r>
              <w:rPr>
                <w:sz w:val="18"/>
                <w:szCs w:val="18"/>
              </w:rPr>
              <w:t>-</w:t>
            </w:r>
          </w:p>
        </w:tc>
        <w:tc>
          <w:tcPr>
            <w:tcW w:w="3402" w:type="dxa"/>
          </w:tcPr>
          <w:p w14:paraId="0337DFF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SAL_PGR_UNI_3Y_FIG</w:t>
            </w:r>
          </w:p>
        </w:tc>
        <w:tc>
          <w:tcPr>
            <w:tcW w:w="3634" w:type="dxa"/>
          </w:tcPr>
          <w:p w14:paraId="119715D1"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research employment outcomes by 45 study areas, 2021 and 2022 (%)</w:t>
            </w:r>
          </w:p>
        </w:tc>
      </w:tr>
    </w:tbl>
    <w:p w14:paraId="49850903" w14:textId="2780AB38" w:rsidR="00771F1F" w:rsidRDefault="00771F1F" w:rsidP="00771F1F">
      <w:pPr>
        <w:pStyle w:val="FigureNote"/>
      </w:pPr>
      <w:bookmarkStart w:id="278" w:name="_Toc116035570"/>
      <w:bookmarkStart w:id="279" w:name="_Toc116039925"/>
      <w:r w:rsidRPr="00CF3E3D">
        <w:t xml:space="preserve">Note: A </w:t>
      </w:r>
      <w:r>
        <w:t xml:space="preserve">‘-‘ </w:t>
      </w:r>
      <w:r w:rsidRPr="00CF3E3D">
        <w:t xml:space="preserve">indicates there is no data </w:t>
      </w:r>
      <w:r>
        <w:t xml:space="preserve">/ information available </w:t>
      </w:r>
      <w:r w:rsidRPr="00CF3E3D">
        <w:t>for that cell</w:t>
      </w:r>
    </w:p>
    <w:p w14:paraId="09827461" w14:textId="406DA5F9" w:rsidR="00F52390" w:rsidRPr="00F52390" w:rsidRDefault="00F52390" w:rsidP="00F52390">
      <w:pPr>
        <w:pStyle w:val="Heading3"/>
        <w:numPr>
          <w:ilvl w:val="0"/>
          <w:numId w:val="0"/>
        </w:numPr>
        <w:ind w:left="851" w:hanging="851"/>
        <w:rPr>
          <w:color w:val="000000" w:themeColor="text1"/>
        </w:rPr>
      </w:pPr>
      <w:r w:rsidRPr="00F52390">
        <w:rPr>
          <w:color w:val="000000" w:themeColor="text1"/>
        </w:rPr>
        <w:t>6.1.2 Hours worked</w:t>
      </w:r>
      <w:bookmarkEnd w:id="278"/>
      <w:bookmarkEnd w:id="279"/>
    </w:p>
    <w:p w14:paraId="6CB76236" w14:textId="77777777" w:rsidR="00F52390" w:rsidRPr="00CF3E3D" w:rsidRDefault="00F52390" w:rsidP="00F52390">
      <w:pPr>
        <w:pStyle w:val="Body"/>
      </w:pPr>
      <w:r w:rsidRPr="00CF3E3D">
        <w:t>This group of tables explores the median hours actually worked in the week prior to completing the survey of graduates in the short-term, approximately four to six months after completing their course.</w:t>
      </w:r>
    </w:p>
    <w:p w14:paraId="523F9B91" w14:textId="43CA57CE" w:rsidR="00F52390" w:rsidRPr="00F52390" w:rsidRDefault="00F52390" w:rsidP="00F52390">
      <w:pPr>
        <w:pStyle w:val="Caption"/>
        <w:rPr>
          <w:color w:val="000000" w:themeColor="text1"/>
        </w:rPr>
      </w:pPr>
      <w:bookmarkStart w:id="280" w:name="_Toc116035827"/>
      <w:bookmarkStart w:id="281" w:name="_Toc116040382"/>
      <w:r w:rsidRPr="00F52390">
        <w:rPr>
          <w:color w:val="000000" w:themeColor="text1"/>
        </w:rPr>
        <w:t xml:space="preserve">Table </w:t>
      </w:r>
      <w:r w:rsidRPr="00F52390">
        <w:rPr>
          <w:color w:val="000000" w:themeColor="text1"/>
        </w:rPr>
        <w:fldChar w:fldCharType="begin"/>
      </w:r>
      <w:r w:rsidRPr="00F52390">
        <w:rPr>
          <w:color w:val="000000" w:themeColor="text1"/>
        </w:rPr>
        <w:instrText xml:space="preserve"> SEQ Table \* ARABIC </w:instrText>
      </w:r>
      <w:r w:rsidRPr="00F52390">
        <w:rPr>
          <w:color w:val="000000" w:themeColor="text1"/>
        </w:rPr>
        <w:fldChar w:fldCharType="separate"/>
      </w:r>
      <w:r>
        <w:rPr>
          <w:noProof/>
          <w:color w:val="000000" w:themeColor="text1"/>
        </w:rPr>
        <w:t>33</w:t>
      </w:r>
      <w:r w:rsidRPr="00F52390">
        <w:rPr>
          <w:color w:val="000000" w:themeColor="text1"/>
        </w:rPr>
        <w:fldChar w:fldCharType="end"/>
      </w:r>
      <w:r w:rsidRPr="00F52390">
        <w:rPr>
          <w:color w:val="000000" w:themeColor="text1"/>
        </w:rPr>
        <w:t xml:space="preserve"> Tables associated with median usual hours and median actual hours worked</w:t>
      </w:r>
      <w:bookmarkEnd w:id="280"/>
      <w:bookmarkEnd w:id="281"/>
    </w:p>
    <w:tbl>
      <w:tblPr>
        <w:tblStyle w:val="SRC1"/>
        <w:tblW w:w="0" w:type="auto"/>
        <w:tblLook w:val="04A0" w:firstRow="1" w:lastRow="0" w:firstColumn="1" w:lastColumn="0" w:noHBand="0" w:noVBand="1"/>
      </w:tblPr>
      <w:tblGrid>
        <w:gridCol w:w="1980"/>
        <w:gridCol w:w="3402"/>
        <w:gridCol w:w="3634"/>
      </w:tblGrid>
      <w:tr w:rsidR="00F52390" w:rsidRPr="00CF3E3D" w14:paraId="10247CB4"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6D3FDD85" w14:textId="77777777" w:rsidR="00F52390" w:rsidRPr="00F52390" w:rsidRDefault="00F52390" w:rsidP="007007AC">
            <w:pPr>
              <w:spacing w:before="0"/>
              <w:rPr>
                <w:b w:val="0"/>
                <w:bCs/>
                <w:color w:val="FFFFFF" w:themeColor="background1"/>
                <w:sz w:val="18"/>
                <w:szCs w:val="18"/>
              </w:rPr>
            </w:pPr>
            <w:bookmarkStart w:id="282" w:name="Title33"/>
            <w:bookmarkEnd w:id="282"/>
            <w:r w:rsidRPr="00F52390">
              <w:rPr>
                <w:bCs/>
                <w:color w:val="FFFFFF" w:themeColor="background1"/>
                <w:sz w:val="18"/>
                <w:szCs w:val="18"/>
              </w:rPr>
              <w:t>Report table</w:t>
            </w:r>
          </w:p>
        </w:tc>
        <w:tc>
          <w:tcPr>
            <w:tcW w:w="3402" w:type="dxa"/>
          </w:tcPr>
          <w:p w14:paraId="46221AF9"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Sheet name</w:t>
            </w:r>
          </w:p>
        </w:tc>
        <w:tc>
          <w:tcPr>
            <w:tcW w:w="3634" w:type="dxa"/>
          </w:tcPr>
          <w:p w14:paraId="25718C6A"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Table title</w:t>
            </w:r>
          </w:p>
        </w:tc>
      </w:tr>
      <w:tr w:rsidR="00F52390" w:rsidRPr="00CF3E3D" w14:paraId="094A0F47"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2D0AFB9" w14:textId="2B6D6B7A" w:rsidR="00F52390" w:rsidRPr="00CF3E3D" w:rsidRDefault="00707A00" w:rsidP="007007AC">
            <w:pPr>
              <w:spacing w:before="0"/>
              <w:rPr>
                <w:sz w:val="18"/>
                <w:szCs w:val="18"/>
              </w:rPr>
            </w:pPr>
            <w:r>
              <w:rPr>
                <w:sz w:val="18"/>
                <w:szCs w:val="18"/>
              </w:rPr>
              <w:t>-</w:t>
            </w:r>
          </w:p>
        </w:tc>
        <w:tc>
          <w:tcPr>
            <w:tcW w:w="3402" w:type="dxa"/>
          </w:tcPr>
          <w:p w14:paraId="7AF23E18"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HOURS_UG_ALL_3Y</w:t>
            </w:r>
          </w:p>
        </w:tc>
        <w:tc>
          <w:tcPr>
            <w:tcW w:w="3634" w:type="dxa"/>
          </w:tcPr>
          <w:p w14:paraId="3A45228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Average hours worked per week for employed undergraduates by full-time/part-time status, 2020-2022</w:t>
            </w:r>
          </w:p>
        </w:tc>
      </w:tr>
      <w:tr w:rsidR="00F52390" w:rsidRPr="00CF3E3D" w14:paraId="1C47283E"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938CACA" w14:textId="1FC0F207" w:rsidR="00F52390" w:rsidRPr="00CF3E3D" w:rsidRDefault="00707A00" w:rsidP="007007AC">
            <w:pPr>
              <w:spacing w:before="0"/>
              <w:rPr>
                <w:sz w:val="18"/>
                <w:szCs w:val="18"/>
              </w:rPr>
            </w:pPr>
            <w:r>
              <w:rPr>
                <w:sz w:val="18"/>
                <w:szCs w:val="18"/>
              </w:rPr>
              <w:t>-</w:t>
            </w:r>
          </w:p>
        </w:tc>
        <w:tc>
          <w:tcPr>
            <w:tcW w:w="3402" w:type="dxa"/>
          </w:tcPr>
          <w:p w14:paraId="12C8A9D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HOURS_PGC_ALL_3Y</w:t>
            </w:r>
          </w:p>
        </w:tc>
        <w:tc>
          <w:tcPr>
            <w:tcW w:w="3634" w:type="dxa"/>
          </w:tcPr>
          <w:p w14:paraId="3728335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Average hours worked per week for employed postgraduates (coursework) by full-time/part-time status, 2020-2022</w:t>
            </w:r>
          </w:p>
        </w:tc>
      </w:tr>
      <w:tr w:rsidR="00F52390" w:rsidRPr="00CF3E3D" w14:paraId="575DCD2D"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0DF8180" w14:textId="4811ADB1" w:rsidR="00F52390" w:rsidRPr="00CF3E3D" w:rsidRDefault="00707A00" w:rsidP="007007AC">
            <w:pPr>
              <w:spacing w:before="0"/>
              <w:rPr>
                <w:sz w:val="18"/>
                <w:szCs w:val="18"/>
              </w:rPr>
            </w:pPr>
            <w:r>
              <w:rPr>
                <w:sz w:val="18"/>
                <w:szCs w:val="18"/>
              </w:rPr>
              <w:t>-</w:t>
            </w:r>
          </w:p>
        </w:tc>
        <w:tc>
          <w:tcPr>
            <w:tcW w:w="3402" w:type="dxa"/>
          </w:tcPr>
          <w:p w14:paraId="4978076E"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HOURS_PGR_ALL_3Y</w:t>
            </w:r>
          </w:p>
        </w:tc>
        <w:tc>
          <w:tcPr>
            <w:tcW w:w="3634" w:type="dxa"/>
          </w:tcPr>
          <w:p w14:paraId="1CC1F19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Average hours worked per week for employed postgraduates (research) by full-time/part-time status, 2020-2022</w:t>
            </w:r>
          </w:p>
        </w:tc>
      </w:tr>
      <w:tr w:rsidR="00F52390" w:rsidRPr="00CF3E3D" w14:paraId="0FC029D6"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4950E57" w14:textId="77777777" w:rsidR="00F52390" w:rsidRPr="00CF3E3D" w:rsidRDefault="00F52390" w:rsidP="007007AC">
            <w:pPr>
              <w:spacing w:before="0"/>
              <w:rPr>
                <w:sz w:val="18"/>
                <w:szCs w:val="18"/>
              </w:rPr>
            </w:pPr>
            <w:r w:rsidRPr="00CF3E3D">
              <w:rPr>
                <w:sz w:val="18"/>
                <w:szCs w:val="18"/>
              </w:rPr>
              <w:t>Figure 02</w:t>
            </w:r>
          </w:p>
        </w:tc>
        <w:tc>
          <w:tcPr>
            <w:tcW w:w="3402" w:type="dxa"/>
          </w:tcPr>
          <w:p w14:paraId="2553F50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HOURS_UG_ALL_3Y_PERIOD</w:t>
            </w:r>
          </w:p>
        </w:tc>
        <w:tc>
          <w:tcPr>
            <w:tcW w:w="3634" w:type="dxa"/>
          </w:tcPr>
          <w:p w14:paraId="20EBC3B8"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Average hours worked per week for employed undergraduates by full-time/part-time status and survey round, 2020-2022</w:t>
            </w:r>
          </w:p>
        </w:tc>
      </w:tr>
      <w:tr w:rsidR="00F52390" w:rsidRPr="00CF3E3D" w14:paraId="1E24BB58"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A11AEDD" w14:textId="69412D26" w:rsidR="00F52390" w:rsidRPr="00CF3E3D" w:rsidRDefault="00707A00" w:rsidP="007007AC">
            <w:pPr>
              <w:spacing w:before="0"/>
              <w:rPr>
                <w:sz w:val="18"/>
                <w:szCs w:val="18"/>
              </w:rPr>
            </w:pPr>
            <w:r>
              <w:rPr>
                <w:sz w:val="18"/>
                <w:szCs w:val="18"/>
              </w:rPr>
              <w:t>-</w:t>
            </w:r>
          </w:p>
        </w:tc>
        <w:tc>
          <w:tcPr>
            <w:tcW w:w="3402" w:type="dxa"/>
          </w:tcPr>
          <w:p w14:paraId="736E2FFF"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HOURS_PGC_ALL_3Y_PERIOD</w:t>
            </w:r>
          </w:p>
        </w:tc>
        <w:tc>
          <w:tcPr>
            <w:tcW w:w="3634" w:type="dxa"/>
          </w:tcPr>
          <w:p w14:paraId="6534301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Average hours worked per week for employed postgraduates (coursework) by full-time/part-time status and survey round, 2020-2022</w:t>
            </w:r>
          </w:p>
        </w:tc>
      </w:tr>
      <w:tr w:rsidR="00F52390" w:rsidRPr="00CF3E3D" w14:paraId="79573B9A"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233D72B" w14:textId="046E0072" w:rsidR="00F52390" w:rsidRPr="00CF3E3D" w:rsidRDefault="00707A00" w:rsidP="007007AC">
            <w:pPr>
              <w:spacing w:before="0"/>
              <w:rPr>
                <w:sz w:val="18"/>
                <w:szCs w:val="18"/>
              </w:rPr>
            </w:pPr>
            <w:r>
              <w:rPr>
                <w:sz w:val="18"/>
                <w:szCs w:val="18"/>
              </w:rPr>
              <w:t>-</w:t>
            </w:r>
          </w:p>
        </w:tc>
        <w:tc>
          <w:tcPr>
            <w:tcW w:w="3402" w:type="dxa"/>
          </w:tcPr>
          <w:p w14:paraId="19D248F1"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HOURS_PGR_ALL_3Y_PERIOD</w:t>
            </w:r>
          </w:p>
        </w:tc>
        <w:tc>
          <w:tcPr>
            <w:tcW w:w="3634" w:type="dxa"/>
          </w:tcPr>
          <w:p w14:paraId="3345017F"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Average hours worked per week for employed postgraduates (research) by full-time/part-time status and survey round, 2020-2022</w:t>
            </w:r>
          </w:p>
        </w:tc>
      </w:tr>
    </w:tbl>
    <w:p w14:paraId="1E3595D3" w14:textId="77777777" w:rsidR="00707A00" w:rsidRDefault="00707A00" w:rsidP="00707A00">
      <w:pPr>
        <w:pStyle w:val="FigureNote"/>
      </w:pPr>
      <w:bookmarkStart w:id="283" w:name="_Toc116035571"/>
      <w:bookmarkStart w:id="284" w:name="_Toc116039926"/>
      <w:r w:rsidRPr="00CF3E3D">
        <w:t xml:space="preserve">Note: A </w:t>
      </w:r>
      <w:r>
        <w:t xml:space="preserve">‘-‘ </w:t>
      </w:r>
      <w:r w:rsidRPr="00CF3E3D">
        <w:t xml:space="preserve">indicates there is no data </w:t>
      </w:r>
      <w:r>
        <w:t xml:space="preserve">/ information available </w:t>
      </w:r>
      <w:r w:rsidRPr="00CF3E3D">
        <w:t>for that cell</w:t>
      </w:r>
    </w:p>
    <w:p w14:paraId="22967450" w14:textId="77777777" w:rsidR="00F52390" w:rsidRPr="00F52390" w:rsidRDefault="00F52390" w:rsidP="00F52390">
      <w:pPr>
        <w:pStyle w:val="Heading3"/>
        <w:numPr>
          <w:ilvl w:val="0"/>
          <w:numId w:val="0"/>
        </w:numPr>
        <w:ind w:left="851" w:hanging="851"/>
        <w:rPr>
          <w:color w:val="000000" w:themeColor="text1"/>
        </w:rPr>
      </w:pPr>
      <w:r w:rsidRPr="00F52390">
        <w:rPr>
          <w:color w:val="000000" w:themeColor="text1"/>
        </w:rPr>
        <w:t>6.1.3 Away from work</w:t>
      </w:r>
      <w:bookmarkEnd w:id="283"/>
      <w:bookmarkEnd w:id="284"/>
    </w:p>
    <w:p w14:paraId="00F8F42A" w14:textId="77777777" w:rsidR="00F52390" w:rsidRPr="00CF3E3D" w:rsidRDefault="00F52390" w:rsidP="00F52390">
      <w:pPr>
        <w:pStyle w:val="Body"/>
      </w:pPr>
      <w:r w:rsidRPr="00CF3E3D">
        <w:t>This group of tables presents the proportion of employed graduates who were away from work in the week prior to completing the survey. Reasons for being away from work include for holidays, sickness or any other reason, such as being stood down due to the impact of COVID-19.</w:t>
      </w:r>
    </w:p>
    <w:p w14:paraId="69BB8D3A" w14:textId="655173FA" w:rsidR="00F52390" w:rsidRPr="00F52390" w:rsidRDefault="00F52390" w:rsidP="00F52390">
      <w:pPr>
        <w:pStyle w:val="Caption"/>
        <w:rPr>
          <w:color w:val="000000" w:themeColor="text1"/>
        </w:rPr>
      </w:pPr>
      <w:bookmarkStart w:id="285" w:name="_Toc116035828"/>
      <w:bookmarkStart w:id="286" w:name="_Toc116040383"/>
      <w:r w:rsidRPr="00F52390">
        <w:rPr>
          <w:color w:val="000000" w:themeColor="text1"/>
        </w:rPr>
        <w:t xml:space="preserve">Table </w:t>
      </w:r>
      <w:r w:rsidRPr="00F52390">
        <w:rPr>
          <w:color w:val="000000" w:themeColor="text1"/>
        </w:rPr>
        <w:fldChar w:fldCharType="begin"/>
      </w:r>
      <w:r w:rsidRPr="00F52390">
        <w:rPr>
          <w:color w:val="000000" w:themeColor="text1"/>
        </w:rPr>
        <w:instrText xml:space="preserve"> SEQ Table \* ARABIC </w:instrText>
      </w:r>
      <w:r w:rsidRPr="00F52390">
        <w:rPr>
          <w:color w:val="000000" w:themeColor="text1"/>
        </w:rPr>
        <w:fldChar w:fldCharType="separate"/>
      </w:r>
      <w:r>
        <w:rPr>
          <w:noProof/>
          <w:color w:val="000000" w:themeColor="text1"/>
        </w:rPr>
        <w:t>34</w:t>
      </w:r>
      <w:r w:rsidRPr="00F52390">
        <w:rPr>
          <w:color w:val="000000" w:themeColor="text1"/>
        </w:rPr>
        <w:fldChar w:fldCharType="end"/>
      </w:r>
      <w:r w:rsidRPr="00F52390">
        <w:rPr>
          <w:color w:val="000000" w:themeColor="text1"/>
        </w:rPr>
        <w:t xml:space="preserve"> Tables associated with the percentage of employed graduates away from work</w:t>
      </w:r>
      <w:bookmarkEnd w:id="285"/>
      <w:bookmarkEnd w:id="286"/>
    </w:p>
    <w:tbl>
      <w:tblPr>
        <w:tblStyle w:val="SRC1"/>
        <w:tblW w:w="0" w:type="auto"/>
        <w:tblLook w:val="04A0" w:firstRow="1" w:lastRow="0" w:firstColumn="1" w:lastColumn="0" w:noHBand="0" w:noVBand="1"/>
      </w:tblPr>
      <w:tblGrid>
        <w:gridCol w:w="1980"/>
        <w:gridCol w:w="3402"/>
        <w:gridCol w:w="3634"/>
      </w:tblGrid>
      <w:tr w:rsidR="00F52390" w:rsidRPr="00CF3E3D" w14:paraId="4041A48D"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5B25DD16" w14:textId="77777777" w:rsidR="00F52390" w:rsidRPr="00F52390" w:rsidRDefault="00F52390" w:rsidP="007007AC">
            <w:pPr>
              <w:spacing w:before="0"/>
              <w:rPr>
                <w:b w:val="0"/>
                <w:bCs/>
                <w:color w:val="FFFFFF" w:themeColor="background1"/>
                <w:sz w:val="18"/>
                <w:szCs w:val="18"/>
              </w:rPr>
            </w:pPr>
            <w:bookmarkStart w:id="287" w:name="Title34"/>
            <w:bookmarkEnd w:id="287"/>
            <w:r w:rsidRPr="00F52390">
              <w:rPr>
                <w:bCs/>
                <w:color w:val="FFFFFF" w:themeColor="background1"/>
                <w:sz w:val="18"/>
                <w:szCs w:val="18"/>
              </w:rPr>
              <w:t>Report table</w:t>
            </w:r>
          </w:p>
        </w:tc>
        <w:tc>
          <w:tcPr>
            <w:tcW w:w="3402" w:type="dxa"/>
          </w:tcPr>
          <w:p w14:paraId="569F7353"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Sheet name</w:t>
            </w:r>
          </w:p>
        </w:tc>
        <w:tc>
          <w:tcPr>
            <w:tcW w:w="3634" w:type="dxa"/>
          </w:tcPr>
          <w:p w14:paraId="3E182B4B"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Table title</w:t>
            </w:r>
          </w:p>
        </w:tc>
      </w:tr>
      <w:tr w:rsidR="00F52390" w:rsidRPr="00CF3E3D" w14:paraId="54F7F450"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15299ED" w14:textId="3BCB5A71" w:rsidR="00F52390" w:rsidRPr="00CF3E3D" w:rsidRDefault="003259D0" w:rsidP="007007AC">
            <w:pPr>
              <w:spacing w:before="0"/>
              <w:rPr>
                <w:sz w:val="18"/>
                <w:szCs w:val="18"/>
              </w:rPr>
            </w:pPr>
            <w:r>
              <w:rPr>
                <w:sz w:val="18"/>
                <w:szCs w:val="18"/>
              </w:rPr>
              <w:t>-</w:t>
            </w:r>
          </w:p>
        </w:tc>
        <w:tc>
          <w:tcPr>
            <w:tcW w:w="3402" w:type="dxa"/>
          </w:tcPr>
          <w:p w14:paraId="48E7F7BB"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AWAYWORK_UG_ALL_3Y</w:t>
            </w:r>
          </w:p>
        </w:tc>
        <w:tc>
          <w:tcPr>
            <w:tcW w:w="3634" w:type="dxa"/>
          </w:tcPr>
          <w:p w14:paraId="0617AA9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Proportion of employed undergraduates who were away from work by full-time/part-time status, 2020-2022 (%)</w:t>
            </w:r>
          </w:p>
        </w:tc>
      </w:tr>
      <w:tr w:rsidR="00F52390" w:rsidRPr="00CF3E3D" w14:paraId="7BBCCBB7"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7648744" w14:textId="00C55582" w:rsidR="00F52390" w:rsidRPr="00CF3E3D" w:rsidRDefault="003259D0" w:rsidP="007007AC">
            <w:pPr>
              <w:spacing w:before="0"/>
              <w:rPr>
                <w:sz w:val="18"/>
                <w:szCs w:val="18"/>
              </w:rPr>
            </w:pPr>
            <w:r>
              <w:rPr>
                <w:sz w:val="18"/>
                <w:szCs w:val="18"/>
              </w:rPr>
              <w:t>-</w:t>
            </w:r>
          </w:p>
        </w:tc>
        <w:tc>
          <w:tcPr>
            <w:tcW w:w="3402" w:type="dxa"/>
          </w:tcPr>
          <w:p w14:paraId="76A60C3F"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AWAYWORK_PGC_ALL_3Y</w:t>
            </w:r>
          </w:p>
        </w:tc>
        <w:tc>
          <w:tcPr>
            <w:tcW w:w="3634" w:type="dxa"/>
          </w:tcPr>
          <w:p w14:paraId="5B30D734"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Proportion of employed postgraduates (coursework) who were away from work by full-time/part-time status, 2020-2022 (%)</w:t>
            </w:r>
          </w:p>
        </w:tc>
      </w:tr>
      <w:tr w:rsidR="00F52390" w:rsidRPr="00CF3E3D" w14:paraId="74848255"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4E025EB" w14:textId="25E28914" w:rsidR="00F52390" w:rsidRPr="00CF3E3D" w:rsidRDefault="003259D0" w:rsidP="007007AC">
            <w:pPr>
              <w:spacing w:before="0"/>
              <w:rPr>
                <w:sz w:val="18"/>
                <w:szCs w:val="18"/>
              </w:rPr>
            </w:pPr>
            <w:r>
              <w:rPr>
                <w:sz w:val="18"/>
                <w:szCs w:val="18"/>
              </w:rPr>
              <w:lastRenderedPageBreak/>
              <w:t>-</w:t>
            </w:r>
          </w:p>
        </w:tc>
        <w:tc>
          <w:tcPr>
            <w:tcW w:w="3402" w:type="dxa"/>
          </w:tcPr>
          <w:p w14:paraId="761B545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AWAYWORK_PGR_ALL_3Y</w:t>
            </w:r>
          </w:p>
        </w:tc>
        <w:tc>
          <w:tcPr>
            <w:tcW w:w="3634" w:type="dxa"/>
          </w:tcPr>
          <w:p w14:paraId="117FF271"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Proportion of employed postgraduates (research) who were away from work by full-time/part-time status, 2020-2022 (%)</w:t>
            </w:r>
          </w:p>
        </w:tc>
      </w:tr>
      <w:tr w:rsidR="00F52390" w:rsidRPr="00CF3E3D" w14:paraId="688FC382"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A88FA4E" w14:textId="53285657" w:rsidR="00F52390" w:rsidRPr="00CF3E3D" w:rsidRDefault="003259D0" w:rsidP="007007AC">
            <w:pPr>
              <w:spacing w:before="0"/>
              <w:rPr>
                <w:sz w:val="18"/>
                <w:szCs w:val="18"/>
              </w:rPr>
            </w:pPr>
            <w:r>
              <w:rPr>
                <w:sz w:val="18"/>
                <w:szCs w:val="18"/>
              </w:rPr>
              <w:t>-</w:t>
            </w:r>
          </w:p>
        </w:tc>
        <w:tc>
          <w:tcPr>
            <w:tcW w:w="3402" w:type="dxa"/>
          </w:tcPr>
          <w:p w14:paraId="13F74CE5"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AWAYWORK_UG_ALL_3Y_PERIOD</w:t>
            </w:r>
          </w:p>
        </w:tc>
        <w:tc>
          <w:tcPr>
            <w:tcW w:w="3634" w:type="dxa"/>
          </w:tcPr>
          <w:p w14:paraId="114D9668"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Proportion of employed undergraduates who were away from work by full-time/part-time status and survey round, 2020-2022 (%)</w:t>
            </w:r>
          </w:p>
        </w:tc>
      </w:tr>
      <w:tr w:rsidR="00F52390" w:rsidRPr="00CF3E3D" w14:paraId="44BA5914"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E4C471D" w14:textId="326C8937" w:rsidR="00F52390" w:rsidRPr="00CF3E3D" w:rsidRDefault="003259D0" w:rsidP="007007AC">
            <w:pPr>
              <w:spacing w:before="0"/>
              <w:rPr>
                <w:sz w:val="18"/>
                <w:szCs w:val="18"/>
              </w:rPr>
            </w:pPr>
            <w:r>
              <w:rPr>
                <w:sz w:val="18"/>
                <w:szCs w:val="18"/>
              </w:rPr>
              <w:t>-</w:t>
            </w:r>
          </w:p>
        </w:tc>
        <w:tc>
          <w:tcPr>
            <w:tcW w:w="3402" w:type="dxa"/>
          </w:tcPr>
          <w:p w14:paraId="7F510B28"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AWAYWORK_PGC_ALL_3Y_PERIOD</w:t>
            </w:r>
          </w:p>
        </w:tc>
        <w:tc>
          <w:tcPr>
            <w:tcW w:w="3634" w:type="dxa"/>
          </w:tcPr>
          <w:p w14:paraId="632605D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Proportion of employed postgraduates (coursework) who were away from work by full-time/part-time status and survey round, 2020-2022 (%)</w:t>
            </w:r>
          </w:p>
        </w:tc>
      </w:tr>
      <w:tr w:rsidR="00F52390" w:rsidRPr="00CF3E3D" w14:paraId="516AFD51"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BF81D8C" w14:textId="3E2D8CDE" w:rsidR="00F52390" w:rsidRPr="00CF3E3D" w:rsidRDefault="003259D0" w:rsidP="007007AC">
            <w:pPr>
              <w:spacing w:before="0"/>
              <w:rPr>
                <w:sz w:val="18"/>
                <w:szCs w:val="18"/>
              </w:rPr>
            </w:pPr>
            <w:r>
              <w:rPr>
                <w:sz w:val="18"/>
                <w:szCs w:val="18"/>
              </w:rPr>
              <w:t>-</w:t>
            </w:r>
          </w:p>
        </w:tc>
        <w:tc>
          <w:tcPr>
            <w:tcW w:w="3402" w:type="dxa"/>
          </w:tcPr>
          <w:p w14:paraId="38925010"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AWAYWORK_PGR_ALL_3Y_PERIOD</w:t>
            </w:r>
          </w:p>
        </w:tc>
        <w:tc>
          <w:tcPr>
            <w:tcW w:w="3634" w:type="dxa"/>
          </w:tcPr>
          <w:p w14:paraId="6016453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Proportion of employed postgraduates (research) who were away from work by full-time/part-time status and survey round, 2020-2021 (%)</w:t>
            </w:r>
          </w:p>
        </w:tc>
      </w:tr>
    </w:tbl>
    <w:p w14:paraId="7481F0BE" w14:textId="77777777" w:rsidR="003259D0" w:rsidRDefault="003259D0" w:rsidP="003259D0">
      <w:pPr>
        <w:pStyle w:val="FigureNote"/>
      </w:pPr>
      <w:bookmarkStart w:id="288" w:name="_Toc116035572"/>
      <w:bookmarkStart w:id="289" w:name="_Toc116039927"/>
      <w:r w:rsidRPr="00CF3E3D">
        <w:t xml:space="preserve">Note: A </w:t>
      </w:r>
      <w:r>
        <w:t xml:space="preserve">‘-‘ </w:t>
      </w:r>
      <w:r w:rsidRPr="00CF3E3D">
        <w:t xml:space="preserve">indicates there is no data </w:t>
      </w:r>
      <w:r>
        <w:t xml:space="preserve">/ information available </w:t>
      </w:r>
      <w:r w:rsidRPr="00CF3E3D">
        <w:t>for that cell</w:t>
      </w:r>
    </w:p>
    <w:p w14:paraId="1084E332" w14:textId="77777777" w:rsidR="00F52390" w:rsidRPr="00F52390" w:rsidRDefault="00F52390" w:rsidP="00F52390">
      <w:pPr>
        <w:pStyle w:val="Heading3"/>
        <w:numPr>
          <w:ilvl w:val="0"/>
          <w:numId w:val="0"/>
        </w:numPr>
        <w:ind w:left="851" w:hanging="851"/>
        <w:rPr>
          <w:color w:val="000000" w:themeColor="text1"/>
        </w:rPr>
      </w:pPr>
      <w:r w:rsidRPr="00F52390">
        <w:rPr>
          <w:color w:val="000000" w:themeColor="text1"/>
        </w:rPr>
        <w:t>6.1.4 Graduate occupations</w:t>
      </w:r>
      <w:bookmarkEnd w:id="288"/>
      <w:bookmarkEnd w:id="289"/>
    </w:p>
    <w:p w14:paraId="550CB5AD" w14:textId="77777777" w:rsidR="00F52390" w:rsidRPr="00CF3E3D" w:rsidRDefault="00F52390" w:rsidP="00F52390">
      <w:pPr>
        <w:pStyle w:val="Body"/>
      </w:pPr>
      <w:r w:rsidRPr="00CF3E3D">
        <w:t xml:space="preserve">This group of tables presents the proportion of employed graduates and graduates employed full-time in different occupations. These occupations are coded from graduate description of their job and job role to a detailed ANZCO code. The results are presented here at the top ANZCO levels. In general, a managerial or professional occupation is considered an appropriate employment outcome after completing a higher education level qualification and a useful proxy for the “relevance” of graduates’ employment outcomes to their qualification. </w:t>
      </w:r>
    </w:p>
    <w:p w14:paraId="63A296BF" w14:textId="379B73B4" w:rsidR="00F52390" w:rsidRPr="00F52390" w:rsidRDefault="00F52390" w:rsidP="00F52390">
      <w:pPr>
        <w:pStyle w:val="Caption"/>
        <w:rPr>
          <w:color w:val="000000" w:themeColor="text1"/>
        </w:rPr>
      </w:pPr>
      <w:bookmarkStart w:id="290" w:name="_Toc116035829"/>
      <w:bookmarkStart w:id="291" w:name="_Toc116040384"/>
      <w:r w:rsidRPr="00F52390">
        <w:rPr>
          <w:color w:val="000000" w:themeColor="text1"/>
        </w:rPr>
        <w:t xml:space="preserve">Table </w:t>
      </w:r>
      <w:r w:rsidRPr="00F52390">
        <w:rPr>
          <w:color w:val="000000" w:themeColor="text1"/>
        </w:rPr>
        <w:fldChar w:fldCharType="begin"/>
      </w:r>
      <w:r w:rsidRPr="00F52390">
        <w:rPr>
          <w:color w:val="000000" w:themeColor="text1"/>
        </w:rPr>
        <w:instrText xml:space="preserve"> SEQ Table \* ARABIC </w:instrText>
      </w:r>
      <w:r w:rsidRPr="00F52390">
        <w:rPr>
          <w:color w:val="000000" w:themeColor="text1"/>
        </w:rPr>
        <w:fldChar w:fldCharType="separate"/>
      </w:r>
      <w:r w:rsidRPr="00F52390">
        <w:rPr>
          <w:noProof/>
          <w:color w:val="000000" w:themeColor="text1"/>
        </w:rPr>
        <w:t>35</w:t>
      </w:r>
      <w:r w:rsidRPr="00F52390">
        <w:rPr>
          <w:color w:val="000000" w:themeColor="text1"/>
        </w:rPr>
        <w:fldChar w:fldCharType="end"/>
      </w:r>
      <w:r w:rsidRPr="00F52390">
        <w:rPr>
          <w:color w:val="000000" w:themeColor="text1"/>
        </w:rPr>
        <w:t xml:space="preserve"> Tables associated with occupation types of employed graduates</w:t>
      </w:r>
      <w:bookmarkEnd w:id="290"/>
      <w:bookmarkEnd w:id="291"/>
    </w:p>
    <w:tbl>
      <w:tblPr>
        <w:tblStyle w:val="SRC1"/>
        <w:tblW w:w="0" w:type="auto"/>
        <w:tblLook w:val="04A0" w:firstRow="1" w:lastRow="0" w:firstColumn="1" w:lastColumn="0" w:noHBand="0" w:noVBand="1"/>
      </w:tblPr>
      <w:tblGrid>
        <w:gridCol w:w="1980"/>
        <w:gridCol w:w="3402"/>
        <w:gridCol w:w="3634"/>
      </w:tblGrid>
      <w:tr w:rsidR="00F52390" w:rsidRPr="00CF3E3D" w14:paraId="5EEBBE4B"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6F7E029D" w14:textId="77777777" w:rsidR="00F52390" w:rsidRPr="00F52390" w:rsidRDefault="00F52390" w:rsidP="007007AC">
            <w:pPr>
              <w:spacing w:before="0"/>
              <w:rPr>
                <w:b w:val="0"/>
                <w:bCs/>
                <w:color w:val="FFFFFF" w:themeColor="background1"/>
                <w:sz w:val="18"/>
                <w:szCs w:val="18"/>
              </w:rPr>
            </w:pPr>
            <w:bookmarkStart w:id="292" w:name="Title35"/>
            <w:bookmarkEnd w:id="292"/>
            <w:r w:rsidRPr="00F52390">
              <w:rPr>
                <w:bCs/>
                <w:color w:val="FFFFFF" w:themeColor="background1"/>
                <w:sz w:val="18"/>
                <w:szCs w:val="18"/>
              </w:rPr>
              <w:t>Report table</w:t>
            </w:r>
          </w:p>
        </w:tc>
        <w:tc>
          <w:tcPr>
            <w:tcW w:w="3402" w:type="dxa"/>
          </w:tcPr>
          <w:p w14:paraId="50372A15"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Sheet name</w:t>
            </w:r>
          </w:p>
        </w:tc>
        <w:tc>
          <w:tcPr>
            <w:tcW w:w="3634" w:type="dxa"/>
          </w:tcPr>
          <w:p w14:paraId="6F565AF1"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Table title</w:t>
            </w:r>
          </w:p>
        </w:tc>
      </w:tr>
      <w:tr w:rsidR="00F52390" w:rsidRPr="00CF3E3D" w14:paraId="4899D038"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4F02F12" w14:textId="77777777" w:rsidR="00F52390" w:rsidRPr="00CF3E3D" w:rsidRDefault="00F52390" w:rsidP="007007AC">
            <w:pPr>
              <w:spacing w:before="0"/>
              <w:rPr>
                <w:sz w:val="18"/>
                <w:szCs w:val="18"/>
              </w:rPr>
            </w:pPr>
          </w:p>
          <w:p w14:paraId="5D4A87A0" w14:textId="77777777" w:rsidR="00F52390" w:rsidRPr="00CF3E3D" w:rsidRDefault="00F52390" w:rsidP="007007AC">
            <w:pPr>
              <w:spacing w:before="0"/>
              <w:rPr>
                <w:sz w:val="18"/>
                <w:szCs w:val="18"/>
              </w:rPr>
            </w:pPr>
            <w:r w:rsidRPr="00CF3E3D">
              <w:rPr>
                <w:sz w:val="18"/>
                <w:szCs w:val="18"/>
              </w:rPr>
              <w:t>Table 12</w:t>
            </w:r>
          </w:p>
        </w:tc>
        <w:tc>
          <w:tcPr>
            <w:tcW w:w="3402" w:type="dxa"/>
          </w:tcPr>
          <w:p w14:paraId="0F41E6E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OCC_UG_ALL_1Y_EMPTYPE</w:t>
            </w:r>
          </w:p>
        </w:tc>
        <w:tc>
          <w:tcPr>
            <w:tcW w:w="3634" w:type="dxa"/>
          </w:tcPr>
          <w:p w14:paraId="6E442DB1"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occupation level, by employment type, 2022 (%)</w:t>
            </w:r>
          </w:p>
        </w:tc>
      </w:tr>
      <w:tr w:rsidR="00F52390" w:rsidRPr="00CF3E3D" w14:paraId="13C421E3"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FD5C3FE" w14:textId="77777777" w:rsidR="00F52390" w:rsidRPr="00CF3E3D" w:rsidRDefault="00F52390" w:rsidP="007007AC">
            <w:pPr>
              <w:spacing w:before="0"/>
              <w:rPr>
                <w:sz w:val="18"/>
                <w:szCs w:val="18"/>
              </w:rPr>
            </w:pPr>
          </w:p>
          <w:p w14:paraId="56CCC455" w14:textId="77777777" w:rsidR="00F52390" w:rsidRPr="00CF3E3D" w:rsidRDefault="00F52390" w:rsidP="007007AC">
            <w:pPr>
              <w:spacing w:before="0"/>
              <w:rPr>
                <w:sz w:val="18"/>
                <w:szCs w:val="18"/>
              </w:rPr>
            </w:pPr>
            <w:r w:rsidRPr="00CF3E3D">
              <w:rPr>
                <w:sz w:val="18"/>
                <w:szCs w:val="18"/>
              </w:rPr>
              <w:t>Table 12</w:t>
            </w:r>
          </w:p>
        </w:tc>
        <w:tc>
          <w:tcPr>
            <w:tcW w:w="3402" w:type="dxa"/>
          </w:tcPr>
          <w:p w14:paraId="0894E1A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OCC_PG_ALL_1Y_EMPTYPE</w:t>
            </w:r>
          </w:p>
        </w:tc>
        <w:tc>
          <w:tcPr>
            <w:tcW w:w="3634" w:type="dxa"/>
          </w:tcPr>
          <w:p w14:paraId="52A15EF1"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occupation level, by employment type, 2022 (%)</w:t>
            </w:r>
          </w:p>
        </w:tc>
      </w:tr>
      <w:tr w:rsidR="00F52390" w:rsidRPr="00CF3E3D" w14:paraId="7776037A"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654CF3D" w14:textId="37FDAFE5" w:rsidR="00F52390" w:rsidRPr="00CF3E3D" w:rsidRDefault="003259D0" w:rsidP="007007AC">
            <w:pPr>
              <w:spacing w:before="0"/>
              <w:rPr>
                <w:sz w:val="18"/>
                <w:szCs w:val="18"/>
              </w:rPr>
            </w:pPr>
            <w:r>
              <w:rPr>
                <w:sz w:val="18"/>
                <w:szCs w:val="18"/>
              </w:rPr>
              <w:t>-</w:t>
            </w:r>
          </w:p>
        </w:tc>
        <w:tc>
          <w:tcPr>
            <w:tcW w:w="3402" w:type="dxa"/>
          </w:tcPr>
          <w:p w14:paraId="5E9F45D4"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OCC_UG_ALL_1Y_AREA45</w:t>
            </w:r>
          </w:p>
        </w:tc>
        <w:tc>
          <w:tcPr>
            <w:tcW w:w="3634" w:type="dxa"/>
          </w:tcPr>
          <w:p w14:paraId="1F46BAB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occupation level, total employed, by 45 study areas, 2022 (%)</w:t>
            </w:r>
          </w:p>
        </w:tc>
      </w:tr>
      <w:tr w:rsidR="00F52390" w:rsidRPr="00CF3E3D" w14:paraId="3B444FF7"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57048F9" w14:textId="2A707CA8" w:rsidR="00F52390" w:rsidRPr="00CF3E3D" w:rsidRDefault="003259D0" w:rsidP="007007AC">
            <w:pPr>
              <w:spacing w:before="0"/>
              <w:rPr>
                <w:sz w:val="18"/>
                <w:szCs w:val="18"/>
              </w:rPr>
            </w:pPr>
            <w:r>
              <w:rPr>
                <w:sz w:val="18"/>
                <w:szCs w:val="18"/>
              </w:rPr>
              <w:t>-</w:t>
            </w:r>
          </w:p>
        </w:tc>
        <w:tc>
          <w:tcPr>
            <w:tcW w:w="3402" w:type="dxa"/>
          </w:tcPr>
          <w:p w14:paraId="3FAC306E"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OCC_UG_UNI_1Y_EMPTYPE</w:t>
            </w:r>
          </w:p>
        </w:tc>
        <w:tc>
          <w:tcPr>
            <w:tcW w:w="3634" w:type="dxa"/>
          </w:tcPr>
          <w:p w14:paraId="4BCAB9B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occupation level, by employment type, universities only, 2022 (%)</w:t>
            </w:r>
          </w:p>
        </w:tc>
      </w:tr>
      <w:tr w:rsidR="00F52390" w:rsidRPr="00CF3E3D" w14:paraId="675D8BDA"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6BC9B6F" w14:textId="4D962CC8" w:rsidR="00F52390" w:rsidRPr="00CF3E3D" w:rsidRDefault="003259D0" w:rsidP="007007AC">
            <w:pPr>
              <w:spacing w:before="0"/>
              <w:rPr>
                <w:sz w:val="18"/>
                <w:szCs w:val="18"/>
              </w:rPr>
            </w:pPr>
            <w:r>
              <w:rPr>
                <w:sz w:val="18"/>
                <w:szCs w:val="18"/>
              </w:rPr>
              <w:t>-</w:t>
            </w:r>
          </w:p>
        </w:tc>
        <w:tc>
          <w:tcPr>
            <w:tcW w:w="3402" w:type="dxa"/>
          </w:tcPr>
          <w:p w14:paraId="4CA3CFF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OCC_UG_NUHEI_1Y_EMPTYPE</w:t>
            </w:r>
          </w:p>
        </w:tc>
        <w:tc>
          <w:tcPr>
            <w:tcW w:w="3634" w:type="dxa"/>
          </w:tcPr>
          <w:p w14:paraId="436DD3A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occupation level, by employment type, NUHEIs only, 2022 (%)</w:t>
            </w:r>
          </w:p>
        </w:tc>
      </w:tr>
      <w:tr w:rsidR="00F52390" w:rsidRPr="00CF3E3D" w14:paraId="06E6093C"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ACB1067" w14:textId="03564C11" w:rsidR="00F52390" w:rsidRPr="00CF3E3D" w:rsidRDefault="003259D0" w:rsidP="007007AC">
            <w:pPr>
              <w:spacing w:before="0"/>
              <w:rPr>
                <w:sz w:val="18"/>
                <w:szCs w:val="18"/>
              </w:rPr>
            </w:pPr>
            <w:r>
              <w:rPr>
                <w:sz w:val="18"/>
                <w:szCs w:val="18"/>
              </w:rPr>
              <w:t>-</w:t>
            </w:r>
          </w:p>
        </w:tc>
        <w:tc>
          <w:tcPr>
            <w:tcW w:w="3402" w:type="dxa"/>
          </w:tcPr>
          <w:p w14:paraId="2B40E99B"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OCC_UG_UNI_1Y_AREA</w:t>
            </w:r>
          </w:p>
        </w:tc>
        <w:tc>
          <w:tcPr>
            <w:tcW w:w="3634" w:type="dxa"/>
          </w:tcPr>
          <w:p w14:paraId="744E9CE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occupation level, total employed, by study area, universities only, 2022 (%)</w:t>
            </w:r>
          </w:p>
        </w:tc>
      </w:tr>
      <w:tr w:rsidR="00F52390" w:rsidRPr="00CF3E3D" w14:paraId="3CBD0DA9"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1FD0901" w14:textId="4F348F35" w:rsidR="00F52390" w:rsidRPr="00CF3E3D" w:rsidRDefault="003259D0" w:rsidP="007007AC">
            <w:pPr>
              <w:spacing w:before="0"/>
              <w:rPr>
                <w:sz w:val="18"/>
                <w:szCs w:val="18"/>
              </w:rPr>
            </w:pPr>
            <w:r>
              <w:rPr>
                <w:sz w:val="18"/>
                <w:szCs w:val="18"/>
              </w:rPr>
              <w:t>-</w:t>
            </w:r>
          </w:p>
        </w:tc>
        <w:tc>
          <w:tcPr>
            <w:tcW w:w="3402" w:type="dxa"/>
          </w:tcPr>
          <w:p w14:paraId="234F4CC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BROADOCC_UG_ALL_1Y_EMPTYPE</w:t>
            </w:r>
          </w:p>
        </w:tc>
        <w:tc>
          <w:tcPr>
            <w:tcW w:w="3634" w:type="dxa"/>
          </w:tcPr>
          <w:p w14:paraId="3441008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occupation level, total employed, by study area, 2022 (%)</w:t>
            </w:r>
          </w:p>
        </w:tc>
      </w:tr>
    </w:tbl>
    <w:p w14:paraId="2E66C849" w14:textId="77777777" w:rsidR="003259D0" w:rsidRDefault="003259D0" w:rsidP="003259D0">
      <w:pPr>
        <w:pStyle w:val="FigureNote"/>
      </w:pPr>
      <w:bookmarkStart w:id="293" w:name="_Toc116035573"/>
      <w:bookmarkStart w:id="294" w:name="_Toc116039928"/>
      <w:r w:rsidRPr="00CF3E3D">
        <w:t xml:space="preserve">Note: A </w:t>
      </w:r>
      <w:r>
        <w:t xml:space="preserve">‘-‘ </w:t>
      </w:r>
      <w:r w:rsidRPr="00CF3E3D">
        <w:t xml:space="preserve">indicates there is no data </w:t>
      </w:r>
      <w:r>
        <w:t xml:space="preserve">/ information available </w:t>
      </w:r>
      <w:r w:rsidRPr="00CF3E3D">
        <w:t>for that cell</w:t>
      </w:r>
    </w:p>
    <w:p w14:paraId="3BC1DA19" w14:textId="77777777" w:rsidR="00F52390" w:rsidRPr="00F52390" w:rsidRDefault="00F52390" w:rsidP="00F52390">
      <w:pPr>
        <w:pStyle w:val="Heading3"/>
        <w:numPr>
          <w:ilvl w:val="0"/>
          <w:numId w:val="0"/>
        </w:numPr>
        <w:ind w:left="851" w:hanging="851"/>
        <w:rPr>
          <w:color w:val="000000" w:themeColor="text1"/>
        </w:rPr>
      </w:pPr>
      <w:r w:rsidRPr="00F52390">
        <w:rPr>
          <w:color w:val="000000" w:themeColor="text1"/>
        </w:rPr>
        <w:t>6.1.5 Importance of the qualification</w:t>
      </w:r>
      <w:bookmarkEnd w:id="293"/>
      <w:bookmarkEnd w:id="294"/>
    </w:p>
    <w:p w14:paraId="16D8B26C" w14:textId="77777777" w:rsidR="00F52390" w:rsidRPr="00CF3E3D" w:rsidRDefault="00F52390" w:rsidP="00F52390">
      <w:pPr>
        <w:pStyle w:val="Body"/>
      </w:pPr>
      <w:bookmarkStart w:id="295" w:name="_Hlk81474149"/>
      <w:r w:rsidRPr="00CF3E3D">
        <w:t>This group of tables presents information on the extent to which graduates consider that it was important for them to have their specific</w:t>
      </w:r>
      <w:r w:rsidRPr="00CF3E3D">
        <w:rPr>
          <w:rStyle w:val="s1"/>
          <w:rFonts w:cs="Arial"/>
          <w:b/>
        </w:rPr>
        <w:t xml:space="preserve"> </w:t>
      </w:r>
      <w:r w:rsidRPr="00CF3E3D">
        <w:t>or similar qualification, to be able to do their job.</w:t>
      </w:r>
    </w:p>
    <w:p w14:paraId="12419BB3" w14:textId="785F195E" w:rsidR="00F52390" w:rsidRPr="00F52390" w:rsidRDefault="00F52390" w:rsidP="00F52390">
      <w:pPr>
        <w:pStyle w:val="Caption"/>
        <w:ind w:left="851" w:hanging="851"/>
        <w:rPr>
          <w:color w:val="000000" w:themeColor="text1"/>
        </w:rPr>
      </w:pPr>
      <w:bookmarkStart w:id="296" w:name="_Toc116035830"/>
      <w:bookmarkStart w:id="297" w:name="_Toc116040385"/>
      <w:r w:rsidRPr="00F52390">
        <w:rPr>
          <w:color w:val="000000" w:themeColor="text1"/>
        </w:rPr>
        <w:lastRenderedPageBreak/>
        <w:t xml:space="preserve">Table </w:t>
      </w:r>
      <w:r w:rsidRPr="00F52390">
        <w:rPr>
          <w:color w:val="000000" w:themeColor="text1"/>
        </w:rPr>
        <w:fldChar w:fldCharType="begin"/>
      </w:r>
      <w:r w:rsidRPr="00F52390">
        <w:rPr>
          <w:color w:val="000000" w:themeColor="text1"/>
        </w:rPr>
        <w:instrText xml:space="preserve"> SEQ Table \* ARABIC </w:instrText>
      </w:r>
      <w:r w:rsidRPr="00F52390">
        <w:rPr>
          <w:color w:val="000000" w:themeColor="text1"/>
        </w:rPr>
        <w:fldChar w:fldCharType="separate"/>
      </w:r>
      <w:r>
        <w:rPr>
          <w:noProof/>
          <w:color w:val="000000" w:themeColor="text1"/>
        </w:rPr>
        <w:t>36</w:t>
      </w:r>
      <w:r w:rsidRPr="00F52390">
        <w:rPr>
          <w:color w:val="000000" w:themeColor="text1"/>
        </w:rPr>
        <w:fldChar w:fldCharType="end"/>
      </w:r>
      <w:r w:rsidRPr="00F52390">
        <w:rPr>
          <w:color w:val="000000" w:themeColor="text1"/>
        </w:rPr>
        <w:t xml:space="preserve"> Tables associated with the extent to which graduates considered their qualification important</w:t>
      </w:r>
      <w:bookmarkEnd w:id="296"/>
      <w:bookmarkEnd w:id="297"/>
    </w:p>
    <w:tbl>
      <w:tblPr>
        <w:tblStyle w:val="SRC1"/>
        <w:tblW w:w="0" w:type="auto"/>
        <w:tblLook w:val="04A0" w:firstRow="1" w:lastRow="0" w:firstColumn="1" w:lastColumn="0" w:noHBand="0" w:noVBand="1"/>
      </w:tblPr>
      <w:tblGrid>
        <w:gridCol w:w="1980"/>
        <w:gridCol w:w="3402"/>
        <w:gridCol w:w="3634"/>
      </w:tblGrid>
      <w:tr w:rsidR="00F52390" w:rsidRPr="00CF3E3D" w14:paraId="16E08AF5"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79FED9EC" w14:textId="77777777" w:rsidR="00F52390" w:rsidRPr="00F52390" w:rsidRDefault="00F52390" w:rsidP="007007AC">
            <w:pPr>
              <w:spacing w:before="0"/>
              <w:rPr>
                <w:b w:val="0"/>
                <w:bCs/>
                <w:color w:val="FFFFFF" w:themeColor="background1"/>
                <w:sz w:val="18"/>
                <w:szCs w:val="18"/>
              </w:rPr>
            </w:pPr>
            <w:bookmarkStart w:id="298" w:name="Title36"/>
            <w:bookmarkEnd w:id="298"/>
            <w:r w:rsidRPr="00F52390">
              <w:rPr>
                <w:bCs/>
                <w:color w:val="FFFFFF" w:themeColor="background1"/>
                <w:sz w:val="18"/>
                <w:szCs w:val="18"/>
              </w:rPr>
              <w:t>Report table</w:t>
            </w:r>
          </w:p>
        </w:tc>
        <w:tc>
          <w:tcPr>
            <w:tcW w:w="3402" w:type="dxa"/>
          </w:tcPr>
          <w:p w14:paraId="40FB1FE8"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Sheet name</w:t>
            </w:r>
          </w:p>
        </w:tc>
        <w:tc>
          <w:tcPr>
            <w:tcW w:w="3634" w:type="dxa"/>
          </w:tcPr>
          <w:p w14:paraId="7D03D3C8"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Table title</w:t>
            </w:r>
          </w:p>
        </w:tc>
      </w:tr>
      <w:tr w:rsidR="00F52390" w:rsidRPr="00CF3E3D" w14:paraId="7E3D9D5B"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F3F90AD" w14:textId="08B72ADF" w:rsidR="00F52390" w:rsidRPr="00CF3E3D" w:rsidRDefault="003259D0" w:rsidP="007007AC">
            <w:pPr>
              <w:spacing w:before="0"/>
              <w:rPr>
                <w:sz w:val="18"/>
                <w:szCs w:val="18"/>
              </w:rPr>
            </w:pPr>
            <w:r>
              <w:rPr>
                <w:sz w:val="18"/>
                <w:szCs w:val="18"/>
              </w:rPr>
              <w:t>-</w:t>
            </w:r>
          </w:p>
        </w:tc>
        <w:tc>
          <w:tcPr>
            <w:tcW w:w="3402" w:type="dxa"/>
          </w:tcPr>
          <w:p w14:paraId="049E151E"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QUALIMP_UG_ALL_1Y</w:t>
            </w:r>
          </w:p>
        </w:tc>
        <w:tc>
          <w:tcPr>
            <w:tcW w:w="3634" w:type="dxa"/>
          </w:tcPr>
          <w:p w14:paraId="3F9CD25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Importance of qualification for undergraduates’ current employment, 2022 (%)</w:t>
            </w:r>
          </w:p>
        </w:tc>
      </w:tr>
      <w:tr w:rsidR="00F52390" w:rsidRPr="00CF3E3D" w14:paraId="70B4E614"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CCA98C8" w14:textId="75F45CE3" w:rsidR="00F52390" w:rsidRPr="00CF3E3D" w:rsidRDefault="003259D0" w:rsidP="007007AC">
            <w:pPr>
              <w:spacing w:before="0"/>
              <w:rPr>
                <w:sz w:val="18"/>
                <w:szCs w:val="18"/>
              </w:rPr>
            </w:pPr>
            <w:r>
              <w:rPr>
                <w:sz w:val="18"/>
                <w:szCs w:val="18"/>
              </w:rPr>
              <w:t>-</w:t>
            </w:r>
          </w:p>
        </w:tc>
        <w:tc>
          <w:tcPr>
            <w:tcW w:w="3402" w:type="dxa"/>
          </w:tcPr>
          <w:p w14:paraId="2353F9B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QUALIMP_PG_ALL_1Y</w:t>
            </w:r>
          </w:p>
        </w:tc>
        <w:tc>
          <w:tcPr>
            <w:tcW w:w="3634" w:type="dxa"/>
          </w:tcPr>
          <w:p w14:paraId="679F98C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Importance of qualification for postgraduates’ current employment, 2022 (%)</w:t>
            </w:r>
          </w:p>
        </w:tc>
      </w:tr>
    </w:tbl>
    <w:p w14:paraId="3A9C734A" w14:textId="77777777" w:rsidR="003259D0" w:rsidRDefault="003259D0" w:rsidP="003259D0">
      <w:pPr>
        <w:pStyle w:val="FigureNote"/>
      </w:pPr>
      <w:bookmarkStart w:id="299" w:name="_Toc79687815"/>
      <w:bookmarkStart w:id="300" w:name="_Toc116035574"/>
      <w:bookmarkStart w:id="301" w:name="_Toc116039929"/>
      <w:bookmarkEnd w:id="295"/>
      <w:r w:rsidRPr="00CF3E3D">
        <w:t xml:space="preserve">Note: A </w:t>
      </w:r>
      <w:r>
        <w:t xml:space="preserve">‘-‘ </w:t>
      </w:r>
      <w:r w:rsidRPr="00CF3E3D">
        <w:t xml:space="preserve">indicates there is no data </w:t>
      </w:r>
      <w:r>
        <w:t xml:space="preserve">/ information available </w:t>
      </w:r>
      <w:r w:rsidRPr="00CF3E3D">
        <w:t>for that cell</w:t>
      </w:r>
    </w:p>
    <w:p w14:paraId="66EB7AA9" w14:textId="77777777" w:rsidR="00F52390" w:rsidRPr="00F52390" w:rsidRDefault="00F52390" w:rsidP="00F52390">
      <w:pPr>
        <w:pStyle w:val="Heading3"/>
        <w:numPr>
          <w:ilvl w:val="0"/>
          <w:numId w:val="0"/>
        </w:numPr>
        <w:ind w:left="851" w:hanging="851"/>
        <w:rPr>
          <w:color w:val="000000" w:themeColor="text1"/>
        </w:rPr>
      </w:pPr>
      <w:r w:rsidRPr="00F52390">
        <w:rPr>
          <w:color w:val="000000" w:themeColor="text1"/>
        </w:rPr>
        <w:t>6.1.6 Extent to which qualification prepared graduates</w:t>
      </w:r>
      <w:bookmarkEnd w:id="299"/>
      <w:bookmarkEnd w:id="300"/>
      <w:bookmarkEnd w:id="301"/>
    </w:p>
    <w:p w14:paraId="72CD86B9" w14:textId="77777777" w:rsidR="00F52390" w:rsidRPr="00CF3E3D" w:rsidRDefault="00F52390" w:rsidP="00F52390">
      <w:pPr>
        <w:pStyle w:val="Body"/>
      </w:pPr>
      <w:bookmarkStart w:id="302" w:name="_Hlk81474205"/>
      <w:r w:rsidRPr="00CF3E3D">
        <w:t>This group of tables present information on how well the qualification prepared graduates for their current job. Institutions also receive qualitative data in comment fields related to what the institution did well and what graduates considered could have been done better to prepare them for their current employment.</w:t>
      </w:r>
    </w:p>
    <w:p w14:paraId="51B66589" w14:textId="26B1BCAF" w:rsidR="00F52390" w:rsidRPr="00F52390" w:rsidRDefault="00F52390" w:rsidP="00F52390">
      <w:pPr>
        <w:pStyle w:val="Caption"/>
        <w:ind w:left="851" w:hanging="851"/>
        <w:rPr>
          <w:color w:val="000000" w:themeColor="text1"/>
        </w:rPr>
      </w:pPr>
      <w:bookmarkStart w:id="303" w:name="_Toc116035831"/>
      <w:bookmarkStart w:id="304" w:name="_Toc116040386"/>
      <w:bookmarkEnd w:id="302"/>
      <w:r w:rsidRPr="00F52390">
        <w:rPr>
          <w:color w:val="000000" w:themeColor="text1"/>
        </w:rPr>
        <w:t xml:space="preserve">Table </w:t>
      </w:r>
      <w:r w:rsidRPr="00F52390">
        <w:rPr>
          <w:color w:val="000000" w:themeColor="text1"/>
        </w:rPr>
        <w:fldChar w:fldCharType="begin"/>
      </w:r>
      <w:r w:rsidRPr="00F52390">
        <w:rPr>
          <w:color w:val="000000" w:themeColor="text1"/>
        </w:rPr>
        <w:instrText xml:space="preserve"> SEQ Table \* ARABIC </w:instrText>
      </w:r>
      <w:r w:rsidRPr="00F52390">
        <w:rPr>
          <w:color w:val="000000" w:themeColor="text1"/>
        </w:rPr>
        <w:fldChar w:fldCharType="separate"/>
      </w:r>
      <w:r w:rsidRPr="00F52390">
        <w:rPr>
          <w:noProof/>
          <w:color w:val="000000" w:themeColor="text1"/>
        </w:rPr>
        <w:t>37</w:t>
      </w:r>
      <w:r w:rsidRPr="00F52390">
        <w:rPr>
          <w:color w:val="000000" w:themeColor="text1"/>
        </w:rPr>
        <w:fldChar w:fldCharType="end"/>
      </w:r>
      <w:r w:rsidRPr="00F52390">
        <w:rPr>
          <w:color w:val="000000" w:themeColor="text1"/>
        </w:rPr>
        <w:t xml:space="preserve"> Tables associated with the extent to which the qualification prepared graduates for their current job</w:t>
      </w:r>
      <w:bookmarkEnd w:id="303"/>
      <w:bookmarkEnd w:id="304"/>
    </w:p>
    <w:tbl>
      <w:tblPr>
        <w:tblStyle w:val="SRC1"/>
        <w:tblW w:w="0" w:type="auto"/>
        <w:tblLook w:val="04A0" w:firstRow="1" w:lastRow="0" w:firstColumn="1" w:lastColumn="0" w:noHBand="0" w:noVBand="1"/>
      </w:tblPr>
      <w:tblGrid>
        <w:gridCol w:w="1980"/>
        <w:gridCol w:w="3402"/>
        <w:gridCol w:w="3634"/>
      </w:tblGrid>
      <w:tr w:rsidR="00F52390" w:rsidRPr="00CF3E3D" w14:paraId="145D929B"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5D621C33" w14:textId="77777777" w:rsidR="00F52390" w:rsidRPr="00F52390" w:rsidRDefault="00F52390" w:rsidP="007007AC">
            <w:pPr>
              <w:spacing w:before="0"/>
              <w:rPr>
                <w:b w:val="0"/>
                <w:bCs/>
                <w:color w:val="FFFFFF" w:themeColor="background1"/>
                <w:sz w:val="18"/>
                <w:szCs w:val="18"/>
              </w:rPr>
            </w:pPr>
            <w:bookmarkStart w:id="305" w:name="Title37"/>
            <w:bookmarkEnd w:id="305"/>
            <w:r w:rsidRPr="00F52390">
              <w:rPr>
                <w:bCs/>
                <w:color w:val="FFFFFF" w:themeColor="background1"/>
                <w:sz w:val="18"/>
                <w:szCs w:val="18"/>
              </w:rPr>
              <w:t>Report table</w:t>
            </w:r>
          </w:p>
        </w:tc>
        <w:tc>
          <w:tcPr>
            <w:tcW w:w="3402" w:type="dxa"/>
          </w:tcPr>
          <w:p w14:paraId="17E0ABCB"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Sheet name</w:t>
            </w:r>
          </w:p>
        </w:tc>
        <w:tc>
          <w:tcPr>
            <w:tcW w:w="3634" w:type="dxa"/>
          </w:tcPr>
          <w:p w14:paraId="212B475E"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Table title</w:t>
            </w:r>
          </w:p>
        </w:tc>
      </w:tr>
      <w:tr w:rsidR="00F52390" w:rsidRPr="00CF3E3D" w14:paraId="731AFEA7"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4CDF349" w14:textId="77777777" w:rsidR="00F52390" w:rsidRPr="00CF3E3D" w:rsidRDefault="00F52390" w:rsidP="007007AC">
            <w:pPr>
              <w:spacing w:before="0"/>
              <w:rPr>
                <w:sz w:val="18"/>
                <w:szCs w:val="18"/>
              </w:rPr>
            </w:pPr>
          </w:p>
          <w:p w14:paraId="4BFB3373" w14:textId="77777777" w:rsidR="00F52390" w:rsidRPr="00CF3E3D" w:rsidRDefault="00F52390" w:rsidP="007007AC">
            <w:pPr>
              <w:spacing w:before="0"/>
              <w:rPr>
                <w:sz w:val="18"/>
                <w:szCs w:val="18"/>
              </w:rPr>
            </w:pPr>
            <w:r w:rsidRPr="00CF3E3D">
              <w:rPr>
                <w:sz w:val="18"/>
                <w:szCs w:val="18"/>
              </w:rPr>
              <w:t>Table 13</w:t>
            </w:r>
          </w:p>
        </w:tc>
        <w:tc>
          <w:tcPr>
            <w:tcW w:w="3402" w:type="dxa"/>
          </w:tcPr>
          <w:p w14:paraId="7EF1AD3F"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CRSPREP_UG_ALL_1Y</w:t>
            </w:r>
          </w:p>
        </w:tc>
        <w:tc>
          <w:tcPr>
            <w:tcW w:w="3634" w:type="dxa"/>
          </w:tcPr>
          <w:p w14:paraId="18904E5D"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Extent to which qualification prepared undergraduate level graduates for employment, 2022 (%)</w:t>
            </w:r>
          </w:p>
        </w:tc>
      </w:tr>
      <w:tr w:rsidR="00F52390" w:rsidRPr="00CF3E3D" w14:paraId="3F5009B1"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DA847B3" w14:textId="1EFFBD6B" w:rsidR="00F52390" w:rsidRPr="00CF3E3D" w:rsidRDefault="003259D0" w:rsidP="007007AC">
            <w:pPr>
              <w:spacing w:before="0"/>
              <w:rPr>
                <w:sz w:val="18"/>
                <w:szCs w:val="18"/>
              </w:rPr>
            </w:pPr>
            <w:r>
              <w:rPr>
                <w:sz w:val="18"/>
                <w:szCs w:val="18"/>
              </w:rPr>
              <w:t>-</w:t>
            </w:r>
          </w:p>
        </w:tc>
        <w:tc>
          <w:tcPr>
            <w:tcW w:w="3402" w:type="dxa"/>
          </w:tcPr>
          <w:p w14:paraId="6BD381C1"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CRSPREP_PG_ALL_1Y</w:t>
            </w:r>
          </w:p>
        </w:tc>
        <w:tc>
          <w:tcPr>
            <w:tcW w:w="3634" w:type="dxa"/>
          </w:tcPr>
          <w:p w14:paraId="2C25C053"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Extent to which qualification prepared postgraduate level graduates for employment, 2022 (%)</w:t>
            </w:r>
          </w:p>
        </w:tc>
      </w:tr>
    </w:tbl>
    <w:p w14:paraId="54127C0D" w14:textId="77777777" w:rsidR="003259D0" w:rsidRDefault="003259D0" w:rsidP="003259D0">
      <w:pPr>
        <w:pStyle w:val="FigureNote"/>
      </w:pPr>
      <w:bookmarkStart w:id="306" w:name="_Toc116035575"/>
      <w:bookmarkStart w:id="307" w:name="_Toc116039930"/>
      <w:r w:rsidRPr="00CF3E3D">
        <w:t xml:space="preserve">Note: A </w:t>
      </w:r>
      <w:r>
        <w:t xml:space="preserve">‘-‘ </w:t>
      </w:r>
      <w:r w:rsidRPr="00CF3E3D">
        <w:t xml:space="preserve">indicates there is no data </w:t>
      </w:r>
      <w:r>
        <w:t xml:space="preserve">/ information available </w:t>
      </w:r>
      <w:r w:rsidRPr="00CF3E3D">
        <w:t>for that cell</w:t>
      </w:r>
    </w:p>
    <w:p w14:paraId="7C90A776" w14:textId="77777777" w:rsidR="00F52390" w:rsidRPr="00F52390" w:rsidRDefault="00F52390" w:rsidP="00F52390">
      <w:pPr>
        <w:pStyle w:val="Heading3"/>
        <w:numPr>
          <w:ilvl w:val="0"/>
          <w:numId w:val="0"/>
        </w:numPr>
        <w:ind w:left="851" w:hanging="851"/>
        <w:rPr>
          <w:color w:val="000000" w:themeColor="text1"/>
        </w:rPr>
      </w:pPr>
      <w:r w:rsidRPr="00F52390">
        <w:rPr>
          <w:color w:val="000000" w:themeColor="text1"/>
        </w:rPr>
        <w:t>6.1.7 Skills utilisation</w:t>
      </w:r>
      <w:bookmarkStart w:id="308" w:name="_Hlk81474185"/>
      <w:bookmarkEnd w:id="306"/>
      <w:bookmarkEnd w:id="307"/>
    </w:p>
    <w:p w14:paraId="547543BD" w14:textId="77777777" w:rsidR="00F52390" w:rsidRPr="00CF3E3D" w:rsidRDefault="00F52390" w:rsidP="00F52390">
      <w:pPr>
        <w:pStyle w:val="Body"/>
      </w:pPr>
      <w:r w:rsidRPr="00CF3E3D">
        <w:t>This group of tables present data exploring underutilisation of skills among graduates four to six months after completion of their course, and reasons for not working more hours. Results can be viewed by preference for more hours, gender, and study area.</w:t>
      </w:r>
    </w:p>
    <w:p w14:paraId="31B49CD3" w14:textId="33C85DFC" w:rsidR="00F52390" w:rsidRPr="00F52390" w:rsidRDefault="00F52390" w:rsidP="00F52390">
      <w:pPr>
        <w:pStyle w:val="Caption"/>
        <w:rPr>
          <w:color w:val="000000" w:themeColor="text1"/>
        </w:rPr>
      </w:pPr>
      <w:bookmarkStart w:id="309" w:name="_Toc116035832"/>
      <w:bookmarkStart w:id="310" w:name="_Toc116040387"/>
      <w:r w:rsidRPr="00F52390">
        <w:rPr>
          <w:color w:val="000000" w:themeColor="text1"/>
        </w:rPr>
        <w:t xml:space="preserve">Table </w:t>
      </w:r>
      <w:r w:rsidRPr="00F52390">
        <w:rPr>
          <w:color w:val="000000" w:themeColor="text1"/>
        </w:rPr>
        <w:fldChar w:fldCharType="begin"/>
      </w:r>
      <w:r w:rsidRPr="00F52390">
        <w:rPr>
          <w:color w:val="000000" w:themeColor="text1"/>
        </w:rPr>
        <w:instrText xml:space="preserve"> SEQ Table \* ARABIC </w:instrText>
      </w:r>
      <w:r w:rsidRPr="00F52390">
        <w:rPr>
          <w:color w:val="000000" w:themeColor="text1"/>
        </w:rPr>
        <w:fldChar w:fldCharType="separate"/>
      </w:r>
      <w:r w:rsidRPr="00F52390">
        <w:rPr>
          <w:noProof/>
          <w:color w:val="000000" w:themeColor="text1"/>
        </w:rPr>
        <w:t>38</w:t>
      </w:r>
      <w:r w:rsidRPr="00F52390">
        <w:rPr>
          <w:color w:val="000000" w:themeColor="text1"/>
        </w:rPr>
        <w:fldChar w:fldCharType="end"/>
      </w:r>
      <w:r w:rsidRPr="00F52390">
        <w:rPr>
          <w:color w:val="000000" w:themeColor="text1"/>
        </w:rPr>
        <w:t xml:space="preserve"> Tables associated with reasons for underutilisation of skills and education</w:t>
      </w:r>
      <w:bookmarkEnd w:id="309"/>
      <w:bookmarkEnd w:id="310"/>
    </w:p>
    <w:tbl>
      <w:tblPr>
        <w:tblStyle w:val="SRC1"/>
        <w:tblW w:w="0" w:type="auto"/>
        <w:tblLook w:val="04A0" w:firstRow="1" w:lastRow="0" w:firstColumn="1" w:lastColumn="0" w:noHBand="0" w:noVBand="1"/>
      </w:tblPr>
      <w:tblGrid>
        <w:gridCol w:w="1980"/>
        <w:gridCol w:w="3402"/>
        <w:gridCol w:w="3634"/>
      </w:tblGrid>
      <w:tr w:rsidR="00F52390" w:rsidRPr="00CF3E3D" w14:paraId="45FB64CA"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78F12B75" w14:textId="77777777" w:rsidR="00F52390" w:rsidRPr="00F52390" w:rsidRDefault="00F52390" w:rsidP="007007AC">
            <w:pPr>
              <w:spacing w:before="0"/>
              <w:rPr>
                <w:b w:val="0"/>
                <w:bCs/>
                <w:color w:val="FFFFFF" w:themeColor="background1"/>
                <w:sz w:val="18"/>
                <w:szCs w:val="18"/>
              </w:rPr>
            </w:pPr>
            <w:bookmarkStart w:id="311" w:name="Title38"/>
            <w:bookmarkEnd w:id="311"/>
            <w:r w:rsidRPr="00F52390">
              <w:rPr>
                <w:bCs/>
                <w:color w:val="FFFFFF" w:themeColor="background1"/>
                <w:sz w:val="18"/>
                <w:szCs w:val="18"/>
              </w:rPr>
              <w:t>Report table</w:t>
            </w:r>
          </w:p>
        </w:tc>
        <w:tc>
          <w:tcPr>
            <w:tcW w:w="3402" w:type="dxa"/>
          </w:tcPr>
          <w:p w14:paraId="571D1B6B"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Sheet name</w:t>
            </w:r>
          </w:p>
        </w:tc>
        <w:tc>
          <w:tcPr>
            <w:tcW w:w="3634" w:type="dxa"/>
          </w:tcPr>
          <w:p w14:paraId="12B1B1B7" w14:textId="77777777" w:rsidR="00F52390" w:rsidRPr="00F52390"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F52390">
              <w:rPr>
                <w:bCs/>
                <w:color w:val="FFFFFF" w:themeColor="background1"/>
                <w:sz w:val="18"/>
                <w:szCs w:val="18"/>
              </w:rPr>
              <w:t>Table title</w:t>
            </w:r>
          </w:p>
        </w:tc>
      </w:tr>
      <w:tr w:rsidR="00F52390" w:rsidRPr="00CF3E3D" w14:paraId="2A132280"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85672C5" w14:textId="77777777" w:rsidR="00F52390" w:rsidRPr="00CF3E3D" w:rsidRDefault="00F52390" w:rsidP="007007AC">
            <w:pPr>
              <w:spacing w:before="0"/>
              <w:rPr>
                <w:sz w:val="18"/>
                <w:szCs w:val="18"/>
              </w:rPr>
            </w:pPr>
            <w:r w:rsidRPr="00CF3E3D">
              <w:rPr>
                <w:sz w:val="18"/>
                <w:szCs w:val="18"/>
              </w:rPr>
              <w:t>Table 05</w:t>
            </w:r>
          </w:p>
        </w:tc>
        <w:tc>
          <w:tcPr>
            <w:tcW w:w="3402" w:type="dxa"/>
          </w:tcPr>
          <w:p w14:paraId="077DE42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RSNOMORE_UG_ALL_1Y_E315</w:t>
            </w:r>
          </w:p>
        </w:tc>
        <w:tc>
          <w:tcPr>
            <w:tcW w:w="3634" w:type="dxa"/>
          </w:tcPr>
          <w:p w14:paraId="03A69E4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Main reason not working more hours, of undergraduates employed part-time, by preference for more hours and gender, 2022 (%)</w:t>
            </w:r>
          </w:p>
        </w:tc>
      </w:tr>
      <w:tr w:rsidR="00F52390" w:rsidRPr="00CF3E3D" w14:paraId="41B82A8B"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B1F4305" w14:textId="642DD1D1" w:rsidR="00F52390" w:rsidRPr="00CF3E3D" w:rsidRDefault="003259D0" w:rsidP="007007AC">
            <w:pPr>
              <w:spacing w:before="0"/>
              <w:rPr>
                <w:sz w:val="18"/>
                <w:szCs w:val="18"/>
              </w:rPr>
            </w:pPr>
            <w:r>
              <w:rPr>
                <w:sz w:val="18"/>
                <w:szCs w:val="18"/>
              </w:rPr>
              <w:t>-</w:t>
            </w:r>
          </w:p>
        </w:tc>
        <w:tc>
          <w:tcPr>
            <w:tcW w:w="3402" w:type="dxa"/>
          </w:tcPr>
          <w:p w14:paraId="395AEB5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RSNOMORE_PGC_ALL_1Y_E315</w:t>
            </w:r>
          </w:p>
        </w:tc>
        <w:tc>
          <w:tcPr>
            <w:tcW w:w="3634" w:type="dxa"/>
          </w:tcPr>
          <w:p w14:paraId="700317E2"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Main reason not working more hours, of postgraduates (coursework) employed part-time, by preference for more hours and gender, 2022 (%)</w:t>
            </w:r>
          </w:p>
        </w:tc>
      </w:tr>
      <w:tr w:rsidR="00F52390" w:rsidRPr="00CF3E3D" w14:paraId="745C5E17"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144F0A2" w14:textId="4CD729A0" w:rsidR="00F52390" w:rsidRPr="00CF3E3D" w:rsidRDefault="003259D0" w:rsidP="007007AC">
            <w:pPr>
              <w:spacing w:before="0"/>
              <w:rPr>
                <w:sz w:val="18"/>
                <w:szCs w:val="18"/>
              </w:rPr>
            </w:pPr>
            <w:r>
              <w:rPr>
                <w:sz w:val="18"/>
                <w:szCs w:val="18"/>
              </w:rPr>
              <w:t>-</w:t>
            </w:r>
          </w:p>
        </w:tc>
        <w:tc>
          <w:tcPr>
            <w:tcW w:w="3402" w:type="dxa"/>
          </w:tcPr>
          <w:p w14:paraId="5CD0646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RSNOMORE_PGR_ALL_1Y_E315</w:t>
            </w:r>
          </w:p>
        </w:tc>
        <w:tc>
          <w:tcPr>
            <w:tcW w:w="3634" w:type="dxa"/>
          </w:tcPr>
          <w:p w14:paraId="41A865F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Main reason not working more hours, of postgraduates (research) employed part-time, by preference for more hours and gender, 2022 (%)</w:t>
            </w:r>
          </w:p>
        </w:tc>
      </w:tr>
      <w:tr w:rsidR="00F52390" w:rsidRPr="00CF3E3D" w14:paraId="56478C0B"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6927C63" w14:textId="77777777" w:rsidR="00F52390" w:rsidRPr="00CF3E3D" w:rsidRDefault="00F52390" w:rsidP="007007AC">
            <w:pPr>
              <w:spacing w:before="0"/>
              <w:rPr>
                <w:sz w:val="18"/>
                <w:szCs w:val="18"/>
              </w:rPr>
            </w:pPr>
            <w:r w:rsidRPr="00CF3E3D">
              <w:rPr>
                <w:sz w:val="18"/>
                <w:szCs w:val="18"/>
              </w:rPr>
              <w:t>Table 14</w:t>
            </w:r>
          </w:p>
        </w:tc>
        <w:tc>
          <w:tcPr>
            <w:tcW w:w="3402" w:type="dxa"/>
          </w:tcPr>
          <w:p w14:paraId="0CBAA853"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RSOVRQ_UG_ALL_1Y</w:t>
            </w:r>
          </w:p>
        </w:tc>
        <w:tc>
          <w:tcPr>
            <w:tcW w:w="3634" w:type="dxa"/>
          </w:tcPr>
          <w:p w14:paraId="6FD84121"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Main reason for working in job in 2022 that doesn’t fully use skills and education, 2022 (%)</w:t>
            </w:r>
          </w:p>
        </w:tc>
      </w:tr>
      <w:tr w:rsidR="00F52390" w:rsidRPr="00CF3E3D" w14:paraId="5EE5E768"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1D461FB" w14:textId="7564ABC6" w:rsidR="00F52390" w:rsidRPr="00CF3E3D" w:rsidRDefault="003259D0" w:rsidP="007007AC">
            <w:pPr>
              <w:spacing w:before="0"/>
              <w:rPr>
                <w:sz w:val="18"/>
                <w:szCs w:val="18"/>
              </w:rPr>
            </w:pPr>
            <w:r>
              <w:rPr>
                <w:sz w:val="18"/>
                <w:szCs w:val="18"/>
              </w:rPr>
              <w:lastRenderedPageBreak/>
              <w:t>-</w:t>
            </w:r>
          </w:p>
        </w:tc>
        <w:tc>
          <w:tcPr>
            <w:tcW w:w="3402" w:type="dxa"/>
          </w:tcPr>
          <w:p w14:paraId="1BBFA7D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RSOVRQ_PGC_ALL_1Y</w:t>
            </w:r>
          </w:p>
        </w:tc>
        <w:tc>
          <w:tcPr>
            <w:tcW w:w="3634" w:type="dxa"/>
          </w:tcPr>
          <w:p w14:paraId="229590EF"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Main reason for working in job in 2022 that doesn’t fully use skills and education, postgraduate coursework level graduates, 2022 (%)</w:t>
            </w:r>
          </w:p>
        </w:tc>
      </w:tr>
      <w:tr w:rsidR="00F52390" w:rsidRPr="00CF3E3D" w14:paraId="14B823A8"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4EB5EAB" w14:textId="321EC42A" w:rsidR="00F52390" w:rsidRPr="00CF3E3D" w:rsidRDefault="003259D0" w:rsidP="007007AC">
            <w:pPr>
              <w:spacing w:before="0"/>
              <w:rPr>
                <w:sz w:val="18"/>
                <w:szCs w:val="18"/>
              </w:rPr>
            </w:pPr>
            <w:r>
              <w:rPr>
                <w:sz w:val="18"/>
                <w:szCs w:val="18"/>
              </w:rPr>
              <w:t>-</w:t>
            </w:r>
          </w:p>
        </w:tc>
        <w:tc>
          <w:tcPr>
            <w:tcW w:w="3402" w:type="dxa"/>
          </w:tcPr>
          <w:p w14:paraId="449B9073"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RSOVRQ_PGR_ALL_1Y</w:t>
            </w:r>
          </w:p>
        </w:tc>
        <w:tc>
          <w:tcPr>
            <w:tcW w:w="3634" w:type="dxa"/>
          </w:tcPr>
          <w:p w14:paraId="1F016CD0"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Main reason for working in job in 2022 that doesn’t fully use skills and education, postgraduate research level graduates, 2022 (%)</w:t>
            </w:r>
          </w:p>
        </w:tc>
      </w:tr>
      <w:tr w:rsidR="00F52390" w:rsidRPr="00CF3E3D" w14:paraId="6E04275E"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73CB16E" w14:textId="61585533" w:rsidR="00F52390" w:rsidRPr="00CF3E3D" w:rsidRDefault="003259D0" w:rsidP="007007AC">
            <w:pPr>
              <w:spacing w:before="0"/>
              <w:rPr>
                <w:sz w:val="18"/>
                <w:szCs w:val="18"/>
              </w:rPr>
            </w:pPr>
            <w:r>
              <w:rPr>
                <w:sz w:val="18"/>
                <w:szCs w:val="18"/>
              </w:rPr>
              <w:t>-</w:t>
            </w:r>
          </w:p>
        </w:tc>
        <w:tc>
          <w:tcPr>
            <w:tcW w:w="3402" w:type="dxa"/>
          </w:tcPr>
          <w:p w14:paraId="6E6FBB2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RSOVRQ_UG_ALL_1Y_AREA</w:t>
            </w:r>
          </w:p>
        </w:tc>
        <w:tc>
          <w:tcPr>
            <w:tcW w:w="3634" w:type="dxa"/>
          </w:tcPr>
          <w:p w14:paraId="4F6B9A1D"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level graduates reporting occupation does not fully use skills and education,  and main reason being no suitable jobs in my area of expertise, by study area, 2022 (%)</w:t>
            </w:r>
          </w:p>
        </w:tc>
      </w:tr>
      <w:tr w:rsidR="00F52390" w:rsidRPr="00CF3E3D" w14:paraId="3E071B9D"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0674360" w14:textId="14C96C7B" w:rsidR="00F52390" w:rsidRPr="00CF3E3D" w:rsidRDefault="003259D0" w:rsidP="007007AC">
            <w:pPr>
              <w:spacing w:before="0"/>
              <w:rPr>
                <w:sz w:val="18"/>
                <w:szCs w:val="18"/>
              </w:rPr>
            </w:pPr>
            <w:r>
              <w:rPr>
                <w:sz w:val="18"/>
                <w:szCs w:val="18"/>
              </w:rPr>
              <w:t>-</w:t>
            </w:r>
          </w:p>
        </w:tc>
        <w:tc>
          <w:tcPr>
            <w:tcW w:w="3402" w:type="dxa"/>
          </w:tcPr>
          <w:p w14:paraId="0490880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RSOVRQ_PGC_ALL_1Y_AREA</w:t>
            </w:r>
          </w:p>
        </w:tc>
        <w:tc>
          <w:tcPr>
            <w:tcW w:w="3634" w:type="dxa"/>
          </w:tcPr>
          <w:p w14:paraId="37BF3954"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coursework level graduates reporting occupation does not fully use skills and education, and main reason being no suitable jobs in my area of expertise, by study area, 2022 (%)</w:t>
            </w:r>
          </w:p>
        </w:tc>
      </w:tr>
      <w:tr w:rsidR="00F52390" w:rsidRPr="00CF3E3D" w14:paraId="27640D2C"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1BB368B" w14:textId="0E537431" w:rsidR="00F52390" w:rsidRPr="00CF3E3D" w:rsidRDefault="003259D0" w:rsidP="007007AC">
            <w:pPr>
              <w:spacing w:before="0"/>
              <w:rPr>
                <w:sz w:val="18"/>
                <w:szCs w:val="18"/>
              </w:rPr>
            </w:pPr>
            <w:r>
              <w:rPr>
                <w:sz w:val="18"/>
                <w:szCs w:val="18"/>
              </w:rPr>
              <w:t>-</w:t>
            </w:r>
          </w:p>
        </w:tc>
        <w:tc>
          <w:tcPr>
            <w:tcW w:w="3402" w:type="dxa"/>
          </w:tcPr>
          <w:p w14:paraId="76284A8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RSOVRQ_PGR_ALL_1Y_AREA</w:t>
            </w:r>
          </w:p>
        </w:tc>
        <w:tc>
          <w:tcPr>
            <w:tcW w:w="3634" w:type="dxa"/>
          </w:tcPr>
          <w:p w14:paraId="02C05406"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research level graduates reporting occupation does not fully use skills and education, and main reason being no suitable jobs in my area of expertise, by study area, 2022 (%)</w:t>
            </w:r>
          </w:p>
        </w:tc>
      </w:tr>
      <w:tr w:rsidR="00F52390" w:rsidRPr="00CF3E3D" w14:paraId="6637041B"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45A2428" w14:textId="329D368C" w:rsidR="00F52390" w:rsidRPr="00CF3E3D" w:rsidRDefault="003259D0" w:rsidP="007007AC">
            <w:pPr>
              <w:spacing w:before="0"/>
              <w:rPr>
                <w:sz w:val="18"/>
                <w:szCs w:val="18"/>
              </w:rPr>
            </w:pPr>
            <w:r>
              <w:rPr>
                <w:sz w:val="18"/>
                <w:szCs w:val="18"/>
              </w:rPr>
              <w:t>-</w:t>
            </w:r>
          </w:p>
        </w:tc>
        <w:tc>
          <w:tcPr>
            <w:tcW w:w="3402" w:type="dxa"/>
          </w:tcPr>
          <w:p w14:paraId="5129F4D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SPOQSCL_UG_ALL_1Y</w:t>
            </w:r>
          </w:p>
        </w:tc>
        <w:tc>
          <w:tcPr>
            <w:tcW w:w="3634" w:type="dxa"/>
          </w:tcPr>
          <w:p w14:paraId="51A29B92"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Undergraduate level graduates reporting occupation does not fully use skills or education, 2022 (%)</w:t>
            </w:r>
          </w:p>
        </w:tc>
      </w:tr>
      <w:tr w:rsidR="00F52390" w:rsidRPr="00CF3E3D" w14:paraId="7E7C1EF9"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7A5785E" w14:textId="54425BEB" w:rsidR="00F52390" w:rsidRPr="00CF3E3D" w:rsidRDefault="003259D0" w:rsidP="007007AC">
            <w:pPr>
              <w:spacing w:before="0"/>
              <w:rPr>
                <w:sz w:val="18"/>
                <w:szCs w:val="18"/>
              </w:rPr>
            </w:pPr>
            <w:r>
              <w:rPr>
                <w:sz w:val="18"/>
                <w:szCs w:val="18"/>
              </w:rPr>
              <w:t>-</w:t>
            </w:r>
          </w:p>
        </w:tc>
        <w:tc>
          <w:tcPr>
            <w:tcW w:w="3402" w:type="dxa"/>
          </w:tcPr>
          <w:p w14:paraId="520791F4"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SPOQSCL_PG_ALL_1Y</w:t>
            </w:r>
          </w:p>
        </w:tc>
        <w:tc>
          <w:tcPr>
            <w:tcW w:w="3634" w:type="dxa"/>
          </w:tcPr>
          <w:p w14:paraId="0777156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level graduates reporting occupation does not fully use skills or education, 2022 (%)</w:t>
            </w:r>
          </w:p>
        </w:tc>
      </w:tr>
    </w:tbl>
    <w:p w14:paraId="10CD3604" w14:textId="77777777" w:rsidR="003259D0" w:rsidRDefault="003259D0" w:rsidP="003259D0">
      <w:pPr>
        <w:pStyle w:val="FigureNote"/>
      </w:pPr>
      <w:bookmarkStart w:id="312" w:name="_Toc116035576"/>
      <w:bookmarkStart w:id="313" w:name="_Toc116039931"/>
      <w:bookmarkEnd w:id="308"/>
      <w:r w:rsidRPr="00CF3E3D">
        <w:t xml:space="preserve">Note: A </w:t>
      </w:r>
      <w:r>
        <w:t xml:space="preserve">‘-‘ </w:t>
      </w:r>
      <w:r w:rsidRPr="00CF3E3D">
        <w:t xml:space="preserve">indicates there is no data </w:t>
      </w:r>
      <w:r>
        <w:t xml:space="preserve">/ information available </w:t>
      </w:r>
      <w:r w:rsidRPr="00CF3E3D">
        <w:t>for that cell</w:t>
      </w:r>
    </w:p>
    <w:p w14:paraId="7ABD3682" w14:textId="77777777" w:rsidR="00F52390" w:rsidRPr="00393F26" w:rsidRDefault="00F52390" w:rsidP="00393F26">
      <w:pPr>
        <w:pStyle w:val="Heading3"/>
        <w:numPr>
          <w:ilvl w:val="0"/>
          <w:numId w:val="0"/>
        </w:numPr>
        <w:ind w:left="851" w:hanging="851"/>
        <w:rPr>
          <w:color w:val="000000" w:themeColor="text1"/>
        </w:rPr>
      </w:pPr>
      <w:r w:rsidRPr="00393F26">
        <w:rPr>
          <w:color w:val="000000" w:themeColor="text1"/>
        </w:rPr>
        <w:t>6.1.8 Further study</w:t>
      </w:r>
      <w:bookmarkEnd w:id="312"/>
      <w:bookmarkEnd w:id="313"/>
    </w:p>
    <w:p w14:paraId="47E10366" w14:textId="77777777" w:rsidR="00F52390" w:rsidRPr="00CF3E3D" w:rsidRDefault="00F52390" w:rsidP="00F52390">
      <w:pPr>
        <w:pStyle w:val="Body"/>
      </w:pPr>
      <w:r w:rsidRPr="00CF3E3D">
        <w:t xml:space="preserve">This group of tables present the proportion of graduates engaged in further full-time study four to six months after completing their course. </w:t>
      </w:r>
    </w:p>
    <w:p w14:paraId="1E4C48BB" w14:textId="52A81641" w:rsidR="00F52390" w:rsidRPr="00393F26" w:rsidRDefault="00F52390" w:rsidP="00F52390">
      <w:pPr>
        <w:pStyle w:val="Caption"/>
        <w:rPr>
          <w:color w:val="000000" w:themeColor="text1"/>
        </w:rPr>
      </w:pPr>
      <w:bookmarkStart w:id="314" w:name="_Toc116035833"/>
      <w:bookmarkStart w:id="315" w:name="_Toc116040388"/>
      <w:r w:rsidRPr="00393F26">
        <w:rPr>
          <w:color w:val="000000" w:themeColor="text1"/>
        </w:rPr>
        <w:t xml:space="preserve">Table </w:t>
      </w:r>
      <w:r w:rsidRPr="00393F26">
        <w:rPr>
          <w:color w:val="000000" w:themeColor="text1"/>
        </w:rPr>
        <w:fldChar w:fldCharType="begin"/>
      </w:r>
      <w:r w:rsidRPr="00393F26">
        <w:rPr>
          <w:color w:val="000000" w:themeColor="text1"/>
        </w:rPr>
        <w:instrText xml:space="preserve"> SEQ Table \* ARABIC </w:instrText>
      </w:r>
      <w:r w:rsidRPr="00393F26">
        <w:rPr>
          <w:color w:val="000000" w:themeColor="text1"/>
        </w:rPr>
        <w:fldChar w:fldCharType="separate"/>
      </w:r>
      <w:r w:rsidR="00393F26" w:rsidRPr="00393F26">
        <w:rPr>
          <w:noProof/>
          <w:color w:val="000000" w:themeColor="text1"/>
        </w:rPr>
        <w:t>39</w:t>
      </w:r>
      <w:r w:rsidRPr="00393F26">
        <w:rPr>
          <w:color w:val="000000" w:themeColor="text1"/>
        </w:rPr>
        <w:fldChar w:fldCharType="end"/>
      </w:r>
      <w:r w:rsidRPr="00393F26">
        <w:rPr>
          <w:color w:val="000000" w:themeColor="text1"/>
        </w:rPr>
        <w:t xml:space="preserve"> Tables associated with graduates undertaking further full-time study</w:t>
      </w:r>
      <w:bookmarkEnd w:id="314"/>
      <w:bookmarkEnd w:id="315"/>
    </w:p>
    <w:tbl>
      <w:tblPr>
        <w:tblStyle w:val="SRC1"/>
        <w:tblW w:w="0" w:type="auto"/>
        <w:tblLook w:val="04A0" w:firstRow="1" w:lastRow="0" w:firstColumn="1" w:lastColumn="0" w:noHBand="0" w:noVBand="1"/>
      </w:tblPr>
      <w:tblGrid>
        <w:gridCol w:w="1980"/>
        <w:gridCol w:w="3402"/>
        <w:gridCol w:w="3634"/>
      </w:tblGrid>
      <w:tr w:rsidR="00F52390" w:rsidRPr="00CF3E3D" w14:paraId="4F642896"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6F8EFE41" w14:textId="77777777" w:rsidR="00F52390" w:rsidRPr="00393F26" w:rsidRDefault="00F52390" w:rsidP="007007AC">
            <w:pPr>
              <w:spacing w:before="0"/>
              <w:rPr>
                <w:b w:val="0"/>
                <w:bCs/>
                <w:color w:val="FFFFFF" w:themeColor="background1"/>
                <w:sz w:val="18"/>
                <w:szCs w:val="18"/>
              </w:rPr>
            </w:pPr>
            <w:bookmarkStart w:id="316" w:name="Title39"/>
            <w:bookmarkEnd w:id="316"/>
            <w:r w:rsidRPr="00393F26">
              <w:rPr>
                <w:bCs/>
                <w:color w:val="FFFFFF" w:themeColor="background1"/>
                <w:sz w:val="18"/>
                <w:szCs w:val="18"/>
              </w:rPr>
              <w:t>Report table</w:t>
            </w:r>
          </w:p>
        </w:tc>
        <w:tc>
          <w:tcPr>
            <w:tcW w:w="3402" w:type="dxa"/>
          </w:tcPr>
          <w:p w14:paraId="5BBCF906" w14:textId="77777777" w:rsidR="00F52390" w:rsidRPr="00393F26"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393F26">
              <w:rPr>
                <w:bCs/>
                <w:color w:val="FFFFFF" w:themeColor="background1"/>
                <w:sz w:val="18"/>
                <w:szCs w:val="18"/>
              </w:rPr>
              <w:t>Sheet name</w:t>
            </w:r>
          </w:p>
        </w:tc>
        <w:tc>
          <w:tcPr>
            <w:tcW w:w="3634" w:type="dxa"/>
          </w:tcPr>
          <w:p w14:paraId="7BAA4D4B" w14:textId="77777777" w:rsidR="00F52390" w:rsidRPr="00393F26"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393F26">
              <w:rPr>
                <w:bCs/>
                <w:color w:val="FFFFFF" w:themeColor="background1"/>
                <w:sz w:val="18"/>
                <w:szCs w:val="18"/>
              </w:rPr>
              <w:t>Table title</w:t>
            </w:r>
          </w:p>
        </w:tc>
      </w:tr>
      <w:tr w:rsidR="00F52390" w:rsidRPr="00CF3E3D" w14:paraId="4F4A04BA"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075E386" w14:textId="77777777" w:rsidR="00F52390" w:rsidRPr="00CF3E3D" w:rsidRDefault="00F52390" w:rsidP="007007AC">
            <w:pPr>
              <w:spacing w:before="0"/>
              <w:rPr>
                <w:sz w:val="18"/>
                <w:szCs w:val="18"/>
              </w:rPr>
            </w:pPr>
            <w:r w:rsidRPr="00CF3E3D">
              <w:rPr>
                <w:sz w:val="18"/>
                <w:szCs w:val="18"/>
              </w:rPr>
              <w:t>Table 15</w:t>
            </w:r>
          </w:p>
        </w:tc>
        <w:tc>
          <w:tcPr>
            <w:tcW w:w="3402" w:type="dxa"/>
          </w:tcPr>
          <w:p w14:paraId="55A66E22"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FURSTUD_UG_ALL_1Y_AREA</w:t>
            </w:r>
          </w:p>
        </w:tc>
        <w:tc>
          <w:tcPr>
            <w:tcW w:w="3634" w:type="dxa"/>
          </w:tcPr>
          <w:p w14:paraId="6CDC021D"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Undergraduate graduates in further full-time study, by original field of study (%)</w:t>
            </w:r>
          </w:p>
        </w:tc>
      </w:tr>
      <w:tr w:rsidR="00F52390" w:rsidRPr="00CF3E3D" w14:paraId="3FFA53FF"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5A42684" w14:textId="2B9E03A8" w:rsidR="00F52390" w:rsidRPr="00CF3E3D" w:rsidRDefault="003259D0" w:rsidP="007007AC">
            <w:pPr>
              <w:spacing w:before="0"/>
              <w:rPr>
                <w:sz w:val="18"/>
                <w:szCs w:val="18"/>
              </w:rPr>
            </w:pPr>
            <w:r>
              <w:rPr>
                <w:sz w:val="18"/>
                <w:szCs w:val="18"/>
              </w:rPr>
              <w:t>-</w:t>
            </w:r>
          </w:p>
        </w:tc>
        <w:tc>
          <w:tcPr>
            <w:tcW w:w="3402" w:type="dxa"/>
          </w:tcPr>
          <w:p w14:paraId="656672B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FURSTUD_PGC_ALL_1Y_AREA</w:t>
            </w:r>
          </w:p>
        </w:tc>
        <w:tc>
          <w:tcPr>
            <w:tcW w:w="3634" w:type="dxa"/>
          </w:tcPr>
          <w:p w14:paraId="264BAB60"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Postgraduate coursework graduates in further full-time study, by original field of study (%)</w:t>
            </w:r>
          </w:p>
        </w:tc>
      </w:tr>
      <w:tr w:rsidR="00F52390" w:rsidRPr="00CF3E3D" w14:paraId="66493498"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1753A7A" w14:textId="67FF1374" w:rsidR="00F52390" w:rsidRPr="00CF3E3D" w:rsidRDefault="003259D0" w:rsidP="007007AC">
            <w:pPr>
              <w:spacing w:before="0"/>
              <w:rPr>
                <w:sz w:val="18"/>
                <w:szCs w:val="18"/>
              </w:rPr>
            </w:pPr>
            <w:r>
              <w:rPr>
                <w:sz w:val="18"/>
                <w:szCs w:val="18"/>
              </w:rPr>
              <w:t>-</w:t>
            </w:r>
          </w:p>
        </w:tc>
        <w:tc>
          <w:tcPr>
            <w:tcW w:w="3402" w:type="dxa"/>
          </w:tcPr>
          <w:p w14:paraId="09510FD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FURSTUD_PGR_ALL_1Y_AREA</w:t>
            </w:r>
          </w:p>
        </w:tc>
        <w:tc>
          <w:tcPr>
            <w:tcW w:w="3634" w:type="dxa"/>
          </w:tcPr>
          <w:p w14:paraId="05D8B94B"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Postgraduate research graduates in further full-time study, by original field of study (%)</w:t>
            </w:r>
          </w:p>
        </w:tc>
      </w:tr>
      <w:tr w:rsidR="00F52390" w:rsidRPr="00CF3E3D" w14:paraId="56B3BD6C"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21739236" w14:textId="77777777" w:rsidR="00F52390" w:rsidRPr="00CF3E3D" w:rsidRDefault="00F52390" w:rsidP="007007AC">
            <w:pPr>
              <w:spacing w:before="0"/>
              <w:rPr>
                <w:sz w:val="18"/>
                <w:szCs w:val="18"/>
              </w:rPr>
            </w:pPr>
            <w:r w:rsidRPr="00CF3E3D">
              <w:rPr>
                <w:sz w:val="18"/>
                <w:szCs w:val="18"/>
              </w:rPr>
              <w:t>Table 16</w:t>
            </w:r>
          </w:p>
        </w:tc>
        <w:tc>
          <w:tcPr>
            <w:tcW w:w="3402" w:type="dxa"/>
          </w:tcPr>
          <w:p w14:paraId="69BCDB7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FURSTUD_UG_ALL_1Y_FOE</w:t>
            </w:r>
          </w:p>
        </w:tc>
        <w:tc>
          <w:tcPr>
            <w:tcW w:w="3634" w:type="dxa"/>
          </w:tcPr>
          <w:p w14:paraId="0D3C206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Study area of undergraduate graduates in further full-time study (%)</w:t>
            </w:r>
          </w:p>
        </w:tc>
      </w:tr>
      <w:tr w:rsidR="00F52390" w:rsidRPr="00CF3E3D" w14:paraId="1FC324B8"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876C64E" w14:textId="3F9A37A9" w:rsidR="00F52390" w:rsidRPr="00CF3E3D" w:rsidRDefault="003259D0" w:rsidP="007007AC">
            <w:pPr>
              <w:spacing w:before="0"/>
              <w:rPr>
                <w:sz w:val="18"/>
                <w:szCs w:val="18"/>
              </w:rPr>
            </w:pPr>
            <w:r>
              <w:rPr>
                <w:sz w:val="18"/>
                <w:szCs w:val="18"/>
              </w:rPr>
              <w:t>-</w:t>
            </w:r>
          </w:p>
        </w:tc>
        <w:tc>
          <w:tcPr>
            <w:tcW w:w="3402" w:type="dxa"/>
          </w:tcPr>
          <w:p w14:paraId="0FA271A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FURSTUD_PGC_ALL_1Y_FOE</w:t>
            </w:r>
          </w:p>
        </w:tc>
        <w:tc>
          <w:tcPr>
            <w:tcW w:w="3634" w:type="dxa"/>
          </w:tcPr>
          <w:p w14:paraId="65EF134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Study area of postgraduate coursework graduates in further full-time study (%)</w:t>
            </w:r>
          </w:p>
        </w:tc>
      </w:tr>
      <w:tr w:rsidR="00F52390" w:rsidRPr="00CF3E3D" w14:paraId="2BA90734"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C647AD7" w14:textId="1A56252A" w:rsidR="00F52390" w:rsidRPr="00CF3E3D" w:rsidRDefault="003259D0" w:rsidP="007007AC">
            <w:pPr>
              <w:spacing w:before="0"/>
              <w:rPr>
                <w:sz w:val="18"/>
                <w:szCs w:val="18"/>
              </w:rPr>
            </w:pPr>
            <w:r>
              <w:rPr>
                <w:sz w:val="18"/>
                <w:szCs w:val="18"/>
              </w:rPr>
              <w:t>-</w:t>
            </w:r>
          </w:p>
        </w:tc>
        <w:tc>
          <w:tcPr>
            <w:tcW w:w="3402" w:type="dxa"/>
          </w:tcPr>
          <w:p w14:paraId="55C95555"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FURSTUD_PGR_ALL_1Y_FOE</w:t>
            </w:r>
          </w:p>
        </w:tc>
        <w:tc>
          <w:tcPr>
            <w:tcW w:w="3634" w:type="dxa"/>
          </w:tcPr>
          <w:p w14:paraId="27DB85CE"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Study area of postgraduate research graduates in further full-time study (%)</w:t>
            </w:r>
          </w:p>
        </w:tc>
      </w:tr>
      <w:tr w:rsidR="00F52390" w:rsidRPr="00CF3E3D" w14:paraId="319E0CC3"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E8627CA" w14:textId="75DC7CC5" w:rsidR="00F52390" w:rsidRPr="00CF3E3D" w:rsidRDefault="003259D0" w:rsidP="007007AC">
            <w:pPr>
              <w:spacing w:before="0"/>
              <w:rPr>
                <w:sz w:val="18"/>
                <w:szCs w:val="18"/>
              </w:rPr>
            </w:pPr>
            <w:r>
              <w:rPr>
                <w:sz w:val="18"/>
                <w:szCs w:val="18"/>
              </w:rPr>
              <w:lastRenderedPageBreak/>
              <w:t>-</w:t>
            </w:r>
          </w:p>
        </w:tc>
        <w:tc>
          <w:tcPr>
            <w:tcW w:w="3402" w:type="dxa"/>
          </w:tcPr>
          <w:p w14:paraId="4BB1385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FURSTUD_UG_ALL_1Y_DG</w:t>
            </w:r>
          </w:p>
        </w:tc>
        <w:tc>
          <w:tcPr>
            <w:tcW w:w="3634" w:type="dxa"/>
          </w:tcPr>
          <w:p w14:paraId="68CA3D4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Further full-time study status for initial undergraduates, by demographic profile (%)</w:t>
            </w:r>
          </w:p>
        </w:tc>
      </w:tr>
      <w:tr w:rsidR="00F52390" w:rsidRPr="00CF3E3D" w14:paraId="2FAF32E6"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75C5641" w14:textId="26AB7A78" w:rsidR="00F52390" w:rsidRPr="00CF3E3D" w:rsidRDefault="003259D0" w:rsidP="007007AC">
            <w:pPr>
              <w:spacing w:before="0"/>
              <w:rPr>
                <w:sz w:val="18"/>
                <w:szCs w:val="18"/>
              </w:rPr>
            </w:pPr>
            <w:r>
              <w:rPr>
                <w:sz w:val="18"/>
                <w:szCs w:val="18"/>
              </w:rPr>
              <w:t>-</w:t>
            </w:r>
          </w:p>
        </w:tc>
        <w:tc>
          <w:tcPr>
            <w:tcW w:w="3402" w:type="dxa"/>
          </w:tcPr>
          <w:p w14:paraId="4C65C50B"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FURSTUD_PG_ALL_1Y_DG</w:t>
            </w:r>
          </w:p>
        </w:tc>
        <w:tc>
          <w:tcPr>
            <w:tcW w:w="3634" w:type="dxa"/>
          </w:tcPr>
          <w:p w14:paraId="77451122"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Graduates in further full-time study, by initial postgraduate study level, by demographic profile, 2022 (%)</w:t>
            </w:r>
          </w:p>
        </w:tc>
      </w:tr>
    </w:tbl>
    <w:p w14:paraId="1B860C76" w14:textId="77777777" w:rsidR="003259D0" w:rsidRDefault="003259D0" w:rsidP="003259D0">
      <w:pPr>
        <w:pStyle w:val="FigureNote"/>
      </w:pPr>
      <w:bookmarkStart w:id="317" w:name="_Toc116035577"/>
      <w:bookmarkStart w:id="318" w:name="_Toc116039932"/>
      <w:r w:rsidRPr="00CF3E3D">
        <w:t xml:space="preserve">Note: A </w:t>
      </w:r>
      <w:r>
        <w:t xml:space="preserve">‘-‘ </w:t>
      </w:r>
      <w:r w:rsidRPr="00CF3E3D">
        <w:t xml:space="preserve">indicates there is no data </w:t>
      </w:r>
      <w:r>
        <w:t xml:space="preserve">/ information available </w:t>
      </w:r>
      <w:r w:rsidRPr="00CF3E3D">
        <w:t>for that cell</w:t>
      </w:r>
    </w:p>
    <w:p w14:paraId="6F406A9B" w14:textId="77777777" w:rsidR="00F52390" w:rsidRPr="00393F26" w:rsidRDefault="00F52390" w:rsidP="00393F26">
      <w:pPr>
        <w:pStyle w:val="Heading3"/>
        <w:numPr>
          <w:ilvl w:val="0"/>
          <w:numId w:val="0"/>
        </w:numPr>
        <w:ind w:left="851" w:hanging="851"/>
        <w:rPr>
          <w:color w:val="000000" w:themeColor="text1"/>
        </w:rPr>
      </w:pPr>
      <w:r w:rsidRPr="00393F26">
        <w:rPr>
          <w:color w:val="000000" w:themeColor="text1"/>
        </w:rPr>
        <w:t>6.1.9 Satisfaction</w:t>
      </w:r>
      <w:bookmarkEnd w:id="317"/>
      <w:bookmarkEnd w:id="318"/>
    </w:p>
    <w:p w14:paraId="1546C056" w14:textId="77777777" w:rsidR="00F52390" w:rsidRPr="00CF3E3D" w:rsidRDefault="00F52390" w:rsidP="00F52390">
      <w:pPr>
        <w:pStyle w:val="Body"/>
      </w:pPr>
      <w:r w:rsidRPr="00CF3E3D">
        <w:t>This group of tables present level of graduate satisfaction with their course. Results can be viewed by study level, institution type and demographic group.</w:t>
      </w:r>
    </w:p>
    <w:p w14:paraId="564D58D1" w14:textId="328B358D" w:rsidR="00F52390" w:rsidRPr="00393F26" w:rsidRDefault="00F52390" w:rsidP="00F52390">
      <w:pPr>
        <w:pStyle w:val="Caption"/>
        <w:rPr>
          <w:color w:val="000000" w:themeColor="text1"/>
        </w:rPr>
      </w:pPr>
      <w:bookmarkStart w:id="319" w:name="_Toc116035834"/>
      <w:bookmarkStart w:id="320" w:name="_Toc116040389"/>
      <w:r w:rsidRPr="00393F26">
        <w:rPr>
          <w:color w:val="000000" w:themeColor="text1"/>
        </w:rPr>
        <w:t xml:space="preserve">Table </w:t>
      </w:r>
      <w:r w:rsidRPr="00393F26">
        <w:rPr>
          <w:color w:val="000000" w:themeColor="text1"/>
        </w:rPr>
        <w:fldChar w:fldCharType="begin"/>
      </w:r>
      <w:r w:rsidRPr="00393F26">
        <w:rPr>
          <w:color w:val="000000" w:themeColor="text1"/>
        </w:rPr>
        <w:instrText xml:space="preserve"> SEQ Table \* ARABIC </w:instrText>
      </w:r>
      <w:r w:rsidRPr="00393F26">
        <w:rPr>
          <w:color w:val="000000" w:themeColor="text1"/>
        </w:rPr>
        <w:fldChar w:fldCharType="separate"/>
      </w:r>
      <w:r w:rsidR="00393F26">
        <w:rPr>
          <w:noProof/>
          <w:color w:val="000000" w:themeColor="text1"/>
        </w:rPr>
        <w:t>40</w:t>
      </w:r>
      <w:r w:rsidRPr="00393F26">
        <w:rPr>
          <w:color w:val="000000" w:themeColor="text1"/>
        </w:rPr>
        <w:fldChar w:fldCharType="end"/>
      </w:r>
      <w:r w:rsidRPr="00393F26">
        <w:rPr>
          <w:color w:val="000000" w:themeColor="text1"/>
        </w:rPr>
        <w:t xml:space="preserve"> Tables associated with graduate satisfaction</w:t>
      </w:r>
      <w:bookmarkEnd w:id="319"/>
      <w:bookmarkEnd w:id="320"/>
    </w:p>
    <w:tbl>
      <w:tblPr>
        <w:tblStyle w:val="SRC1"/>
        <w:tblW w:w="0" w:type="auto"/>
        <w:tblLook w:val="04A0" w:firstRow="1" w:lastRow="0" w:firstColumn="1" w:lastColumn="0" w:noHBand="0" w:noVBand="1"/>
      </w:tblPr>
      <w:tblGrid>
        <w:gridCol w:w="1980"/>
        <w:gridCol w:w="3402"/>
        <w:gridCol w:w="3634"/>
      </w:tblGrid>
      <w:tr w:rsidR="00F52390" w:rsidRPr="00CF3E3D" w14:paraId="5FF6911E"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70551EE4" w14:textId="77777777" w:rsidR="00F52390" w:rsidRPr="00393F26" w:rsidRDefault="00F52390" w:rsidP="007007AC">
            <w:pPr>
              <w:spacing w:before="0"/>
              <w:rPr>
                <w:b w:val="0"/>
                <w:bCs/>
                <w:color w:val="FFFFFF" w:themeColor="background1"/>
                <w:sz w:val="18"/>
                <w:szCs w:val="18"/>
              </w:rPr>
            </w:pPr>
            <w:bookmarkStart w:id="321" w:name="Title40"/>
            <w:bookmarkEnd w:id="321"/>
            <w:r w:rsidRPr="00393F26">
              <w:rPr>
                <w:bCs/>
                <w:color w:val="FFFFFF" w:themeColor="background1"/>
                <w:sz w:val="18"/>
                <w:szCs w:val="18"/>
              </w:rPr>
              <w:t>Report table</w:t>
            </w:r>
          </w:p>
        </w:tc>
        <w:tc>
          <w:tcPr>
            <w:tcW w:w="3402" w:type="dxa"/>
          </w:tcPr>
          <w:p w14:paraId="0C8F1049" w14:textId="77777777" w:rsidR="00F52390" w:rsidRPr="00393F26"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393F26">
              <w:rPr>
                <w:bCs/>
                <w:color w:val="FFFFFF" w:themeColor="background1"/>
                <w:sz w:val="18"/>
                <w:szCs w:val="18"/>
              </w:rPr>
              <w:t>Sheet name</w:t>
            </w:r>
          </w:p>
        </w:tc>
        <w:tc>
          <w:tcPr>
            <w:tcW w:w="3634" w:type="dxa"/>
          </w:tcPr>
          <w:p w14:paraId="677072F2" w14:textId="77777777" w:rsidR="00F52390" w:rsidRPr="00393F26"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393F26">
              <w:rPr>
                <w:bCs/>
                <w:color w:val="FFFFFF" w:themeColor="background1"/>
                <w:sz w:val="18"/>
                <w:szCs w:val="18"/>
              </w:rPr>
              <w:t>Table title</w:t>
            </w:r>
          </w:p>
        </w:tc>
      </w:tr>
      <w:tr w:rsidR="00F52390" w:rsidRPr="00CF3E3D" w14:paraId="5660F363"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12A189F" w14:textId="77777777" w:rsidR="00F52390" w:rsidRPr="00CF3E3D" w:rsidRDefault="00F52390" w:rsidP="007007AC">
            <w:pPr>
              <w:spacing w:before="0"/>
              <w:rPr>
                <w:sz w:val="18"/>
                <w:szCs w:val="18"/>
              </w:rPr>
            </w:pPr>
            <w:r w:rsidRPr="00CF3E3D">
              <w:rPr>
                <w:sz w:val="18"/>
                <w:szCs w:val="18"/>
              </w:rPr>
              <w:t>Figure 03/Table 18</w:t>
            </w:r>
          </w:p>
        </w:tc>
        <w:tc>
          <w:tcPr>
            <w:tcW w:w="3402" w:type="dxa"/>
          </w:tcPr>
          <w:p w14:paraId="16FF54BF"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SAT_UG_ALL_2Y</w:t>
            </w:r>
          </w:p>
        </w:tc>
        <w:tc>
          <w:tcPr>
            <w:tcW w:w="3634" w:type="dxa"/>
          </w:tcPr>
          <w:p w14:paraId="5C62D3B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Satisfaction of undergraduate level graduates, 2021 and 2022 (% agreement)</w:t>
            </w:r>
          </w:p>
        </w:tc>
      </w:tr>
      <w:tr w:rsidR="00F52390" w:rsidRPr="00CF3E3D" w14:paraId="41163188"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06609FC" w14:textId="77777777" w:rsidR="00F52390" w:rsidRPr="00CF3E3D" w:rsidRDefault="00F52390" w:rsidP="007007AC">
            <w:pPr>
              <w:spacing w:before="0"/>
              <w:rPr>
                <w:sz w:val="18"/>
                <w:szCs w:val="18"/>
              </w:rPr>
            </w:pPr>
            <w:r w:rsidRPr="00CF3E3D">
              <w:rPr>
                <w:sz w:val="18"/>
                <w:szCs w:val="18"/>
              </w:rPr>
              <w:t>Figure 03</w:t>
            </w:r>
          </w:p>
        </w:tc>
        <w:tc>
          <w:tcPr>
            <w:tcW w:w="3402" w:type="dxa"/>
          </w:tcPr>
          <w:p w14:paraId="4599ED6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SAT_PGC_ALL_2Y</w:t>
            </w:r>
          </w:p>
        </w:tc>
        <w:tc>
          <w:tcPr>
            <w:tcW w:w="3634" w:type="dxa"/>
          </w:tcPr>
          <w:p w14:paraId="3D354EA0"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Satisfaction of postgraduate coursework level graduates, 2021 and 2022 (% agreement)</w:t>
            </w:r>
          </w:p>
        </w:tc>
      </w:tr>
      <w:tr w:rsidR="00F52390" w:rsidRPr="00CF3E3D" w14:paraId="2E23EAB2"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B770D58" w14:textId="77777777" w:rsidR="00F52390" w:rsidRPr="00CF3E3D" w:rsidRDefault="00F52390" w:rsidP="007007AC">
            <w:pPr>
              <w:spacing w:before="0"/>
              <w:rPr>
                <w:sz w:val="18"/>
                <w:szCs w:val="18"/>
              </w:rPr>
            </w:pPr>
            <w:r w:rsidRPr="00CF3E3D">
              <w:rPr>
                <w:sz w:val="18"/>
                <w:szCs w:val="18"/>
              </w:rPr>
              <w:t>Figure 04</w:t>
            </w:r>
          </w:p>
        </w:tc>
        <w:tc>
          <w:tcPr>
            <w:tcW w:w="3402" w:type="dxa"/>
          </w:tcPr>
          <w:p w14:paraId="7147A1C3"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SAT_PGR_ALL_2Y</w:t>
            </w:r>
          </w:p>
        </w:tc>
        <w:tc>
          <w:tcPr>
            <w:tcW w:w="3634" w:type="dxa"/>
          </w:tcPr>
          <w:p w14:paraId="6415A9E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Satisfaction of postgraduate research level graduates, 2021 and 2022 (% agreement)</w:t>
            </w:r>
          </w:p>
        </w:tc>
      </w:tr>
      <w:tr w:rsidR="00F52390" w:rsidRPr="00CF3E3D" w14:paraId="338A11B7"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2EF7818" w14:textId="77777777" w:rsidR="00F52390" w:rsidRPr="00CF3E3D" w:rsidRDefault="00F52390" w:rsidP="007007AC">
            <w:pPr>
              <w:spacing w:before="0"/>
              <w:rPr>
                <w:sz w:val="18"/>
                <w:szCs w:val="18"/>
              </w:rPr>
            </w:pPr>
            <w:r w:rsidRPr="00CF3E3D">
              <w:rPr>
                <w:sz w:val="18"/>
                <w:szCs w:val="18"/>
              </w:rPr>
              <w:t>Table 17</w:t>
            </w:r>
          </w:p>
        </w:tc>
        <w:tc>
          <w:tcPr>
            <w:tcW w:w="3402" w:type="dxa"/>
          </w:tcPr>
          <w:p w14:paraId="27DF0AD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SAT_UG_ALL_2Y_AREA</w:t>
            </w:r>
          </w:p>
        </w:tc>
        <w:tc>
          <w:tcPr>
            <w:tcW w:w="3634" w:type="dxa"/>
          </w:tcPr>
          <w:p w14:paraId="32B0611B"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Satisfaction of undergraduate level graduates, by study area, 2021 and 2022 (% agreement)</w:t>
            </w:r>
          </w:p>
        </w:tc>
      </w:tr>
      <w:tr w:rsidR="00F52390" w:rsidRPr="00CF3E3D" w14:paraId="25CD40D5"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2D66934" w14:textId="77777777" w:rsidR="00F52390" w:rsidRPr="00CF3E3D" w:rsidRDefault="00F52390" w:rsidP="007007AC">
            <w:pPr>
              <w:spacing w:before="0"/>
              <w:rPr>
                <w:sz w:val="18"/>
                <w:szCs w:val="18"/>
              </w:rPr>
            </w:pPr>
            <w:r w:rsidRPr="00CF3E3D">
              <w:rPr>
                <w:sz w:val="18"/>
                <w:szCs w:val="18"/>
              </w:rPr>
              <w:t>Table 17</w:t>
            </w:r>
          </w:p>
        </w:tc>
        <w:tc>
          <w:tcPr>
            <w:tcW w:w="3402" w:type="dxa"/>
          </w:tcPr>
          <w:p w14:paraId="068ED3EC"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SAT_PGC_ALL_2Y_AREA</w:t>
            </w:r>
          </w:p>
        </w:tc>
        <w:tc>
          <w:tcPr>
            <w:tcW w:w="3634" w:type="dxa"/>
          </w:tcPr>
          <w:p w14:paraId="3064CB0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Satisfaction of postgraduate coursework level graduates, by study area, 2021 and 2022 (% agreement)</w:t>
            </w:r>
          </w:p>
        </w:tc>
      </w:tr>
      <w:tr w:rsidR="00F52390" w:rsidRPr="00CF3E3D" w14:paraId="08D9C084"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E3CDFD4" w14:textId="0098CD8F" w:rsidR="00F52390" w:rsidRPr="00CF3E3D" w:rsidRDefault="003259D0" w:rsidP="007007AC">
            <w:pPr>
              <w:spacing w:before="0"/>
              <w:rPr>
                <w:sz w:val="18"/>
                <w:szCs w:val="18"/>
              </w:rPr>
            </w:pPr>
            <w:r>
              <w:rPr>
                <w:sz w:val="18"/>
                <w:szCs w:val="18"/>
              </w:rPr>
              <w:t>-</w:t>
            </w:r>
          </w:p>
        </w:tc>
        <w:tc>
          <w:tcPr>
            <w:tcW w:w="3402" w:type="dxa"/>
          </w:tcPr>
          <w:p w14:paraId="1063A78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SAT_PGR_ALL_2Y_AREA</w:t>
            </w:r>
          </w:p>
        </w:tc>
        <w:tc>
          <w:tcPr>
            <w:tcW w:w="3634" w:type="dxa"/>
          </w:tcPr>
          <w:p w14:paraId="5A1F966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Satisfaction of postgraduate research level graduates, by study area, 2021 and 2022 (% agreement)</w:t>
            </w:r>
          </w:p>
        </w:tc>
      </w:tr>
      <w:tr w:rsidR="00F52390" w:rsidRPr="00CF3E3D" w14:paraId="5DFFD25F"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24BB4C4A" w14:textId="01128D64" w:rsidR="00F52390" w:rsidRPr="00CF3E3D" w:rsidRDefault="003259D0" w:rsidP="007007AC">
            <w:pPr>
              <w:spacing w:before="0"/>
              <w:rPr>
                <w:sz w:val="18"/>
                <w:szCs w:val="18"/>
              </w:rPr>
            </w:pPr>
            <w:r>
              <w:rPr>
                <w:sz w:val="18"/>
                <w:szCs w:val="18"/>
              </w:rPr>
              <w:t>-</w:t>
            </w:r>
          </w:p>
        </w:tc>
        <w:tc>
          <w:tcPr>
            <w:tcW w:w="3402" w:type="dxa"/>
          </w:tcPr>
          <w:p w14:paraId="406A7F8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SAT_UG_ALL_1Y_DG</w:t>
            </w:r>
          </w:p>
        </w:tc>
        <w:tc>
          <w:tcPr>
            <w:tcW w:w="3634" w:type="dxa"/>
          </w:tcPr>
          <w:p w14:paraId="50AB7DA4"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Satisfaction of undergraduate level graduates, by demographic group, 2022 (% agreement)</w:t>
            </w:r>
          </w:p>
        </w:tc>
      </w:tr>
      <w:tr w:rsidR="00F52390" w:rsidRPr="00CF3E3D" w14:paraId="7269FB20"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3A365F87" w14:textId="3FC6EFC6" w:rsidR="00F52390" w:rsidRPr="00CF3E3D" w:rsidRDefault="003259D0" w:rsidP="007007AC">
            <w:pPr>
              <w:spacing w:before="0"/>
              <w:rPr>
                <w:sz w:val="18"/>
                <w:szCs w:val="18"/>
              </w:rPr>
            </w:pPr>
            <w:r>
              <w:rPr>
                <w:sz w:val="18"/>
                <w:szCs w:val="18"/>
              </w:rPr>
              <w:t>-</w:t>
            </w:r>
          </w:p>
        </w:tc>
        <w:tc>
          <w:tcPr>
            <w:tcW w:w="3402" w:type="dxa"/>
          </w:tcPr>
          <w:p w14:paraId="52FB8FCA"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SAT_PGC_ALL_1Y_DG</w:t>
            </w:r>
          </w:p>
        </w:tc>
        <w:tc>
          <w:tcPr>
            <w:tcW w:w="3634" w:type="dxa"/>
          </w:tcPr>
          <w:p w14:paraId="17C818BE"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Satisfaction of postgraduate coursework level graduates, by demographic group, 2022 (% agreement)</w:t>
            </w:r>
          </w:p>
        </w:tc>
      </w:tr>
      <w:tr w:rsidR="00F52390" w:rsidRPr="00CF3E3D" w14:paraId="45756CC9"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6D3ED1D" w14:textId="4DE957FB" w:rsidR="00F52390" w:rsidRPr="00CF3E3D" w:rsidRDefault="003259D0" w:rsidP="007007AC">
            <w:pPr>
              <w:spacing w:before="0"/>
              <w:rPr>
                <w:sz w:val="18"/>
                <w:szCs w:val="18"/>
              </w:rPr>
            </w:pPr>
            <w:r>
              <w:rPr>
                <w:sz w:val="18"/>
                <w:szCs w:val="18"/>
              </w:rPr>
              <w:t>-</w:t>
            </w:r>
          </w:p>
        </w:tc>
        <w:tc>
          <w:tcPr>
            <w:tcW w:w="3402" w:type="dxa"/>
          </w:tcPr>
          <w:p w14:paraId="6B3C605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SAT_PGR_ALL_1Y_DG</w:t>
            </w:r>
          </w:p>
        </w:tc>
        <w:tc>
          <w:tcPr>
            <w:tcW w:w="3634" w:type="dxa"/>
          </w:tcPr>
          <w:p w14:paraId="06494F5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 xml:space="preserve">Satisfaction of postgraduate research level graduates, by demographic group, 2022 (% agreement) </w:t>
            </w:r>
          </w:p>
        </w:tc>
      </w:tr>
      <w:tr w:rsidR="00F52390" w:rsidRPr="00CF3E3D" w14:paraId="76C83E9B"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4DB2CFE" w14:textId="0BE109A2" w:rsidR="00F52390" w:rsidRPr="00CF3E3D" w:rsidRDefault="003259D0" w:rsidP="007007AC">
            <w:pPr>
              <w:spacing w:before="0"/>
              <w:rPr>
                <w:sz w:val="18"/>
                <w:szCs w:val="18"/>
              </w:rPr>
            </w:pPr>
            <w:r>
              <w:rPr>
                <w:sz w:val="18"/>
                <w:szCs w:val="18"/>
              </w:rPr>
              <w:t>-</w:t>
            </w:r>
          </w:p>
        </w:tc>
        <w:tc>
          <w:tcPr>
            <w:tcW w:w="3402" w:type="dxa"/>
          </w:tcPr>
          <w:p w14:paraId="2759DB2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SAT_UG_UNI_2Y_AREA</w:t>
            </w:r>
          </w:p>
        </w:tc>
        <w:tc>
          <w:tcPr>
            <w:tcW w:w="3634" w:type="dxa"/>
          </w:tcPr>
          <w:p w14:paraId="3D3A0B17"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Satisfaction of undergraduate level graduates, by study area, 2021 and 2022 (% agreement) (Unis only)</w:t>
            </w:r>
          </w:p>
        </w:tc>
      </w:tr>
      <w:tr w:rsidR="00F52390" w:rsidRPr="00CF3E3D" w14:paraId="625D2E2D"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B16A48F" w14:textId="533B5056" w:rsidR="00F52390" w:rsidRPr="00CF3E3D" w:rsidRDefault="003259D0" w:rsidP="007007AC">
            <w:pPr>
              <w:spacing w:before="0"/>
              <w:rPr>
                <w:sz w:val="18"/>
                <w:szCs w:val="18"/>
              </w:rPr>
            </w:pPr>
            <w:r>
              <w:rPr>
                <w:sz w:val="18"/>
                <w:szCs w:val="18"/>
              </w:rPr>
              <w:t>-</w:t>
            </w:r>
          </w:p>
        </w:tc>
        <w:tc>
          <w:tcPr>
            <w:tcW w:w="3402" w:type="dxa"/>
          </w:tcPr>
          <w:p w14:paraId="2EB403A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SAT_UG_NUHEI_2Y_AREA</w:t>
            </w:r>
          </w:p>
        </w:tc>
        <w:tc>
          <w:tcPr>
            <w:tcW w:w="3634" w:type="dxa"/>
          </w:tcPr>
          <w:p w14:paraId="4AFCE154"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Satisfaction of undergraduate level graduates, by study area, 2021 and 2022 (% agreement) (NUHEIs only)</w:t>
            </w:r>
          </w:p>
        </w:tc>
      </w:tr>
    </w:tbl>
    <w:p w14:paraId="364A3E0A" w14:textId="77777777" w:rsidR="00A8147A" w:rsidRDefault="00A8147A" w:rsidP="00A8147A">
      <w:pPr>
        <w:pStyle w:val="FigureNote"/>
      </w:pPr>
      <w:bookmarkStart w:id="322" w:name="_Toc116035578"/>
      <w:bookmarkStart w:id="323" w:name="_Toc116039933"/>
      <w:r w:rsidRPr="00CF3E3D">
        <w:t xml:space="preserve">Note: A </w:t>
      </w:r>
      <w:r>
        <w:t xml:space="preserve">‘-‘ </w:t>
      </w:r>
      <w:r w:rsidRPr="00CF3E3D">
        <w:t xml:space="preserve">indicates there is no data </w:t>
      </w:r>
      <w:r>
        <w:t xml:space="preserve">/ information available </w:t>
      </w:r>
      <w:r w:rsidRPr="00CF3E3D">
        <w:t>for that cell</w:t>
      </w:r>
    </w:p>
    <w:p w14:paraId="2BC16C4F" w14:textId="77777777" w:rsidR="00F52390" w:rsidRPr="00962297" w:rsidRDefault="00F52390" w:rsidP="00962297">
      <w:pPr>
        <w:pStyle w:val="Heading2"/>
        <w:numPr>
          <w:ilvl w:val="0"/>
          <w:numId w:val="0"/>
        </w:numPr>
        <w:ind w:left="851" w:hanging="851"/>
        <w:rPr>
          <w:color w:val="000000" w:themeColor="text1"/>
        </w:rPr>
      </w:pPr>
      <w:r w:rsidRPr="00962297">
        <w:rPr>
          <w:color w:val="000000" w:themeColor="text1"/>
        </w:rPr>
        <w:t>6.2 Methodological tables</w:t>
      </w:r>
      <w:bookmarkEnd w:id="322"/>
      <w:bookmarkEnd w:id="323"/>
    </w:p>
    <w:p w14:paraId="3664E51F" w14:textId="77777777" w:rsidR="00F52390" w:rsidRPr="00CF3E3D" w:rsidRDefault="00F52390" w:rsidP="00F52390">
      <w:pPr>
        <w:pStyle w:val="Body"/>
      </w:pPr>
      <w:r w:rsidRPr="00CF3E3D">
        <w:t>This group of tables relate to the operational and methodological aspects of the GOS including response rates, response characteristics such as student demographics and study area, as well as representativeness of the respondents as compared to the sample population.</w:t>
      </w:r>
    </w:p>
    <w:p w14:paraId="57B6A89B" w14:textId="77777777" w:rsidR="00F52390" w:rsidRPr="00CF3E3D" w:rsidRDefault="00F52390" w:rsidP="00F52390">
      <w:pPr>
        <w:pStyle w:val="Body"/>
      </w:pPr>
      <w:r w:rsidRPr="00CF3E3D">
        <w:lastRenderedPageBreak/>
        <w:t>For more detailed discussion and analysis of methodology including the sampling design and approach, data collection and processing, data quality, response characteristics, approach to weighting and precision please refer to the 2022 GOS Methodological Report, which is available on the QILT website.</w:t>
      </w:r>
    </w:p>
    <w:p w14:paraId="156F340D" w14:textId="7FE444E5" w:rsidR="00F52390" w:rsidRPr="00962297" w:rsidRDefault="00F52390" w:rsidP="00F52390">
      <w:pPr>
        <w:pStyle w:val="Caption"/>
        <w:rPr>
          <w:color w:val="000000" w:themeColor="text1"/>
        </w:rPr>
      </w:pPr>
      <w:bookmarkStart w:id="324" w:name="_Toc116035835"/>
      <w:bookmarkStart w:id="325" w:name="_Toc116040390"/>
      <w:r w:rsidRPr="00962297">
        <w:rPr>
          <w:color w:val="000000" w:themeColor="text1"/>
        </w:rPr>
        <w:t xml:space="preserve">Table </w:t>
      </w:r>
      <w:r w:rsidRPr="00962297">
        <w:rPr>
          <w:color w:val="000000" w:themeColor="text1"/>
        </w:rPr>
        <w:fldChar w:fldCharType="begin"/>
      </w:r>
      <w:r w:rsidRPr="00962297">
        <w:rPr>
          <w:color w:val="000000" w:themeColor="text1"/>
        </w:rPr>
        <w:instrText xml:space="preserve"> SEQ Table \* ARABIC </w:instrText>
      </w:r>
      <w:r w:rsidRPr="00962297">
        <w:rPr>
          <w:color w:val="000000" w:themeColor="text1"/>
        </w:rPr>
        <w:fldChar w:fldCharType="separate"/>
      </w:r>
      <w:r w:rsidR="00962297" w:rsidRPr="00962297">
        <w:rPr>
          <w:noProof/>
          <w:color w:val="000000" w:themeColor="text1"/>
        </w:rPr>
        <w:t>41</w:t>
      </w:r>
      <w:r w:rsidRPr="00962297">
        <w:rPr>
          <w:color w:val="000000" w:themeColor="text1"/>
        </w:rPr>
        <w:fldChar w:fldCharType="end"/>
      </w:r>
      <w:r w:rsidRPr="00962297">
        <w:rPr>
          <w:color w:val="000000" w:themeColor="text1"/>
        </w:rPr>
        <w:t xml:space="preserve"> Tables associated with key project elements and response rates by institution</w:t>
      </w:r>
      <w:bookmarkEnd w:id="324"/>
      <w:bookmarkEnd w:id="325"/>
    </w:p>
    <w:tbl>
      <w:tblPr>
        <w:tblStyle w:val="SRC1"/>
        <w:tblW w:w="0" w:type="auto"/>
        <w:tblLook w:val="04A0" w:firstRow="1" w:lastRow="0" w:firstColumn="1" w:lastColumn="0" w:noHBand="0" w:noVBand="1"/>
      </w:tblPr>
      <w:tblGrid>
        <w:gridCol w:w="1980"/>
        <w:gridCol w:w="3402"/>
        <w:gridCol w:w="3634"/>
      </w:tblGrid>
      <w:tr w:rsidR="00F52390" w:rsidRPr="00CF3E3D" w14:paraId="3E89F26E" w14:textId="77777777" w:rsidTr="0010119B">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662CA638" w14:textId="77777777" w:rsidR="00F52390" w:rsidRPr="00962297" w:rsidRDefault="00F52390" w:rsidP="00B53F4C">
            <w:pPr>
              <w:spacing w:before="0"/>
              <w:rPr>
                <w:b w:val="0"/>
                <w:bCs/>
                <w:color w:val="FFFFFF" w:themeColor="background1"/>
                <w:sz w:val="18"/>
                <w:szCs w:val="18"/>
              </w:rPr>
            </w:pPr>
            <w:bookmarkStart w:id="326" w:name="Title41"/>
            <w:bookmarkEnd w:id="326"/>
            <w:r w:rsidRPr="00962297">
              <w:rPr>
                <w:bCs/>
                <w:color w:val="FFFFFF" w:themeColor="background1"/>
                <w:sz w:val="18"/>
                <w:szCs w:val="18"/>
              </w:rPr>
              <w:t>Report table</w:t>
            </w:r>
          </w:p>
        </w:tc>
        <w:tc>
          <w:tcPr>
            <w:tcW w:w="3402" w:type="dxa"/>
          </w:tcPr>
          <w:p w14:paraId="59F1A7D4" w14:textId="77777777" w:rsidR="00F52390" w:rsidRPr="00962297" w:rsidRDefault="00F52390" w:rsidP="00B53F4C">
            <w:pPr>
              <w:spacing w:before="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962297">
              <w:rPr>
                <w:bCs/>
                <w:color w:val="FFFFFF" w:themeColor="background1"/>
                <w:sz w:val="18"/>
                <w:szCs w:val="18"/>
              </w:rPr>
              <w:t>Sheet name</w:t>
            </w:r>
          </w:p>
        </w:tc>
        <w:tc>
          <w:tcPr>
            <w:tcW w:w="3634" w:type="dxa"/>
          </w:tcPr>
          <w:p w14:paraId="26C06907" w14:textId="77777777" w:rsidR="00F52390" w:rsidRPr="00962297" w:rsidRDefault="00F52390" w:rsidP="00B53F4C">
            <w:pPr>
              <w:spacing w:before="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962297">
              <w:rPr>
                <w:bCs/>
                <w:color w:val="FFFFFF" w:themeColor="background1"/>
                <w:sz w:val="18"/>
                <w:szCs w:val="18"/>
              </w:rPr>
              <w:t>Table title</w:t>
            </w:r>
          </w:p>
        </w:tc>
      </w:tr>
      <w:tr w:rsidR="00F52390" w:rsidRPr="00CF3E3D" w14:paraId="67A3E1D4" w14:textId="77777777" w:rsidTr="001011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4D264B57" w14:textId="77777777" w:rsidR="00F52390" w:rsidRPr="00CF3E3D" w:rsidRDefault="00F52390" w:rsidP="007007AC">
            <w:pPr>
              <w:spacing w:before="0"/>
              <w:rPr>
                <w:sz w:val="18"/>
                <w:szCs w:val="18"/>
              </w:rPr>
            </w:pPr>
            <w:r w:rsidRPr="00CF3E3D">
              <w:rPr>
                <w:sz w:val="18"/>
                <w:szCs w:val="18"/>
              </w:rPr>
              <w:t>Table 19</w:t>
            </w:r>
          </w:p>
        </w:tc>
        <w:tc>
          <w:tcPr>
            <w:tcW w:w="3402" w:type="dxa"/>
          </w:tcPr>
          <w:p w14:paraId="5125193A"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SUMMARY_ALL_ALL_1Y</w:t>
            </w:r>
          </w:p>
        </w:tc>
        <w:tc>
          <w:tcPr>
            <w:tcW w:w="3634" w:type="dxa"/>
          </w:tcPr>
          <w:p w14:paraId="1745B0FF"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GOS 2022 Collection Summary</w:t>
            </w:r>
          </w:p>
        </w:tc>
      </w:tr>
      <w:tr w:rsidR="00F52390" w:rsidRPr="00CF3E3D" w14:paraId="5EB1B261" w14:textId="77777777" w:rsidTr="0010119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151B6EE4" w14:textId="593ADE59" w:rsidR="00F52390" w:rsidRPr="00CF3E3D" w:rsidRDefault="00A8147A" w:rsidP="007007AC">
            <w:pPr>
              <w:spacing w:before="0"/>
              <w:rPr>
                <w:sz w:val="18"/>
                <w:szCs w:val="18"/>
              </w:rPr>
            </w:pPr>
            <w:r>
              <w:rPr>
                <w:sz w:val="18"/>
                <w:szCs w:val="18"/>
              </w:rPr>
              <w:t>-</w:t>
            </w:r>
          </w:p>
        </w:tc>
        <w:tc>
          <w:tcPr>
            <w:tcW w:w="3402" w:type="dxa"/>
          </w:tcPr>
          <w:p w14:paraId="5879D161"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SUMMARY_ALL_ALL_1Y_1P</w:t>
            </w:r>
          </w:p>
        </w:tc>
        <w:tc>
          <w:tcPr>
            <w:tcW w:w="3634" w:type="dxa"/>
          </w:tcPr>
          <w:p w14:paraId="54626B0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GOS 2021 Collection Summary</w:t>
            </w:r>
          </w:p>
        </w:tc>
      </w:tr>
      <w:tr w:rsidR="00F52390" w:rsidRPr="00CF3E3D" w14:paraId="0094DDD8" w14:textId="77777777" w:rsidTr="001011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2151937" w14:textId="4270D892" w:rsidR="00F52390" w:rsidRPr="00CF3E3D" w:rsidRDefault="00A8147A" w:rsidP="007007AC">
            <w:pPr>
              <w:spacing w:before="0"/>
              <w:rPr>
                <w:sz w:val="18"/>
                <w:szCs w:val="18"/>
              </w:rPr>
            </w:pPr>
            <w:r>
              <w:rPr>
                <w:sz w:val="18"/>
                <w:szCs w:val="18"/>
              </w:rPr>
              <w:t>-</w:t>
            </w:r>
          </w:p>
        </w:tc>
        <w:tc>
          <w:tcPr>
            <w:tcW w:w="3402" w:type="dxa"/>
          </w:tcPr>
          <w:p w14:paraId="5E7534FC"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SUMMARY_ALL_ALL_1Y_2P</w:t>
            </w:r>
          </w:p>
        </w:tc>
        <w:tc>
          <w:tcPr>
            <w:tcW w:w="3634" w:type="dxa"/>
          </w:tcPr>
          <w:p w14:paraId="517E97DD"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GOS 2020 Collection summary</w:t>
            </w:r>
          </w:p>
        </w:tc>
      </w:tr>
      <w:tr w:rsidR="00F52390" w:rsidRPr="00CF3E3D" w14:paraId="2456A5CE" w14:textId="77777777" w:rsidTr="0010119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6A0F51CD" w14:textId="7E312384" w:rsidR="00F52390" w:rsidRPr="00CF3E3D" w:rsidRDefault="00A8147A" w:rsidP="007007AC">
            <w:pPr>
              <w:spacing w:before="0"/>
              <w:rPr>
                <w:sz w:val="18"/>
                <w:szCs w:val="18"/>
              </w:rPr>
            </w:pPr>
            <w:r>
              <w:rPr>
                <w:sz w:val="18"/>
                <w:szCs w:val="18"/>
              </w:rPr>
              <w:t>-</w:t>
            </w:r>
          </w:p>
        </w:tc>
        <w:tc>
          <w:tcPr>
            <w:tcW w:w="3402" w:type="dxa"/>
          </w:tcPr>
          <w:p w14:paraId="68C2175D"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SUMMARY_ALL_ALL_1Y_3P</w:t>
            </w:r>
          </w:p>
        </w:tc>
        <w:tc>
          <w:tcPr>
            <w:tcW w:w="3634" w:type="dxa"/>
          </w:tcPr>
          <w:p w14:paraId="790733AE"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GOS 2019 Collection summary</w:t>
            </w:r>
          </w:p>
        </w:tc>
      </w:tr>
      <w:tr w:rsidR="00F52390" w:rsidRPr="00CF3E3D" w14:paraId="08353588" w14:textId="77777777" w:rsidTr="001011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2B239299" w14:textId="77777777" w:rsidR="00F52390" w:rsidRPr="00CF3E3D" w:rsidRDefault="00F52390" w:rsidP="007007AC">
            <w:pPr>
              <w:spacing w:before="0"/>
              <w:rPr>
                <w:sz w:val="18"/>
                <w:szCs w:val="18"/>
              </w:rPr>
            </w:pPr>
            <w:r w:rsidRPr="00CF3E3D">
              <w:rPr>
                <w:sz w:val="18"/>
                <w:szCs w:val="18"/>
              </w:rPr>
              <w:t>Table 21</w:t>
            </w:r>
          </w:p>
        </w:tc>
        <w:tc>
          <w:tcPr>
            <w:tcW w:w="3402" w:type="dxa"/>
          </w:tcPr>
          <w:p w14:paraId="0EBBCB5B"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RR_ALL_UNI_1Y</w:t>
            </w:r>
          </w:p>
        </w:tc>
        <w:tc>
          <w:tcPr>
            <w:tcW w:w="3634" w:type="dxa"/>
          </w:tcPr>
          <w:p w14:paraId="55751861"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GOS 2022 response rates by institution (universities only), Nov 2021, Feb and May 2022 collections (%)</w:t>
            </w:r>
          </w:p>
        </w:tc>
      </w:tr>
      <w:tr w:rsidR="00F52390" w:rsidRPr="00CF3E3D" w14:paraId="21E32F06" w14:textId="77777777" w:rsidTr="0010119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7C535248" w14:textId="77777777" w:rsidR="00F52390" w:rsidRPr="00CF3E3D" w:rsidRDefault="00F52390" w:rsidP="007007AC">
            <w:pPr>
              <w:spacing w:before="0"/>
              <w:rPr>
                <w:sz w:val="18"/>
                <w:szCs w:val="18"/>
              </w:rPr>
            </w:pPr>
            <w:r w:rsidRPr="00CF3E3D">
              <w:rPr>
                <w:sz w:val="18"/>
                <w:szCs w:val="18"/>
              </w:rPr>
              <w:t>Table 22</w:t>
            </w:r>
          </w:p>
        </w:tc>
        <w:tc>
          <w:tcPr>
            <w:tcW w:w="3402" w:type="dxa"/>
          </w:tcPr>
          <w:p w14:paraId="238896FC"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RR_ALL_NUHEI_1Y</w:t>
            </w:r>
          </w:p>
        </w:tc>
        <w:tc>
          <w:tcPr>
            <w:tcW w:w="3634" w:type="dxa"/>
          </w:tcPr>
          <w:p w14:paraId="4A14FAB8"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GOS 2022 response rates by institution (NUHEIs only), Nov 2021, Feb and May 2022 collections (%)</w:t>
            </w:r>
          </w:p>
        </w:tc>
      </w:tr>
      <w:tr w:rsidR="00F52390" w:rsidRPr="00CF3E3D" w14:paraId="65231072" w14:textId="77777777" w:rsidTr="001011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238FCC47" w14:textId="77777777" w:rsidR="00F52390" w:rsidRPr="00CF3E3D" w:rsidRDefault="00F52390" w:rsidP="007007AC">
            <w:pPr>
              <w:spacing w:before="0"/>
              <w:rPr>
                <w:sz w:val="18"/>
                <w:szCs w:val="18"/>
              </w:rPr>
            </w:pPr>
            <w:r w:rsidRPr="00CF3E3D">
              <w:rPr>
                <w:sz w:val="18"/>
                <w:szCs w:val="18"/>
              </w:rPr>
              <w:t>Table 20</w:t>
            </w:r>
          </w:p>
        </w:tc>
        <w:tc>
          <w:tcPr>
            <w:tcW w:w="3402" w:type="dxa"/>
          </w:tcPr>
          <w:p w14:paraId="5E9C8420"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RR_UG_ALL_1Y</w:t>
            </w:r>
          </w:p>
        </w:tc>
        <w:tc>
          <w:tcPr>
            <w:tcW w:w="3634" w:type="dxa"/>
          </w:tcPr>
          <w:p w14:paraId="3585B2A4"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GOS 2022 undergraduate response rates by institution type, Nov 2021, Feb and May 2022 collections (%)</w:t>
            </w:r>
          </w:p>
        </w:tc>
      </w:tr>
      <w:tr w:rsidR="00F52390" w:rsidRPr="00CF3E3D" w14:paraId="12D83CBD" w14:textId="77777777" w:rsidTr="0010119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D3AE193" w14:textId="77777777" w:rsidR="00F52390" w:rsidRPr="00CF3E3D" w:rsidRDefault="00F52390" w:rsidP="007007AC">
            <w:pPr>
              <w:spacing w:before="0"/>
              <w:rPr>
                <w:sz w:val="18"/>
                <w:szCs w:val="18"/>
              </w:rPr>
            </w:pPr>
            <w:r w:rsidRPr="00CF3E3D">
              <w:rPr>
                <w:sz w:val="18"/>
                <w:szCs w:val="18"/>
              </w:rPr>
              <w:t>Table 20</w:t>
            </w:r>
          </w:p>
        </w:tc>
        <w:tc>
          <w:tcPr>
            <w:tcW w:w="3402" w:type="dxa"/>
          </w:tcPr>
          <w:p w14:paraId="26EC770E"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RR_PGC_ALL_1Y</w:t>
            </w:r>
          </w:p>
        </w:tc>
        <w:tc>
          <w:tcPr>
            <w:tcW w:w="3634" w:type="dxa"/>
          </w:tcPr>
          <w:p w14:paraId="58A025D5"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GOS 2022 postgraduate (coursework) response rates by institution type, Nov 2021, Feb and May 2022 collections (%)</w:t>
            </w:r>
          </w:p>
        </w:tc>
      </w:tr>
      <w:tr w:rsidR="00F52390" w:rsidRPr="00CF3E3D" w14:paraId="64524B84" w14:textId="77777777" w:rsidTr="001011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0C9EE8C5" w14:textId="77777777" w:rsidR="00F52390" w:rsidRPr="00CF3E3D" w:rsidRDefault="00F52390" w:rsidP="007007AC">
            <w:pPr>
              <w:spacing w:before="0"/>
              <w:rPr>
                <w:sz w:val="18"/>
                <w:szCs w:val="18"/>
              </w:rPr>
            </w:pPr>
            <w:r w:rsidRPr="00CF3E3D">
              <w:rPr>
                <w:sz w:val="18"/>
                <w:szCs w:val="18"/>
              </w:rPr>
              <w:t>Table 20</w:t>
            </w:r>
          </w:p>
        </w:tc>
        <w:tc>
          <w:tcPr>
            <w:tcW w:w="3402" w:type="dxa"/>
          </w:tcPr>
          <w:p w14:paraId="47547355"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RR_PGR_ALL_1Y</w:t>
            </w:r>
          </w:p>
        </w:tc>
        <w:tc>
          <w:tcPr>
            <w:tcW w:w="3634" w:type="dxa"/>
          </w:tcPr>
          <w:p w14:paraId="0DD94C57"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GOS 2022 postgraduate (research) response rates by institution type, Nov 2021, Feb and May 2022 collections (%)</w:t>
            </w:r>
          </w:p>
        </w:tc>
      </w:tr>
    </w:tbl>
    <w:p w14:paraId="3E2C6DEC" w14:textId="77777777" w:rsidR="00A8147A" w:rsidRDefault="00A8147A" w:rsidP="00A8147A">
      <w:pPr>
        <w:pStyle w:val="FigureNote"/>
      </w:pPr>
      <w:bookmarkStart w:id="327" w:name="_Toc116035836"/>
      <w:bookmarkStart w:id="328" w:name="_Toc116040391"/>
      <w:r w:rsidRPr="00CF3E3D">
        <w:t xml:space="preserve">Note: A </w:t>
      </w:r>
      <w:r>
        <w:t xml:space="preserve">‘-‘ </w:t>
      </w:r>
      <w:r w:rsidRPr="00CF3E3D">
        <w:t xml:space="preserve">indicates there is no data </w:t>
      </w:r>
      <w:r>
        <w:t xml:space="preserve">/ information available </w:t>
      </w:r>
      <w:r w:rsidRPr="00CF3E3D">
        <w:t>for that cell</w:t>
      </w:r>
    </w:p>
    <w:p w14:paraId="442803B5" w14:textId="49317ADA" w:rsidR="00F52390" w:rsidRPr="00962297" w:rsidRDefault="00F52390" w:rsidP="00F52390">
      <w:pPr>
        <w:pStyle w:val="Caption"/>
        <w:rPr>
          <w:color w:val="000000" w:themeColor="text1"/>
        </w:rPr>
      </w:pPr>
      <w:r w:rsidRPr="00962297">
        <w:rPr>
          <w:color w:val="000000" w:themeColor="text1"/>
        </w:rPr>
        <w:t xml:space="preserve">Table </w:t>
      </w:r>
      <w:r w:rsidRPr="00962297">
        <w:rPr>
          <w:color w:val="000000" w:themeColor="text1"/>
        </w:rPr>
        <w:fldChar w:fldCharType="begin"/>
      </w:r>
      <w:r w:rsidRPr="00962297">
        <w:rPr>
          <w:color w:val="000000" w:themeColor="text1"/>
        </w:rPr>
        <w:instrText xml:space="preserve"> SEQ Table \* ARABIC </w:instrText>
      </w:r>
      <w:r w:rsidRPr="00962297">
        <w:rPr>
          <w:color w:val="000000" w:themeColor="text1"/>
        </w:rPr>
        <w:fldChar w:fldCharType="separate"/>
      </w:r>
      <w:r w:rsidR="00962297" w:rsidRPr="00962297">
        <w:rPr>
          <w:noProof/>
          <w:color w:val="000000" w:themeColor="text1"/>
        </w:rPr>
        <w:t>42</w:t>
      </w:r>
      <w:r w:rsidRPr="00962297">
        <w:rPr>
          <w:color w:val="000000" w:themeColor="text1"/>
        </w:rPr>
        <w:fldChar w:fldCharType="end"/>
      </w:r>
      <w:r w:rsidRPr="00962297">
        <w:rPr>
          <w:color w:val="000000" w:themeColor="text1"/>
        </w:rPr>
        <w:t xml:space="preserve"> Tables associated with response characteristics and representativeness</w:t>
      </w:r>
      <w:bookmarkEnd w:id="327"/>
      <w:bookmarkEnd w:id="328"/>
    </w:p>
    <w:tbl>
      <w:tblPr>
        <w:tblStyle w:val="SRC1"/>
        <w:tblW w:w="0" w:type="auto"/>
        <w:tblLook w:val="04A0" w:firstRow="1" w:lastRow="0" w:firstColumn="1" w:lastColumn="0" w:noHBand="0" w:noVBand="1"/>
      </w:tblPr>
      <w:tblGrid>
        <w:gridCol w:w="1980"/>
        <w:gridCol w:w="3402"/>
        <w:gridCol w:w="3634"/>
      </w:tblGrid>
      <w:tr w:rsidR="00F52390" w:rsidRPr="00CF3E3D" w14:paraId="67FC8B61" w14:textId="77777777" w:rsidTr="00600E6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980" w:type="dxa"/>
          </w:tcPr>
          <w:p w14:paraId="4E232127" w14:textId="77777777" w:rsidR="00F52390" w:rsidRPr="00962297" w:rsidRDefault="00F52390" w:rsidP="007007AC">
            <w:pPr>
              <w:spacing w:before="0"/>
              <w:rPr>
                <w:b w:val="0"/>
                <w:bCs/>
                <w:color w:val="FFFFFF" w:themeColor="background1"/>
                <w:sz w:val="18"/>
                <w:szCs w:val="18"/>
              </w:rPr>
            </w:pPr>
            <w:bookmarkStart w:id="329" w:name="Title42"/>
            <w:bookmarkEnd w:id="329"/>
            <w:r w:rsidRPr="00962297">
              <w:rPr>
                <w:bCs/>
                <w:color w:val="FFFFFF" w:themeColor="background1"/>
                <w:sz w:val="18"/>
                <w:szCs w:val="18"/>
              </w:rPr>
              <w:t>Report table</w:t>
            </w:r>
          </w:p>
        </w:tc>
        <w:tc>
          <w:tcPr>
            <w:tcW w:w="3402" w:type="dxa"/>
          </w:tcPr>
          <w:p w14:paraId="34BBAC50" w14:textId="77777777" w:rsidR="00F52390" w:rsidRPr="00962297"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962297">
              <w:rPr>
                <w:bCs/>
                <w:color w:val="FFFFFF" w:themeColor="background1"/>
                <w:sz w:val="18"/>
                <w:szCs w:val="18"/>
              </w:rPr>
              <w:t>Sheet name</w:t>
            </w:r>
          </w:p>
        </w:tc>
        <w:tc>
          <w:tcPr>
            <w:tcW w:w="3634" w:type="dxa"/>
          </w:tcPr>
          <w:p w14:paraId="1ECE360E" w14:textId="77777777" w:rsidR="00F52390" w:rsidRPr="00962297" w:rsidRDefault="00F52390" w:rsidP="007007AC">
            <w:pPr>
              <w:spacing w:before="0"/>
              <w:cnfStyle w:val="100000000000" w:firstRow="1" w:lastRow="0" w:firstColumn="0" w:lastColumn="0" w:oddVBand="0" w:evenVBand="0" w:oddHBand="0" w:evenHBand="0" w:firstRowFirstColumn="0" w:firstRowLastColumn="0" w:lastRowFirstColumn="0" w:lastRowLastColumn="0"/>
              <w:rPr>
                <w:b w:val="0"/>
                <w:bCs/>
                <w:color w:val="FFFFFF" w:themeColor="background1"/>
                <w:sz w:val="18"/>
                <w:szCs w:val="18"/>
              </w:rPr>
            </w:pPr>
            <w:r w:rsidRPr="00962297">
              <w:rPr>
                <w:bCs/>
                <w:color w:val="FFFFFF" w:themeColor="background1"/>
                <w:sz w:val="18"/>
                <w:szCs w:val="18"/>
              </w:rPr>
              <w:t>Table title</w:t>
            </w:r>
          </w:p>
        </w:tc>
      </w:tr>
      <w:tr w:rsidR="00F52390" w:rsidRPr="00CF3E3D" w14:paraId="0577B9E2" w14:textId="77777777" w:rsidTr="00600E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E7BEF57" w14:textId="77777777" w:rsidR="00F52390" w:rsidRPr="00CF3E3D" w:rsidRDefault="00F52390" w:rsidP="007007AC">
            <w:pPr>
              <w:spacing w:before="0"/>
              <w:rPr>
                <w:sz w:val="18"/>
                <w:szCs w:val="18"/>
              </w:rPr>
            </w:pPr>
            <w:r w:rsidRPr="00CF3E3D">
              <w:rPr>
                <w:sz w:val="18"/>
                <w:szCs w:val="18"/>
              </w:rPr>
              <w:t>Table 23</w:t>
            </w:r>
          </w:p>
        </w:tc>
        <w:tc>
          <w:tcPr>
            <w:tcW w:w="3402" w:type="dxa"/>
          </w:tcPr>
          <w:p w14:paraId="5399B40C"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RR_ALL_ALL_1Y_TYPE</w:t>
            </w:r>
          </w:p>
        </w:tc>
        <w:tc>
          <w:tcPr>
            <w:tcW w:w="3634" w:type="dxa"/>
          </w:tcPr>
          <w:p w14:paraId="4A9D0939" w14:textId="77777777" w:rsidR="00F52390" w:rsidRPr="00CF3E3D" w:rsidRDefault="00F52390" w:rsidP="007007AC">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CF3E3D">
              <w:rPr>
                <w:sz w:val="18"/>
                <w:szCs w:val="18"/>
              </w:rPr>
              <w:t>GOS 2022 sample and response characteristics, by respondent type</w:t>
            </w:r>
          </w:p>
        </w:tc>
      </w:tr>
      <w:tr w:rsidR="00F52390" w:rsidRPr="00CF3E3D" w14:paraId="78B4746F" w14:textId="77777777" w:rsidTr="00600E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Pr>
          <w:p w14:paraId="5D22D556" w14:textId="77777777" w:rsidR="00F52390" w:rsidRPr="00CF3E3D" w:rsidRDefault="00F52390" w:rsidP="007007AC">
            <w:pPr>
              <w:spacing w:before="0"/>
              <w:rPr>
                <w:sz w:val="18"/>
                <w:szCs w:val="18"/>
              </w:rPr>
            </w:pPr>
            <w:r w:rsidRPr="00CF3E3D">
              <w:rPr>
                <w:sz w:val="18"/>
                <w:szCs w:val="18"/>
              </w:rPr>
              <w:t>Table 24</w:t>
            </w:r>
          </w:p>
        </w:tc>
        <w:tc>
          <w:tcPr>
            <w:tcW w:w="3402" w:type="dxa"/>
          </w:tcPr>
          <w:p w14:paraId="1C5F33F6"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RR_ALL_ALL_1Y_AREA</w:t>
            </w:r>
          </w:p>
        </w:tc>
        <w:tc>
          <w:tcPr>
            <w:tcW w:w="3634" w:type="dxa"/>
          </w:tcPr>
          <w:p w14:paraId="0B59378B" w14:textId="77777777" w:rsidR="00F52390" w:rsidRPr="00CF3E3D" w:rsidRDefault="00F52390" w:rsidP="007007AC">
            <w:pPr>
              <w:spacing w:before="0"/>
              <w:cnfStyle w:val="000000010000" w:firstRow="0" w:lastRow="0" w:firstColumn="0" w:lastColumn="0" w:oddVBand="0" w:evenVBand="0" w:oddHBand="0" w:evenHBand="1" w:firstRowFirstColumn="0" w:firstRowLastColumn="0" w:lastRowFirstColumn="0" w:lastRowLastColumn="0"/>
              <w:rPr>
                <w:sz w:val="18"/>
                <w:szCs w:val="18"/>
              </w:rPr>
            </w:pPr>
            <w:r w:rsidRPr="00CF3E3D">
              <w:rPr>
                <w:sz w:val="18"/>
                <w:szCs w:val="18"/>
              </w:rPr>
              <w:t>GOS 2022 sample and response characteristics, by study area</w:t>
            </w:r>
          </w:p>
        </w:tc>
      </w:tr>
    </w:tbl>
    <w:p w14:paraId="16552E90" w14:textId="77777777" w:rsidR="00F52390" w:rsidRPr="00CF3E3D" w:rsidRDefault="00F52390" w:rsidP="00387C3F">
      <w:pPr>
        <w:pStyle w:val="Tabletitle"/>
      </w:pPr>
    </w:p>
    <w:p w14:paraId="517006E0" w14:textId="77777777" w:rsidR="00387C3F" w:rsidRPr="00CF3E3D" w:rsidRDefault="00387C3F" w:rsidP="00040060">
      <w:pPr>
        <w:pStyle w:val="Body"/>
      </w:pPr>
    </w:p>
    <w:p w14:paraId="001A95B1" w14:textId="77777777" w:rsidR="00040060" w:rsidRPr="00CF3E3D" w:rsidRDefault="00040060" w:rsidP="006A79B6">
      <w:pPr>
        <w:pStyle w:val="Body"/>
      </w:pPr>
    </w:p>
    <w:p w14:paraId="3F90AB88" w14:textId="77777777" w:rsidR="006A79B6" w:rsidRPr="00CF3E3D" w:rsidRDefault="006A79B6" w:rsidP="006A79B6">
      <w:pPr>
        <w:pStyle w:val="Note"/>
        <w:spacing w:after="960"/>
        <w:rPr>
          <w:szCs w:val="16"/>
        </w:rPr>
      </w:pPr>
    </w:p>
    <w:p w14:paraId="5BC9BE4E" w14:textId="1A2CFDB2" w:rsidR="00F712F0" w:rsidRPr="00F712F0" w:rsidRDefault="00F712F0" w:rsidP="00A30E61">
      <w:pPr>
        <w:pStyle w:val="AppendixHeading"/>
      </w:pPr>
    </w:p>
    <w:sectPr w:rsidR="00F712F0" w:rsidRPr="00F712F0" w:rsidSect="006A79B6">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B3FF" w14:textId="77777777" w:rsidR="00554224" w:rsidRDefault="00554224" w:rsidP="0086398A">
      <w:r>
        <w:separator/>
      </w:r>
    </w:p>
  </w:endnote>
  <w:endnote w:type="continuationSeparator" w:id="0">
    <w:p w14:paraId="022B5F37" w14:textId="77777777" w:rsidR="00554224" w:rsidRDefault="00554224" w:rsidP="0086398A">
      <w:r>
        <w:continuationSeparator/>
      </w:r>
    </w:p>
  </w:endnote>
  <w:endnote w:type="continuationNotice" w:id="1">
    <w:p w14:paraId="24AB40F8" w14:textId="77777777" w:rsidR="00554224" w:rsidRDefault="00554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Light">
    <w:altName w:val="Calibri"/>
    <w:charset w:val="00"/>
    <w:family w:val="auto"/>
    <w:pitch w:val="variable"/>
    <w:sig w:usb0="800000AF" w:usb1="4000207B" w:usb2="00000000" w:usb3="00000000" w:csb0="00000001" w:csb1="00000000"/>
  </w:font>
  <w:font w:name="DINOT-Medium">
    <w:altName w:val="Calibri"/>
    <w:charset w:val="00"/>
    <w:family w:val="auto"/>
    <w:pitch w:val="variable"/>
    <w:sig w:usb0="800000AF" w:usb1="4000207B"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Gotham-Light">
    <w:altName w:val="Calibri"/>
    <w:charset w:val="00"/>
    <w:family w:val="auto"/>
    <w:pitch w:val="variable"/>
    <w:sig w:usb0="A100007F" w:usb1="4000005B" w:usb2="00000000" w:usb3="00000000" w:csb0="0000009B" w:csb1="00000000"/>
  </w:font>
  <w:font w:name="CaeciliaLTStd-Heavy">
    <w:altName w:val="Calibri"/>
    <w:charset w:val="00"/>
    <w:family w:val="auto"/>
    <w:pitch w:val="variable"/>
    <w:sig w:usb0="800000AF" w:usb1="5000204A" w:usb2="00000000" w:usb3="00000000" w:csb0="00000001" w:csb1="00000000"/>
  </w:font>
  <w:font w:name="Gotham-Medium">
    <w:altName w:val="Calibri"/>
    <w:charset w:val="00"/>
    <w:family w:val="auto"/>
    <w:pitch w:val="variable"/>
    <w:sig w:usb0="A100007F" w:usb1="4000005B" w:usb2="00000000" w:usb3="00000000" w:csb0="0000009B" w:csb1="00000000"/>
  </w:font>
  <w:font w:name="Gotham-Book">
    <w:altName w:val="Calibri"/>
    <w:charset w:val="00"/>
    <w:family w:val="auto"/>
    <w:pitch w:val="variable"/>
    <w:sig w:usb0="A100007F" w:usb1="4000005B" w:usb2="00000000" w:usb3="00000000" w:csb0="0000009B" w:csb1="00000000"/>
  </w:font>
  <w:font w:name="VIC-Regular">
    <w:altName w:val="Calibri"/>
    <w:charset w:val="00"/>
    <w:family w:val="auto"/>
    <w:pitch w:val="variable"/>
    <w:sig w:usb0="00000007" w:usb1="00000000" w:usb2="00000000" w:usb3="00000000" w:csb0="00000093" w:csb1="00000000"/>
  </w:font>
  <w:font w:name="Arial-Black">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Klavika">
    <w:altName w:val="Calibri"/>
    <w:charset w:val="00"/>
    <w:family w:val="auto"/>
    <w:pitch w:val="variable"/>
    <w:sig w:usb0="A00000AF" w:usb1="5000204A" w:usb2="00000000" w:usb3="00000000" w:csb0="0000009F" w:csb1="00000000"/>
  </w:font>
  <w:font w:name="Atletico">
    <w:altName w:val="Calibri"/>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6A96" w14:textId="7A5D60D7" w:rsidR="0063704C" w:rsidRPr="004B2CEA" w:rsidRDefault="0063704C" w:rsidP="006E36F7">
    <w:pPr>
      <w:tabs>
        <w:tab w:val="right" w:pos="14002"/>
      </w:tabs>
      <w:rPr>
        <w:sz w:val="16"/>
        <w:szCs w:val="16"/>
      </w:rPr>
    </w:pPr>
    <w:r>
      <w:rPr>
        <w:sz w:val="16"/>
        <w:szCs w:val="16"/>
      </w:rPr>
      <w:tab/>
    </w:r>
    <w:r w:rsidR="00906343">
      <w:rPr>
        <w:sz w:val="16"/>
        <w:szCs w:val="16"/>
      </w:rPr>
      <w:t>2022 GOS National Report Accessible</w:t>
    </w:r>
  </w:p>
  <w:p w14:paraId="3779AC39" w14:textId="77777777" w:rsidR="0063704C" w:rsidRPr="004B2CEA" w:rsidRDefault="0063704C" w:rsidP="006E36F7">
    <w:pPr>
      <w:tabs>
        <w:tab w:val="right" w:pos="14002"/>
      </w:tabs>
      <w:rPr>
        <w:sz w:val="16"/>
        <w:szCs w:val="16"/>
      </w:rPr>
    </w:pPr>
    <w:r w:rsidRPr="0063704C">
      <w:rPr>
        <w:sz w:val="16"/>
        <w:szCs w:val="16"/>
      </w:rPr>
      <w:fldChar w:fldCharType="begin"/>
    </w:r>
    <w:r w:rsidRPr="0063704C">
      <w:rPr>
        <w:sz w:val="16"/>
        <w:szCs w:val="16"/>
      </w:rPr>
      <w:instrText xml:space="preserve"> PAGE   \* MERGEFORMAT </w:instrText>
    </w:r>
    <w:r w:rsidRPr="0063704C">
      <w:rPr>
        <w:sz w:val="16"/>
        <w:szCs w:val="16"/>
      </w:rPr>
      <w:fldChar w:fldCharType="separate"/>
    </w:r>
    <w:r w:rsidR="009F77CE">
      <w:rPr>
        <w:noProof/>
        <w:sz w:val="16"/>
        <w:szCs w:val="16"/>
      </w:rPr>
      <w:t>vi</w:t>
    </w:r>
    <w:r w:rsidRPr="0063704C">
      <w:rPr>
        <w:noProof/>
        <w:sz w:val="16"/>
        <w:szCs w:val="16"/>
      </w:rPr>
      <w:fldChar w:fldCharType="end"/>
    </w:r>
    <w:r>
      <w:rPr>
        <w:sz w:val="16"/>
        <w:szCs w:val="16"/>
      </w:rPr>
      <w:tab/>
    </w:r>
    <w:r w:rsidRPr="004B2CEA">
      <w:rPr>
        <w:sz w:val="16"/>
        <w:szCs w:val="16"/>
      </w:rPr>
      <w:t>Prepared by the Social Research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E22F" w14:textId="432D296A" w:rsidR="00A53E0A" w:rsidRPr="004B2CEA" w:rsidRDefault="00A53E0A" w:rsidP="00A53E0A">
    <w:pPr>
      <w:tabs>
        <w:tab w:val="right" w:pos="9070"/>
      </w:tabs>
      <w:rPr>
        <w:sz w:val="16"/>
        <w:szCs w:val="16"/>
      </w:rPr>
    </w:pPr>
    <w:r>
      <w:rPr>
        <w:sz w:val="16"/>
        <w:szCs w:val="16"/>
      </w:rPr>
      <w:t>2022 GOS National Report Accessible</w:t>
    </w:r>
  </w:p>
  <w:p w14:paraId="1CF275BB" w14:textId="1FA5B03E" w:rsidR="00A53E0A" w:rsidRPr="00A53E0A" w:rsidRDefault="00A53E0A" w:rsidP="00A53E0A">
    <w:pPr>
      <w:tabs>
        <w:tab w:val="right" w:pos="14002"/>
      </w:tabs>
      <w:rPr>
        <w:sz w:val="16"/>
        <w:szCs w:val="16"/>
      </w:rPr>
    </w:pP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sz w:val="16"/>
        <w:szCs w:val="16"/>
      </w:rPr>
      <w:t>7</w:t>
    </w:r>
    <w:r w:rsidRPr="002265C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3449" w14:textId="4C8E6A44" w:rsidR="00111A0B" w:rsidRPr="004B2CEA" w:rsidRDefault="00AD4DA1" w:rsidP="0086398A">
    <w:pPr>
      <w:tabs>
        <w:tab w:val="right" w:pos="9070"/>
      </w:tabs>
      <w:rPr>
        <w:sz w:val="16"/>
        <w:szCs w:val="16"/>
      </w:rPr>
    </w:pPr>
    <w:r>
      <w:rPr>
        <w:sz w:val="16"/>
        <w:szCs w:val="16"/>
      </w:rPr>
      <w:t>2022 GOS National Report Accessible</w:t>
    </w:r>
  </w:p>
  <w:p w14:paraId="578BAD4F" w14:textId="77777777" w:rsidR="00111A0B" w:rsidRPr="004B2CEA" w:rsidRDefault="00111A0B" w:rsidP="002F236E">
    <w:pPr>
      <w:tabs>
        <w:tab w:val="right" w:pos="14002"/>
      </w:tabs>
      <w:rPr>
        <w:sz w:val="16"/>
        <w:szCs w:val="16"/>
      </w:rPr>
    </w:pP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noProof/>
        <w:sz w:val="16"/>
        <w:szCs w:val="16"/>
      </w:rPr>
      <w:t>3</w:t>
    </w:r>
    <w:r w:rsidRPr="002265C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4840" w14:textId="77777777" w:rsidR="00554224" w:rsidRDefault="00554224" w:rsidP="0086398A">
      <w:r>
        <w:separator/>
      </w:r>
    </w:p>
  </w:footnote>
  <w:footnote w:type="continuationSeparator" w:id="0">
    <w:p w14:paraId="61BC2087" w14:textId="77777777" w:rsidR="00554224" w:rsidRDefault="00554224" w:rsidP="0086398A">
      <w:r>
        <w:continuationSeparator/>
      </w:r>
    </w:p>
  </w:footnote>
  <w:footnote w:type="continuationNotice" w:id="1">
    <w:p w14:paraId="60C210C0" w14:textId="77777777" w:rsidR="00554224" w:rsidRDefault="00554224"/>
  </w:footnote>
  <w:footnote w:id="2">
    <w:p w14:paraId="7D25F671" w14:textId="77777777" w:rsidR="004E45CF" w:rsidRPr="004D11DC" w:rsidRDefault="004E45CF" w:rsidP="004E45CF">
      <w:pPr>
        <w:pStyle w:val="FootnoteText"/>
        <w:rPr>
          <w:rFonts w:ascii="Arial" w:hAnsi="Arial" w:cs="Arial"/>
          <w:lang w:val="en-US"/>
        </w:rPr>
      </w:pPr>
      <w:r w:rsidRPr="004D11DC">
        <w:rPr>
          <w:rStyle w:val="FootnoteReference"/>
          <w:rFonts w:ascii="Arial" w:hAnsi="Arial" w:cs="Arial"/>
        </w:rPr>
        <w:footnoteRef/>
      </w:r>
      <w:r w:rsidRPr="004D11DC">
        <w:rPr>
          <w:rFonts w:ascii="Arial" w:hAnsi="Arial" w:cs="Arial"/>
        </w:rPr>
        <w:t xml:space="preserve"> </w:t>
      </w:r>
      <w:r w:rsidRPr="004D11DC">
        <w:rPr>
          <w:rStyle w:val="cf01"/>
          <w:rFonts w:ascii="Arial" w:hAnsi="Arial" w:cs="Arial"/>
          <w:sz w:val="18"/>
          <w:szCs w:val="18"/>
        </w:rPr>
        <w:t>The gender pay gap is calculated as 100 x (Male salaries – Female salaries)/Male salaries consistent with the methodology used by the Workplace Gender Equality Agency (WGEA)</w:t>
      </w:r>
    </w:p>
  </w:footnote>
  <w:footnote w:id="3">
    <w:p w14:paraId="346C551F" w14:textId="77777777" w:rsidR="004E45CF" w:rsidRPr="00DC48BC" w:rsidRDefault="004E45CF" w:rsidP="004E45CF">
      <w:pPr>
        <w:pStyle w:val="FootnoteText"/>
        <w:rPr>
          <w:lang w:val="en-AU"/>
        </w:rPr>
      </w:pPr>
      <w:r w:rsidRPr="00DC48BC">
        <w:rPr>
          <w:rStyle w:val="FootnoteReference"/>
          <w:rFonts w:ascii="Arial" w:hAnsi="Arial" w:cs="Arial"/>
        </w:rPr>
        <w:footnoteRef/>
      </w:r>
      <w:r>
        <w:t xml:space="preserve"> </w:t>
      </w:r>
      <w:r w:rsidRPr="005B178D">
        <w:rPr>
          <w:rStyle w:val="Body02BOLD"/>
          <w:rFonts w:ascii="ArialMT" w:hAnsi="ArialMT" w:cs="ArialMT"/>
          <w:b w:val="0"/>
          <w:sz w:val="18"/>
        </w:rPr>
        <w:t>2009 to 2015 based on graduates aged less than 25 and in first full-time employment</w:t>
      </w:r>
    </w:p>
  </w:footnote>
  <w:footnote w:id="4">
    <w:p w14:paraId="3B0A5AB5" w14:textId="77777777" w:rsidR="004E45CF" w:rsidRPr="006D1152" w:rsidRDefault="004E45CF" w:rsidP="004E45CF">
      <w:pPr>
        <w:pStyle w:val="Tabletext"/>
        <w:rPr>
          <w:rFonts w:ascii="Arial" w:hAnsi="Arial" w:cs="Arial"/>
          <w:color w:val="auto"/>
          <w:sz w:val="18"/>
        </w:rPr>
      </w:pPr>
      <w:r w:rsidRPr="00DC48BC">
        <w:rPr>
          <w:rStyle w:val="FootnoteReference"/>
          <w:rFonts w:ascii="Arial" w:hAnsi="Arial" w:cs="Arial"/>
        </w:rPr>
        <w:footnoteRef/>
      </w:r>
      <w:r>
        <w:t xml:space="preserve"> </w:t>
      </w:r>
      <w:r w:rsidRPr="006D1152">
        <w:rPr>
          <w:rFonts w:ascii="Arial" w:hAnsi="Arial" w:cs="Arial"/>
          <w:color w:val="auto"/>
          <w:sz w:val="18"/>
        </w:rPr>
        <w:t>Where a graduate completes combined degrees across two study areas, their outcomes are included in both study areas. ‘All study areas’ figures count each graduate once only.</w:t>
      </w:r>
    </w:p>
    <w:p w14:paraId="1746A06E" w14:textId="77777777" w:rsidR="004E45CF" w:rsidRPr="00DC48BC" w:rsidRDefault="004E45CF" w:rsidP="004E45CF">
      <w:pPr>
        <w:pStyle w:val="FootnoteText"/>
        <w:rPr>
          <w:lang w:val="en-AU"/>
        </w:rPr>
      </w:pPr>
    </w:p>
  </w:footnote>
  <w:footnote w:id="5">
    <w:p w14:paraId="0B856B2A" w14:textId="77777777" w:rsidR="004E45CF" w:rsidRPr="00A32F01" w:rsidRDefault="004E45CF" w:rsidP="004E45CF">
      <w:pPr>
        <w:pStyle w:val="FootnoteText"/>
        <w:rPr>
          <w:rFonts w:ascii="Arial" w:hAnsi="Arial" w:cs="Arial"/>
          <w:lang w:val="en-AU"/>
        </w:rPr>
      </w:pPr>
      <w:r w:rsidRPr="00A32F01">
        <w:rPr>
          <w:rStyle w:val="FootnoteReference"/>
          <w:rFonts w:ascii="Arial" w:hAnsi="Arial" w:cs="Arial"/>
          <w:sz w:val="18"/>
          <w:szCs w:val="18"/>
        </w:rPr>
        <w:footnoteRef/>
      </w:r>
      <w:r w:rsidRPr="00A32F01">
        <w:rPr>
          <w:rFonts w:ascii="Arial" w:hAnsi="Arial" w:cs="Arial"/>
          <w:sz w:val="18"/>
          <w:szCs w:val="18"/>
        </w:rPr>
        <w:t xml:space="preserve"> </w:t>
      </w:r>
      <w:r w:rsidRPr="006D1152">
        <w:rPr>
          <w:rFonts w:ascii="Arial" w:hAnsi="Arial" w:cs="Arial"/>
          <w:sz w:val="18"/>
        </w:rPr>
        <w:t>Where a graduate completes combined degrees across two study areas, their outcomes are included in both study areas. ‘All study areas’ figures count each graduate once only.</w:t>
      </w:r>
    </w:p>
  </w:footnote>
  <w:footnote w:id="6">
    <w:p w14:paraId="369C6A44" w14:textId="77777777" w:rsidR="007B0FBA" w:rsidRPr="00DC48BC" w:rsidRDefault="007B0FBA" w:rsidP="007B0FBA">
      <w:pPr>
        <w:pStyle w:val="FootnoteText"/>
        <w:rPr>
          <w:lang w:val="en-AU"/>
        </w:rPr>
      </w:pPr>
      <w:r w:rsidRPr="00DC48BC">
        <w:rPr>
          <w:rStyle w:val="FootnoteReference"/>
          <w:rFonts w:ascii="Arial" w:hAnsi="Arial" w:cs="Arial"/>
        </w:rPr>
        <w:footnoteRef/>
      </w:r>
      <w:r w:rsidRPr="00DC48BC">
        <w:t xml:space="preserve"> </w:t>
      </w:r>
      <w:r w:rsidRPr="00B36EC1">
        <w:rPr>
          <w:rFonts w:ascii="Arial" w:hAnsi="Arial" w:cs="Arial"/>
          <w:sz w:val="18"/>
          <w:szCs w:val="18"/>
        </w:rPr>
        <w:t>Where a graduate completes combined degrees across two study areas, their outcomes are included in both study areas. ‘All study areas’ figures count each graduate once only.</w:t>
      </w:r>
    </w:p>
  </w:footnote>
  <w:footnote w:id="7">
    <w:p w14:paraId="2252A189" w14:textId="77777777" w:rsidR="006A79B6" w:rsidRPr="004B1DDF" w:rsidRDefault="006A79B6" w:rsidP="006A79B6">
      <w:pPr>
        <w:pStyle w:val="FootnoteText"/>
        <w:rPr>
          <w:rFonts w:ascii="Arial" w:hAnsi="Arial" w:cs="Arial"/>
          <w:lang w:val="en-AU"/>
        </w:rPr>
      </w:pPr>
      <w:r w:rsidRPr="004B1DDF">
        <w:rPr>
          <w:rStyle w:val="FootnoteReference"/>
          <w:rFonts w:ascii="Arial" w:hAnsi="Arial" w:cs="Arial"/>
          <w:sz w:val="18"/>
          <w:szCs w:val="18"/>
        </w:rPr>
        <w:footnoteRef/>
      </w:r>
      <w:r w:rsidRPr="004B1DDF">
        <w:rPr>
          <w:rFonts w:ascii="Arial" w:hAnsi="Arial" w:cs="Arial"/>
          <w:sz w:val="18"/>
          <w:szCs w:val="18"/>
        </w:rPr>
        <w:t xml:space="preserve"> Components may not sum to base number, as records with unknown characteristics are not included in the sub-categories.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0D9"/>
    <w:multiLevelType w:val="multilevel"/>
    <w:tmpl w:val="5F9A022C"/>
    <w:lvl w:ilvl="0">
      <w:start w:val="1"/>
      <w:numFmt w:val="decimal"/>
      <w:lvlText w:val="%1."/>
      <w:lvlJc w:val="left"/>
      <w:pPr>
        <w:ind w:left="567" w:hanging="567"/>
      </w:pPr>
      <w:rPr>
        <w:rFonts w:ascii="Arial" w:hAnsi="Arial" w:hint="default"/>
        <w:b w:val="0"/>
        <w:i w:val="0"/>
        <w:color w:val="1E3287"/>
        <w:sz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C7D8D"/>
    <w:multiLevelType w:val="multilevel"/>
    <w:tmpl w:val="B7EED6C8"/>
    <w:lvl w:ilvl="0">
      <w:start w:val="1"/>
      <w:numFmt w:val="decimal"/>
      <w:lvlText w:val="%1."/>
      <w:lvlJc w:val="left"/>
      <w:pPr>
        <w:ind w:left="567" w:hanging="567"/>
      </w:pPr>
      <w:rPr>
        <w:rFonts w:ascii="Arial" w:hAnsi="Arial" w:hint="default"/>
        <w:b w:val="0"/>
        <w:i w:val="0"/>
        <w:color w:val="1E3287"/>
        <w:sz w:val="36"/>
      </w:rPr>
    </w:lvl>
    <w:lvl w:ilvl="1">
      <w:start w:val="1"/>
      <w:numFmt w:val="decimal"/>
      <w:lvlText w:val="%1.%2."/>
      <w:lvlJc w:val="left"/>
      <w:pPr>
        <w:ind w:left="1134" w:hanging="567"/>
      </w:pPr>
      <w:rPr>
        <w:rFonts w:hint="default"/>
        <w:color w:val="1F688D"/>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495636"/>
    <w:multiLevelType w:val="hybridMultilevel"/>
    <w:tmpl w:val="D04EEFD0"/>
    <w:lvl w:ilvl="0" w:tplc="2CD2ECA6">
      <w:start w:val="1"/>
      <w:numFmt w:val="bullet"/>
      <w:lvlText w:val="○"/>
      <w:lvlJc w:val="left"/>
      <w:pPr>
        <w:ind w:left="1440" w:hanging="360"/>
      </w:pPr>
      <w:rPr>
        <w:rFonts w:ascii="Arial" w:hAnsi="Arial" w:hint="default"/>
        <w:sz w:val="24"/>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3" w15:restartNumberingAfterBreak="0">
    <w:nsid w:val="1D03399D"/>
    <w:multiLevelType w:val="multilevel"/>
    <w:tmpl w:val="0CDCC356"/>
    <w:lvl w:ilvl="0">
      <w:start w:val="1"/>
      <w:numFmt w:val="bullet"/>
      <w:lvlText w:val=""/>
      <w:lvlJc w:val="left"/>
      <w:pPr>
        <w:ind w:left="851" w:hanging="426"/>
      </w:pPr>
      <w:rPr>
        <w:rFonts w:ascii="Symbol" w:hAnsi="Symbol" w:hint="default"/>
        <w:u w:color="1C365F"/>
      </w:rPr>
    </w:lvl>
    <w:lvl w:ilvl="1">
      <w:start w:val="1"/>
      <w:numFmt w:val="bullet"/>
      <w:lvlText w:val="o"/>
      <w:lvlJc w:val="left"/>
      <w:pPr>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E950498"/>
    <w:multiLevelType w:val="hybridMultilevel"/>
    <w:tmpl w:val="DB1EBB96"/>
    <w:lvl w:ilvl="0" w:tplc="EF5090D2">
      <w:start w:val="1"/>
      <w:numFmt w:val="lowerLetter"/>
      <w:pStyle w:val="TableAPPXbulletALPHA"/>
      <w:lvlText w:val="%1)"/>
      <w:lvlJc w:val="left"/>
      <w:pPr>
        <w:ind w:left="720" w:hanging="493"/>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11446"/>
    <w:multiLevelType w:val="hybridMultilevel"/>
    <w:tmpl w:val="EB8C02FC"/>
    <w:lvl w:ilvl="0" w:tplc="CE44A172">
      <w:start w:val="1"/>
      <w:numFmt w:val="bullet"/>
      <w:lvlText w:val=""/>
      <w:lvlJc w:val="left"/>
      <w:pPr>
        <w:ind w:left="360" w:hanging="360"/>
      </w:pPr>
      <w:rPr>
        <w:rFonts w:ascii="Symbol" w:hAnsi="Symbol" w:hint="default"/>
        <w:u w:color="1C365F"/>
      </w:rPr>
    </w:lvl>
    <w:lvl w:ilvl="1" w:tplc="4A82B2A8">
      <w:start w:val="1"/>
      <w:numFmt w:val="bullet"/>
      <w:lvlText w:val="o"/>
      <w:lvlJc w:val="left"/>
      <w:pPr>
        <w:ind w:left="1080" w:hanging="360"/>
      </w:pPr>
      <w:rPr>
        <w:rFonts w:ascii="Courier New" w:hAnsi="Courier New" w:cs="Courier New" w:hint="default"/>
      </w:rPr>
    </w:lvl>
    <w:lvl w:ilvl="2" w:tplc="E998246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587FEC"/>
    <w:multiLevelType w:val="multilevel"/>
    <w:tmpl w:val="E076989E"/>
    <w:lvl w:ilvl="0">
      <w:start w:val="1"/>
      <w:numFmt w:val="bullet"/>
      <w:lvlText w:val=""/>
      <w:lvlJc w:val="left"/>
      <w:pPr>
        <w:ind w:left="851" w:hanging="426"/>
      </w:pPr>
      <w:rPr>
        <w:rFonts w:ascii="Symbol" w:hAnsi="Symbol" w:hint="default"/>
        <w:sz w:val="24"/>
      </w:rPr>
    </w:lvl>
    <w:lvl w:ilvl="1">
      <w:start w:val="1"/>
      <w:numFmt w:val="bullet"/>
      <w:lvlRestart w:val="0"/>
      <w:lvlText w:val="o"/>
      <w:lvlJc w:val="left"/>
      <w:pPr>
        <w:tabs>
          <w:tab w:val="num" w:pos="1287"/>
        </w:tabs>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8" w15:restartNumberingAfterBreak="0">
    <w:nsid w:val="373120D6"/>
    <w:multiLevelType w:val="hybridMultilevel"/>
    <w:tmpl w:val="BBD8E5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9643F2"/>
    <w:multiLevelType w:val="multilevel"/>
    <w:tmpl w:val="5C78013A"/>
    <w:lvl w:ilvl="0">
      <w:start w:val="1"/>
      <w:numFmt w:val="decimal"/>
      <w:lvlText w:val="%1."/>
      <w:lvlJc w:val="left"/>
      <w:pPr>
        <w:ind w:left="851" w:hanging="426"/>
      </w:pPr>
      <w:rPr>
        <w:rFonts w:hint="default"/>
        <w:b w:val="0"/>
        <w:i w:val="0"/>
        <w:sz w:val="20"/>
      </w:rPr>
    </w:lvl>
    <w:lvl w:ilvl="1">
      <w:start w:val="1"/>
      <w:numFmt w:val="lowerLetter"/>
      <w:lvlText w:val="%2."/>
      <w:lvlJc w:val="left"/>
      <w:pPr>
        <w:ind w:left="1418" w:hanging="426"/>
      </w:pPr>
      <w:rPr>
        <w:rFonts w:ascii="Arial" w:hAnsi="Arial" w:hint="default"/>
        <w:b w:val="0"/>
        <w:i w:val="0"/>
        <w:sz w:val="20"/>
      </w:rPr>
    </w:lvl>
    <w:lvl w:ilvl="2">
      <w:start w:val="1"/>
      <w:numFmt w:val="lowerRoman"/>
      <w:lvlText w:val="%3."/>
      <w:lvlJc w:val="right"/>
      <w:pPr>
        <w:ind w:left="1985" w:hanging="426"/>
      </w:pPr>
      <w:rPr>
        <w:rFonts w:ascii="Arial" w:hAnsi="Arial"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D8841FF"/>
    <w:multiLevelType w:val="multilevel"/>
    <w:tmpl w:val="5344E0A4"/>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D98242C"/>
    <w:multiLevelType w:val="hybridMultilevel"/>
    <w:tmpl w:val="99E42678"/>
    <w:lvl w:ilvl="0" w:tplc="2CD2ECA6">
      <w:start w:val="1"/>
      <w:numFmt w:val="bullet"/>
      <w:lvlText w:val="○"/>
      <w:lvlJc w:val="left"/>
      <w:pPr>
        <w:ind w:left="1145" w:hanging="360"/>
      </w:pPr>
      <w:rPr>
        <w:rFonts w:ascii="Arial" w:hAnsi="Arial" w:hint="default"/>
        <w:sz w:val="24"/>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40F37740"/>
    <w:multiLevelType w:val="multilevel"/>
    <w:tmpl w:val="E076989E"/>
    <w:lvl w:ilvl="0">
      <w:start w:val="1"/>
      <w:numFmt w:val="bullet"/>
      <w:lvlText w:val=""/>
      <w:lvlJc w:val="left"/>
      <w:pPr>
        <w:ind w:left="851" w:hanging="426"/>
      </w:pPr>
      <w:rPr>
        <w:rFonts w:ascii="Symbol" w:hAnsi="Symbol" w:hint="default"/>
        <w:sz w:val="24"/>
      </w:rPr>
    </w:lvl>
    <w:lvl w:ilvl="1">
      <w:start w:val="1"/>
      <w:numFmt w:val="bullet"/>
      <w:lvlRestart w:val="0"/>
      <w:lvlText w:val="o"/>
      <w:lvlJc w:val="left"/>
      <w:pPr>
        <w:tabs>
          <w:tab w:val="num" w:pos="1287"/>
        </w:tabs>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13" w15:restartNumberingAfterBreak="0">
    <w:nsid w:val="43206779"/>
    <w:multiLevelType w:val="multilevel"/>
    <w:tmpl w:val="83E69664"/>
    <w:lvl w:ilvl="0">
      <w:start w:val="1"/>
      <w:numFmt w:val="decimal"/>
      <w:pStyle w:val="List1"/>
      <w:lvlText w:val="%1."/>
      <w:lvlJc w:val="left"/>
      <w:pPr>
        <w:ind w:left="992" w:hanging="567"/>
      </w:pPr>
      <w:rPr>
        <w:rFonts w:ascii="Arial" w:hAnsi="Arial" w:hint="default"/>
        <w:b w:val="0"/>
        <w:i w:val="0"/>
        <w:sz w:val="20"/>
        <w:u w:color="000000" w:themeColor="text1"/>
      </w:rPr>
    </w:lvl>
    <w:lvl w:ilvl="1">
      <w:start w:val="1"/>
      <w:numFmt w:val="lowerLetter"/>
      <w:lvlText w:val="%2)"/>
      <w:lvlJc w:val="left"/>
      <w:pPr>
        <w:ind w:left="1559" w:hanging="567"/>
      </w:pPr>
      <w:rPr>
        <w:rFonts w:ascii="Arial" w:hAnsi="Arial" w:hint="default"/>
        <w:b w:val="0"/>
        <w:i w:val="0"/>
        <w:sz w:val="20"/>
      </w:rPr>
    </w:lvl>
    <w:lvl w:ilvl="2">
      <w:start w:val="1"/>
      <w:numFmt w:val="lowerRoman"/>
      <w:lvlText w:val="%3."/>
      <w:lvlJc w:val="left"/>
      <w:pPr>
        <w:ind w:left="2268" w:hanging="709"/>
      </w:pPr>
      <w:rPr>
        <w:rFonts w:hint="default"/>
      </w:rPr>
    </w:lvl>
    <w:lvl w:ilvl="3">
      <w:start w:val="1"/>
      <w:numFmt w:val="lowerRoman"/>
      <w:lvlText w:val="%4."/>
      <w:lvlJc w:val="righ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4" w15:restartNumberingAfterBreak="0">
    <w:nsid w:val="46D936BA"/>
    <w:multiLevelType w:val="multilevel"/>
    <w:tmpl w:val="7276898C"/>
    <w:lvl w:ilvl="0">
      <w:start w:val="1"/>
      <w:numFmt w:val="bullet"/>
      <w:lvlText w:val=""/>
      <w:lvlJc w:val="left"/>
      <w:pPr>
        <w:ind w:left="851" w:hanging="426"/>
      </w:pPr>
      <w:rPr>
        <w:rFonts w:ascii="Symbol" w:hAnsi="Symbol" w:hint="default"/>
        <w:b w:val="0"/>
        <w:i w:val="0"/>
        <w:sz w:val="20"/>
      </w:rPr>
    </w:lvl>
    <w:lvl w:ilvl="1">
      <w:start w:val="1"/>
      <w:numFmt w:val="lowerLetter"/>
      <w:lvlText w:val="%2."/>
      <w:lvlJc w:val="left"/>
      <w:pPr>
        <w:ind w:left="1418" w:hanging="426"/>
      </w:pPr>
      <w:rPr>
        <w:rFonts w:ascii="Arial" w:hAnsi="Arial" w:hint="default"/>
        <w:b w:val="0"/>
        <w:i w:val="0"/>
        <w:sz w:val="20"/>
      </w:rPr>
    </w:lvl>
    <w:lvl w:ilvl="2">
      <w:start w:val="1"/>
      <w:numFmt w:val="lowerRoman"/>
      <w:lvlText w:val="%3."/>
      <w:lvlJc w:val="right"/>
      <w:pPr>
        <w:ind w:left="1985" w:hanging="426"/>
      </w:pPr>
      <w:rPr>
        <w:rFonts w:ascii="Arial" w:hAnsi="Arial"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76F2A30"/>
    <w:multiLevelType w:val="hybridMultilevel"/>
    <w:tmpl w:val="E31ADC52"/>
    <w:lvl w:ilvl="0" w:tplc="0C090017">
      <w:start w:val="1"/>
      <w:numFmt w:val="lowerLetter"/>
      <w:lvlText w:val="%1)"/>
      <w:lvlJc w:val="left"/>
      <w:pPr>
        <w:ind w:left="530" w:hanging="360"/>
      </w:pPr>
    </w:lvl>
    <w:lvl w:ilvl="1" w:tplc="0C090019">
      <w:start w:val="1"/>
      <w:numFmt w:val="lowerLetter"/>
      <w:lvlText w:val="%2."/>
      <w:lvlJc w:val="left"/>
      <w:pPr>
        <w:ind w:left="1250" w:hanging="360"/>
      </w:pPr>
    </w:lvl>
    <w:lvl w:ilvl="2" w:tplc="0C09001B">
      <w:start w:val="1"/>
      <w:numFmt w:val="lowerRoman"/>
      <w:lvlText w:val="%3."/>
      <w:lvlJc w:val="right"/>
      <w:pPr>
        <w:ind w:left="1970" w:hanging="180"/>
      </w:pPr>
    </w:lvl>
    <w:lvl w:ilvl="3" w:tplc="0C09000F">
      <w:start w:val="1"/>
      <w:numFmt w:val="decimal"/>
      <w:lvlText w:val="%4."/>
      <w:lvlJc w:val="left"/>
      <w:pPr>
        <w:ind w:left="2690" w:hanging="360"/>
      </w:pPr>
    </w:lvl>
    <w:lvl w:ilvl="4" w:tplc="0C090019">
      <w:start w:val="1"/>
      <w:numFmt w:val="lowerLetter"/>
      <w:lvlText w:val="%5."/>
      <w:lvlJc w:val="left"/>
      <w:pPr>
        <w:ind w:left="3410" w:hanging="360"/>
      </w:pPr>
    </w:lvl>
    <w:lvl w:ilvl="5" w:tplc="0C09001B">
      <w:start w:val="1"/>
      <w:numFmt w:val="lowerRoman"/>
      <w:lvlText w:val="%6."/>
      <w:lvlJc w:val="right"/>
      <w:pPr>
        <w:ind w:left="4130" w:hanging="180"/>
      </w:pPr>
    </w:lvl>
    <w:lvl w:ilvl="6" w:tplc="0C09000F">
      <w:start w:val="1"/>
      <w:numFmt w:val="decimal"/>
      <w:lvlText w:val="%7."/>
      <w:lvlJc w:val="left"/>
      <w:pPr>
        <w:ind w:left="4850" w:hanging="360"/>
      </w:pPr>
    </w:lvl>
    <w:lvl w:ilvl="7" w:tplc="0C090019">
      <w:start w:val="1"/>
      <w:numFmt w:val="lowerLetter"/>
      <w:lvlText w:val="%8."/>
      <w:lvlJc w:val="left"/>
      <w:pPr>
        <w:ind w:left="5570" w:hanging="360"/>
      </w:pPr>
    </w:lvl>
    <w:lvl w:ilvl="8" w:tplc="0C09001B">
      <w:start w:val="1"/>
      <w:numFmt w:val="lowerRoman"/>
      <w:lvlText w:val="%9."/>
      <w:lvlJc w:val="right"/>
      <w:pPr>
        <w:ind w:left="6290" w:hanging="180"/>
      </w:pPr>
    </w:lvl>
  </w:abstractNum>
  <w:abstractNum w:abstractNumId="16" w15:restartNumberingAfterBreak="0">
    <w:nsid w:val="47B52C81"/>
    <w:multiLevelType w:val="hybridMultilevel"/>
    <w:tmpl w:val="A8E620BE"/>
    <w:lvl w:ilvl="0" w:tplc="8902755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0B4882"/>
    <w:multiLevelType w:val="hybridMultilevel"/>
    <w:tmpl w:val="D330945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4AE90B08"/>
    <w:multiLevelType w:val="multilevel"/>
    <w:tmpl w:val="E076989E"/>
    <w:lvl w:ilvl="0">
      <w:start w:val="1"/>
      <w:numFmt w:val="bullet"/>
      <w:lvlText w:val=""/>
      <w:lvlJc w:val="left"/>
      <w:pPr>
        <w:ind w:left="851" w:hanging="426"/>
      </w:pPr>
      <w:rPr>
        <w:rFonts w:ascii="Symbol" w:hAnsi="Symbol" w:hint="default"/>
        <w:sz w:val="24"/>
      </w:rPr>
    </w:lvl>
    <w:lvl w:ilvl="1">
      <w:start w:val="1"/>
      <w:numFmt w:val="bullet"/>
      <w:lvlRestart w:val="0"/>
      <w:lvlText w:val="o"/>
      <w:lvlJc w:val="left"/>
      <w:pPr>
        <w:tabs>
          <w:tab w:val="num" w:pos="1287"/>
        </w:tabs>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19" w15:restartNumberingAfterBreak="0">
    <w:nsid w:val="5D861C4F"/>
    <w:multiLevelType w:val="multilevel"/>
    <w:tmpl w:val="E076989E"/>
    <w:lvl w:ilvl="0">
      <w:start w:val="1"/>
      <w:numFmt w:val="bullet"/>
      <w:lvlText w:val=""/>
      <w:lvlJc w:val="left"/>
      <w:pPr>
        <w:ind w:left="851" w:hanging="426"/>
      </w:pPr>
      <w:rPr>
        <w:rFonts w:ascii="Symbol" w:hAnsi="Symbol" w:hint="default"/>
        <w:sz w:val="24"/>
      </w:rPr>
    </w:lvl>
    <w:lvl w:ilvl="1">
      <w:start w:val="1"/>
      <w:numFmt w:val="bullet"/>
      <w:lvlRestart w:val="0"/>
      <w:lvlText w:val="o"/>
      <w:lvlJc w:val="left"/>
      <w:pPr>
        <w:tabs>
          <w:tab w:val="num" w:pos="1287"/>
        </w:tabs>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20" w15:restartNumberingAfterBreak="0">
    <w:nsid w:val="5F7C60B6"/>
    <w:multiLevelType w:val="hybridMultilevel"/>
    <w:tmpl w:val="1BBEA60A"/>
    <w:lvl w:ilvl="0" w:tplc="7E9A48B8">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611614D"/>
    <w:multiLevelType w:val="multilevel"/>
    <w:tmpl w:val="5C78013A"/>
    <w:lvl w:ilvl="0">
      <w:start w:val="1"/>
      <w:numFmt w:val="decimal"/>
      <w:lvlText w:val="%1."/>
      <w:lvlJc w:val="left"/>
      <w:pPr>
        <w:ind w:left="851" w:hanging="426"/>
      </w:pPr>
      <w:rPr>
        <w:rFonts w:hint="default"/>
        <w:b w:val="0"/>
        <w:i w:val="0"/>
        <w:sz w:val="20"/>
      </w:rPr>
    </w:lvl>
    <w:lvl w:ilvl="1">
      <w:start w:val="1"/>
      <w:numFmt w:val="lowerLetter"/>
      <w:lvlText w:val="%2."/>
      <w:lvlJc w:val="left"/>
      <w:pPr>
        <w:ind w:left="1418" w:hanging="426"/>
      </w:pPr>
      <w:rPr>
        <w:rFonts w:ascii="Arial" w:hAnsi="Arial" w:hint="default"/>
        <w:b w:val="0"/>
        <w:i w:val="0"/>
        <w:sz w:val="20"/>
      </w:rPr>
    </w:lvl>
    <w:lvl w:ilvl="2">
      <w:start w:val="1"/>
      <w:numFmt w:val="lowerRoman"/>
      <w:lvlText w:val="%3."/>
      <w:lvlJc w:val="right"/>
      <w:pPr>
        <w:ind w:left="1985" w:hanging="426"/>
      </w:pPr>
      <w:rPr>
        <w:rFonts w:ascii="Arial" w:hAnsi="Arial"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1E35FEA"/>
    <w:multiLevelType w:val="multilevel"/>
    <w:tmpl w:val="78025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AB0CB6"/>
    <w:multiLevelType w:val="multilevel"/>
    <w:tmpl w:val="3C48FF3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5E26A6"/>
    <w:multiLevelType w:val="multilevel"/>
    <w:tmpl w:val="338E325A"/>
    <w:lvl w:ilvl="0">
      <w:start w:val="1"/>
      <w:numFmt w:val="bullet"/>
      <w:lvlText w:val=""/>
      <w:lvlJc w:val="left"/>
      <w:pPr>
        <w:tabs>
          <w:tab w:val="num" w:pos="720"/>
        </w:tabs>
        <w:ind w:left="1146" w:hanging="426"/>
      </w:pPr>
      <w:rPr>
        <w:rFonts w:ascii="Symbol" w:hAnsi="Symbol" w:hint="default"/>
        <w:sz w:val="24"/>
      </w:rPr>
    </w:lvl>
    <w:lvl w:ilvl="1">
      <w:start w:val="1"/>
      <w:numFmt w:val="bullet"/>
      <w:lvlText w:val="o"/>
      <w:lvlJc w:val="left"/>
      <w:pPr>
        <w:tabs>
          <w:tab w:val="num" w:pos="1287"/>
        </w:tabs>
        <w:ind w:left="1713" w:hanging="426"/>
      </w:pPr>
      <w:rPr>
        <w:rFonts w:ascii="Courier New" w:hAnsi="Courier New" w:hint="default"/>
      </w:rPr>
    </w:lvl>
    <w:lvl w:ilvl="2">
      <w:start w:val="1"/>
      <w:numFmt w:val="bullet"/>
      <w:lvlText w:val=""/>
      <w:lvlJc w:val="left"/>
      <w:pPr>
        <w:ind w:left="2280" w:hanging="426"/>
      </w:pPr>
      <w:rPr>
        <w:rFonts w:ascii="Wingdings" w:hAnsi="Wingdings"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25" w15:restartNumberingAfterBreak="0">
    <w:nsid w:val="7BF54B24"/>
    <w:multiLevelType w:val="multilevel"/>
    <w:tmpl w:val="31529ED6"/>
    <w:lvl w:ilvl="0">
      <w:start w:val="1"/>
      <w:numFmt w:val="decimal"/>
      <w:lvlText w:val="%1."/>
      <w:lvlJc w:val="left"/>
      <w:pPr>
        <w:ind w:left="851" w:hanging="426"/>
      </w:pPr>
      <w:rPr>
        <w:rFonts w:hint="default"/>
      </w:rPr>
    </w:lvl>
    <w:lvl w:ilvl="1">
      <w:start w:val="1"/>
      <w:numFmt w:val="lowerLetter"/>
      <w:lvlText w:val="%2."/>
      <w:lvlJc w:val="left"/>
      <w:pPr>
        <w:ind w:left="1418" w:hanging="426"/>
      </w:pPr>
      <w:rPr>
        <w:rFonts w:hint="default"/>
      </w:rPr>
    </w:lvl>
    <w:lvl w:ilvl="2">
      <w:start w:val="1"/>
      <w:numFmt w:val="lowerRoman"/>
      <w:lvlText w:val="%3."/>
      <w:lvlJc w:val="right"/>
      <w:pPr>
        <w:ind w:left="1985" w:hanging="4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C191D89"/>
    <w:multiLevelType w:val="multilevel"/>
    <w:tmpl w:val="7276898C"/>
    <w:lvl w:ilvl="0">
      <w:start w:val="1"/>
      <w:numFmt w:val="bullet"/>
      <w:lvlText w:val=""/>
      <w:lvlJc w:val="left"/>
      <w:pPr>
        <w:ind w:left="851" w:hanging="426"/>
      </w:pPr>
      <w:rPr>
        <w:rFonts w:ascii="Symbol" w:hAnsi="Symbol" w:hint="default"/>
        <w:b w:val="0"/>
        <w:i w:val="0"/>
        <w:sz w:val="20"/>
      </w:rPr>
    </w:lvl>
    <w:lvl w:ilvl="1">
      <w:start w:val="1"/>
      <w:numFmt w:val="lowerLetter"/>
      <w:lvlText w:val="%2."/>
      <w:lvlJc w:val="left"/>
      <w:pPr>
        <w:ind w:left="1418" w:hanging="426"/>
      </w:pPr>
      <w:rPr>
        <w:rFonts w:ascii="Arial" w:hAnsi="Arial" w:hint="default"/>
        <w:b w:val="0"/>
        <w:i w:val="0"/>
        <w:sz w:val="20"/>
      </w:rPr>
    </w:lvl>
    <w:lvl w:ilvl="2">
      <w:start w:val="1"/>
      <w:numFmt w:val="lowerRoman"/>
      <w:lvlText w:val="%3."/>
      <w:lvlJc w:val="right"/>
      <w:pPr>
        <w:ind w:left="1985" w:hanging="426"/>
      </w:pPr>
      <w:rPr>
        <w:rFonts w:ascii="Arial" w:hAnsi="Arial"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04683262">
    <w:abstractNumId w:val="1"/>
  </w:num>
  <w:num w:numId="2" w16cid:durableId="304815844">
    <w:abstractNumId w:val="1"/>
  </w:num>
  <w:num w:numId="3" w16cid:durableId="1110315311">
    <w:abstractNumId w:val="1"/>
  </w:num>
  <w:num w:numId="4" w16cid:durableId="189413599">
    <w:abstractNumId w:val="20"/>
  </w:num>
  <w:num w:numId="5" w16cid:durableId="1276908063">
    <w:abstractNumId w:val="0"/>
  </w:num>
  <w:num w:numId="6" w16cid:durableId="616303070">
    <w:abstractNumId w:val="5"/>
  </w:num>
  <w:num w:numId="7" w16cid:durableId="481654264">
    <w:abstractNumId w:val="3"/>
    <w:lvlOverride w:ilvl="0">
      <w:lvl w:ilvl="0">
        <w:start w:val="1"/>
        <w:numFmt w:val="bullet"/>
        <w:lvlText w:val=""/>
        <w:lvlJc w:val="left"/>
        <w:pPr>
          <w:ind w:left="851" w:hanging="426"/>
        </w:pPr>
        <w:rPr>
          <w:rFonts w:ascii="Symbol" w:hAnsi="Symbol" w:hint="default"/>
          <w:u w:color="1C365F"/>
        </w:rPr>
      </w:lvl>
    </w:lvlOverride>
    <w:lvlOverride w:ilvl="1">
      <w:lvl w:ilvl="1">
        <w:start w:val="1"/>
        <w:numFmt w:val="bullet"/>
        <w:lvlRestart w:val="0"/>
        <w:lvlText w:val="o"/>
        <w:lvlJc w:val="left"/>
        <w:pPr>
          <w:ind w:left="1418" w:hanging="426"/>
        </w:pPr>
        <w:rPr>
          <w:rFonts w:ascii="Courier New" w:hAnsi="Courier New" w:hint="default"/>
        </w:rPr>
      </w:lvl>
    </w:lvlOverride>
    <w:lvlOverride w:ilvl="2">
      <w:lvl w:ilvl="2">
        <w:start w:val="1"/>
        <w:numFmt w:val="bullet"/>
        <w:lvlRestart w:val="0"/>
        <w:lvlText w:val=""/>
        <w:lvlJc w:val="left"/>
        <w:pPr>
          <w:ind w:left="1985" w:hanging="426"/>
        </w:pPr>
        <w:rPr>
          <w:rFonts w:ascii="Symbol" w:hAnsi="Symbol"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16cid:durableId="709453226">
    <w:abstractNumId w:val="5"/>
  </w:num>
  <w:num w:numId="9" w16cid:durableId="770471961">
    <w:abstractNumId w:val="16"/>
  </w:num>
  <w:num w:numId="10" w16cid:durableId="344791850">
    <w:abstractNumId w:val="1"/>
  </w:num>
  <w:num w:numId="11" w16cid:durableId="2041474028">
    <w:abstractNumId w:val="1"/>
  </w:num>
  <w:num w:numId="12" w16cid:durableId="1860855548">
    <w:abstractNumId w:val="6"/>
  </w:num>
  <w:num w:numId="13" w16cid:durableId="994648274">
    <w:abstractNumId w:val="5"/>
  </w:num>
  <w:num w:numId="14" w16cid:durableId="1814178313">
    <w:abstractNumId w:val="3"/>
    <w:lvlOverride w:ilvl="0">
      <w:lvl w:ilvl="0">
        <w:start w:val="1"/>
        <w:numFmt w:val="bullet"/>
        <w:lvlText w:val=""/>
        <w:lvlJc w:val="left"/>
        <w:pPr>
          <w:ind w:left="851" w:hanging="426"/>
        </w:pPr>
        <w:rPr>
          <w:rFonts w:ascii="Symbol" w:hAnsi="Symbol" w:hint="default"/>
          <w:u w:color="1C365F"/>
        </w:rPr>
      </w:lvl>
    </w:lvlOverride>
    <w:lvlOverride w:ilvl="1">
      <w:lvl w:ilvl="1">
        <w:start w:val="1"/>
        <w:numFmt w:val="bullet"/>
        <w:lvlRestart w:val="0"/>
        <w:lvlText w:val="o"/>
        <w:lvlJc w:val="left"/>
        <w:pPr>
          <w:ind w:left="1418" w:hanging="426"/>
        </w:pPr>
        <w:rPr>
          <w:rFonts w:ascii="Courier New" w:hAnsi="Courier New" w:hint="default"/>
        </w:rPr>
      </w:lvl>
    </w:lvlOverride>
    <w:lvlOverride w:ilvl="2">
      <w:lvl w:ilvl="2">
        <w:start w:val="1"/>
        <w:numFmt w:val="bullet"/>
        <w:lvlRestart w:val="0"/>
        <w:lvlText w:val=""/>
        <w:lvlJc w:val="left"/>
        <w:pPr>
          <w:ind w:left="1985" w:hanging="426"/>
        </w:pPr>
        <w:rPr>
          <w:rFonts w:ascii="Symbol" w:hAnsi="Symbol"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16cid:durableId="1816682403">
    <w:abstractNumId w:val="5"/>
  </w:num>
  <w:num w:numId="16" w16cid:durableId="989556657">
    <w:abstractNumId w:val="16"/>
  </w:num>
  <w:num w:numId="17" w16cid:durableId="2126927659">
    <w:abstractNumId w:val="1"/>
  </w:num>
  <w:num w:numId="18" w16cid:durableId="2081243189">
    <w:abstractNumId w:val="1"/>
  </w:num>
  <w:num w:numId="19" w16cid:durableId="980959422">
    <w:abstractNumId w:val="6"/>
  </w:num>
  <w:num w:numId="20" w16cid:durableId="43456577">
    <w:abstractNumId w:val="11"/>
  </w:num>
  <w:num w:numId="21" w16cid:durableId="1797722120">
    <w:abstractNumId w:val="2"/>
  </w:num>
  <w:num w:numId="22" w16cid:durableId="1624731970">
    <w:abstractNumId w:val="24"/>
  </w:num>
  <w:num w:numId="23" w16cid:durableId="1871338997">
    <w:abstractNumId w:val="12"/>
  </w:num>
  <w:num w:numId="24" w16cid:durableId="176048018">
    <w:abstractNumId w:val="19"/>
  </w:num>
  <w:num w:numId="25" w16cid:durableId="531116530">
    <w:abstractNumId w:val="10"/>
  </w:num>
  <w:num w:numId="26" w16cid:durableId="688684000">
    <w:abstractNumId w:val="10"/>
  </w:num>
  <w:num w:numId="27" w16cid:durableId="1007445830">
    <w:abstractNumId w:val="10"/>
  </w:num>
  <w:num w:numId="28" w16cid:durableId="1941793238">
    <w:abstractNumId w:val="18"/>
  </w:num>
  <w:num w:numId="29" w16cid:durableId="681474244">
    <w:abstractNumId w:val="7"/>
  </w:num>
  <w:num w:numId="30" w16cid:durableId="1384216136">
    <w:abstractNumId w:val="25"/>
  </w:num>
  <w:num w:numId="31" w16cid:durableId="23483444">
    <w:abstractNumId w:val="26"/>
  </w:num>
  <w:num w:numId="32" w16cid:durableId="540479468">
    <w:abstractNumId w:val="14"/>
  </w:num>
  <w:num w:numId="33" w16cid:durableId="511645631">
    <w:abstractNumId w:val="21"/>
  </w:num>
  <w:num w:numId="34" w16cid:durableId="1088815912">
    <w:abstractNumId w:val="9"/>
  </w:num>
  <w:num w:numId="35" w16cid:durableId="636568007">
    <w:abstractNumId w:val="17"/>
  </w:num>
  <w:num w:numId="36" w16cid:durableId="802038398">
    <w:abstractNumId w:val="8"/>
  </w:num>
  <w:num w:numId="37" w16cid:durableId="1251157952">
    <w:abstractNumId w:val="22"/>
  </w:num>
  <w:num w:numId="38" w16cid:durableId="627667796">
    <w:abstractNumId w:val="23"/>
  </w:num>
  <w:num w:numId="39" w16cid:durableId="1499998252">
    <w:abstractNumId w:val="13"/>
  </w:num>
  <w:num w:numId="40" w16cid:durableId="1822961960">
    <w:abstractNumId w:val="4"/>
  </w:num>
  <w:num w:numId="41" w16cid:durableId="959995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tLAwMDA3M7M0NbBU0lEKTi0uzszPAykwqQUAFzZq2SwAAAA="/>
  </w:docVars>
  <w:rsids>
    <w:rsidRoot w:val="0002392D"/>
    <w:rsid w:val="00017804"/>
    <w:rsid w:val="0002392D"/>
    <w:rsid w:val="00040060"/>
    <w:rsid w:val="0005754C"/>
    <w:rsid w:val="00060330"/>
    <w:rsid w:val="000649F8"/>
    <w:rsid w:val="00066683"/>
    <w:rsid w:val="00073996"/>
    <w:rsid w:val="00086E9C"/>
    <w:rsid w:val="000A55D4"/>
    <w:rsid w:val="000A6BEF"/>
    <w:rsid w:val="000B577B"/>
    <w:rsid w:val="000B70CD"/>
    <w:rsid w:val="000C6DD6"/>
    <w:rsid w:val="000C7E29"/>
    <w:rsid w:val="000D62DB"/>
    <w:rsid w:val="000F14A2"/>
    <w:rsid w:val="00100EB9"/>
    <w:rsid w:val="0010119B"/>
    <w:rsid w:val="00111528"/>
    <w:rsid w:val="00111A0B"/>
    <w:rsid w:val="00114D60"/>
    <w:rsid w:val="00115A02"/>
    <w:rsid w:val="00130242"/>
    <w:rsid w:val="001411F3"/>
    <w:rsid w:val="00163EB8"/>
    <w:rsid w:val="001704FF"/>
    <w:rsid w:val="00175E85"/>
    <w:rsid w:val="00175F85"/>
    <w:rsid w:val="001863B8"/>
    <w:rsid w:val="00186AD2"/>
    <w:rsid w:val="00186B4C"/>
    <w:rsid w:val="001909C8"/>
    <w:rsid w:val="0019337F"/>
    <w:rsid w:val="001A2578"/>
    <w:rsid w:val="001B7A07"/>
    <w:rsid w:val="001E4C66"/>
    <w:rsid w:val="0020309C"/>
    <w:rsid w:val="002060B4"/>
    <w:rsid w:val="0021348F"/>
    <w:rsid w:val="0021639B"/>
    <w:rsid w:val="00217D51"/>
    <w:rsid w:val="002265B7"/>
    <w:rsid w:val="00232AF6"/>
    <w:rsid w:val="002476E7"/>
    <w:rsid w:val="00252CED"/>
    <w:rsid w:val="00257A9C"/>
    <w:rsid w:val="00261B68"/>
    <w:rsid w:val="002626EB"/>
    <w:rsid w:val="00266E3E"/>
    <w:rsid w:val="00266F04"/>
    <w:rsid w:val="00267AB5"/>
    <w:rsid w:val="0028077B"/>
    <w:rsid w:val="002809DC"/>
    <w:rsid w:val="00291665"/>
    <w:rsid w:val="00294F9B"/>
    <w:rsid w:val="002976BD"/>
    <w:rsid w:val="002D1862"/>
    <w:rsid w:val="002D7E71"/>
    <w:rsid w:val="002E40BA"/>
    <w:rsid w:val="002E72FE"/>
    <w:rsid w:val="002F236E"/>
    <w:rsid w:val="002F6514"/>
    <w:rsid w:val="002F77B2"/>
    <w:rsid w:val="00300560"/>
    <w:rsid w:val="00302D21"/>
    <w:rsid w:val="00307C55"/>
    <w:rsid w:val="00311B8A"/>
    <w:rsid w:val="00313D8E"/>
    <w:rsid w:val="00314EE3"/>
    <w:rsid w:val="003205C5"/>
    <w:rsid w:val="003216CD"/>
    <w:rsid w:val="003240BC"/>
    <w:rsid w:val="003259D0"/>
    <w:rsid w:val="003271B9"/>
    <w:rsid w:val="003276E3"/>
    <w:rsid w:val="0033393F"/>
    <w:rsid w:val="00345889"/>
    <w:rsid w:val="00347229"/>
    <w:rsid w:val="00362845"/>
    <w:rsid w:val="003778B6"/>
    <w:rsid w:val="003846C5"/>
    <w:rsid w:val="00387C3F"/>
    <w:rsid w:val="003919D2"/>
    <w:rsid w:val="00393F26"/>
    <w:rsid w:val="003A0349"/>
    <w:rsid w:val="003A127B"/>
    <w:rsid w:val="003B1AD6"/>
    <w:rsid w:val="003B23D5"/>
    <w:rsid w:val="003B3717"/>
    <w:rsid w:val="003B5EBC"/>
    <w:rsid w:val="003B6E9B"/>
    <w:rsid w:val="003B7CB0"/>
    <w:rsid w:val="003C263F"/>
    <w:rsid w:val="003C657D"/>
    <w:rsid w:val="003C770E"/>
    <w:rsid w:val="003D0E50"/>
    <w:rsid w:val="003D7045"/>
    <w:rsid w:val="003F0ABA"/>
    <w:rsid w:val="003F7B50"/>
    <w:rsid w:val="00403BF6"/>
    <w:rsid w:val="00413567"/>
    <w:rsid w:val="0043029F"/>
    <w:rsid w:val="004312CB"/>
    <w:rsid w:val="0047208B"/>
    <w:rsid w:val="004B1B7B"/>
    <w:rsid w:val="004B551B"/>
    <w:rsid w:val="004C3F54"/>
    <w:rsid w:val="004C7421"/>
    <w:rsid w:val="004D5130"/>
    <w:rsid w:val="004E45CF"/>
    <w:rsid w:val="004E517C"/>
    <w:rsid w:val="004F20CB"/>
    <w:rsid w:val="004F29E2"/>
    <w:rsid w:val="004F2A10"/>
    <w:rsid w:val="005049B6"/>
    <w:rsid w:val="005110B2"/>
    <w:rsid w:val="005204C9"/>
    <w:rsid w:val="005320D5"/>
    <w:rsid w:val="00536AE7"/>
    <w:rsid w:val="00554224"/>
    <w:rsid w:val="005606F7"/>
    <w:rsid w:val="00562FFC"/>
    <w:rsid w:val="0057261C"/>
    <w:rsid w:val="00573531"/>
    <w:rsid w:val="0058378B"/>
    <w:rsid w:val="0058463B"/>
    <w:rsid w:val="005902A8"/>
    <w:rsid w:val="005913F8"/>
    <w:rsid w:val="00592D59"/>
    <w:rsid w:val="00594584"/>
    <w:rsid w:val="005A01DD"/>
    <w:rsid w:val="005A2E56"/>
    <w:rsid w:val="005A7AFC"/>
    <w:rsid w:val="005B21FC"/>
    <w:rsid w:val="005F3161"/>
    <w:rsid w:val="005F398C"/>
    <w:rsid w:val="005F634C"/>
    <w:rsid w:val="00600E6A"/>
    <w:rsid w:val="00610920"/>
    <w:rsid w:val="00610B1B"/>
    <w:rsid w:val="00610DFE"/>
    <w:rsid w:val="00620384"/>
    <w:rsid w:val="006232EF"/>
    <w:rsid w:val="006273B2"/>
    <w:rsid w:val="0063438F"/>
    <w:rsid w:val="0063704C"/>
    <w:rsid w:val="0063747C"/>
    <w:rsid w:val="00641E10"/>
    <w:rsid w:val="00664F90"/>
    <w:rsid w:val="00670CE7"/>
    <w:rsid w:val="0067537F"/>
    <w:rsid w:val="00685FA3"/>
    <w:rsid w:val="00692A6C"/>
    <w:rsid w:val="006A0889"/>
    <w:rsid w:val="006A3349"/>
    <w:rsid w:val="006A79B6"/>
    <w:rsid w:val="006B216A"/>
    <w:rsid w:val="006B2170"/>
    <w:rsid w:val="006B26CA"/>
    <w:rsid w:val="006B3841"/>
    <w:rsid w:val="006C51CD"/>
    <w:rsid w:val="006C6C9E"/>
    <w:rsid w:val="006C71B2"/>
    <w:rsid w:val="006D7605"/>
    <w:rsid w:val="006E03FB"/>
    <w:rsid w:val="006E19C7"/>
    <w:rsid w:val="006E36F7"/>
    <w:rsid w:val="006E76C2"/>
    <w:rsid w:val="006F0A82"/>
    <w:rsid w:val="006F1825"/>
    <w:rsid w:val="006F6258"/>
    <w:rsid w:val="0070424F"/>
    <w:rsid w:val="007044B1"/>
    <w:rsid w:val="00704526"/>
    <w:rsid w:val="00707A00"/>
    <w:rsid w:val="00715B99"/>
    <w:rsid w:val="00720190"/>
    <w:rsid w:val="00746EB1"/>
    <w:rsid w:val="0075251F"/>
    <w:rsid w:val="00764CD7"/>
    <w:rsid w:val="00771F1F"/>
    <w:rsid w:val="00775C52"/>
    <w:rsid w:val="0077626D"/>
    <w:rsid w:val="00783A35"/>
    <w:rsid w:val="00783DB9"/>
    <w:rsid w:val="00785796"/>
    <w:rsid w:val="0079237A"/>
    <w:rsid w:val="0079559A"/>
    <w:rsid w:val="0079665C"/>
    <w:rsid w:val="007A24D7"/>
    <w:rsid w:val="007A43D8"/>
    <w:rsid w:val="007B0FBA"/>
    <w:rsid w:val="007B28D5"/>
    <w:rsid w:val="007D6152"/>
    <w:rsid w:val="007E502C"/>
    <w:rsid w:val="008057BD"/>
    <w:rsid w:val="00805E7B"/>
    <w:rsid w:val="0081173E"/>
    <w:rsid w:val="00817DA5"/>
    <w:rsid w:val="00820036"/>
    <w:rsid w:val="0082332F"/>
    <w:rsid w:val="0082339F"/>
    <w:rsid w:val="00831254"/>
    <w:rsid w:val="008367AB"/>
    <w:rsid w:val="0083685C"/>
    <w:rsid w:val="00836DC5"/>
    <w:rsid w:val="00843503"/>
    <w:rsid w:val="0084792E"/>
    <w:rsid w:val="00856100"/>
    <w:rsid w:val="0086398A"/>
    <w:rsid w:val="00892AFB"/>
    <w:rsid w:val="00896E06"/>
    <w:rsid w:val="00897D16"/>
    <w:rsid w:val="008A56C3"/>
    <w:rsid w:val="008B00D1"/>
    <w:rsid w:val="008C4B0A"/>
    <w:rsid w:val="008D0ED2"/>
    <w:rsid w:val="008D5AC5"/>
    <w:rsid w:val="008E3174"/>
    <w:rsid w:val="008E4BEF"/>
    <w:rsid w:val="00902487"/>
    <w:rsid w:val="00904CE0"/>
    <w:rsid w:val="00906343"/>
    <w:rsid w:val="0091442C"/>
    <w:rsid w:val="009204EE"/>
    <w:rsid w:val="00921E72"/>
    <w:rsid w:val="00922B10"/>
    <w:rsid w:val="00926AD1"/>
    <w:rsid w:val="00927EAE"/>
    <w:rsid w:val="009417DA"/>
    <w:rsid w:val="00941A83"/>
    <w:rsid w:val="00960B1F"/>
    <w:rsid w:val="00961C3B"/>
    <w:rsid w:val="00962297"/>
    <w:rsid w:val="00964651"/>
    <w:rsid w:val="00965FEE"/>
    <w:rsid w:val="00977A51"/>
    <w:rsid w:val="009803B0"/>
    <w:rsid w:val="009A0EC5"/>
    <w:rsid w:val="009A3CED"/>
    <w:rsid w:val="009B199C"/>
    <w:rsid w:val="009B251F"/>
    <w:rsid w:val="009B3651"/>
    <w:rsid w:val="009B7058"/>
    <w:rsid w:val="009B74DB"/>
    <w:rsid w:val="009C3119"/>
    <w:rsid w:val="009C53DA"/>
    <w:rsid w:val="009C608D"/>
    <w:rsid w:val="009C6643"/>
    <w:rsid w:val="009C7018"/>
    <w:rsid w:val="009D11A2"/>
    <w:rsid w:val="009D2E5F"/>
    <w:rsid w:val="009D40B0"/>
    <w:rsid w:val="009E2706"/>
    <w:rsid w:val="009F4332"/>
    <w:rsid w:val="009F77CE"/>
    <w:rsid w:val="00A02B95"/>
    <w:rsid w:val="00A0582A"/>
    <w:rsid w:val="00A11BD1"/>
    <w:rsid w:val="00A1357A"/>
    <w:rsid w:val="00A277E1"/>
    <w:rsid w:val="00A30E61"/>
    <w:rsid w:val="00A313F5"/>
    <w:rsid w:val="00A36C51"/>
    <w:rsid w:val="00A44BDB"/>
    <w:rsid w:val="00A50736"/>
    <w:rsid w:val="00A53E0A"/>
    <w:rsid w:val="00A54BCA"/>
    <w:rsid w:val="00A55E0E"/>
    <w:rsid w:val="00A67A2A"/>
    <w:rsid w:val="00A72531"/>
    <w:rsid w:val="00A8147A"/>
    <w:rsid w:val="00A83858"/>
    <w:rsid w:val="00A86952"/>
    <w:rsid w:val="00A956AA"/>
    <w:rsid w:val="00AA08F8"/>
    <w:rsid w:val="00AA4F5E"/>
    <w:rsid w:val="00AB0DA6"/>
    <w:rsid w:val="00AB2CB6"/>
    <w:rsid w:val="00AB596C"/>
    <w:rsid w:val="00AD3735"/>
    <w:rsid w:val="00AD4941"/>
    <w:rsid w:val="00AD4DA1"/>
    <w:rsid w:val="00AD7ABA"/>
    <w:rsid w:val="00AE0851"/>
    <w:rsid w:val="00B10586"/>
    <w:rsid w:val="00B246A0"/>
    <w:rsid w:val="00B46CC6"/>
    <w:rsid w:val="00B53F4C"/>
    <w:rsid w:val="00B57727"/>
    <w:rsid w:val="00B64091"/>
    <w:rsid w:val="00B82FDB"/>
    <w:rsid w:val="00B84780"/>
    <w:rsid w:val="00B873CC"/>
    <w:rsid w:val="00BA4607"/>
    <w:rsid w:val="00BA5EAF"/>
    <w:rsid w:val="00BB17C1"/>
    <w:rsid w:val="00BC6766"/>
    <w:rsid w:val="00BD73E4"/>
    <w:rsid w:val="00BF1008"/>
    <w:rsid w:val="00C01A57"/>
    <w:rsid w:val="00C01FD0"/>
    <w:rsid w:val="00C07434"/>
    <w:rsid w:val="00C21A50"/>
    <w:rsid w:val="00C220C0"/>
    <w:rsid w:val="00C270CA"/>
    <w:rsid w:val="00C27E30"/>
    <w:rsid w:val="00C320B0"/>
    <w:rsid w:val="00C34CB3"/>
    <w:rsid w:val="00C37485"/>
    <w:rsid w:val="00C44085"/>
    <w:rsid w:val="00C44C13"/>
    <w:rsid w:val="00C44D26"/>
    <w:rsid w:val="00C47C19"/>
    <w:rsid w:val="00C77103"/>
    <w:rsid w:val="00C802FA"/>
    <w:rsid w:val="00C807E3"/>
    <w:rsid w:val="00CA70B1"/>
    <w:rsid w:val="00CB5298"/>
    <w:rsid w:val="00CC4834"/>
    <w:rsid w:val="00CE0F1F"/>
    <w:rsid w:val="00D04D3B"/>
    <w:rsid w:val="00D1398B"/>
    <w:rsid w:val="00D23849"/>
    <w:rsid w:val="00D34EC9"/>
    <w:rsid w:val="00D36059"/>
    <w:rsid w:val="00D507EE"/>
    <w:rsid w:val="00D50840"/>
    <w:rsid w:val="00D56D8C"/>
    <w:rsid w:val="00D620E4"/>
    <w:rsid w:val="00D719AA"/>
    <w:rsid w:val="00D81661"/>
    <w:rsid w:val="00D8190B"/>
    <w:rsid w:val="00D93E3D"/>
    <w:rsid w:val="00D95AF3"/>
    <w:rsid w:val="00DB7A75"/>
    <w:rsid w:val="00DC404F"/>
    <w:rsid w:val="00DC5A3F"/>
    <w:rsid w:val="00DE184A"/>
    <w:rsid w:val="00DE6F98"/>
    <w:rsid w:val="00DE766C"/>
    <w:rsid w:val="00DF4C24"/>
    <w:rsid w:val="00E02CB5"/>
    <w:rsid w:val="00E05F04"/>
    <w:rsid w:val="00E07C58"/>
    <w:rsid w:val="00E11918"/>
    <w:rsid w:val="00E27635"/>
    <w:rsid w:val="00E33B7F"/>
    <w:rsid w:val="00E44DBB"/>
    <w:rsid w:val="00E45B59"/>
    <w:rsid w:val="00E55E0F"/>
    <w:rsid w:val="00E629F5"/>
    <w:rsid w:val="00E76136"/>
    <w:rsid w:val="00E854CE"/>
    <w:rsid w:val="00E92085"/>
    <w:rsid w:val="00E925B9"/>
    <w:rsid w:val="00EA4104"/>
    <w:rsid w:val="00EB2E55"/>
    <w:rsid w:val="00EB4ADF"/>
    <w:rsid w:val="00EC1B22"/>
    <w:rsid w:val="00EC2AD6"/>
    <w:rsid w:val="00ED1C4D"/>
    <w:rsid w:val="00ED2192"/>
    <w:rsid w:val="00ED5B12"/>
    <w:rsid w:val="00ED65B6"/>
    <w:rsid w:val="00EE2429"/>
    <w:rsid w:val="00EE5DFC"/>
    <w:rsid w:val="00F0161C"/>
    <w:rsid w:val="00F12E52"/>
    <w:rsid w:val="00F15DAD"/>
    <w:rsid w:val="00F20499"/>
    <w:rsid w:val="00F32321"/>
    <w:rsid w:val="00F35AF5"/>
    <w:rsid w:val="00F52390"/>
    <w:rsid w:val="00F70E22"/>
    <w:rsid w:val="00F712F0"/>
    <w:rsid w:val="00F73A6D"/>
    <w:rsid w:val="00F8226E"/>
    <w:rsid w:val="00F86435"/>
    <w:rsid w:val="00FA58CD"/>
    <w:rsid w:val="00FD4255"/>
    <w:rsid w:val="00FD570C"/>
    <w:rsid w:val="00FE15C8"/>
    <w:rsid w:val="00FE6E0D"/>
    <w:rsid w:val="00FF1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F09AB"/>
  <w15:chartTrackingRefBased/>
  <w15:docId w15:val="{8E1CC04D-C439-47CF-8D46-EEE3745F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2F"/>
    <w:rPr>
      <w:rFonts w:ascii="Arial" w:hAnsi="Arial"/>
      <w:color w:val="000000" w:themeColor="text1"/>
      <w:sz w:val="20"/>
    </w:rPr>
  </w:style>
  <w:style w:type="paragraph" w:styleId="Heading1">
    <w:name w:val="heading 1"/>
    <w:basedOn w:val="Normal"/>
    <w:next w:val="Body"/>
    <w:link w:val="Heading1Char"/>
    <w:uiPriority w:val="9"/>
    <w:qFormat/>
    <w:rsid w:val="00F712F0"/>
    <w:pPr>
      <w:pageBreakBefore/>
      <w:numPr>
        <w:numId w:val="38"/>
      </w:numPr>
      <w:spacing w:after="240"/>
      <w:ind w:left="851" w:hanging="851"/>
      <w:outlineLvl w:val="0"/>
    </w:pPr>
    <w:rPr>
      <w:b/>
      <w:color w:val="1F688D"/>
      <w:sz w:val="40"/>
      <w:szCs w:val="40"/>
    </w:rPr>
  </w:style>
  <w:style w:type="paragraph" w:styleId="Heading2">
    <w:name w:val="heading 2"/>
    <w:basedOn w:val="Normal"/>
    <w:next w:val="Body"/>
    <w:link w:val="Heading2Char"/>
    <w:uiPriority w:val="9"/>
    <w:qFormat/>
    <w:rsid w:val="00927EAE"/>
    <w:pPr>
      <w:keepNext/>
      <w:keepLines/>
      <w:numPr>
        <w:ilvl w:val="1"/>
        <w:numId w:val="38"/>
      </w:numPr>
      <w:spacing w:before="240" w:after="240"/>
      <w:ind w:left="851" w:hanging="851"/>
      <w:outlineLvl w:val="1"/>
    </w:pPr>
    <w:rPr>
      <w:rFonts w:eastAsiaTheme="majorEastAsia" w:cstheme="majorBidi"/>
      <w:b/>
      <w:bCs/>
      <w:color w:val="1F688D"/>
      <w:sz w:val="32"/>
      <w:szCs w:val="26"/>
    </w:rPr>
  </w:style>
  <w:style w:type="paragraph" w:styleId="Heading3">
    <w:name w:val="heading 3"/>
    <w:basedOn w:val="Normal"/>
    <w:next w:val="Body"/>
    <w:link w:val="Heading3Char"/>
    <w:uiPriority w:val="9"/>
    <w:qFormat/>
    <w:rsid w:val="00EE2429"/>
    <w:pPr>
      <w:keepNext/>
      <w:keepLines/>
      <w:numPr>
        <w:ilvl w:val="2"/>
        <w:numId w:val="38"/>
      </w:numPr>
      <w:spacing w:before="240" w:after="240"/>
      <w:ind w:left="851" w:hanging="851"/>
      <w:outlineLvl w:val="2"/>
    </w:pPr>
    <w:rPr>
      <w:rFonts w:eastAsiaTheme="majorEastAsia" w:cstheme="majorBidi"/>
      <w:b/>
      <w:bCs/>
      <w:color w:val="1F688D"/>
      <w:sz w:val="24"/>
    </w:rPr>
  </w:style>
  <w:style w:type="paragraph" w:styleId="Heading4">
    <w:name w:val="heading 4"/>
    <w:basedOn w:val="Normal"/>
    <w:next w:val="Body"/>
    <w:link w:val="Heading4Char"/>
    <w:uiPriority w:val="9"/>
    <w:unhideWhenUsed/>
    <w:qFormat/>
    <w:rsid w:val="001909C8"/>
    <w:pPr>
      <w:keepNext/>
      <w:keepLines/>
      <w:spacing w:before="240" w:after="120"/>
      <w:outlineLvl w:val="3"/>
    </w:pPr>
    <w:rPr>
      <w:b/>
      <w:color w:val="1F688D"/>
      <w:sz w:val="22"/>
    </w:rPr>
  </w:style>
  <w:style w:type="paragraph" w:styleId="Heading5">
    <w:name w:val="heading 5"/>
    <w:basedOn w:val="Normal"/>
    <w:next w:val="Body"/>
    <w:link w:val="Heading5Char"/>
    <w:uiPriority w:val="9"/>
    <w:unhideWhenUsed/>
    <w:qFormat/>
    <w:rsid w:val="009417DA"/>
    <w:pPr>
      <w:keepNext/>
      <w:keepLines/>
      <w:spacing w:before="240" w:after="240"/>
      <w:outlineLvl w:val="4"/>
    </w:pPr>
    <w:rPr>
      <w:i/>
      <w:color w:val="1F688D"/>
    </w:rPr>
  </w:style>
  <w:style w:type="paragraph" w:styleId="Heading6">
    <w:name w:val="heading 6"/>
    <w:basedOn w:val="Body"/>
    <w:next w:val="Body"/>
    <w:link w:val="Heading6Char"/>
    <w:uiPriority w:val="9"/>
    <w:unhideWhenUsed/>
    <w:qFormat/>
    <w:rsid w:val="009417DA"/>
    <w:pPr>
      <w:keepNext/>
      <w:keepLines/>
      <w:spacing w:before="240" w:after="240" w:line="240" w:lineRule="auto"/>
      <w:outlineLvl w:val="5"/>
    </w:pPr>
    <w:rPr>
      <w:color w:val="1F688D"/>
      <w:u w:val="single"/>
    </w:rPr>
  </w:style>
  <w:style w:type="paragraph" w:styleId="Heading7">
    <w:name w:val="heading 7"/>
    <w:basedOn w:val="Normal"/>
    <w:next w:val="Normal"/>
    <w:link w:val="Heading7Char"/>
    <w:uiPriority w:val="9"/>
    <w:unhideWhenUsed/>
    <w:rsid w:val="00314EE3"/>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
    <w:link w:val="CaptionChar"/>
    <w:uiPriority w:val="35"/>
    <w:unhideWhenUsed/>
    <w:qFormat/>
    <w:rsid w:val="0081173E"/>
    <w:pPr>
      <w:keepNext/>
      <w:spacing w:before="240" w:after="120"/>
      <w:ind w:left="1418" w:hanging="1418"/>
    </w:pPr>
    <w:rPr>
      <w:rFonts w:ascii="Arial Bold" w:eastAsia="Times New Roman" w:hAnsi="Arial Bold" w:cs="Times New Roman"/>
      <w:b/>
      <w:bCs/>
      <w:color w:val="1F688D"/>
      <w:szCs w:val="18"/>
    </w:rPr>
  </w:style>
  <w:style w:type="character" w:customStyle="1" w:styleId="Heading7Char">
    <w:name w:val="Heading 7 Char"/>
    <w:basedOn w:val="DefaultParagraphFont"/>
    <w:link w:val="Heading7"/>
    <w:uiPriority w:val="9"/>
    <w:rsid w:val="00314EE3"/>
    <w:rPr>
      <w:rFonts w:ascii="Arial" w:eastAsiaTheme="majorEastAsia" w:hAnsi="Arial" w:cs="Arial"/>
      <w:i/>
      <w:iCs/>
      <w:color w:val="1F688D"/>
      <w:sz w:val="20"/>
    </w:rPr>
  </w:style>
  <w:style w:type="paragraph" w:customStyle="1" w:styleId="Bullets1">
    <w:name w:val="Bullets 1"/>
    <w:basedOn w:val="Normal"/>
    <w:qFormat/>
    <w:rsid w:val="004B551B"/>
    <w:pPr>
      <w:numPr>
        <w:numId w:val="27"/>
      </w:numPr>
      <w:spacing w:before="120" w:after="120"/>
      <w:ind w:left="850" w:hanging="425"/>
    </w:pPr>
    <w:rPr>
      <w:rFonts w:eastAsia="Times New Roman" w:cs="Times New Roman"/>
      <w:szCs w:val="20"/>
    </w:rPr>
  </w:style>
  <w:style w:type="character" w:customStyle="1" w:styleId="Heading1Char">
    <w:name w:val="Heading 1 Char"/>
    <w:basedOn w:val="DefaultParagraphFont"/>
    <w:link w:val="Heading1"/>
    <w:uiPriority w:val="9"/>
    <w:rsid w:val="00F712F0"/>
    <w:rPr>
      <w:rFonts w:ascii="Arial" w:hAnsi="Arial"/>
      <w:b/>
      <w:color w:val="1F688D"/>
      <w:sz w:val="40"/>
      <w:szCs w:val="40"/>
    </w:rPr>
  </w:style>
  <w:style w:type="character" w:customStyle="1" w:styleId="Heading2Char">
    <w:name w:val="Heading 2 Char"/>
    <w:basedOn w:val="DefaultParagraphFont"/>
    <w:link w:val="Heading2"/>
    <w:uiPriority w:val="9"/>
    <w:rsid w:val="00927EAE"/>
    <w:rPr>
      <w:rFonts w:ascii="Arial" w:eastAsiaTheme="majorEastAsia" w:hAnsi="Arial" w:cstheme="majorBidi"/>
      <w:b/>
      <w:bCs/>
      <w:color w:val="1F688D"/>
      <w:sz w:val="32"/>
      <w:szCs w:val="26"/>
    </w:rPr>
  </w:style>
  <w:style w:type="character" w:customStyle="1" w:styleId="Heading3Char">
    <w:name w:val="Heading 3 Char"/>
    <w:basedOn w:val="DefaultParagraphFont"/>
    <w:link w:val="Heading3"/>
    <w:uiPriority w:val="9"/>
    <w:rsid w:val="00EE2429"/>
    <w:rPr>
      <w:rFonts w:ascii="Arial" w:eastAsiaTheme="majorEastAsia" w:hAnsi="Arial" w:cstheme="majorBidi"/>
      <w:b/>
      <w:bCs/>
      <w:color w:val="1F688D"/>
      <w:sz w:val="24"/>
    </w:rPr>
  </w:style>
  <w:style w:type="paragraph" w:customStyle="1" w:styleId="AppendixHeading">
    <w:name w:val="Appendix Heading"/>
    <w:basedOn w:val="Heading1"/>
    <w:next w:val="Body"/>
    <w:link w:val="AppendixHeadingChar"/>
    <w:qFormat/>
    <w:rsid w:val="00964651"/>
    <w:pPr>
      <w:numPr>
        <w:numId w:val="0"/>
      </w:numPr>
      <w:tabs>
        <w:tab w:val="left" w:pos="2835"/>
      </w:tabs>
    </w:pPr>
  </w:style>
  <w:style w:type="character" w:customStyle="1" w:styleId="AppendixHeadingChar">
    <w:name w:val="Appendix Heading Char"/>
    <w:basedOn w:val="Heading1Char"/>
    <w:link w:val="AppendixHeading"/>
    <w:rsid w:val="00964651"/>
    <w:rPr>
      <w:rFonts w:ascii="Arial" w:hAnsi="Arial"/>
      <w:b/>
      <w:color w:val="1F688D"/>
      <w:sz w:val="40"/>
      <w:szCs w:val="40"/>
    </w:rPr>
  </w:style>
  <w:style w:type="paragraph" w:customStyle="1" w:styleId="Bullets2">
    <w:name w:val="Bullets 2"/>
    <w:basedOn w:val="Normal"/>
    <w:autoRedefine/>
    <w:qFormat/>
    <w:rsid w:val="001909C8"/>
    <w:pPr>
      <w:numPr>
        <w:ilvl w:val="1"/>
        <w:numId w:val="27"/>
      </w:numPr>
      <w:spacing w:before="120" w:after="120" w:line="300" w:lineRule="auto"/>
    </w:pPr>
    <w:rPr>
      <w:rFonts w:eastAsia="Times New Roman" w:cs="Times New Roman"/>
      <w:szCs w:val="20"/>
    </w:rPr>
  </w:style>
  <w:style w:type="paragraph" w:customStyle="1" w:styleId="Bullets3">
    <w:name w:val="Bullets 3"/>
    <w:basedOn w:val="Normal"/>
    <w:qFormat/>
    <w:rsid w:val="001909C8"/>
    <w:pPr>
      <w:numPr>
        <w:ilvl w:val="2"/>
        <w:numId w:val="27"/>
      </w:numPr>
      <w:spacing w:before="120" w:after="120" w:line="300" w:lineRule="auto"/>
    </w:pPr>
    <w:rPr>
      <w:rFonts w:eastAsia="Times New Roman" w:cs="Times New Roman"/>
      <w:szCs w:val="20"/>
    </w:rPr>
  </w:style>
  <w:style w:type="paragraph" w:customStyle="1" w:styleId="SubHeading1">
    <w:name w:val="Sub Heading 1"/>
    <w:basedOn w:val="Subtitle"/>
    <w:next w:val="Body"/>
    <w:link w:val="SubHeading1Char"/>
    <w:qFormat/>
    <w:rsid w:val="00ED5B12"/>
    <w:pPr>
      <w:spacing w:before="240" w:after="240"/>
      <w:outlineLvl w:val="1"/>
    </w:pPr>
    <w:rPr>
      <w:color w:val="1F688D"/>
      <w:sz w:val="32"/>
      <w:szCs w:val="32"/>
    </w:rPr>
  </w:style>
  <w:style w:type="character" w:customStyle="1" w:styleId="SubHeading1Char">
    <w:name w:val="Sub Heading 1 Char"/>
    <w:basedOn w:val="DefaultParagraphFont"/>
    <w:link w:val="SubHeading1"/>
    <w:rsid w:val="00ED5B12"/>
    <w:rPr>
      <w:rFonts w:ascii="Arial" w:hAnsi="Arial"/>
      <w:b/>
      <w:color w:val="1F688D"/>
      <w:sz w:val="32"/>
      <w:szCs w:val="32"/>
    </w:rPr>
  </w:style>
  <w:style w:type="paragraph" w:customStyle="1" w:styleId="CentreSubHeading2">
    <w:name w:val="Centre Sub Heading 2"/>
    <w:basedOn w:val="Normal"/>
    <w:next w:val="Normal"/>
    <w:rsid w:val="001411F3"/>
    <w:pPr>
      <w:tabs>
        <w:tab w:val="center" w:pos="4678"/>
      </w:tabs>
      <w:spacing w:after="60" w:line="300" w:lineRule="auto"/>
      <w:jc w:val="center"/>
    </w:pPr>
    <w:rPr>
      <w:rFonts w:ascii="Arial Bold" w:hAnsi="Arial Bold" w:cs="Arial"/>
      <w:b/>
      <w:color w:val="1F688D"/>
      <w:sz w:val="22"/>
    </w:rPr>
  </w:style>
  <w:style w:type="paragraph" w:styleId="TOC1">
    <w:name w:val="toc 1"/>
    <w:basedOn w:val="Normal"/>
    <w:next w:val="Normal"/>
    <w:autoRedefine/>
    <w:uiPriority w:val="39"/>
    <w:unhideWhenUsed/>
    <w:qFormat/>
    <w:rsid w:val="00A55E0E"/>
    <w:pPr>
      <w:tabs>
        <w:tab w:val="right" w:leader="dot" w:pos="9072"/>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A55E0E"/>
    <w:pPr>
      <w:tabs>
        <w:tab w:val="right" w:leader="dot" w:pos="9072"/>
      </w:tabs>
      <w:spacing w:before="60" w:after="60"/>
      <w:ind w:left="1418" w:hanging="851"/>
      <w:jc w:val="both"/>
    </w:pPr>
    <w:rPr>
      <w:rFonts w:eastAsia="Times New Roman" w:cs="Times New Roman"/>
      <w:szCs w:val="20"/>
    </w:rPr>
  </w:style>
  <w:style w:type="character" w:customStyle="1" w:styleId="TOC2Char">
    <w:name w:val="TOC 2 Char"/>
    <w:basedOn w:val="DefaultParagraphFont"/>
    <w:link w:val="TOC2"/>
    <w:uiPriority w:val="39"/>
    <w:rsid w:val="00A55E0E"/>
    <w:rPr>
      <w:rFonts w:ascii="Arial" w:eastAsia="Times New Roman" w:hAnsi="Arial" w:cs="Times New Roman"/>
      <w:color w:val="000000" w:themeColor="text1"/>
      <w:sz w:val="20"/>
      <w:szCs w:val="20"/>
    </w:rPr>
  </w:style>
  <w:style w:type="paragraph" w:styleId="TOC3">
    <w:name w:val="toc 3"/>
    <w:basedOn w:val="Normal"/>
    <w:next w:val="Normal"/>
    <w:uiPriority w:val="39"/>
    <w:unhideWhenUsed/>
    <w:qFormat/>
    <w:rsid w:val="00A55E0E"/>
    <w:pPr>
      <w:tabs>
        <w:tab w:val="left" w:pos="2268"/>
        <w:tab w:val="right" w:leader="dot" w:pos="9072"/>
      </w:tabs>
      <w:spacing w:before="60" w:after="60"/>
      <w:ind w:left="2268" w:right="-2" w:hanging="851"/>
      <w:jc w:val="both"/>
    </w:pPr>
    <w:rPr>
      <w:rFonts w:eastAsia="Times New Roman" w:cs="Times New Roman"/>
      <w:noProof/>
      <w:szCs w:val="20"/>
    </w:rPr>
  </w:style>
  <w:style w:type="paragraph" w:customStyle="1" w:styleId="Body">
    <w:name w:val="Body"/>
    <w:basedOn w:val="Normal"/>
    <w:link w:val="BodyChar"/>
    <w:qFormat/>
    <w:rsid w:val="00977A51"/>
    <w:pPr>
      <w:spacing w:before="120" w:after="120" w:line="300" w:lineRule="auto"/>
    </w:pPr>
    <w:rPr>
      <w:rFonts w:eastAsia="Times New Roman" w:cs="Times New Roman"/>
      <w:szCs w:val="20"/>
    </w:rPr>
  </w:style>
  <w:style w:type="character" w:customStyle="1" w:styleId="BodyChar">
    <w:name w:val="Body Char"/>
    <w:link w:val="Body"/>
    <w:rsid w:val="00977A51"/>
    <w:rPr>
      <w:rFonts w:ascii="Arial" w:eastAsia="Times New Roman" w:hAnsi="Arial" w:cs="Times New Roman"/>
      <w:sz w:val="20"/>
      <w:szCs w:val="20"/>
    </w:rPr>
  </w:style>
  <w:style w:type="character" w:styleId="BookTitle">
    <w:name w:val="Book Title"/>
    <w:basedOn w:val="DefaultParagraphFont"/>
    <w:uiPriority w:val="33"/>
    <w:qFormat/>
    <w:rsid w:val="00D620E4"/>
    <w:rPr>
      <w:b/>
      <w:bCs/>
      <w:i/>
      <w:iCs/>
      <w:spacing w:val="5"/>
    </w:rPr>
  </w:style>
  <w:style w:type="paragraph" w:styleId="ListParagraph">
    <w:name w:val="List Paragraph"/>
    <w:aliases w:val="Recommendation,L,0Bullet,Bullet point,Indented bullet,List Paragraph1,List Paragraph11,List Paragraph2,bullet point list"/>
    <w:basedOn w:val="Normal"/>
    <w:link w:val="ListParagraphChar"/>
    <w:uiPriority w:val="34"/>
    <w:qFormat/>
    <w:rsid w:val="003B1AD6"/>
    <w:pPr>
      <w:spacing w:before="60" w:after="60" w:line="300" w:lineRule="auto"/>
    </w:pPr>
  </w:style>
  <w:style w:type="paragraph" w:customStyle="1" w:styleId="FigureNote">
    <w:name w:val="Figure Note"/>
    <w:basedOn w:val="Normal"/>
    <w:link w:val="FigureNoteChar"/>
    <w:qFormat/>
    <w:rsid w:val="00D620E4"/>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D620E4"/>
    <w:rPr>
      <w:rFonts w:ascii="Arial" w:eastAsia="Calibri" w:hAnsi="Arial" w:cs="Times New Roman"/>
      <w:sz w:val="16"/>
      <w:lang w:val="en-GB"/>
    </w:rPr>
  </w:style>
  <w:style w:type="character" w:customStyle="1" w:styleId="Heading4Char">
    <w:name w:val="Heading 4 Char"/>
    <w:basedOn w:val="DefaultParagraphFont"/>
    <w:link w:val="Heading4"/>
    <w:uiPriority w:val="9"/>
    <w:rsid w:val="001909C8"/>
    <w:rPr>
      <w:rFonts w:ascii="Arial" w:hAnsi="Arial"/>
      <w:b/>
      <w:color w:val="1F688D"/>
    </w:rPr>
  </w:style>
  <w:style w:type="character" w:customStyle="1" w:styleId="Heading5Char">
    <w:name w:val="Heading 5 Char"/>
    <w:basedOn w:val="DefaultParagraphFont"/>
    <w:link w:val="Heading5"/>
    <w:uiPriority w:val="9"/>
    <w:rsid w:val="009417DA"/>
    <w:rPr>
      <w:rFonts w:ascii="Arial" w:hAnsi="Arial"/>
      <w:i/>
      <w:color w:val="1F688D"/>
      <w:sz w:val="20"/>
    </w:rPr>
  </w:style>
  <w:style w:type="character" w:customStyle="1" w:styleId="Heading6Char">
    <w:name w:val="Heading 6 Char"/>
    <w:basedOn w:val="DefaultParagraphFont"/>
    <w:link w:val="Heading6"/>
    <w:uiPriority w:val="9"/>
    <w:rsid w:val="009417DA"/>
    <w:rPr>
      <w:rFonts w:ascii="Arial" w:eastAsia="Times New Roman" w:hAnsi="Arial" w:cs="Times New Roman"/>
      <w:color w:val="1F688D"/>
      <w:sz w:val="20"/>
      <w:szCs w:val="20"/>
      <w:u w:val="single"/>
    </w:rPr>
  </w:style>
  <w:style w:type="paragraph" w:styleId="Quote">
    <w:name w:val="Quote"/>
    <w:basedOn w:val="Normal"/>
    <w:next w:val="Normal"/>
    <w:link w:val="QuoteChar"/>
    <w:uiPriority w:val="29"/>
    <w:qFormat/>
    <w:rsid w:val="00977A51"/>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977A51"/>
    <w:rPr>
      <w:rFonts w:ascii="Arial" w:hAnsi="Arial"/>
      <w:i/>
      <w:iCs/>
      <w:color w:val="404040" w:themeColor="text1" w:themeTint="BF"/>
      <w:sz w:val="20"/>
    </w:rPr>
  </w:style>
  <w:style w:type="paragraph" w:styleId="Title">
    <w:name w:val="Title"/>
    <w:basedOn w:val="Normal"/>
    <w:next w:val="Body"/>
    <w:link w:val="TitleChar"/>
    <w:uiPriority w:val="10"/>
    <w:qFormat/>
    <w:rsid w:val="00D620E4"/>
    <w:rPr>
      <w:b/>
      <w:color w:val="1F688D"/>
      <w:sz w:val="56"/>
      <w:szCs w:val="56"/>
    </w:rPr>
  </w:style>
  <w:style w:type="character" w:customStyle="1" w:styleId="TitleChar">
    <w:name w:val="Title Char"/>
    <w:basedOn w:val="DefaultParagraphFont"/>
    <w:link w:val="Title"/>
    <w:uiPriority w:val="10"/>
    <w:rsid w:val="00D620E4"/>
    <w:rPr>
      <w:rFonts w:ascii="Arial" w:hAnsi="Arial"/>
      <w:b/>
      <w:color w:val="1F688D"/>
      <w:sz w:val="56"/>
      <w:szCs w:val="56"/>
    </w:rPr>
  </w:style>
  <w:style w:type="paragraph" w:styleId="Subtitle">
    <w:name w:val="Subtitle"/>
    <w:basedOn w:val="Title"/>
    <w:next w:val="Body"/>
    <w:link w:val="SubtitleChar"/>
    <w:uiPriority w:val="11"/>
    <w:qFormat/>
    <w:rsid w:val="00D620E4"/>
    <w:pPr>
      <w:spacing w:before="120"/>
    </w:pPr>
    <w:rPr>
      <w:color w:val="000000" w:themeColor="text1"/>
      <w:sz w:val="44"/>
      <w:szCs w:val="44"/>
    </w:rPr>
  </w:style>
  <w:style w:type="character" w:customStyle="1" w:styleId="SubtitleChar">
    <w:name w:val="Subtitle Char"/>
    <w:basedOn w:val="DefaultParagraphFont"/>
    <w:link w:val="Subtitle"/>
    <w:uiPriority w:val="11"/>
    <w:rsid w:val="00D620E4"/>
    <w:rPr>
      <w:rFonts w:ascii="Arial" w:hAnsi="Arial"/>
      <w:b/>
      <w:color w:val="000000" w:themeColor="text1"/>
      <w:sz w:val="44"/>
      <w:szCs w:val="44"/>
    </w:rPr>
  </w:style>
  <w:style w:type="character" w:styleId="PlaceholderText">
    <w:name w:val="Placeholder Text"/>
    <w:basedOn w:val="DefaultParagraphFont"/>
    <w:uiPriority w:val="99"/>
    <w:semiHidden/>
    <w:rsid w:val="007E502C"/>
    <w:rPr>
      <w:color w:val="808080"/>
    </w:rPr>
  </w:style>
  <w:style w:type="paragraph" w:styleId="BalloonText">
    <w:name w:val="Balloon Text"/>
    <w:basedOn w:val="Normal"/>
    <w:link w:val="BalloonTextChar"/>
    <w:uiPriority w:val="99"/>
    <w:semiHidden/>
    <w:unhideWhenUsed/>
    <w:rsid w:val="00805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7B"/>
    <w:rPr>
      <w:rFonts w:ascii="Segoe UI" w:hAnsi="Segoe UI" w:cs="Segoe UI"/>
      <w:sz w:val="18"/>
      <w:szCs w:val="18"/>
    </w:rPr>
  </w:style>
  <w:style w:type="paragraph" w:styleId="Header">
    <w:name w:val="header"/>
    <w:basedOn w:val="Normal"/>
    <w:link w:val="HeaderChar"/>
    <w:uiPriority w:val="99"/>
    <w:unhideWhenUsed/>
    <w:rsid w:val="0086398A"/>
    <w:pPr>
      <w:tabs>
        <w:tab w:val="center" w:pos="4513"/>
        <w:tab w:val="right" w:pos="9026"/>
      </w:tabs>
    </w:pPr>
  </w:style>
  <w:style w:type="character" w:customStyle="1" w:styleId="HeaderChar">
    <w:name w:val="Header Char"/>
    <w:basedOn w:val="DefaultParagraphFont"/>
    <w:link w:val="Header"/>
    <w:uiPriority w:val="99"/>
    <w:rsid w:val="0086398A"/>
    <w:rPr>
      <w:rFonts w:ascii="Arial" w:hAnsi="Arial"/>
      <w:sz w:val="20"/>
    </w:rPr>
  </w:style>
  <w:style w:type="paragraph" w:customStyle="1" w:styleId="MajorHeading">
    <w:name w:val="Major Heading"/>
    <w:basedOn w:val="Heading1"/>
    <w:next w:val="Body"/>
    <w:link w:val="MajorHeadingChar"/>
    <w:qFormat/>
    <w:rsid w:val="00A313F5"/>
    <w:pPr>
      <w:keepNext/>
      <w:keepLines/>
      <w:pageBreakBefore w:val="0"/>
      <w:numPr>
        <w:numId w:val="0"/>
      </w:numPr>
    </w:pPr>
    <w:rPr>
      <w:rFonts w:eastAsiaTheme="majorEastAsia" w:cstheme="majorBidi"/>
      <w:bCs/>
    </w:rPr>
  </w:style>
  <w:style w:type="character" w:customStyle="1" w:styleId="MajorHeadingChar">
    <w:name w:val="Major Heading Char"/>
    <w:basedOn w:val="Heading1Char"/>
    <w:link w:val="MajorHeading"/>
    <w:rsid w:val="00A313F5"/>
    <w:rPr>
      <w:rFonts w:ascii="Arial" w:eastAsiaTheme="majorEastAsia" w:hAnsi="Arial" w:cstheme="majorBidi"/>
      <w:b/>
      <w:bCs/>
      <w:color w:val="1F688D"/>
      <w:sz w:val="40"/>
      <w:szCs w:val="40"/>
    </w:rPr>
  </w:style>
  <w:style w:type="character" w:styleId="Hyperlink">
    <w:name w:val="Hyperlink"/>
    <w:basedOn w:val="DefaultParagraphFont"/>
    <w:uiPriority w:val="99"/>
    <w:unhideWhenUsed/>
    <w:rsid w:val="004C3F54"/>
    <w:rPr>
      <w:color w:val="000000" w:themeColor="text1"/>
      <w:u w:val="single"/>
    </w:rPr>
  </w:style>
  <w:style w:type="paragraph" w:styleId="Footer">
    <w:name w:val="footer"/>
    <w:basedOn w:val="Normal"/>
    <w:link w:val="FooterChar"/>
    <w:uiPriority w:val="99"/>
    <w:unhideWhenUsed/>
    <w:rsid w:val="0086398A"/>
    <w:pPr>
      <w:tabs>
        <w:tab w:val="center" w:pos="4513"/>
        <w:tab w:val="right" w:pos="9026"/>
      </w:tabs>
    </w:pPr>
  </w:style>
  <w:style w:type="character" w:customStyle="1" w:styleId="FooterChar">
    <w:name w:val="Footer Char"/>
    <w:basedOn w:val="DefaultParagraphFont"/>
    <w:link w:val="Footer"/>
    <w:uiPriority w:val="99"/>
    <w:rsid w:val="0086398A"/>
    <w:rPr>
      <w:rFonts w:ascii="Arial" w:hAnsi="Arial"/>
      <w:sz w:val="20"/>
    </w:rPr>
  </w:style>
  <w:style w:type="character" w:styleId="FollowedHyperlink">
    <w:name w:val="FollowedHyperlink"/>
    <w:basedOn w:val="DefaultParagraphFont"/>
    <w:uiPriority w:val="99"/>
    <w:semiHidden/>
    <w:unhideWhenUsed/>
    <w:rsid w:val="002F6514"/>
    <w:rPr>
      <w:color w:val="7030A0" w:themeColor="followedHyperlink"/>
      <w:u w:val="single"/>
    </w:rPr>
  </w:style>
  <w:style w:type="table" w:styleId="TableGrid">
    <w:name w:val="Table Grid"/>
    <w:aliases w:val="SRC 2"/>
    <w:basedOn w:val="TableNormal"/>
    <w:uiPriority w:val="39"/>
    <w:rsid w:val="00C44085"/>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tcBorders>
          <w:top w:val="nil"/>
          <w:left w:val="nil"/>
          <w:bottom w:val="nil"/>
          <w:right w:val="nil"/>
          <w:insideH w:val="nil"/>
          <w:insideV w:val="nil"/>
          <w:tl2br w:val="nil"/>
          <w:tr2bl w:val="nil"/>
        </w:tcBorders>
        <w:shd w:val="clear" w:color="auto" w:fill="1F698E" w:themeFill="accent1"/>
      </w:tcPr>
    </w:tblStylePr>
    <w:tblStylePr w:type="lastRow">
      <w:pPr>
        <w:wordWrap/>
        <w:spacing w:beforeLines="0" w:before="60" w:beforeAutospacing="0" w:afterLines="0" w:after="60" w:afterAutospacing="0" w:line="240" w:lineRule="auto"/>
        <w:contextualSpacing w:val="0"/>
      </w:pPr>
      <w:tblPr/>
      <w:tcPr>
        <w:tcBorders>
          <w:top w:val="nil"/>
          <w:left w:val="nil"/>
          <w:bottom w:val="single" w:sz="6" w:space="0" w:color="1F698E" w:themeColor="accent1"/>
          <w:right w:val="nil"/>
          <w:insideH w:val="nil"/>
          <w:insideV w:val="nil"/>
          <w:tl2br w:val="nil"/>
          <w:tr2bl w:val="nil"/>
        </w:tcBorders>
      </w:tcPr>
    </w:tblStylePr>
    <w:tblStylePr w:type="firstCol">
      <w:pPr>
        <w:jc w:val="left"/>
      </w:pPr>
      <w:rPr>
        <w:rFonts w:ascii="Arial" w:hAnsi="Arial"/>
        <w:sz w:val="18"/>
      </w:rPr>
      <w:tblPr/>
      <w:tcPr>
        <w:tcBorders>
          <w:top w:val="nil"/>
          <w:left w:val="nil"/>
          <w:bottom w:val="nil"/>
          <w:right w:val="nil"/>
          <w:insideH w:val="nil"/>
          <w:insideV w:val="nil"/>
          <w:tl2br w:val="nil"/>
          <w:tr2bl w:val="nil"/>
        </w:tcBorders>
      </w:tcPr>
    </w:tblStylePr>
    <w:tblStylePr w:type="lastCol">
      <w:pPr>
        <w:jc w:val="right"/>
      </w:pPr>
      <w:tblPr/>
      <w:tcPr>
        <w:tcBorders>
          <w:bottom w:val="nil"/>
        </w:tcBorders>
        <w:vAlign w:val="center"/>
      </w:tcPr>
    </w:tblStylePr>
    <w:tblStylePr w:type="band1Vert">
      <w:pPr>
        <w:jc w:val="right"/>
      </w:pPr>
      <w:tblPr/>
      <w:tcPr>
        <w:tcBorders>
          <w:top w:val="nil"/>
          <w:left w:val="nil"/>
          <w:bottom w:val="nil"/>
          <w:right w:val="nil"/>
          <w:insideH w:val="nil"/>
          <w:insideV w:val="nil"/>
          <w:tl2br w:val="nil"/>
          <w:tr2bl w:val="nil"/>
        </w:tcBorders>
      </w:tcPr>
    </w:tblStylePr>
    <w:tblStylePr w:type="band2Vert">
      <w:pPr>
        <w:jc w:val="right"/>
      </w:pPr>
      <w:tblPr/>
      <w:tcPr>
        <w:tcBorders>
          <w:top w:val="nil"/>
          <w:left w:val="nil"/>
          <w:bottom w:val="nil"/>
          <w:right w:val="nil"/>
          <w:insideH w:val="nil"/>
          <w:insideV w:val="nil"/>
          <w:tl2br w:val="nil"/>
          <w:tr2bl w:val="nil"/>
        </w:tcBorders>
      </w:tcPr>
    </w:tblStylePr>
    <w:tblStylePr w:type="band1Horz">
      <w:pPr>
        <w:wordWrap/>
        <w:spacing w:beforeLines="0" w:before="60" w:beforeAutospacing="0" w:afterLines="0" w:after="60" w:afterAutospacing="0" w:line="240" w:lineRule="auto"/>
        <w:contextualSpacing w:val="0"/>
        <w:jc w:val="right"/>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7E4F3" w:themeFill="accent1" w:themeFillTint="33"/>
      </w:tcPr>
    </w:tblStylePr>
    <w:tblStylePr w:type="band2Horz">
      <w:pPr>
        <w:wordWrap/>
        <w:spacing w:beforeLines="0" w:before="60" w:beforeAutospacing="0" w:afterLines="0" w:after="60" w:afterAutospacing="0" w:line="240" w:lineRule="auto"/>
        <w:contextualSpacing w:val="0"/>
        <w:jc w:val="right"/>
      </w:pPr>
      <w:rPr>
        <w:rFonts w:ascii="Arial" w:hAnsi="Arial"/>
        <w:sz w:val="18"/>
      </w:rPr>
      <w:tblPr/>
      <w:tcPr>
        <w:tcBorders>
          <w:top w:val="nil"/>
          <w:left w:val="nil"/>
          <w:bottom w:val="nil"/>
          <w:right w:val="nil"/>
          <w:insideH w:val="nil"/>
          <w:insideV w:val="nil"/>
          <w:tl2br w:val="nil"/>
          <w:tr2bl w:val="nil"/>
        </w:tcBorders>
        <w:vAlign w:val="center"/>
      </w:tcPr>
    </w:tblStylePr>
  </w:style>
  <w:style w:type="table" w:styleId="ListTable4-Accent5">
    <w:name w:val="List Table 4 Accent 5"/>
    <w:basedOn w:val="TableNormal"/>
    <w:uiPriority w:val="49"/>
    <w:rsid w:val="00A8385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2-Accent1">
    <w:name w:val="Grid Table 2 Accent 1"/>
    <w:basedOn w:val="TableNormal"/>
    <w:uiPriority w:val="47"/>
    <w:rsid w:val="00704526"/>
    <w:tblPr>
      <w:tblStyleRowBandSize w:val="1"/>
      <w:tblStyleColBandSize w:val="1"/>
      <w:tblBorders>
        <w:top w:val="single" w:sz="2" w:space="0" w:color="58AFDA" w:themeColor="accent1" w:themeTint="99"/>
        <w:bottom w:val="single" w:sz="2" w:space="0" w:color="58AFDA" w:themeColor="accent1" w:themeTint="99"/>
        <w:insideH w:val="single" w:sz="2" w:space="0" w:color="58AFDA" w:themeColor="accent1" w:themeTint="99"/>
        <w:insideV w:val="single" w:sz="2" w:space="0" w:color="58AFDA" w:themeColor="accent1" w:themeTint="99"/>
      </w:tblBorders>
    </w:tblPr>
    <w:tblStylePr w:type="firstRow">
      <w:rPr>
        <w:b/>
        <w:bCs/>
      </w:rPr>
      <w:tblPr/>
      <w:tcPr>
        <w:tcBorders>
          <w:top w:val="nil"/>
          <w:bottom w:val="single" w:sz="12" w:space="0" w:color="58AFDA" w:themeColor="accent1" w:themeTint="99"/>
          <w:insideH w:val="nil"/>
          <w:insideV w:val="nil"/>
        </w:tcBorders>
        <w:shd w:val="clear" w:color="auto" w:fill="FFFFFF" w:themeFill="background1"/>
      </w:tcPr>
    </w:tblStylePr>
    <w:tblStylePr w:type="lastRow">
      <w:rPr>
        <w:b/>
        <w:bCs/>
      </w:rPr>
      <w:tblPr/>
      <w:tcPr>
        <w:tcBorders>
          <w:top w:val="double" w:sz="2" w:space="0" w:color="58AF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2-Accent2">
    <w:name w:val="Grid Table 2 Accent 2"/>
    <w:basedOn w:val="TableNormal"/>
    <w:uiPriority w:val="47"/>
    <w:rsid w:val="00704526"/>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2-Accent3">
    <w:name w:val="Grid Table 2 Accent 3"/>
    <w:basedOn w:val="TableNormal"/>
    <w:uiPriority w:val="47"/>
    <w:rsid w:val="00704526"/>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3-Accent1">
    <w:name w:val="Grid Table 3 Accent 1"/>
    <w:basedOn w:val="TableNormal"/>
    <w:uiPriority w:val="48"/>
    <w:rsid w:val="00704526"/>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3" w:themeFill="accent1" w:themeFillTint="33"/>
      </w:tcPr>
    </w:tblStylePr>
    <w:tblStylePr w:type="band1Horz">
      <w:tblPr/>
      <w:tcPr>
        <w:shd w:val="clear" w:color="auto" w:fill="C7E4F3" w:themeFill="accent1" w:themeFillTint="33"/>
      </w:tcPr>
    </w:tblStylePr>
    <w:tblStylePr w:type="neCell">
      <w:tblPr/>
      <w:tcPr>
        <w:tcBorders>
          <w:bottom w:val="single" w:sz="4" w:space="0" w:color="58AFDA" w:themeColor="accent1" w:themeTint="99"/>
        </w:tcBorders>
      </w:tcPr>
    </w:tblStylePr>
    <w:tblStylePr w:type="nwCell">
      <w:tblPr/>
      <w:tcPr>
        <w:tcBorders>
          <w:bottom w:val="single" w:sz="4" w:space="0" w:color="58AFDA" w:themeColor="accent1" w:themeTint="99"/>
        </w:tcBorders>
      </w:tcPr>
    </w:tblStylePr>
    <w:tblStylePr w:type="seCell">
      <w:tblPr/>
      <w:tcPr>
        <w:tcBorders>
          <w:top w:val="single" w:sz="4" w:space="0" w:color="58AFDA" w:themeColor="accent1" w:themeTint="99"/>
        </w:tcBorders>
      </w:tcPr>
    </w:tblStylePr>
    <w:tblStylePr w:type="swCell">
      <w:tblPr/>
      <w:tcPr>
        <w:tcBorders>
          <w:top w:val="single" w:sz="4" w:space="0" w:color="58AFDA" w:themeColor="accent1" w:themeTint="99"/>
        </w:tcBorders>
      </w:tcPr>
    </w:tblStylePr>
  </w:style>
  <w:style w:type="table" w:styleId="GridTable3-Accent2">
    <w:name w:val="Grid Table 3 Accent 2"/>
    <w:basedOn w:val="TableNormal"/>
    <w:uiPriority w:val="48"/>
    <w:rsid w:val="00704526"/>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3-Accent6">
    <w:name w:val="Grid Table 3 Accent 6"/>
    <w:basedOn w:val="TableNormal"/>
    <w:uiPriority w:val="48"/>
    <w:rsid w:val="00704526"/>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Accent2">
    <w:name w:val="Grid Table 4 Accent 2"/>
    <w:basedOn w:val="TableNormal"/>
    <w:uiPriority w:val="49"/>
    <w:rsid w:val="00704526"/>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TableGridLight">
    <w:name w:val="Grid Table Light"/>
    <w:basedOn w:val="TableNormal"/>
    <w:uiPriority w:val="40"/>
    <w:rsid w:val="00C01A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2">
    <w:name w:val="List Table 4 Accent 2"/>
    <w:basedOn w:val="TableNormal"/>
    <w:uiPriority w:val="49"/>
    <w:rsid w:val="00E05F04"/>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SRC1">
    <w:name w:val="SRC 1"/>
    <w:basedOn w:val="TableNormal"/>
    <w:uiPriority w:val="99"/>
    <w:rsid w:val="004E517C"/>
    <w:pPr>
      <w:spacing w:before="60" w:after="60"/>
    </w:pPr>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left"/>
      </w:pPr>
      <w:rPr>
        <w:rFonts w:ascii="Arial" w:hAnsi="Arial"/>
        <w:b/>
        <w:color w:val="FFFFFF" w:themeColor="background1"/>
        <w:sz w:val="18"/>
      </w:rPr>
      <w:tblPr/>
      <w:tcPr>
        <w:shd w:val="clear" w:color="auto" w:fill="1F698E" w:themeFill="accent1"/>
        <w:vAlign w:val="center"/>
      </w:tcPr>
    </w:tblStylePr>
    <w:tblStylePr w:type="lastRow">
      <w:pPr>
        <w:wordWrap/>
        <w:spacing w:beforeLines="0" w:before="60" w:beforeAutospacing="0" w:afterLines="0" w:after="60" w:afterAutospacing="0" w:line="240" w:lineRule="auto"/>
        <w:contextualSpacing w:val="0"/>
        <w:jc w:val="left"/>
      </w:pPr>
      <w:rPr>
        <w:rFonts w:ascii="Arial" w:hAnsi="Arial"/>
        <w:sz w:val="18"/>
      </w:rPr>
    </w:tblStylePr>
    <w:tblStylePr w:type="firstCol">
      <w:pPr>
        <w:wordWrap/>
        <w:spacing w:beforeLines="0" w:before="60" w:beforeAutospacing="0" w:afterLines="0" w:after="60" w:afterAutospacing="0" w:line="240" w:lineRule="auto"/>
        <w:contextualSpacing w:val="0"/>
        <w:jc w:val="left"/>
      </w:pPr>
      <w:rPr>
        <w:rFonts w:ascii="Arial" w:hAnsi="Arial"/>
        <w:sz w:val="18"/>
      </w:rPr>
      <w:tblPr/>
      <w:tcPr>
        <w:vAlign w:val="center"/>
      </w:tcPr>
    </w:tblStylePr>
    <w:tblStylePr w:type="lastCol">
      <w:rPr>
        <w:rFonts w:ascii="Arial" w:hAnsi="Arial"/>
        <w:sz w:val="18"/>
      </w:rPr>
    </w:tblStylePr>
    <w:tblStylePr w:type="band1Vert">
      <w:pPr>
        <w:wordWrap/>
        <w:spacing w:beforeLines="0" w:before="60" w:beforeAutospacing="0" w:afterLines="0" w:after="60" w:afterAutospacing="0" w:line="240" w:lineRule="auto"/>
        <w:ind w:rightChars="0" w:right="113"/>
        <w:contextualSpacing w:val="0"/>
        <w:jc w:val="left"/>
        <w:outlineLvl w:val="9"/>
      </w:pPr>
      <w:rPr>
        <w:rFonts w:ascii="Arial" w:hAnsi="Arial"/>
        <w:sz w:val="18"/>
      </w:rPr>
      <w:tblPr/>
      <w:tcPr>
        <w:vAlign w:val="center"/>
      </w:tcPr>
    </w:tblStylePr>
    <w:tblStylePr w:type="band2Vert">
      <w:pPr>
        <w:wordWrap/>
        <w:spacing w:beforeLines="0" w:before="60" w:beforeAutospacing="0" w:afterLines="0" w:after="60" w:afterAutospacing="0" w:line="240" w:lineRule="auto"/>
        <w:ind w:rightChars="0" w:right="113"/>
        <w:contextualSpacing w:val="0"/>
        <w:jc w:val="left"/>
      </w:pPr>
      <w:rPr>
        <w:rFonts w:ascii="Arial" w:hAnsi="Arial"/>
        <w:sz w:val="18"/>
      </w:r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left"/>
      </w:pPr>
      <w:rPr>
        <w:rFonts w:ascii="Arial" w:hAnsi="Arial"/>
        <w:sz w:val="18"/>
      </w:rPr>
      <w:tblPr/>
      <w:tcPr>
        <w:shd w:val="clear" w:color="auto" w:fill="C7E4F3" w:themeFill="accent1" w:themeFillTint="33"/>
        <w:vAlign w:val="center"/>
      </w:tcPr>
    </w:tblStylePr>
    <w:tblStylePr w:type="band2Horz">
      <w:pPr>
        <w:wordWrap/>
        <w:spacing w:beforeLines="0" w:before="60" w:beforeAutospacing="0" w:afterLines="0" w:after="60" w:afterAutospacing="0"/>
        <w:contextualSpacing w:val="0"/>
        <w:jc w:val="left"/>
      </w:pPr>
      <w:rPr>
        <w:rFonts w:ascii="Arial" w:hAnsi="Arial"/>
        <w:sz w:val="18"/>
      </w:rPr>
      <w:tblPr/>
      <w:tcPr>
        <w:vAlign w:val="center"/>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table" w:styleId="ListTable4-Accent1">
    <w:name w:val="List Table 4 Accent 1"/>
    <w:basedOn w:val="TableNormal"/>
    <w:uiPriority w:val="49"/>
    <w:rsid w:val="00592D59"/>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tblBorders>
    </w:tblPr>
    <w:tblStylePr w:type="firstRow">
      <w:rPr>
        <w:b/>
        <w:bCs/>
        <w:color w:val="FFFFFF" w:themeColor="background1"/>
      </w:rPr>
      <w:tblPr/>
      <w:tcPr>
        <w:tcBorders>
          <w:top w:val="single" w:sz="4" w:space="0" w:color="1F698E" w:themeColor="accent1"/>
          <w:left w:val="single" w:sz="4" w:space="0" w:color="1F698E" w:themeColor="accent1"/>
          <w:bottom w:val="single" w:sz="4" w:space="0" w:color="1F698E" w:themeColor="accent1"/>
          <w:right w:val="single" w:sz="4" w:space="0" w:color="1F698E" w:themeColor="accent1"/>
          <w:insideH w:val="nil"/>
        </w:tcBorders>
        <w:shd w:val="clear" w:color="auto" w:fill="1F698E" w:themeFill="accent1"/>
      </w:tcPr>
    </w:tblStylePr>
    <w:tblStylePr w:type="lastRow">
      <w:rPr>
        <w:b/>
        <w:bCs/>
      </w:rPr>
      <w:tblPr/>
      <w:tcPr>
        <w:tcBorders>
          <w:top w:val="double" w:sz="4" w:space="0" w:color="58AFDA" w:themeColor="accent1" w:themeTint="99"/>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4">
    <w:name w:val="Grid Table 4"/>
    <w:basedOn w:val="TableNormal"/>
    <w:uiPriority w:val="49"/>
    <w:rsid w:val="00592D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92D59"/>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color w:val="FFFFFF" w:themeColor="background1"/>
      </w:rPr>
      <w:tblPr/>
      <w:tcPr>
        <w:tcBorders>
          <w:top w:val="single" w:sz="4" w:space="0" w:color="1F698E" w:themeColor="accent1"/>
          <w:left w:val="single" w:sz="4" w:space="0" w:color="1F698E" w:themeColor="accent1"/>
          <w:bottom w:val="single" w:sz="4" w:space="0" w:color="1F698E" w:themeColor="accent1"/>
          <w:right w:val="single" w:sz="4" w:space="0" w:color="1F698E" w:themeColor="accent1"/>
          <w:insideH w:val="nil"/>
          <w:insideV w:val="nil"/>
        </w:tcBorders>
        <w:shd w:val="clear" w:color="auto" w:fill="1F698E" w:themeFill="accent1"/>
      </w:tcPr>
    </w:tblStylePr>
    <w:tblStylePr w:type="lastRow">
      <w:rPr>
        <w:b/>
        <w:bCs/>
      </w:rPr>
      <w:tblPr/>
      <w:tcPr>
        <w:tcBorders>
          <w:top w:val="double" w:sz="4" w:space="0" w:color="1F698E" w:themeColor="accent1"/>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4-Accent3">
    <w:name w:val="Grid Table 4 Accent 3"/>
    <w:basedOn w:val="TableNormal"/>
    <w:uiPriority w:val="49"/>
    <w:rsid w:val="00592D59"/>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4-Accent4">
    <w:name w:val="Grid Table 4 Accent 4"/>
    <w:basedOn w:val="TableNormal"/>
    <w:uiPriority w:val="49"/>
    <w:rsid w:val="00592D59"/>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4-Accent5">
    <w:name w:val="Grid Table 4 Accent 5"/>
    <w:basedOn w:val="TableNormal"/>
    <w:uiPriority w:val="49"/>
    <w:rsid w:val="00592D59"/>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4-Accent6">
    <w:name w:val="Grid Table 4 Accent 6"/>
    <w:basedOn w:val="TableNormal"/>
    <w:uiPriority w:val="49"/>
    <w:rsid w:val="00592D59"/>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styleId="GridTable5Dark-Accent3">
    <w:name w:val="Grid Table 5 Dark Accent 3"/>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styleId="GridTable5Dark-Accent4">
    <w:name w:val="Grid Table 5 Dark Accent 4"/>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styleId="GridTable5Dark-Accent5">
    <w:name w:val="Grid Table 5 Dark Accent 5"/>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styleId="GridTable5Dark-Accent6">
    <w:name w:val="Grid Table 5 Dark Accent 6"/>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styleId="GridTable6Colorful">
    <w:name w:val="Grid Table 6 Colorful"/>
    <w:basedOn w:val="TableNormal"/>
    <w:uiPriority w:val="51"/>
    <w:rsid w:val="00592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92D59"/>
    <w:rPr>
      <w:color w:val="174E6A" w:themeColor="accent1" w:themeShade="BF"/>
    </w:rPr>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bottom w:val="single" w:sz="12" w:space="0" w:color="58AFDA" w:themeColor="accent1" w:themeTint="99"/>
        </w:tcBorders>
      </w:tcPr>
    </w:tblStylePr>
    <w:tblStylePr w:type="lastRow">
      <w:rPr>
        <w:b/>
        <w:bCs/>
      </w:rPr>
      <w:tblPr/>
      <w:tcPr>
        <w:tcBorders>
          <w:top w:val="double" w:sz="4" w:space="0" w:color="58AFDA" w:themeColor="accent1" w:themeTint="99"/>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6Colorful-Accent2">
    <w:name w:val="Grid Table 6 Colorful Accent 2"/>
    <w:basedOn w:val="TableNormal"/>
    <w:uiPriority w:val="51"/>
    <w:rsid w:val="00592D59"/>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6Colorful-Accent3">
    <w:name w:val="Grid Table 6 Colorful Accent 3"/>
    <w:basedOn w:val="TableNormal"/>
    <w:uiPriority w:val="51"/>
    <w:rsid w:val="00592D59"/>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6Colorful-Accent4">
    <w:name w:val="Grid Table 6 Colorful Accent 4"/>
    <w:basedOn w:val="TableNormal"/>
    <w:uiPriority w:val="51"/>
    <w:rsid w:val="00592D59"/>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6Colorful-Accent5">
    <w:name w:val="Grid Table 6 Colorful Accent 5"/>
    <w:basedOn w:val="TableNormal"/>
    <w:uiPriority w:val="51"/>
    <w:rsid w:val="00592D59"/>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6Colorful-Accent6">
    <w:name w:val="Grid Table 6 Colorful Accent 6"/>
    <w:basedOn w:val="TableNormal"/>
    <w:uiPriority w:val="51"/>
    <w:rsid w:val="00592D59"/>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592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92D59"/>
    <w:rPr>
      <w:color w:val="174E6A" w:themeColor="accent1" w:themeShade="BF"/>
    </w:rPr>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3" w:themeFill="accent1" w:themeFillTint="33"/>
      </w:tcPr>
    </w:tblStylePr>
    <w:tblStylePr w:type="band1Horz">
      <w:tblPr/>
      <w:tcPr>
        <w:shd w:val="clear" w:color="auto" w:fill="C7E4F3" w:themeFill="accent1" w:themeFillTint="33"/>
      </w:tcPr>
    </w:tblStylePr>
    <w:tblStylePr w:type="neCell">
      <w:tblPr/>
      <w:tcPr>
        <w:tcBorders>
          <w:bottom w:val="single" w:sz="4" w:space="0" w:color="58AFDA" w:themeColor="accent1" w:themeTint="99"/>
        </w:tcBorders>
      </w:tcPr>
    </w:tblStylePr>
    <w:tblStylePr w:type="nwCell">
      <w:tblPr/>
      <w:tcPr>
        <w:tcBorders>
          <w:bottom w:val="single" w:sz="4" w:space="0" w:color="58AFDA" w:themeColor="accent1" w:themeTint="99"/>
        </w:tcBorders>
      </w:tcPr>
    </w:tblStylePr>
    <w:tblStylePr w:type="seCell">
      <w:tblPr/>
      <w:tcPr>
        <w:tcBorders>
          <w:top w:val="single" w:sz="4" w:space="0" w:color="58AFDA" w:themeColor="accent1" w:themeTint="99"/>
        </w:tcBorders>
      </w:tcPr>
    </w:tblStylePr>
    <w:tblStylePr w:type="swCell">
      <w:tblPr/>
      <w:tcPr>
        <w:tcBorders>
          <w:top w:val="single" w:sz="4" w:space="0" w:color="58AFDA" w:themeColor="accent1" w:themeTint="99"/>
        </w:tcBorders>
      </w:tcPr>
    </w:tblStylePr>
  </w:style>
  <w:style w:type="table" w:styleId="GridTable7Colorful-Accent2">
    <w:name w:val="Grid Table 7 Colorful Accent 2"/>
    <w:basedOn w:val="TableNormal"/>
    <w:uiPriority w:val="52"/>
    <w:rsid w:val="00592D59"/>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7Colorful-Accent3">
    <w:name w:val="Grid Table 7 Colorful Accent 3"/>
    <w:basedOn w:val="TableNormal"/>
    <w:uiPriority w:val="52"/>
    <w:rsid w:val="00592D59"/>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styleId="GridTable7Colorful-Accent4">
    <w:name w:val="Grid Table 7 Colorful Accent 4"/>
    <w:basedOn w:val="TableNormal"/>
    <w:uiPriority w:val="52"/>
    <w:rsid w:val="00592D59"/>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styleId="GridTable7Colorful-Accent5">
    <w:name w:val="Grid Table 7 Colorful Accent 5"/>
    <w:basedOn w:val="TableNormal"/>
    <w:uiPriority w:val="52"/>
    <w:rsid w:val="00592D59"/>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table" w:styleId="ListTable7Colorful-Accent6">
    <w:name w:val="List Table 7 Colorful Accent 6"/>
    <w:basedOn w:val="TableNormal"/>
    <w:uiPriority w:val="52"/>
    <w:rsid w:val="00592D59"/>
    <w:rPr>
      <w:color w:val="1528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2D59"/>
    <w:rPr>
      <w:color w:val="3349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2D59"/>
    <w:rPr>
      <w:color w:val="159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2D59"/>
    <w:rPr>
      <w:color w:val="5CD0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Format">
    <w:name w:val="Table Format"/>
    <w:basedOn w:val="Body"/>
    <w:next w:val="Body"/>
    <w:qFormat/>
    <w:rsid w:val="00D36059"/>
    <w:pPr>
      <w:spacing w:before="60" w:after="60" w:line="240" w:lineRule="auto"/>
    </w:pPr>
    <w:rPr>
      <w:sz w:val="18"/>
    </w:rPr>
  </w:style>
  <w:style w:type="paragraph" w:styleId="TableofFigures">
    <w:name w:val="table of figures"/>
    <w:basedOn w:val="Normal"/>
    <w:next w:val="Normal"/>
    <w:uiPriority w:val="99"/>
    <w:unhideWhenUsed/>
    <w:rsid w:val="005320D5"/>
    <w:pPr>
      <w:spacing w:before="60" w:after="60"/>
      <w:ind w:left="1418" w:right="567" w:hanging="1418"/>
    </w:pPr>
  </w:style>
  <w:style w:type="paragraph" w:customStyle="1" w:styleId="BodyIndent">
    <w:name w:val="Body Indent"/>
    <w:basedOn w:val="Body"/>
    <w:qFormat/>
    <w:rsid w:val="00902487"/>
    <w:pPr>
      <w:ind w:left="851"/>
    </w:pPr>
  </w:style>
  <w:style w:type="table" w:styleId="PlainTable1">
    <w:name w:val="Plain Table 1"/>
    <w:basedOn w:val="TableNormal"/>
    <w:uiPriority w:val="41"/>
    <w:rsid w:val="004F20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1">
    <w:name w:val="List 1"/>
    <w:basedOn w:val="Body"/>
    <w:qFormat/>
    <w:rsid w:val="009417DA"/>
    <w:pPr>
      <w:numPr>
        <w:numId w:val="39"/>
      </w:numPr>
    </w:pPr>
  </w:style>
  <w:style w:type="paragraph" w:styleId="TOC4">
    <w:name w:val="toc 4"/>
    <w:basedOn w:val="Normal"/>
    <w:next w:val="Normal"/>
    <w:autoRedefine/>
    <w:uiPriority w:val="39"/>
    <w:unhideWhenUsed/>
    <w:rsid w:val="00A55E0E"/>
    <w:pPr>
      <w:spacing w:after="100"/>
      <w:ind w:left="600"/>
    </w:pPr>
  </w:style>
  <w:style w:type="paragraph" w:customStyle="1" w:styleId="DocumentTitle1">
    <w:name w:val="Document Title 1"/>
    <w:basedOn w:val="Normal"/>
    <w:uiPriority w:val="99"/>
    <w:rsid w:val="007B28D5"/>
    <w:pPr>
      <w:widowControl w:val="0"/>
      <w:suppressAutoHyphens/>
      <w:autoSpaceDE w:val="0"/>
      <w:autoSpaceDN w:val="0"/>
      <w:adjustRightInd w:val="0"/>
      <w:spacing w:after="181" w:line="1240" w:lineRule="atLeast"/>
      <w:textAlignment w:val="center"/>
    </w:pPr>
    <w:rPr>
      <w:rFonts w:eastAsiaTheme="minorEastAsia" w:cs="Arial"/>
      <w:b/>
      <w:bCs/>
      <w:color w:val="auto"/>
      <w:spacing w:val="-10"/>
      <w:sz w:val="48"/>
      <w:szCs w:val="48"/>
      <w:lang w:val="en-GB"/>
    </w:rPr>
  </w:style>
  <w:style w:type="paragraph" w:customStyle="1" w:styleId="DocumentTitle3">
    <w:name w:val="Document Title 3"/>
    <w:basedOn w:val="Normal"/>
    <w:uiPriority w:val="99"/>
    <w:rsid w:val="007B28D5"/>
    <w:pPr>
      <w:widowControl w:val="0"/>
      <w:suppressAutoHyphens/>
      <w:autoSpaceDE w:val="0"/>
      <w:autoSpaceDN w:val="0"/>
      <w:adjustRightInd w:val="0"/>
      <w:spacing w:after="80" w:line="640" w:lineRule="atLeast"/>
      <w:textAlignment w:val="center"/>
    </w:pPr>
    <w:rPr>
      <w:rFonts w:ascii="ArialMT" w:eastAsiaTheme="minorEastAsia" w:hAnsi="ArialMT" w:cs="ArialMT"/>
      <w:caps/>
      <w:color w:val="000000"/>
      <w:spacing w:val="2"/>
      <w:sz w:val="32"/>
      <w:szCs w:val="32"/>
      <w:lang w:val="en-GB"/>
    </w:rPr>
  </w:style>
  <w:style w:type="paragraph" w:customStyle="1" w:styleId="DocumentTitle2">
    <w:name w:val="Document Title 2"/>
    <w:basedOn w:val="Normal"/>
    <w:qFormat/>
    <w:rsid w:val="007B28D5"/>
    <w:pPr>
      <w:widowControl w:val="0"/>
      <w:suppressAutoHyphens/>
      <w:autoSpaceDE w:val="0"/>
      <w:autoSpaceDN w:val="0"/>
      <w:adjustRightInd w:val="0"/>
      <w:spacing w:before="142" w:line="290" w:lineRule="atLeast"/>
      <w:textAlignment w:val="center"/>
    </w:pPr>
    <w:rPr>
      <w:rFonts w:ascii="ArialMT" w:eastAsiaTheme="minorEastAsia" w:hAnsi="ArialMT" w:cs="ArialMT"/>
      <w:bCs/>
      <w:color w:val="000000"/>
      <w:sz w:val="48"/>
      <w:szCs w:val="48"/>
      <w:lang w:val="en-GB"/>
    </w:rPr>
  </w:style>
  <w:style w:type="paragraph" w:customStyle="1" w:styleId="Bodycopy">
    <w:name w:val="Body copy"/>
    <w:basedOn w:val="Normal"/>
    <w:uiPriority w:val="99"/>
    <w:rsid w:val="00F86435"/>
    <w:pPr>
      <w:widowControl w:val="0"/>
      <w:suppressAutoHyphens/>
      <w:autoSpaceDE w:val="0"/>
      <w:autoSpaceDN w:val="0"/>
      <w:adjustRightInd w:val="0"/>
      <w:spacing w:before="142" w:line="290" w:lineRule="atLeast"/>
      <w:textAlignment w:val="center"/>
    </w:pPr>
    <w:rPr>
      <w:rFonts w:ascii="ArialMT" w:eastAsiaTheme="minorEastAsia" w:hAnsi="ArialMT" w:cs="ArialMT"/>
      <w:color w:val="000000"/>
      <w:szCs w:val="20"/>
      <w:lang w:val="en-GB"/>
    </w:rPr>
  </w:style>
  <w:style w:type="paragraph" w:customStyle="1" w:styleId="NoParagraphStyle">
    <w:name w:val="[No Paragraph Style]"/>
    <w:autoRedefine/>
    <w:rsid w:val="004E45CF"/>
    <w:pPr>
      <w:widowControl w:val="0"/>
      <w:autoSpaceDE w:val="0"/>
      <w:autoSpaceDN w:val="0"/>
      <w:adjustRightInd w:val="0"/>
      <w:spacing w:line="288" w:lineRule="auto"/>
      <w:textAlignment w:val="center"/>
    </w:pPr>
    <w:rPr>
      <w:rFonts w:ascii="Calibri" w:eastAsiaTheme="minorEastAsia" w:hAnsi="Calibri" w:cs="MinionPro-Regular"/>
      <w:b/>
      <w:bCs/>
      <w:caps/>
      <w:color w:val="FFFFFF" w:themeColor="background1"/>
      <w:sz w:val="32"/>
      <w:szCs w:val="32"/>
      <w:lang w:val="en-GB"/>
    </w:rPr>
  </w:style>
  <w:style w:type="paragraph" w:customStyle="1" w:styleId="Intropullout">
    <w:name w:val="Intro/pull out"/>
    <w:autoRedefine/>
    <w:uiPriority w:val="99"/>
    <w:qFormat/>
    <w:rsid w:val="004E45CF"/>
    <w:pPr>
      <w:widowControl w:val="0"/>
      <w:suppressAutoHyphens/>
      <w:autoSpaceDE w:val="0"/>
      <w:autoSpaceDN w:val="0"/>
      <w:adjustRightInd w:val="0"/>
      <w:spacing w:before="113" w:after="170" w:line="300" w:lineRule="atLeast"/>
      <w:textAlignment w:val="center"/>
    </w:pPr>
    <w:rPr>
      <w:rFonts w:ascii="Calibri" w:eastAsiaTheme="minorEastAsia" w:hAnsi="Calibri" w:cs="DINOT-Light"/>
      <w:color w:val="004459"/>
      <w:spacing w:val="-2"/>
      <w:sz w:val="23"/>
      <w:szCs w:val="23"/>
      <w:lang w:val="en-GB"/>
    </w:rPr>
  </w:style>
  <w:style w:type="paragraph" w:customStyle="1" w:styleId="Subhead2">
    <w:name w:val="Subhead 2"/>
    <w:autoRedefine/>
    <w:uiPriority w:val="99"/>
    <w:qFormat/>
    <w:rsid w:val="004E45CF"/>
    <w:pPr>
      <w:keepNext/>
      <w:widowControl w:val="0"/>
      <w:tabs>
        <w:tab w:val="left" w:pos="170"/>
        <w:tab w:val="left" w:pos="340"/>
        <w:tab w:val="left" w:pos="510"/>
        <w:tab w:val="left" w:pos="680"/>
      </w:tabs>
      <w:suppressAutoHyphens/>
      <w:autoSpaceDE w:val="0"/>
      <w:autoSpaceDN w:val="0"/>
      <w:adjustRightInd w:val="0"/>
      <w:spacing w:before="227" w:line="280" w:lineRule="atLeast"/>
      <w:textAlignment w:val="center"/>
    </w:pPr>
    <w:rPr>
      <w:rFonts w:ascii="DINOT-Medium" w:eastAsiaTheme="minorEastAsia" w:hAnsi="DINOT-Medium" w:cs="DINOT-Medium"/>
      <w:color w:val="00777B"/>
      <w:spacing w:val="-1"/>
      <w:sz w:val="20"/>
      <w:szCs w:val="20"/>
      <w:lang w:val="en-GB"/>
    </w:rPr>
  </w:style>
  <w:style w:type="paragraph" w:customStyle="1" w:styleId="dashboard">
    <w:name w:val="dashboard #"/>
    <w:rsid w:val="004E45CF"/>
    <w:pPr>
      <w:spacing w:after="1920"/>
      <w:ind w:left="425"/>
    </w:pPr>
    <w:rPr>
      <w:rFonts w:asciiTheme="majorHAnsi" w:eastAsiaTheme="minorEastAsia" w:hAnsiTheme="majorHAnsi" w:cs="Times New Roman"/>
      <w:b/>
      <w:color w:val="FFFFFF"/>
      <w:sz w:val="20"/>
      <w:szCs w:val="20"/>
      <w:lang w:val="en-US"/>
    </w:rPr>
  </w:style>
  <w:style w:type="paragraph" w:customStyle="1" w:styleId="TablecolumnheadAPPX">
    <w:name w:val="Table column head APPX"/>
    <w:basedOn w:val="Normal"/>
    <w:qFormat/>
    <w:rsid w:val="004E45CF"/>
    <w:pPr>
      <w:widowControl w:val="0"/>
      <w:suppressAutoHyphens/>
      <w:autoSpaceDE w:val="0"/>
      <w:autoSpaceDN w:val="0"/>
      <w:adjustRightInd w:val="0"/>
      <w:spacing w:before="113" w:line="288" w:lineRule="auto"/>
      <w:textAlignment w:val="center"/>
    </w:pPr>
    <w:rPr>
      <w:rFonts w:ascii="Arial-BoldMT" w:eastAsiaTheme="minorEastAsia" w:hAnsi="Arial-BoldMT" w:cs="Arial-BoldMT"/>
      <w:b/>
      <w:bCs/>
      <w:color w:val="000000"/>
      <w:sz w:val="18"/>
      <w:szCs w:val="18"/>
      <w:lang w:val="en-GB"/>
    </w:rPr>
  </w:style>
  <w:style w:type="paragraph" w:customStyle="1" w:styleId="TableAPPXbulletALPHA">
    <w:name w:val="Table APPX bullet ALPHA"/>
    <w:basedOn w:val="Normal"/>
    <w:qFormat/>
    <w:rsid w:val="004E45CF"/>
    <w:pPr>
      <w:widowControl w:val="0"/>
      <w:numPr>
        <w:numId w:val="40"/>
      </w:numPr>
      <w:tabs>
        <w:tab w:val="left" w:pos="283"/>
      </w:tabs>
      <w:suppressAutoHyphens/>
      <w:autoSpaceDE w:val="0"/>
      <w:autoSpaceDN w:val="0"/>
      <w:adjustRightInd w:val="0"/>
      <w:spacing w:before="43" w:line="288" w:lineRule="auto"/>
      <w:textAlignment w:val="center"/>
    </w:pPr>
    <w:rPr>
      <w:rFonts w:ascii="ArialMT" w:eastAsiaTheme="minorEastAsia" w:hAnsi="ArialMT" w:cs="ArialMT"/>
      <w:color w:val="000000"/>
      <w:sz w:val="18"/>
      <w:szCs w:val="18"/>
      <w:lang w:val="en-GB"/>
    </w:rPr>
  </w:style>
  <w:style w:type="paragraph" w:customStyle="1" w:styleId="Body01">
    <w:name w:val="Body 01"/>
    <w:uiPriority w:val="99"/>
    <w:rsid w:val="004E45CF"/>
    <w:pPr>
      <w:spacing w:before="240" w:line="240" w:lineRule="atLeast"/>
    </w:pPr>
    <w:rPr>
      <w:rFonts w:asciiTheme="majorHAnsi" w:eastAsiaTheme="minorEastAsia" w:hAnsiTheme="majorHAnsi" w:cs="Gotham-Light"/>
      <w:color w:val="000A23"/>
      <w:spacing w:val="-2"/>
      <w:sz w:val="20"/>
      <w:szCs w:val="18"/>
      <w:lang w:val="en-GB"/>
    </w:rPr>
  </w:style>
  <w:style w:type="character" w:customStyle="1" w:styleId="Body02BOLD">
    <w:name w:val="Body 02 BOLD"/>
    <w:uiPriority w:val="1"/>
    <w:qFormat/>
    <w:rsid w:val="004E45CF"/>
    <w:rPr>
      <w:rFonts w:ascii="Arial" w:hAnsi="Arial" w:cs="Arial"/>
      <w:b/>
      <w:sz w:val="20"/>
      <w:szCs w:val="20"/>
      <w:lang w:val="en-GB"/>
    </w:rPr>
  </w:style>
  <w:style w:type="paragraph" w:customStyle="1" w:styleId="Bodyruleabove">
    <w:name w:val="Body rule above"/>
    <w:basedOn w:val="Normal"/>
    <w:uiPriority w:val="99"/>
    <w:rsid w:val="004E45CF"/>
    <w:pPr>
      <w:widowControl w:val="0"/>
      <w:suppressAutoHyphens/>
      <w:autoSpaceDE w:val="0"/>
      <w:autoSpaceDN w:val="0"/>
      <w:adjustRightInd w:val="0"/>
      <w:spacing w:before="227" w:line="240" w:lineRule="atLeast"/>
      <w:textAlignment w:val="center"/>
    </w:pPr>
    <w:rPr>
      <w:rFonts w:ascii="Gotham-Light" w:eastAsiaTheme="minorEastAsia" w:hAnsi="Gotham-Light" w:cs="Gotham-Light"/>
      <w:color w:val="000A23"/>
      <w:spacing w:val="-2"/>
      <w:sz w:val="18"/>
      <w:szCs w:val="18"/>
      <w:lang w:val="en-GB"/>
    </w:rPr>
  </w:style>
  <w:style w:type="paragraph" w:customStyle="1" w:styleId="Bullet01">
    <w:name w:val="Bullet 01"/>
    <w:basedOn w:val="Body01"/>
    <w:uiPriority w:val="99"/>
    <w:rsid w:val="004E45CF"/>
    <w:pPr>
      <w:widowControl w:val="0"/>
      <w:tabs>
        <w:tab w:val="left" w:pos="170"/>
      </w:tabs>
      <w:suppressAutoHyphens/>
      <w:autoSpaceDE w:val="0"/>
      <w:autoSpaceDN w:val="0"/>
      <w:adjustRightInd w:val="0"/>
      <w:spacing w:before="57"/>
      <w:ind w:left="170" w:hanging="170"/>
      <w:textAlignment w:val="center"/>
    </w:pPr>
  </w:style>
  <w:style w:type="paragraph" w:customStyle="1" w:styleId="Documenttitle">
    <w:name w:val="Document title"/>
    <w:uiPriority w:val="99"/>
    <w:rsid w:val="004E45CF"/>
    <w:pPr>
      <w:widowControl w:val="0"/>
      <w:suppressAutoHyphens/>
      <w:autoSpaceDE w:val="0"/>
      <w:autoSpaceDN w:val="0"/>
      <w:adjustRightInd w:val="0"/>
      <w:spacing w:after="720" w:line="720" w:lineRule="atLeast"/>
      <w:ind w:left="426"/>
      <w:textAlignment w:val="center"/>
    </w:pPr>
    <w:rPr>
      <w:rFonts w:asciiTheme="majorHAnsi" w:eastAsiaTheme="minorEastAsia" w:hAnsiTheme="majorHAnsi" w:cs="CaeciliaLTStd-Heavy"/>
      <w:color w:val="FFFFFF" w:themeColor="background1"/>
      <w:spacing w:val="-6"/>
      <w:sz w:val="62"/>
      <w:szCs w:val="62"/>
      <w:lang w:val="en-GB"/>
    </w:rPr>
  </w:style>
  <w:style w:type="paragraph" w:customStyle="1" w:styleId="Intropara">
    <w:name w:val="Intro para"/>
    <w:qFormat/>
    <w:rsid w:val="004E45CF"/>
    <w:pPr>
      <w:spacing w:line="220" w:lineRule="exact"/>
    </w:pPr>
    <w:rPr>
      <w:rFonts w:asciiTheme="majorHAnsi" w:eastAsiaTheme="minorEastAsia" w:hAnsiTheme="majorHAnsi" w:cs="CaeciliaLTStd-Heavy"/>
      <w:sz w:val="24"/>
      <w:szCs w:val="21"/>
      <w:lang w:val="en-GB"/>
    </w:rPr>
  </w:style>
  <w:style w:type="paragraph" w:customStyle="1" w:styleId="tablesub01">
    <w:name w:val="table sub 01"/>
    <w:basedOn w:val="Bodyruleabove"/>
    <w:uiPriority w:val="99"/>
    <w:rsid w:val="004E45CF"/>
    <w:rPr>
      <w:rFonts w:ascii="Calibri" w:hAnsi="Calibri" w:cs="Gotham-Medium"/>
      <w:sz w:val="22"/>
    </w:rPr>
  </w:style>
  <w:style w:type="paragraph" w:customStyle="1" w:styleId="tablesubhead">
    <w:name w:val="table subhead"/>
    <w:qFormat/>
    <w:rsid w:val="004E45CF"/>
    <w:rPr>
      <w:rFonts w:asciiTheme="majorHAnsi" w:eastAsiaTheme="minorEastAsia" w:hAnsiTheme="majorHAnsi" w:cs="Gotham-Book"/>
      <w:b/>
      <w:spacing w:val="-4"/>
      <w:sz w:val="20"/>
      <w:szCs w:val="18"/>
      <w:lang w:val="en-GB"/>
    </w:rPr>
  </w:style>
  <w:style w:type="paragraph" w:customStyle="1" w:styleId="Tabletext">
    <w:name w:val="Table text"/>
    <w:qFormat/>
    <w:rsid w:val="004E45CF"/>
    <w:rPr>
      <w:rFonts w:asciiTheme="majorHAnsi" w:eastAsiaTheme="minorEastAsia" w:hAnsiTheme="majorHAnsi" w:cs="Gotham-Light"/>
      <w:color w:val="000A23"/>
      <w:spacing w:val="-2"/>
      <w:sz w:val="20"/>
      <w:szCs w:val="18"/>
      <w:lang w:val="en-GB"/>
    </w:rPr>
  </w:style>
  <w:style w:type="paragraph" w:customStyle="1" w:styleId="Sub03">
    <w:name w:val="Sub 03"/>
    <w:basedOn w:val="tablesub01"/>
    <w:qFormat/>
    <w:rsid w:val="004E45CF"/>
  </w:style>
  <w:style w:type="paragraph" w:customStyle="1" w:styleId="Sub1">
    <w:name w:val="Sub 1"/>
    <w:basedOn w:val="Normal"/>
    <w:uiPriority w:val="99"/>
    <w:rsid w:val="004E45CF"/>
    <w:pPr>
      <w:widowControl w:val="0"/>
      <w:pBdr>
        <w:bottom w:val="dashSmallGap" w:sz="4" w:space="6" w:color="auto"/>
      </w:pBdr>
      <w:suppressAutoHyphens/>
      <w:autoSpaceDE w:val="0"/>
      <w:autoSpaceDN w:val="0"/>
      <w:adjustRightInd w:val="0"/>
      <w:spacing w:before="240" w:after="60" w:line="280" w:lineRule="atLeast"/>
      <w:textAlignment w:val="center"/>
    </w:pPr>
    <w:rPr>
      <w:rFonts w:ascii="Calibri" w:eastAsiaTheme="minorEastAsia" w:hAnsi="Calibri" w:cs="CaeciliaLTStd-Heavy"/>
      <w:b/>
      <w:color w:val="auto"/>
      <w:spacing w:val="-4"/>
      <w:szCs w:val="21"/>
      <w:lang w:val="en-GB"/>
    </w:rPr>
  </w:style>
  <w:style w:type="paragraph" w:customStyle="1" w:styleId="Sub1nounderline">
    <w:name w:val="Sub 1 no underline"/>
    <w:basedOn w:val="Normal"/>
    <w:link w:val="Sub1nounderlineChar"/>
    <w:qFormat/>
    <w:rsid w:val="004E45CF"/>
    <w:pPr>
      <w:widowControl w:val="0"/>
      <w:suppressAutoHyphens/>
      <w:autoSpaceDE w:val="0"/>
      <w:autoSpaceDN w:val="0"/>
      <w:adjustRightInd w:val="0"/>
      <w:spacing w:before="240" w:after="60" w:line="260" w:lineRule="atLeast"/>
      <w:textAlignment w:val="center"/>
    </w:pPr>
    <w:rPr>
      <w:rFonts w:asciiTheme="majorHAnsi" w:eastAsiaTheme="minorEastAsia" w:hAnsiTheme="majorHAnsi" w:cs="Gotham-Book"/>
      <w:b/>
      <w:color w:val="auto"/>
      <w:spacing w:val="-4"/>
      <w:szCs w:val="20"/>
      <w:lang w:val="en-GB"/>
    </w:rPr>
  </w:style>
  <w:style w:type="paragraph" w:customStyle="1" w:styleId="Tablecolumnheader">
    <w:name w:val="Table column header"/>
    <w:basedOn w:val="Sub1"/>
    <w:qFormat/>
    <w:rsid w:val="004E45CF"/>
    <w:pPr>
      <w:spacing w:before="100" w:beforeAutospacing="1"/>
    </w:pPr>
  </w:style>
  <w:style w:type="paragraph" w:customStyle="1" w:styleId="Programtitle">
    <w:name w:val="Program title"/>
    <w:basedOn w:val="Header"/>
    <w:next w:val="NoParagraphStyle"/>
    <w:qFormat/>
    <w:rsid w:val="004E45CF"/>
    <w:pPr>
      <w:widowControl w:val="0"/>
      <w:tabs>
        <w:tab w:val="clear" w:pos="4513"/>
        <w:tab w:val="clear" w:pos="9026"/>
        <w:tab w:val="center" w:pos="4320"/>
        <w:tab w:val="right" w:pos="8640"/>
      </w:tabs>
      <w:suppressAutoHyphens/>
      <w:autoSpaceDE w:val="0"/>
      <w:autoSpaceDN w:val="0"/>
      <w:adjustRightInd w:val="0"/>
      <w:spacing w:before="142" w:after="180" w:line="290" w:lineRule="atLeast"/>
      <w:textAlignment w:val="center"/>
    </w:pPr>
    <w:rPr>
      <w:rFonts w:eastAsiaTheme="minorEastAsia" w:cs="Arial"/>
      <w:caps/>
      <w:color w:val="FFFFFF" w:themeColor="background1"/>
      <w:sz w:val="26"/>
      <w:szCs w:val="26"/>
      <w:lang w:val="en-GB"/>
    </w:rPr>
  </w:style>
  <w:style w:type="paragraph" w:customStyle="1" w:styleId="Featuretext">
    <w:name w:val="Feature text"/>
    <w:basedOn w:val="Normal"/>
    <w:rsid w:val="004E45CF"/>
    <w:pPr>
      <w:widowControl w:val="0"/>
      <w:tabs>
        <w:tab w:val="left" w:pos="510"/>
        <w:tab w:val="left" w:pos="680"/>
      </w:tabs>
      <w:suppressAutoHyphens/>
      <w:autoSpaceDE w:val="0"/>
      <w:autoSpaceDN w:val="0"/>
      <w:adjustRightInd w:val="0"/>
      <w:spacing w:before="57" w:line="240" w:lineRule="atLeast"/>
      <w:textAlignment w:val="center"/>
    </w:pPr>
    <w:rPr>
      <w:rFonts w:eastAsiaTheme="minorEastAsia" w:cs="VIC-Regular"/>
      <w:color w:val="00455B"/>
      <w:spacing w:val="4"/>
      <w:sz w:val="18"/>
      <w:szCs w:val="18"/>
      <w:lang w:val="en-GB"/>
    </w:rPr>
  </w:style>
  <w:style w:type="paragraph" w:customStyle="1" w:styleId="Followerdocumenttitle">
    <w:name w:val="Follower document title"/>
    <w:basedOn w:val="Normal"/>
    <w:rsid w:val="004E45CF"/>
    <w:pPr>
      <w:keepNext/>
      <w:keepLines/>
      <w:widowControl w:val="0"/>
      <w:suppressAutoHyphens/>
      <w:autoSpaceDE w:val="0"/>
      <w:autoSpaceDN w:val="0"/>
      <w:adjustRightInd w:val="0"/>
      <w:spacing w:before="142" w:after="120" w:line="290" w:lineRule="atLeast"/>
      <w:textAlignment w:val="center"/>
      <w:outlineLvl w:val="0"/>
    </w:pPr>
    <w:rPr>
      <w:rFonts w:eastAsiaTheme="majorEastAsia" w:cs="Arial"/>
      <w:b/>
      <w:bCs/>
      <w:caps/>
      <w:color w:val="00455B"/>
      <w:sz w:val="22"/>
      <w:szCs w:val="32"/>
      <w:lang w:val="en-GB"/>
    </w:rPr>
  </w:style>
  <w:style w:type="character" w:customStyle="1" w:styleId="Teal">
    <w:name w:val="Teal"/>
    <w:uiPriority w:val="1"/>
    <w:qFormat/>
    <w:rsid w:val="004E45CF"/>
    <w:rPr>
      <w:color w:val="009096"/>
    </w:rPr>
  </w:style>
  <w:style w:type="paragraph" w:customStyle="1" w:styleId="Subtitle03">
    <w:name w:val="Subtitle 03"/>
    <w:basedOn w:val="NoParagraphStyle"/>
    <w:autoRedefine/>
    <w:qFormat/>
    <w:rsid w:val="004E45CF"/>
    <w:pPr>
      <w:spacing w:before="80" w:line="240" w:lineRule="exact"/>
    </w:pPr>
    <w:rPr>
      <w:rFonts w:ascii="Arial" w:hAnsi="Arial" w:cs="Arial"/>
      <w:b w:val="0"/>
      <w:color w:val="000000"/>
      <w:sz w:val="19"/>
      <w:szCs w:val="19"/>
    </w:rPr>
  </w:style>
  <w:style w:type="character" w:customStyle="1" w:styleId="Italic">
    <w:name w:val="Italic"/>
    <w:basedOn w:val="DefaultParagraphFont"/>
    <w:uiPriority w:val="1"/>
    <w:qFormat/>
    <w:rsid w:val="004E45CF"/>
    <w:rPr>
      <w:i/>
    </w:rPr>
  </w:style>
  <w:style w:type="paragraph" w:customStyle="1" w:styleId="H0ChapterTitle">
    <w:name w:val="H0 Chapter Title"/>
    <w:basedOn w:val="NoParagraphStyle"/>
    <w:uiPriority w:val="99"/>
    <w:rsid w:val="004E45CF"/>
    <w:pPr>
      <w:suppressAutoHyphens/>
      <w:spacing w:after="850" w:line="480" w:lineRule="atLeast"/>
    </w:pPr>
    <w:rPr>
      <w:rFonts w:ascii="Arial-Black" w:hAnsi="Arial-Black" w:cs="Arial-Black"/>
      <w:b w:val="0"/>
      <w:bCs w:val="0"/>
      <w:caps w:val="0"/>
      <w:color w:val="000000"/>
      <w:sz w:val="36"/>
      <w:szCs w:val="36"/>
    </w:rPr>
  </w:style>
  <w:style w:type="paragraph" w:customStyle="1" w:styleId="H1Bodycopyheader">
    <w:name w:val="H1 Body copy header"/>
    <w:basedOn w:val="NoParagraphStyle"/>
    <w:uiPriority w:val="99"/>
    <w:rsid w:val="004E45CF"/>
    <w:pPr>
      <w:keepNext/>
      <w:keepLines/>
      <w:suppressAutoHyphens/>
      <w:spacing w:before="340"/>
      <w:ind w:left="567" w:hanging="567"/>
    </w:pPr>
    <w:rPr>
      <w:rFonts w:ascii="ArialMT" w:hAnsi="ArialMT" w:cs="ArialMT"/>
      <w:b w:val="0"/>
      <w:bCs w:val="0"/>
      <w:caps w:val="0"/>
      <w:color w:val="314753"/>
      <w:sz w:val="26"/>
      <w:szCs w:val="26"/>
    </w:rPr>
  </w:style>
  <w:style w:type="paragraph" w:customStyle="1" w:styleId="TableTITLETABLES">
    <w:name w:val="Table TITLE (TABLES)"/>
    <w:basedOn w:val="NoParagraphStyle"/>
    <w:uiPriority w:val="99"/>
    <w:rsid w:val="004E45CF"/>
    <w:pPr>
      <w:keepNext/>
      <w:suppressAutoHyphens/>
      <w:spacing w:before="397"/>
    </w:pPr>
    <w:rPr>
      <w:rFonts w:ascii="ArialMT" w:hAnsi="ArialMT" w:cs="ArialMT"/>
      <w:b w:val="0"/>
      <w:bCs w:val="0"/>
      <w:caps w:val="0"/>
      <w:color w:val="314753"/>
      <w:sz w:val="20"/>
      <w:szCs w:val="20"/>
    </w:rPr>
  </w:style>
  <w:style w:type="paragraph" w:customStyle="1" w:styleId="TableSPACETABLES">
    <w:name w:val="Table SPACE (TABLES)"/>
    <w:basedOn w:val="NoParagraphStyle"/>
    <w:uiPriority w:val="99"/>
    <w:rsid w:val="004E45CF"/>
    <w:pPr>
      <w:suppressAutoHyphens/>
      <w:spacing w:before="113" w:after="227"/>
    </w:pPr>
    <w:rPr>
      <w:rFonts w:ascii="Arial-BoldMT" w:hAnsi="Arial-BoldMT" w:cs="Arial-BoldMT"/>
      <w:caps w:val="0"/>
      <w:color w:val="000000"/>
      <w:sz w:val="18"/>
      <w:szCs w:val="18"/>
      <w:lang w:val="en-US"/>
    </w:rPr>
  </w:style>
  <w:style w:type="paragraph" w:customStyle="1" w:styleId="FigTITLE">
    <w:name w:val="Fig TITLE"/>
    <w:basedOn w:val="TableTITLETABLES"/>
    <w:uiPriority w:val="99"/>
    <w:rsid w:val="004E45CF"/>
    <w:pPr>
      <w:spacing w:after="57"/>
    </w:pPr>
  </w:style>
  <w:style w:type="paragraph" w:customStyle="1" w:styleId="FigSPACE">
    <w:name w:val="Fig SPACE"/>
    <w:basedOn w:val="NoParagraphStyle"/>
    <w:uiPriority w:val="99"/>
    <w:rsid w:val="004E45CF"/>
    <w:pPr>
      <w:suppressAutoHyphens/>
      <w:spacing w:before="170" w:after="227"/>
    </w:pPr>
    <w:rPr>
      <w:rFonts w:ascii="Arial-BoldMT" w:hAnsi="Arial-BoldMT" w:cs="Arial-BoldMT"/>
      <w:caps w:val="0"/>
      <w:color w:val="000000"/>
      <w:sz w:val="18"/>
      <w:szCs w:val="18"/>
      <w:lang w:val="en-US"/>
    </w:rPr>
  </w:style>
  <w:style w:type="paragraph" w:customStyle="1" w:styleId="TableTextTABLES">
    <w:name w:val="Table Text (TABLES)"/>
    <w:basedOn w:val="NoParagraphStyle"/>
    <w:uiPriority w:val="99"/>
    <w:rsid w:val="004E45CF"/>
    <w:pPr>
      <w:suppressAutoHyphens/>
      <w:spacing w:before="85"/>
    </w:pPr>
    <w:rPr>
      <w:rFonts w:ascii="ArialMT" w:hAnsi="ArialMT" w:cs="ArialMT"/>
      <w:b w:val="0"/>
      <w:bCs w:val="0"/>
      <w:caps w:val="0"/>
      <w:color w:val="000000"/>
      <w:sz w:val="17"/>
      <w:szCs w:val="17"/>
    </w:rPr>
  </w:style>
  <w:style w:type="paragraph" w:customStyle="1" w:styleId="TablecolumnheadTABLES">
    <w:name w:val="Table column head (TABLES)"/>
    <w:basedOn w:val="TableTextTABLES"/>
    <w:uiPriority w:val="99"/>
    <w:rsid w:val="004E45CF"/>
    <w:pPr>
      <w:spacing w:before="0" w:line="240" w:lineRule="auto"/>
    </w:pPr>
    <w:rPr>
      <w:rFonts w:ascii="Arial Black" w:hAnsi="Arial Black" w:cs="Arial-BoldMT"/>
      <w:bCs/>
    </w:rPr>
  </w:style>
  <w:style w:type="paragraph" w:customStyle="1" w:styleId="Footnote">
    <w:name w:val="Footnote"/>
    <w:basedOn w:val="NoParagraphStyle"/>
    <w:uiPriority w:val="99"/>
    <w:rsid w:val="004E45CF"/>
    <w:pPr>
      <w:tabs>
        <w:tab w:val="left" w:pos="170"/>
      </w:tabs>
      <w:suppressAutoHyphens/>
      <w:spacing w:before="28"/>
    </w:pPr>
    <w:rPr>
      <w:rFonts w:ascii="ArialMT" w:hAnsi="ArialMT" w:cs="ArialMT"/>
      <w:b w:val="0"/>
      <w:bCs w:val="0"/>
      <w:caps w:val="0"/>
      <w:color w:val="000000"/>
      <w:sz w:val="16"/>
      <w:szCs w:val="16"/>
    </w:rPr>
  </w:style>
  <w:style w:type="character" w:customStyle="1" w:styleId="Kitalic">
    <w:name w:val="K italic"/>
    <w:uiPriority w:val="99"/>
    <w:rsid w:val="004E45CF"/>
  </w:style>
  <w:style w:type="paragraph" w:customStyle="1" w:styleId="TabletotalTABLES">
    <w:name w:val="Table total (TABLES)"/>
    <w:basedOn w:val="TableTextTABLES"/>
    <w:uiPriority w:val="99"/>
    <w:rsid w:val="004E45CF"/>
    <w:rPr>
      <w:rFonts w:ascii="Arial-BoldMT" w:hAnsi="Arial-BoldMT" w:cs="Arial-BoldMT"/>
      <w:b/>
      <w:bCs/>
    </w:rPr>
  </w:style>
  <w:style w:type="paragraph" w:customStyle="1" w:styleId="TablefooterTABLES">
    <w:name w:val="Table footer (TABLES)"/>
    <w:basedOn w:val="TableTextTABLES"/>
    <w:uiPriority w:val="99"/>
    <w:rsid w:val="004E45CF"/>
    <w:pPr>
      <w:tabs>
        <w:tab w:val="left" w:pos="227"/>
      </w:tabs>
      <w:spacing w:before="28"/>
    </w:pPr>
    <w:rPr>
      <w:sz w:val="14"/>
      <w:szCs w:val="14"/>
    </w:rPr>
  </w:style>
  <w:style w:type="paragraph" w:customStyle="1" w:styleId="Tablecolumnhead2TABLES">
    <w:name w:val="Table column head 2 (TABLES)"/>
    <w:basedOn w:val="TablecolumnheadTABLES"/>
    <w:uiPriority w:val="99"/>
    <w:rsid w:val="004E45CF"/>
  </w:style>
  <w:style w:type="character" w:customStyle="1" w:styleId="AtleticoMED">
    <w:name w:val="Atletico MED"/>
    <w:uiPriority w:val="99"/>
    <w:rsid w:val="004E45CF"/>
  </w:style>
  <w:style w:type="paragraph" w:customStyle="1" w:styleId="ListingsContents">
    <w:name w:val="Listings (Contents)"/>
    <w:basedOn w:val="NoParagraphStyle"/>
    <w:uiPriority w:val="99"/>
    <w:rsid w:val="004E45CF"/>
    <w:pPr>
      <w:tabs>
        <w:tab w:val="left" w:pos="283"/>
        <w:tab w:val="left" w:pos="2268"/>
        <w:tab w:val="right" w:pos="7370"/>
      </w:tabs>
      <w:suppressAutoHyphens/>
      <w:spacing w:after="113"/>
    </w:pPr>
    <w:rPr>
      <w:rFonts w:ascii="ArialMT" w:hAnsi="ArialMT" w:cs="ArialMT"/>
      <w:b w:val="0"/>
      <w:bCs w:val="0"/>
      <w:caps w:val="0"/>
      <w:color w:val="000000"/>
      <w:spacing w:val="-1"/>
      <w:sz w:val="20"/>
      <w:szCs w:val="20"/>
    </w:rPr>
  </w:style>
  <w:style w:type="character" w:customStyle="1" w:styleId="KlavikaMED">
    <w:name w:val="Klavika MED"/>
    <w:uiPriority w:val="99"/>
    <w:rsid w:val="004E45CF"/>
  </w:style>
  <w:style w:type="paragraph" w:customStyle="1" w:styleId="Bullettier1">
    <w:name w:val="Bullet tier 1"/>
    <w:basedOn w:val="Bodycopy"/>
    <w:uiPriority w:val="99"/>
    <w:rsid w:val="004E45CF"/>
    <w:pPr>
      <w:spacing w:before="71"/>
      <w:ind w:left="227" w:hanging="227"/>
    </w:pPr>
  </w:style>
  <w:style w:type="character" w:customStyle="1" w:styleId="Superscript">
    <w:name w:val="Superscript"/>
    <w:uiPriority w:val="99"/>
    <w:rsid w:val="004E45CF"/>
    <w:rPr>
      <w:vertAlign w:val="superscript"/>
    </w:rPr>
  </w:style>
  <w:style w:type="paragraph" w:customStyle="1" w:styleId="TableBULLETTABLES">
    <w:name w:val="Table BULLET (TABLES)"/>
    <w:basedOn w:val="TableTextTABLES"/>
    <w:uiPriority w:val="99"/>
    <w:rsid w:val="004E45CF"/>
    <w:pPr>
      <w:tabs>
        <w:tab w:val="left" w:pos="170"/>
      </w:tabs>
      <w:spacing w:before="57"/>
      <w:ind w:left="170" w:hanging="170"/>
    </w:pPr>
  </w:style>
  <w:style w:type="character" w:customStyle="1" w:styleId="Aunderline">
    <w:name w:val="A underline"/>
    <w:uiPriority w:val="99"/>
    <w:rsid w:val="004E45CF"/>
    <w:rPr>
      <w:u w:val="thick"/>
    </w:rPr>
  </w:style>
  <w:style w:type="character" w:customStyle="1" w:styleId="Aitalic">
    <w:name w:val="A italic"/>
    <w:uiPriority w:val="99"/>
    <w:rsid w:val="004E45CF"/>
  </w:style>
  <w:style w:type="paragraph" w:customStyle="1" w:styleId="TableTEXTAPPXTABLES">
    <w:name w:val="Table TEXT APPX (TABLES)"/>
    <w:basedOn w:val="TableTextTABLES"/>
    <w:uiPriority w:val="99"/>
    <w:rsid w:val="004E45CF"/>
    <w:pPr>
      <w:tabs>
        <w:tab w:val="left" w:pos="283"/>
      </w:tabs>
      <w:spacing w:before="43"/>
    </w:pPr>
  </w:style>
  <w:style w:type="paragraph" w:customStyle="1" w:styleId="Footerrunning">
    <w:name w:val="Footer (running)"/>
    <w:basedOn w:val="NoParagraphStyle"/>
    <w:uiPriority w:val="99"/>
    <w:rsid w:val="004E45CF"/>
    <w:pPr>
      <w:suppressAutoHyphens/>
      <w:spacing w:after="80"/>
    </w:pPr>
    <w:rPr>
      <w:rFonts w:ascii="ArialMT" w:hAnsi="ArialMT" w:cs="ArialMT"/>
      <w:b w:val="0"/>
      <w:bCs w:val="0"/>
      <w:caps w:val="0"/>
      <w:color w:val="000000"/>
      <w:spacing w:val="1"/>
      <w:sz w:val="18"/>
      <w:szCs w:val="18"/>
    </w:rPr>
  </w:style>
  <w:style w:type="paragraph" w:customStyle="1" w:styleId="Tabletitle">
    <w:name w:val="Table title"/>
    <w:basedOn w:val="Normal"/>
    <w:qFormat/>
    <w:rsid w:val="004E45CF"/>
    <w:pPr>
      <w:keepNext/>
      <w:widowControl w:val="0"/>
      <w:suppressAutoHyphens/>
      <w:autoSpaceDE w:val="0"/>
      <w:autoSpaceDN w:val="0"/>
      <w:adjustRightInd w:val="0"/>
      <w:spacing w:before="240" w:after="120" w:line="290" w:lineRule="atLeast"/>
      <w:textAlignment w:val="center"/>
    </w:pPr>
    <w:rPr>
      <w:rFonts w:ascii="ArialMT" w:eastAsiaTheme="minorEastAsia" w:hAnsi="ArialMT" w:cs="ArialMT"/>
      <w:b/>
      <w:color w:val="auto"/>
      <w:szCs w:val="20"/>
      <w:lang w:val="en-GB"/>
    </w:rPr>
  </w:style>
  <w:style w:type="character" w:customStyle="1" w:styleId="KlavikaREGDKorange">
    <w:name w:val="Klavika REG DK orange"/>
    <w:uiPriority w:val="99"/>
    <w:rsid w:val="004E45CF"/>
    <w:rPr>
      <w:color w:val="000000"/>
    </w:rPr>
  </w:style>
  <w:style w:type="character" w:customStyle="1" w:styleId="TabletextBOLD">
    <w:name w:val="Table text BOLD"/>
    <w:basedOn w:val="DefaultParagraphFont"/>
    <w:uiPriority w:val="1"/>
    <w:qFormat/>
    <w:rsid w:val="004E45CF"/>
    <w:rPr>
      <w:rFonts w:ascii="Arial" w:hAnsi="Arial" w:cs="Arial-BoldMT"/>
      <w:b/>
      <w:bCs/>
      <w:i w:val="0"/>
      <w:color w:val="000000"/>
      <w:sz w:val="18"/>
      <w:szCs w:val="17"/>
      <w:lang w:val="en-GB"/>
    </w:rPr>
  </w:style>
  <w:style w:type="paragraph" w:styleId="TOCHeading">
    <w:name w:val="TOC Heading"/>
    <w:basedOn w:val="Heading1"/>
    <w:next w:val="Normal"/>
    <w:uiPriority w:val="39"/>
    <w:unhideWhenUsed/>
    <w:qFormat/>
    <w:rsid w:val="004E45CF"/>
    <w:pPr>
      <w:keepNext/>
      <w:keepLines/>
      <w:pageBreakBefore w:val="0"/>
      <w:widowControl w:val="0"/>
      <w:numPr>
        <w:numId w:val="0"/>
      </w:numPr>
      <w:suppressAutoHyphens/>
      <w:autoSpaceDE w:val="0"/>
      <w:autoSpaceDN w:val="0"/>
      <w:adjustRightInd w:val="0"/>
      <w:spacing w:before="480" w:after="0" w:line="276" w:lineRule="auto"/>
      <w:textAlignment w:val="center"/>
      <w:outlineLvl w:val="9"/>
    </w:pPr>
    <w:rPr>
      <w:rFonts w:asciiTheme="majorHAnsi" w:eastAsiaTheme="majorEastAsia" w:hAnsiTheme="majorHAnsi" w:cstheme="majorBidi"/>
      <w:bCs/>
      <w:color w:val="174E6A" w:themeColor="accent1" w:themeShade="BF"/>
      <w:sz w:val="28"/>
      <w:szCs w:val="28"/>
      <w:lang w:val="en-GB"/>
    </w:rPr>
  </w:style>
  <w:style w:type="paragraph" w:styleId="TOC5">
    <w:name w:val="toc 5"/>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720"/>
      <w:textAlignment w:val="center"/>
    </w:pPr>
    <w:rPr>
      <w:rFonts w:eastAsiaTheme="minorEastAsia" w:cs="Arial"/>
      <w:color w:val="auto"/>
      <w:szCs w:val="20"/>
      <w:lang w:val="en-GB"/>
    </w:rPr>
  </w:style>
  <w:style w:type="paragraph" w:styleId="TOC6">
    <w:name w:val="toc 6"/>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960"/>
      <w:textAlignment w:val="center"/>
    </w:pPr>
    <w:rPr>
      <w:rFonts w:eastAsiaTheme="minorEastAsia" w:cs="Arial"/>
      <w:color w:val="auto"/>
      <w:szCs w:val="20"/>
      <w:lang w:val="en-GB"/>
    </w:rPr>
  </w:style>
  <w:style w:type="paragraph" w:styleId="TOC7">
    <w:name w:val="toc 7"/>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1200"/>
      <w:textAlignment w:val="center"/>
    </w:pPr>
    <w:rPr>
      <w:rFonts w:eastAsiaTheme="minorEastAsia" w:cs="Arial"/>
      <w:color w:val="auto"/>
      <w:szCs w:val="20"/>
      <w:lang w:val="en-GB"/>
    </w:rPr>
  </w:style>
  <w:style w:type="paragraph" w:styleId="TOC8">
    <w:name w:val="toc 8"/>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1440"/>
      <w:textAlignment w:val="center"/>
    </w:pPr>
    <w:rPr>
      <w:rFonts w:eastAsiaTheme="minorEastAsia" w:cs="Arial"/>
      <w:color w:val="auto"/>
      <w:szCs w:val="20"/>
      <w:lang w:val="en-GB"/>
    </w:rPr>
  </w:style>
  <w:style w:type="paragraph" w:styleId="TOC9">
    <w:name w:val="toc 9"/>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1680"/>
      <w:textAlignment w:val="center"/>
    </w:pPr>
    <w:rPr>
      <w:rFonts w:eastAsiaTheme="minorEastAsia" w:cs="Arial"/>
      <w:color w:val="auto"/>
      <w:szCs w:val="20"/>
      <w:lang w:val="en-GB"/>
    </w:rPr>
  </w:style>
  <w:style w:type="paragraph" w:styleId="Revision">
    <w:name w:val="Revision"/>
    <w:hidden/>
    <w:uiPriority w:val="99"/>
    <w:semiHidden/>
    <w:rsid w:val="004E45CF"/>
    <w:rPr>
      <w:rFonts w:eastAsiaTheme="minorEastAsia"/>
      <w:sz w:val="24"/>
      <w:szCs w:val="24"/>
      <w:lang w:val="en-US"/>
    </w:rPr>
  </w:style>
  <w:style w:type="character" w:styleId="CommentReference">
    <w:name w:val="annotation reference"/>
    <w:basedOn w:val="DefaultParagraphFont"/>
    <w:uiPriority w:val="99"/>
    <w:semiHidden/>
    <w:unhideWhenUsed/>
    <w:rsid w:val="004E45CF"/>
    <w:rPr>
      <w:sz w:val="16"/>
      <w:szCs w:val="16"/>
    </w:rPr>
  </w:style>
  <w:style w:type="paragraph" w:styleId="CommentText">
    <w:name w:val="annotation text"/>
    <w:basedOn w:val="Normal"/>
    <w:link w:val="CommentTextChar"/>
    <w:uiPriority w:val="99"/>
    <w:unhideWhenUsed/>
    <w:rsid w:val="004E45CF"/>
    <w:pPr>
      <w:widowControl w:val="0"/>
      <w:suppressAutoHyphens/>
      <w:autoSpaceDE w:val="0"/>
      <w:autoSpaceDN w:val="0"/>
      <w:adjustRightInd w:val="0"/>
      <w:spacing w:before="142" w:line="290" w:lineRule="atLeast"/>
      <w:textAlignment w:val="center"/>
    </w:pPr>
    <w:rPr>
      <w:rFonts w:eastAsiaTheme="minorEastAsia" w:cs="Arial"/>
      <w:color w:val="auto"/>
      <w:szCs w:val="20"/>
      <w:lang w:val="en-GB"/>
    </w:rPr>
  </w:style>
  <w:style w:type="character" w:customStyle="1" w:styleId="CommentTextChar">
    <w:name w:val="Comment Text Char"/>
    <w:basedOn w:val="DefaultParagraphFont"/>
    <w:link w:val="CommentText"/>
    <w:uiPriority w:val="99"/>
    <w:rsid w:val="004E45CF"/>
    <w:rPr>
      <w:rFonts w:ascii="Arial" w:eastAsiaTheme="minorEastAsi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E45CF"/>
    <w:rPr>
      <w:b/>
      <w:bCs/>
    </w:rPr>
  </w:style>
  <w:style w:type="character" w:customStyle="1" w:styleId="CommentSubjectChar">
    <w:name w:val="Comment Subject Char"/>
    <w:basedOn w:val="CommentTextChar"/>
    <w:link w:val="CommentSubject"/>
    <w:uiPriority w:val="99"/>
    <w:semiHidden/>
    <w:rsid w:val="004E45CF"/>
    <w:rPr>
      <w:rFonts w:ascii="Arial" w:eastAsiaTheme="minorEastAsia" w:hAnsi="Arial" w:cs="Arial"/>
      <w:b/>
      <w:bCs/>
      <w:sz w:val="20"/>
      <w:szCs w:val="20"/>
      <w:lang w:val="en-GB"/>
    </w:rPr>
  </w:style>
  <w:style w:type="character" w:customStyle="1" w:styleId="Mention1">
    <w:name w:val="Mention1"/>
    <w:basedOn w:val="DefaultParagraphFont"/>
    <w:uiPriority w:val="99"/>
    <w:semiHidden/>
    <w:unhideWhenUsed/>
    <w:rsid w:val="004E45CF"/>
    <w:rPr>
      <w:color w:val="2B579A"/>
      <w:shd w:val="clear" w:color="auto" w:fill="E6E6E6"/>
    </w:rPr>
  </w:style>
  <w:style w:type="paragraph" w:styleId="NoSpacing">
    <w:name w:val="No Spacing"/>
    <w:uiPriority w:val="1"/>
    <w:qFormat/>
    <w:rsid w:val="004E45CF"/>
    <w:rPr>
      <w:rFonts w:eastAsiaTheme="minorEastAsia"/>
      <w:sz w:val="24"/>
      <w:szCs w:val="24"/>
      <w:lang w:val="en-US"/>
    </w:rPr>
  </w:style>
  <w:style w:type="character" w:customStyle="1" w:styleId="ListParagraphChar">
    <w:name w:val="List Paragraph Char"/>
    <w:aliases w:val="Recommendation Char,L Char,0Bullet Char,Bullet point Char,Indented bullet Char,List Paragraph1 Char,List Paragraph11 Char,List Paragraph2 Char,bullet point list Char"/>
    <w:link w:val="ListParagraph"/>
    <w:uiPriority w:val="34"/>
    <w:locked/>
    <w:rsid w:val="004E45CF"/>
    <w:rPr>
      <w:rFonts w:ascii="Arial" w:hAnsi="Arial"/>
      <w:color w:val="000000" w:themeColor="text1"/>
      <w:sz w:val="20"/>
    </w:rPr>
  </w:style>
  <w:style w:type="paragraph" w:customStyle="1" w:styleId="p1">
    <w:name w:val="p1"/>
    <w:basedOn w:val="Normal"/>
    <w:rsid w:val="004E45CF"/>
    <w:pPr>
      <w:widowControl w:val="0"/>
      <w:suppressAutoHyphens/>
      <w:autoSpaceDE w:val="0"/>
      <w:autoSpaceDN w:val="0"/>
      <w:adjustRightInd w:val="0"/>
      <w:spacing w:before="107" w:line="218" w:lineRule="atLeast"/>
      <w:textAlignment w:val="center"/>
    </w:pPr>
    <w:rPr>
      <w:rFonts w:ascii="Klavika" w:hAnsi="Klavika" w:cs="Times New Roman"/>
      <w:color w:val="auto"/>
      <w:sz w:val="15"/>
      <w:szCs w:val="15"/>
      <w:lang w:val="en-GB" w:eastAsia="en-GB"/>
    </w:rPr>
  </w:style>
  <w:style w:type="paragraph" w:customStyle="1" w:styleId="p2">
    <w:name w:val="p2"/>
    <w:basedOn w:val="Normal"/>
    <w:rsid w:val="004E45CF"/>
    <w:pPr>
      <w:widowControl w:val="0"/>
      <w:suppressAutoHyphens/>
      <w:autoSpaceDE w:val="0"/>
      <w:autoSpaceDN w:val="0"/>
      <w:adjustRightInd w:val="0"/>
      <w:spacing w:before="255" w:line="290" w:lineRule="atLeast"/>
      <w:textAlignment w:val="center"/>
    </w:pPr>
    <w:rPr>
      <w:rFonts w:ascii="Klavika" w:hAnsi="Klavika" w:cs="Times New Roman"/>
      <w:color w:val="3F5966"/>
      <w:szCs w:val="20"/>
      <w:lang w:val="en-GB" w:eastAsia="en-GB"/>
    </w:rPr>
  </w:style>
  <w:style w:type="paragraph" w:customStyle="1" w:styleId="p3">
    <w:name w:val="p3"/>
    <w:basedOn w:val="Normal"/>
    <w:rsid w:val="004E45CF"/>
    <w:pPr>
      <w:widowControl w:val="0"/>
      <w:suppressAutoHyphens/>
      <w:autoSpaceDE w:val="0"/>
      <w:autoSpaceDN w:val="0"/>
      <w:adjustRightInd w:val="0"/>
      <w:spacing w:before="299" w:line="290" w:lineRule="atLeast"/>
      <w:textAlignment w:val="center"/>
    </w:pPr>
    <w:rPr>
      <w:rFonts w:ascii="Atletico" w:hAnsi="Atletico" w:cs="Times New Roman"/>
      <w:color w:val="3F5966"/>
      <w:sz w:val="15"/>
      <w:szCs w:val="15"/>
      <w:lang w:val="en-GB" w:eastAsia="en-GB"/>
    </w:rPr>
  </w:style>
  <w:style w:type="paragraph" w:customStyle="1" w:styleId="p4">
    <w:name w:val="p4"/>
    <w:basedOn w:val="Normal"/>
    <w:rsid w:val="004E45CF"/>
    <w:pPr>
      <w:widowControl w:val="0"/>
      <w:suppressAutoHyphens/>
      <w:autoSpaceDE w:val="0"/>
      <w:autoSpaceDN w:val="0"/>
      <w:adjustRightInd w:val="0"/>
      <w:spacing w:before="142" w:line="290" w:lineRule="atLeast"/>
      <w:textAlignment w:val="center"/>
    </w:pPr>
    <w:rPr>
      <w:rFonts w:ascii="Klavika" w:hAnsi="Klavika" w:cs="Times New Roman"/>
      <w:color w:val="auto"/>
      <w:sz w:val="18"/>
      <w:szCs w:val="18"/>
      <w:lang w:val="en-GB" w:eastAsia="en-GB"/>
    </w:rPr>
  </w:style>
  <w:style w:type="paragraph" w:customStyle="1" w:styleId="p5">
    <w:name w:val="p5"/>
    <w:basedOn w:val="Normal"/>
    <w:rsid w:val="004E45CF"/>
    <w:pPr>
      <w:widowControl w:val="0"/>
      <w:suppressAutoHyphens/>
      <w:autoSpaceDE w:val="0"/>
      <w:autoSpaceDN w:val="0"/>
      <w:adjustRightInd w:val="0"/>
      <w:spacing w:before="63" w:line="290" w:lineRule="atLeast"/>
      <w:jc w:val="center"/>
      <w:textAlignment w:val="center"/>
    </w:pPr>
    <w:rPr>
      <w:rFonts w:ascii="Atletico" w:hAnsi="Atletico" w:cs="Times New Roman"/>
      <w:color w:val="auto"/>
      <w:sz w:val="13"/>
      <w:szCs w:val="13"/>
      <w:lang w:val="en-GB" w:eastAsia="en-GB"/>
    </w:rPr>
  </w:style>
  <w:style w:type="paragraph" w:customStyle="1" w:styleId="p6">
    <w:name w:val="p6"/>
    <w:basedOn w:val="Normal"/>
    <w:rsid w:val="004E45CF"/>
    <w:pPr>
      <w:widowControl w:val="0"/>
      <w:suppressAutoHyphens/>
      <w:autoSpaceDE w:val="0"/>
      <w:autoSpaceDN w:val="0"/>
      <w:adjustRightInd w:val="0"/>
      <w:spacing w:before="63" w:line="290" w:lineRule="atLeast"/>
      <w:textAlignment w:val="center"/>
    </w:pPr>
    <w:rPr>
      <w:rFonts w:ascii="Atletico" w:hAnsi="Atletico" w:cs="Times New Roman"/>
      <w:color w:val="auto"/>
      <w:sz w:val="13"/>
      <w:szCs w:val="13"/>
      <w:lang w:val="en-GB" w:eastAsia="en-GB"/>
    </w:rPr>
  </w:style>
  <w:style w:type="paragraph" w:customStyle="1" w:styleId="p7">
    <w:name w:val="p7"/>
    <w:basedOn w:val="Normal"/>
    <w:rsid w:val="004E45CF"/>
    <w:pPr>
      <w:widowControl w:val="0"/>
      <w:suppressAutoHyphens/>
      <w:autoSpaceDE w:val="0"/>
      <w:autoSpaceDN w:val="0"/>
      <w:adjustRightInd w:val="0"/>
      <w:spacing w:before="86" w:after="170" w:line="290" w:lineRule="atLeast"/>
      <w:textAlignment w:val="center"/>
    </w:pPr>
    <w:rPr>
      <w:rFonts w:ascii="Atletico" w:hAnsi="Atletico" w:cs="Times New Roman"/>
      <w:color w:val="auto"/>
      <w:sz w:val="15"/>
      <w:szCs w:val="15"/>
      <w:lang w:val="en-GB" w:eastAsia="en-GB"/>
    </w:rPr>
  </w:style>
  <w:style w:type="paragraph" w:customStyle="1" w:styleId="p8">
    <w:name w:val="p8"/>
    <w:basedOn w:val="Normal"/>
    <w:rsid w:val="004E45CF"/>
    <w:pPr>
      <w:widowControl w:val="0"/>
      <w:suppressAutoHyphens/>
      <w:autoSpaceDE w:val="0"/>
      <w:autoSpaceDN w:val="0"/>
      <w:adjustRightInd w:val="0"/>
      <w:spacing w:before="107" w:line="218" w:lineRule="atLeast"/>
      <w:textAlignment w:val="center"/>
    </w:pPr>
    <w:rPr>
      <w:rFonts w:ascii="Klavika" w:hAnsi="Klavika" w:cs="Times New Roman"/>
      <w:color w:val="auto"/>
      <w:sz w:val="15"/>
      <w:szCs w:val="15"/>
      <w:lang w:val="en-GB" w:eastAsia="en-GB"/>
    </w:rPr>
  </w:style>
  <w:style w:type="paragraph" w:customStyle="1" w:styleId="p9">
    <w:name w:val="p9"/>
    <w:basedOn w:val="Normal"/>
    <w:rsid w:val="004E45CF"/>
    <w:pPr>
      <w:widowControl w:val="0"/>
      <w:suppressAutoHyphens/>
      <w:autoSpaceDE w:val="0"/>
      <w:autoSpaceDN w:val="0"/>
      <w:adjustRightInd w:val="0"/>
      <w:spacing w:before="299" w:after="44" w:line="290" w:lineRule="atLeast"/>
      <w:textAlignment w:val="center"/>
    </w:pPr>
    <w:rPr>
      <w:rFonts w:ascii="Atletico" w:hAnsi="Atletico" w:cs="Times New Roman"/>
      <w:color w:val="3F5966"/>
      <w:sz w:val="15"/>
      <w:szCs w:val="15"/>
      <w:lang w:val="en-GB" w:eastAsia="en-GB"/>
    </w:rPr>
  </w:style>
  <w:style w:type="paragraph" w:customStyle="1" w:styleId="p10">
    <w:name w:val="p10"/>
    <w:basedOn w:val="Normal"/>
    <w:rsid w:val="004E45CF"/>
    <w:pPr>
      <w:widowControl w:val="0"/>
      <w:suppressAutoHyphens/>
      <w:autoSpaceDE w:val="0"/>
      <w:autoSpaceDN w:val="0"/>
      <w:adjustRightInd w:val="0"/>
      <w:spacing w:before="128" w:after="170" w:line="290" w:lineRule="atLeast"/>
      <w:textAlignment w:val="center"/>
    </w:pPr>
    <w:rPr>
      <w:rFonts w:ascii="Atletico" w:hAnsi="Atletico" w:cs="Times New Roman"/>
      <w:color w:val="auto"/>
      <w:sz w:val="14"/>
      <w:szCs w:val="14"/>
      <w:lang w:val="en-GB" w:eastAsia="en-GB"/>
    </w:rPr>
  </w:style>
  <w:style w:type="character" w:customStyle="1" w:styleId="s1">
    <w:name w:val="s1"/>
    <w:basedOn w:val="DefaultParagraphFont"/>
    <w:rsid w:val="004E45CF"/>
    <w:rPr>
      <w:spacing w:val="-2"/>
    </w:rPr>
  </w:style>
  <w:style w:type="character" w:customStyle="1" w:styleId="apple-converted-space">
    <w:name w:val="apple-converted-space"/>
    <w:basedOn w:val="DefaultParagraphFont"/>
    <w:rsid w:val="004E45CF"/>
  </w:style>
  <w:style w:type="character" w:customStyle="1" w:styleId="s2">
    <w:name w:val="s2"/>
    <w:basedOn w:val="DefaultParagraphFont"/>
    <w:rsid w:val="004E45CF"/>
    <w:rPr>
      <w:spacing w:val="-3"/>
    </w:rPr>
  </w:style>
  <w:style w:type="character" w:customStyle="1" w:styleId="apple-tab-span">
    <w:name w:val="apple-tab-span"/>
    <w:basedOn w:val="DefaultParagraphFont"/>
    <w:rsid w:val="004E45CF"/>
  </w:style>
  <w:style w:type="paragraph" w:customStyle="1" w:styleId="p11">
    <w:name w:val="p11"/>
    <w:basedOn w:val="Normal"/>
    <w:rsid w:val="004E45CF"/>
    <w:pPr>
      <w:widowControl w:val="0"/>
      <w:suppressAutoHyphens/>
      <w:autoSpaceDE w:val="0"/>
      <w:autoSpaceDN w:val="0"/>
      <w:adjustRightInd w:val="0"/>
      <w:spacing w:before="299" w:after="44" w:line="290" w:lineRule="atLeast"/>
      <w:textAlignment w:val="center"/>
    </w:pPr>
    <w:rPr>
      <w:rFonts w:ascii="Atletico" w:hAnsi="Atletico" w:cs="Times New Roman"/>
      <w:color w:val="3F5966"/>
      <w:sz w:val="15"/>
      <w:szCs w:val="15"/>
      <w:lang w:val="en-GB" w:eastAsia="en-GB"/>
    </w:rPr>
  </w:style>
  <w:style w:type="paragraph" w:customStyle="1" w:styleId="p12">
    <w:name w:val="p12"/>
    <w:basedOn w:val="Normal"/>
    <w:rsid w:val="004E45CF"/>
    <w:pPr>
      <w:widowControl w:val="0"/>
      <w:suppressAutoHyphens/>
      <w:autoSpaceDE w:val="0"/>
      <w:autoSpaceDN w:val="0"/>
      <w:adjustRightInd w:val="0"/>
      <w:spacing w:before="128" w:after="170" w:line="290" w:lineRule="atLeast"/>
      <w:textAlignment w:val="center"/>
    </w:pPr>
    <w:rPr>
      <w:rFonts w:ascii="Atletico" w:hAnsi="Atletico" w:cs="Times New Roman"/>
      <w:color w:val="auto"/>
      <w:sz w:val="14"/>
      <w:szCs w:val="14"/>
      <w:lang w:val="en-GB" w:eastAsia="en-GB"/>
    </w:rPr>
  </w:style>
  <w:style w:type="paragraph" w:customStyle="1" w:styleId="p13">
    <w:name w:val="p13"/>
    <w:basedOn w:val="Normal"/>
    <w:rsid w:val="004E45CF"/>
    <w:pPr>
      <w:widowControl w:val="0"/>
      <w:suppressAutoHyphens/>
      <w:autoSpaceDE w:val="0"/>
      <w:autoSpaceDN w:val="0"/>
      <w:adjustRightInd w:val="0"/>
      <w:spacing w:before="213" w:after="44" w:line="290" w:lineRule="atLeast"/>
      <w:textAlignment w:val="center"/>
    </w:pPr>
    <w:rPr>
      <w:rFonts w:ascii="Atletico" w:hAnsi="Atletico" w:cs="Times New Roman"/>
      <w:color w:val="3F5966"/>
      <w:sz w:val="15"/>
      <w:szCs w:val="15"/>
      <w:lang w:val="en-GB" w:eastAsia="en-GB"/>
    </w:rPr>
  </w:style>
  <w:style w:type="paragraph" w:styleId="FootnoteText">
    <w:name w:val="footnote text"/>
    <w:basedOn w:val="Normal"/>
    <w:link w:val="FootnoteTextChar"/>
    <w:uiPriority w:val="99"/>
    <w:unhideWhenUsed/>
    <w:rsid w:val="004E45CF"/>
    <w:pPr>
      <w:widowControl w:val="0"/>
      <w:suppressAutoHyphens/>
      <w:autoSpaceDE w:val="0"/>
      <w:autoSpaceDN w:val="0"/>
      <w:adjustRightInd w:val="0"/>
      <w:spacing w:before="142" w:line="290" w:lineRule="atLeast"/>
      <w:textAlignment w:val="center"/>
    </w:pPr>
    <w:rPr>
      <w:rFonts w:ascii="Times New Roman" w:hAnsi="Times New Roman" w:cs="Times New Roman"/>
      <w:color w:val="auto"/>
      <w:szCs w:val="20"/>
      <w:lang w:val="en-GB" w:eastAsia="en-GB"/>
    </w:rPr>
  </w:style>
  <w:style w:type="character" w:customStyle="1" w:styleId="FootnoteTextChar">
    <w:name w:val="Footnote Text Char"/>
    <w:basedOn w:val="DefaultParagraphFont"/>
    <w:link w:val="FootnoteText"/>
    <w:uiPriority w:val="99"/>
    <w:rsid w:val="004E45CF"/>
    <w:rPr>
      <w:rFonts w:ascii="Times New Roman" w:hAnsi="Times New Roman" w:cs="Times New Roman"/>
      <w:sz w:val="20"/>
      <w:szCs w:val="20"/>
      <w:lang w:val="en-GB" w:eastAsia="en-GB"/>
    </w:rPr>
  </w:style>
  <w:style w:type="character" w:styleId="FootnoteReference">
    <w:name w:val="footnote reference"/>
    <w:basedOn w:val="DefaultParagraphFont"/>
    <w:uiPriority w:val="99"/>
    <w:unhideWhenUsed/>
    <w:rsid w:val="004E45CF"/>
    <w:rPr>
      <w:rFonts w:asciiTheme="minorHAnsi" w:hAnsiTheme="minorHAnsi"/>
      <w:vertAlign w:val="superscript"/>
    </w:rPr>
  </w:style>
  <w:style w:type="paragraph" w:styleId="BodyText">
    <w:name w:val="Body Text"/>
    <w:basedOn w:val="Normal"/>
    <w:link w:val="BodyTextChar"/>
    <w:autoRedefine/>
    <w:uiPriority w:val="99"/>
    <w:unhideWhenUsed/>
    <w:qFormat/>
    <w:rsid w:val="004E45CF"/>
    <w:pPr>
      <w:widowControl w:val="0"/>
      <w:tabs>
        <w:tab w:val="left" w:pos="284"/>
      </w:tabs>
      <w:suppressAutoHyphens/>
      <w:autoSpaceDE w:val="0"/>
      <w:autoSpaceDN w:val="0"/>
      <w:adjustRightInd w:val="0"/>
      <w:spacing w:before="120" w:line="230" w:lineRule="exact"/>
      <w:textAlignment w:val="center"/>
    </w:pPr>
    <w:rPr>
      <w:rFonts w:cs="Arial"/>
      <w:color w:val="auto"/>
      <w:lang w:val="en-GB" w:eastAsia="en-GB"/>
    </w:rPr>
  </w:style>
  <w:style w:type="character" w:customStyle="1" w:styleId="BodyTextChar">
    <w:name w:val="Body Text Char"/>
    <w:basedOn w:val="DefaultParagraphFont"/>
    <w:link w:val="BodyText"/>
    <w:uiPriority w:val="99"/>
    <w:rsid w:val="004E45CF"/>
    <w:rPr>
      <w:rFonts w:ascii="Arial" w:hAnsi="Arial" w:cs="Arial"/>
      <w:sz w:val="20"/>
      <w:lang w:val="en-GB" w:eastAsia="en-GB"/>
    </w:rPr>
  </w:style>
  <w:style w:type="paragraph" w:customStyle="1" w:styleId="Tabletextcentred">
    <w:name w:val="Table text centred"/>
    <w:basedOn w:val="Tabletext"/>
    <w:autoRedefine/>
    <w:qFormat/>
    <w:rsid w:val="004E45CF"/>
    <w:pPr>
      <w:tabs>
        <w:tab w:val="left" w:pos="170"/>
      </w:tabs>
      <w:spacing w:line="190" w:lineRule="exact"/>
      <w:jc w:val="center"/>
    </w:pPr>
    <w:rPr>
      <w:rFonts w:asciiTheme="minorHAnsi" w:eastAsiaTheme="minorHAnsi" w:hAnsiTheme="minorHAnsi" w:cs="Times New Roman"/>
      <w:color w:val="auto"/>
      <w:spacing w:val="0"/>
      <w:sz w:val="18"/>
      <w:szCs w:val="20"/>
      <w:lang w:eastAsia="en-GB"/>
    </w:rPr>
  </w:style>
  <w:style w:type="paragraph" w:customStyle="1" w:styleId="Note">
    <w:name w:val="Note"/>
    <w:basedOn w:val="Normal"/>
    <w:qFormat/>
    <w:rsid w:val="004E45CF"/>
    <w:pPr>
      <w:widowControl w:val="0"/>
      <w:suppressAutoHyphens/>
      <w:autoSpaceDE w:val="0"/>
      <w:autoSpaceDN w:val="0"/>
      <w:adjustRightInd w:val="0"/>
      <w:spacing w:before="60" w:line="290" w:lineRule="atLeast"/>
      <w:textAlignment w:val="center"/>
    </w:pPr>
    <w:rPr>
      <w:rFonts w:cs="Times New Roman"/>
      <w:color w:val="auto"/>
      <w:sz w:val="16"/>
      <w:szCs w:val="15"/>
      <w:lang w:val="en-GB" w:eastAsia="en-GB"/>
    </w:rPr>
  </w:style>
  <w:style w:type="paragraph" w:customStyle="1" w:styleId="Figspace0">
    <w:name w:val="Fig space"/>
    <w:rsid w:val="004E45CF"/>
    <w:pPr>
      <w:spacing w:after="360"/>
    </w:pPr>
    <w:rPr>
      <w:rFonts w:cs="Times New Roman"/>
      <w:b/>
      <w:sz w:val="21"/>
      <w:szCs w:val="20"/>
      <w:lang w:val="en-GB" w:eastAsia="en-GB"/>
    </w:rPr>
  </w:style>
  <w:style w:type="paragraph" w:customStyle="1" w:styleId="Heading31">
    <w:name w:val="Heading 31"/>
    <w:basedOn w:val="Normal"/>
    <w:next w:val="Normal"/>
    <w:uiPriority w:val="9"/>
    <w:unhideWhenUsed/>
    <w:qFormat/>
    <w:rsid w:val="004E45CF"/>
    <w:pPr>
      <w:keepNext/>
      <w:keepLines/>
      <w:widowControl w:val="0"/>
      <w:suppressAutoHyphens/>
      <w:autoSpaceDE w:val="0"/>
      <w:autoSpaceDN w:val="0"/>
      <w:adjustRightInd w:val="0"/>
      <w:spacing w:before="360" w:line="290" w:lineRule="atLeast"/>
      <w:textAlignment w:val="center"/>
      <w:outlineLvl w:val="2"/>
    </w:pPr>
    <w:rPr>
      <w:rFonts w:eastAsia="MS Gothic" w:cs="Times New Roman"/>
      <w:b/>
      <w:bCs/>
      <w:color w:val="auto"/>
      <w:szCs w:val="20"/>
      <w:lang w:val="en-GB"/>
    </w:rPr>
  </w:style>
  <w:style w:type="paragraph" w:customStyle="1" w:styleId="DocTitle-1">
    <w:name w:val="Doc Title - 1"/>
    <w:basedOn w:val="NoParagraphStyle"/>
    <w:uiPriority w:val="99"/>
    <w:rsid w:val="004E45CF"/>
    <w:rPr>
      <w:rFonts w:eastAsia="MS Mincho"/>
      <w:color w:val="FFFFFF"/>
    </w:rPr>
  </w:style>
  <w:style w:type="paragraph" w:customStyle="1" w:styleId="DocTitle-3tier">
    <w:name w:val="Doc Title - 3 tier"/>
    <w:basedOn w:val="NoParagraphStyle"/>
    <w:uiPriority w:val="99"/>
    <w:rsid w:val="004E45CF"/>
    <w:rPr>
      <w:rFonts w:eastAsia="MS Mincho"/>
      <w:color w:val="FFFFFF"/>
    </w:rPr>
  </w:style>
  <w:style w:type="paragraph" w:customStyle="1" w:styleId="TablecolumnheadCENTRETABLES">
    <w:name w:val="Table column head CENTRE (TABLES)"/>
    <w:basedOn w:val="TableTextTABLES"/>
    <w:uiPriority w:val="99"/>
    <w:rsid w:val="004E45CF"/>
    <w:pPr>
      <w:suppressAutoHyphens w:val="0"/>
      <w:spacing w:before="0"/>
    </w:pPr>
    <w:rPr>
      <w:rFonts w:ascii="Calibri" w:eastAsia="MS Mincho" w:hAnsi="Calibri" w:cs="MinionPro-Regular"/>
      <w:b/>
      <w:bCs/>
      <w:caps/>
      <w:color w:val="FFFFFF"/>
      <w:sz w:val="32"/>
      <w:szCs w:val="32"/>
    </w:rPr>
  </w:style>
  <w:style w:type="character" w:customStyle="1" w:styleId="KlavikaREGDKgreen">
    <w:name w:val="Klavika REG DK green"/>
    <w:uiPriority w:val="99"/>
    <w:rsid w:val="004E45CF"/>
    <w:rPr>
      <w:color w:val="000000"/>
    </w:rPr>
  </w:style>
  <w:style w:type="paragraph" w:customStyle="1" w:styleId="H2Bodycopyheader">
    <w:name w:val="H2 Body copy header"/>
    <w:basedOn w:val="NoParagraphStyle"/>
    <w:uiPriority w:val="99"/>
    <w:rsid w:val="004E45CF"/>
    <w:rPr>
      <w:rFonts w:eastAsia="MS Mincho"/>
      <w:color w:val="FFFFFF"/>
    </w:rPr>
  </w:style>
  <w:style w:type="paragraph" w:customStyle="1" w:styleId="TableTABLES">
    <w:name w:val="Table # (TABLES)"/>
    <w:basedOn w:val="TableTextTABLES"/>
    <w:uiPriority w:val="99"/>
    <w:rsid w:val="004E45CF"/>
    <w:pPr>
      <w:suppressAutoHyphens w:val="0"/>
      <w:spacing w:before="0"/>
    </w:pPr>
    <w:rPr>
      <w:rFonts w:ascii="Calibri" w:eastAsia="MS Mincho" w:hAnsi="Calibri" w:cs="MinionPro-Regular"/>
      <w:b/>
      <w:bCs/>
      <w:caps/>
      <w:color w:val="FFFFFF"/>
      <w:sz w:val="32"/>
      <w:szCs w:val="32"/>
    </w:rPr>
  </w:style>
  <w:style w:type="paragraph" w:customStyle="1" w:styleId="TableTextC">
    <w:name w:val="Table Text C"/>
    <w:basedOn w:val="TableTextTABLES"/>
    <w:qFormat/>
    <w:rsid w:val="004E45CF"/>
    <w:pPr>
      <w:suppressAutoHyphens w:val="0"/>
      <w:spacing w:before="0"/>
    </w:pPr>
    <w:rPr>
      <w:rFonts w:ascii="Calibri" w:eastAsia="MS Mincho" w:hAnsi="Calibri" w:cs="MinionPro-Regular"/>
      <w:b/>
      <w:bCs/>
      <w:caps/>
      <w:color w:val="FFFFFF"/>
      <w:sz w:val="32"/>
      <w:szCs w:val="32"/>
    </w:rPr>
  </w:style>
  <w:style w:type="paragraph" w:customStyle="1" w:styleId="CommentText1">
    <w:name w:val="Comment Text1"/>
    <w:basedOn w:val="Normal"/>
    <w:next w:val="CommentText"/>
    <w:uiPriority w:val="99"/>
    <w:semiHidden/>
    <w:unhideWhenUsed/>
    <w:rsid w:val="004E45CF"/>
    <w:pPr>
      <w:widowControl w:val="0"/>
      <w:suppressAutoHyphens/>
      <w:autoSpaceDE w:val="0"/>
      <w:autoSpaceDN w:val="0"/>
      <w:adjustRightInd w:val="0"/>
      <w:spacing w:before="142" w:line="290" w:lineRule="atLeast"/>
      <w:textAlignment w:val="center"/>
    </w:pPr>
    <w:rPr>
      <w:rFonts w:cs="Arial"/>
      <w:color w:val="auto"/>
      <w:szCs w:val="20"/>
      <w:lang w:val="en-GB"/>
    </w:rPr>
  </w:style>
  <w:style w:type="paragraph" w:customStyle="1" w:styleId="CommentSubject1">
    <w:name w:val="Comment Subject1"/>
    <w:basedOn w:val="CommentText"/>
    <w:next w:val="CommentText"/>
    <w:uiPriority w:val="99"/>
    <w:semiHidden/>
    <w:unhideWhenUsed/>
    <w:rsid w:val="004E45CF"/>
    <w:rPr>
      <w:rFonts w:ascii="Times New Roman" w:eastAsiaTheme="minorHAnsi" w:hAnsi="Times New Roman" w:cs="Times New Roman"/>
      <w:lang w:eastAsia="en-GB"/>
    </w:rPr>
  </w:style>
  <w:style w:type="paragraph" w:customStyle="1" w:styleId="BalloonText1">
    <w:name w:val="Balloon Text1"/>
    <w:basedOn w:val="Normal"/>
    <w:next w:val="BalloonText"/>
    <w:uiPriority w:val="99"/>
    <w:semiHidden/>
    <w:unhideWhenUsed/>
    <w:rsid w:val="004E45CF"/>
    <w:pPr>
      <w:widowControl w:val="0"/>
      <w:suppressAutoHyphens/>
      <w:autoSpaceDE w:val="0"/>
      <w:autoSpaceDN w:val="0"/>
      <w:adjustRightInd w:val="0"/>
      <w:spacing w:before="142" w:line="290" w:lineRule="atLeast"/>
      <w:textAlignment w:val="center"/>
    </w:pPr>
    <w:rPr>
      <w:rFonts w:ascii="Times New Roman" w:hAnsi="Times New Roman" w:cs="Times New Roman"/>
      <w:color w:val="auto"/>
      <w:sz w:val="18"/>
      <w:szCs w:val="18"/>
      <w:lang w:val="en-GB"/>
    </w:rPr>
  </w:style>
  <w:style w:type="table" w:customStyle="1" w:styleId="QILTTableStylePH">
    <w:name w:val="QILT Table Style PH"/>
    <w:basedOn w:val="TableNormal"/>
    <w:uiPriority w:val="99"/>
    <w:rsid w:val="004E45CF"/>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customStyle="1" w:styleId="Revision1">
    <w:name w:val="Revision1"/>
    <w:next w:val="Revision"/>
    <w:hidden/>
    <w:uiPriority w:val="99"/>
    <w:semiHidden/>
    <w:rsid w:val="004E45CF"/>
    <w:rPr>
      <w:rFonts w:ascii="Arial" w:eastAsia="MS Mincho" w:hAnsi="Arial"/>
      <w:sz w:val="20"/>
      <w:szCs w:val="24"/>
      <w:lang w:val="en-US"/>
    </w:rPr>
  </w:style>
  <w:style w:type="character" w:customStyle="1" w:styleId="Heading3Char1">
    <w:name w:val="Heading 3 Char1"/>
    <w:basedOn w:val="DefaultParagraphFont"/>
    <w:uiPriority w:val="9"/>
    <w:semiHidden/>
    <w:rsid w:val="004E45CF"/>
    <w:rPr>
      <w:rFonts w:asciiTheme="majorHAnsi" w:eastAsiaTheme="majorEastAsia" w:hAnsiTheme="majorHAnsi" w:cstheme="majorBidi"/>
      <w:color w:val="0F3446" w:themeColor="accent1" w:themeShade="7F"/>
      <w:lang w:eastAsia="en-GB"/>
    </w:rPr>
  </w:style>
  <w:style w:type="character" w:customStyle="1" w:styleId="CommentTextChar1">
    <w:name w:val="Comment Text Char1"/>
    <w:basedOn w:val="DefaultParagraphFont"/>
    <w:uiPriority w:val="99"/>
    <w:semiHidden/>
    <w:rsid w:val="004E45CF"/>
    <w:rPr>
      <w:rFonts w:ascii="Times New Roman" w:hAnsi="Times New Roman" w:cs="Times New Roman"/>
      <w:sz w:val="20"/>
      <w:szCs w:val="20"/>
      <w:lang w:eastAsia="en-GB"/>
    </w:rPr>
  </w:style>
  <w:style w:type="character" w:customStyle="1" w:styleId="CommentSubjectChar1">
    <w:name w:val="Comment Subject Char1"/>
    <w:basedOn w:val="CommentTextChar1"/>
    <w:uiPriority w:val="99"/>
    <w:semiHidden/>
    <w:rsid w:val="004E45CF"/>
    <w:rPr>
      <w:rFonts w:ascii="Times New Roman" w:hAnsi="Times New Roman" w:cs="Times New Roman"/>
      <w:b/>
      <w:bCs/>
      <w:sz w:val="20"/>
      <w:szCs w:val="20"/>
      <w:lang w:eastAsia="en-GB"/>
    </w:rPr>
  </w:style>
  <w:style w:type="character" w:customStyle="1" w:styleId="BalloonTextChar1">
    <w:name w:val="Balloon Text Char1"/>
    <w:basedOn w:val="DefaultParagraphFont"/>
    <w:uiPriority w:val="99"/>
    <w:semiHidden/>
    <w:rsid w:val="004E45CF"/>
    <w:rPr>
      <w:rFonts w:ascii="Segoe UI" w:hAnsi="Segoe UI" w:cs="Segoe UI"/>
      <w:sz w:val="18"/>
      <w:szCs w:val="18"/>
      <w:lang w:eastAsia="en-GB"/>
    </w:rPr>
  </w:style>
  <w:style w:type="table" w:customStyle="1" w:styleId="QILTTableStylePH1">
    <w:name w:val="QILT Table Style PH1"/>
    <w:basedOn w:val="TableNormal"/>
    <w:uiPriority w:val="99"/>
    <w:rsid w:val="004E45CF"/>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TableGrid1">
    <w:name w:val="Table Grid1"/>
    <w:basedOn w:val="TableNormal"/>
    <w:next w:val="TableGrid"/>
    <w:uiPriority w:val="39"/>
    <w:rsid w:val="004E45CF"/>
    <w:rPr>
      <w:rFonts w:eastAsia="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ILTTableStylePH2">
    <w:name w:val="QILT Table Style PH2"/>
    <w:basedOn w:val="TableNormal"/>
    <w:uiPriority w:val="99"/>
    <w:rsid w:val="004E45CF"/>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QILTTableStylePH3">
    <w:name w:val="QILT Table Style PH3"/>
    <w:basedOn w:val="TableNormal"/>
    <w:uiPriority w:val="99"/>
    <w:rsid w:val="004E45CF"/>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UnresolvedMention1">
    <w:name w:val="Unresolved Mention1"/>
    <w:basedOn w:val="DefaultParagraphFont"/>
    <w:uiPriority w:val="99"/>
    <w:semiHidden/>
    <w:unhideWhenUsed/>
    <w:rsid w:val="004E45CF"/>
    <w:rPr>
      <w:color w:val="605E5C"/>
      <w:shd w:val="clear" w:color="auto" w:fill="E1DFDD"/>
    </w:rPr>
  </w:style>
  <w:style w:type="paragraph" w:styleId="EndnoteText">
    <w:name w:val="endnote text"/>
    <w:basedOn w:val="Normal"/>
    <w:link w:val="EndnoteTextChar"/>
    <w:uiPriority w:val="99"/>
    <w:semiHidden/>
    <w:unhideWhenUsed/>
    <w:rsid w:val="004E45CF"/>
    <w:pPr>
      <w:widowControl w:val="0"/>
      <w:suppressAutoHyphens/>
      <w:autoSpaceDE w:val="0"/>
      <w:autoSpaceDN w:val="0"/>
      <w:adjustRightInd w:val="0"/>
      <w:spacing w:before="142" w:line="290" w:lineRule="atLeast"/>
      <w:textAlignment w:val="center"/>
    </w:pPr>
    <w:rPr>
      <w:rFonts w:eastAsiaTheme="minorEastAsia" w:cs="Arial"/>
      <w:color w:val="auto"/>
      <w:szCs w:val="20"/>
      <w:lang w:val="en-GB"/>
    </w:rPr>
  </w:style>
  <w:style w:type="character" w:customStyle="1" w:styleId="EndnoteTextChar">
    <w:name w:val="Endnote Text Char"/>
    <w:basedOn w:val="DefaultParagraphFont"/>
    <w:link w:val="EndnoteText"/>
    <w:uiPriority w:val="99"/>
    <w:semiHidden/>
    <w:rsid w:val="004E45CF"/>
    <w:rPr>
      <w:rFonts w:ascii="Arial" w:eastAsiaTheme="minorEastAsia" w:hAnsi="Arial" w:cs="Arial"/>
      <w:sz w:val="20"/>
      <w:szCs w:val="20"/>
      <w:lang w:val="en-GB"/>
    </w:rPr>
  </w:style>
  <w:style w:type="character" w:styleId="EndnoteReference">
    <w:name w:val="endnote reference"/>
    <w:basedOn w:val="DefaultParagraphFont"/>
    <w:uiPriority w:val="99"/>
    <w:semiHidden/>
    <w:unhideWhenUsed/>
    <w:rsid w:val="004E45CF"/>
    <w:rPr>
      <w:vertAlign w:val="superscript"/>
    </w:rPr>
  </w:style>
  <w:style w:type="character" w:styleId="UnresolvedMention">
    <w:name w:val="Unresolved Mention"/>
    <w:basedOn w:val="DefaultParagraphFont"/>
    <w:uiPriority w:val="99"/>
    <w:semiHidden/>
    <w:unhideWhenUsed/>
    <w:rsid w:val="004E45CF"/>
    <w:rPr>
      <w:color w:val="605E5C"/>
      <w:shd w:val="clear" w:color="auto" w:fill="E1DFDD"/>
    </w:rPr>
  </w:style>
  <w:style w:type="character" w:styleId="Strong">
    <w:name w:val="Strong"/>
    <w:basedOn w:val="DefaultParagraphFont"/>
    <w:uiPriority w:val="22"/>
    <w:qFormat/>
    <w:rsid w:val="004E45CF"/>
    <w:rPr>
      <w:b/>
      <w:bCs/>
    </w:rPr>
  </w:style>
  <w:style w:type="paragraph" w:customStyle="1" w:styleId="Style1">
    <w:name w:val="Style1"/>
    <w:basedOn w:val="Sub1nounderline"/>
    <w:link w:val="Style1Char"/>
    <w:qFormat/>
    <w:rsid w:val="004E45CF"/>
    <w:rPr>
      <w:rFonts w:ascii="Arial" w:hAnsi="Arial"/>
      <w:b w:val="0"/>
    </w:rPr>
  </w:style>
  <w:style w:type="character" w:customStyle="1" w:styleId="Sub1nounderlineChar">
    <w:name w:val="Sub 1 no underline Char"/>
    <w:basedOn w:val="DefaultParagraphFont"/>
    <w:link w:val="Sub1nounderline"/>
    <w:rsid w:val="004E45CF"/>
    <w:rPr>
      <w:rFonts w:asciiTheme="majorHAnsi" w:eastAsiaTheme="minorEastAsia" w:hAnsiTheme="majorHAnsi" w:cs="Gotham-Book"/>
      <w:b/>
      <w:spacing w:val="-4"/>
      <w:sz w:val="20"/>
      <w:szCs w:val="20"/>
      <w:lang w:val="en-GB"/>
    </w:rPr>
  </w:style>
  <w:style w:type="character" w:customStyle="1" w:styleId="Style1Char">
    <w:name w:val="Style1 Char"/>
    <w:basedOn w:val="Sub1nounderlineChar"/>
    <w:link w:val="Style1"/>
    <w:rsid w:val="004E45CF"/>
    <w:rPr>
      <w:rFonts w:ascii="Arial" w:eastAsiaTheme="minorEastAsia" w:hAnsi="Arial" w:cs="Gotham-Book"/>
      <w:b w:val="0"/>
      <w:spacing w:val="-4"/>
      <w:sz w:val="20"/>
      <w:szCs w:val="20"/>
      <w:lang w:val="en-GB"/>
    </w:rPr>
  </w:style>
  <w:style w:type="character" w:customStyle="1" w:styleId="CaptionChar">
    <w:name w:val="Caption Char"/>
    <w:basedOn w:val="DefaultParagraphFont"/>
    <w:link w:val="Caption"/>
    <w:uiPriority w:val="35"/>
    <w:rsid w:val="004E45CF"/>
    <w:rPr>
      <w:rFonts w:ascii="Arial Bold" w:eastAsia="Times New Roman" w:hAnsi="Arial Bold" w:cs="Times New Roman"/>
      <w:b/>
      <w:bCs/>
      <w:color w:val="1F688D"/>
      <w:sz w:val="20"/>
      <w:szCs w:val="18"/>
    </w:rPr>
  </w:style>
  <w:style w:type="paragraph" w:customStyle="1" w:styleId="zz">
    <w:name w:val="zz"/>
    <w:basedOn w:val="BodyText"/>
    <w:link w:val="zzChar"/>
    <w:rsid w:val="004E45CF"/>
    <w:pPr>
      <w:widowControl/>
      <w:suppressAutoHyphens w:val="0"/>
      <w:autoSpaceDE/>
      <w:autoSpaceDN/>
      <w:adjustRightInd/>
      <w:jc w:val="center"/>
      <w:textAlignment w:val="auto"/>
    </w:pPr>
    <w:rPr>
      <w:b/>
      <w:bCs/>
      <w:sz w:val="18"/>
      <w:szCs w:val="20"/>
    </w:rPr>
  </w:style>
  <w:style w:type="character" w:customStyle="1" w:styleId="zzChar">
    <w:name w:val="zz Char"/>
    <w:basedOn w:val="BodyTextChar"/>
    <w:link w:val="zz"/>
    <w:rsid w:val="004E45CF"/>
    <w:rPr>
      <w:rFonts w:ascii="Arial" w:hAnsi="Arial" w:cs="Arial"/>
      <w:b/>
      <w:bCs/>
      <w:sz w:val="18"/>
      <w:szCs w:val="20"/>
      <w:lang w:val="en-GB" w:eastAsia="en-GB"/>
    </w:rPr>
  </w:style>
  <w:style w:type="paragraph" w:customStyle="1" w:styleId="Z">
    <w:name w:val="Z"/>
    <w:basedOn w:val="Tabletext"/>
    <w:link w:val="ZChar"/>
    <w:rsid w:val="004E45CF"/>
    <w:rPr>
      <w:rFonts w:ascii="Arial" w:hAnsi="Arial" w:cs="Arial"/>
      <w:sz w:val="18"/>
      <w:szCs w:val="20"/>
    </w:rPr>
  </w:style>
  <w:style w:type="character" w:customStyle="1" w:styleId="ZChar">
    <w:name w:val="Z Char"/>
    <w:basedOn w:val="DefaultParagraphFont"/>
    <w:link w:val="Z"/>
    <w:rsid w:val="004E45CF"/>
    <w:rPr>
      <w:rFonts w:ascii="Arial" w:eastAsiaTheme="minorEastAsia" w:hAnsi="Arial" w:cs="Arial"/>
      <w:color w:val="000A23"/>
      <w:spacing w:val="-2"/>
      <w:sz w:val="18"/>
      <w:szCs w:val="20"/>
      <w:lang w:val="en-GB"/>
    </w:rPr>
  </w:style>
  <w:style w:type="table" w:customStyle="1" w:styleId="TableGrid2">
    <w:name w:val="Table Grid2"/>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E45CF"/>
    <w:rPr>
      <w:rFonts w:ascii="Segoe UI" w:hAnsi="Segoe UI" w:cs="Segoe UI" w:hint="default"/>
    </w:rPr>
  </w:style>
  <w:style w:type="paragraph" w:customStyle="1" w:styleId="pf0">
    <w:name w:val="pf0"/>
    <w:basedOn w:val="Normal"/>
    <w:rsid w:val="004E45CF"/>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srcentre.local\drives\k\QILT\GOS\2022\Overall\11.%20Reporting\Analytical%20report\National%20report\www.qilt.edu.au" TargetMode="External"/><Relationship Id="rId18" Type="http://schemas.openxmlformats.org/officeDocument/2006/relationships/hyperlink" Target="https://www.qilt.edu.au/surveys/graduate-outcomes-survey-(gos)" TargetMode="External"/><Relationship Id="rId3" Type="http://schemas.openxmlformats.org/officeDocument/2006/relationships/customXml" Target="../customXml/item3.xml"/><Relationship Id="rId21" Type="http://schemas.openxmlformats.org/officeDocument/2006/relationships/hyperlink" Target="https://www.qilt.edu.au/surveys/graduate-outcomes-survey-(go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powerbi.com/view?r=eyJrIjoiM2ZjOTkxNGQtMzc5NS00YjZmLWE5MTctYjlhZjY2ZTZmNGRkIiwidCI6IjBhNGQ1MDgwLTUxNWMtNDVlNi1hN2FiLTFiZjI1OTZhNTY0OCJ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ilt.edu.au/docs/default-source/default-document-library/2016-gos-methodological-report.pdf?sfvrsn=c3270095_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qilt.edu.au/docs/default-source/default-document-library/2022-gos-methodological-report.pdf?sfvrsn=92bfd3e5_0" TargetMode="External"/><Relationship Id="rId10" Type="http://schemas.openxmlformats.org/officeDocument/2006/relationships/footnotes" Target="footnotes.xml"/><Relationship Id="rId19" Type="http://schemas.openxmlformats.org/officeDocument/2006/relationships/hyperlink" Target="https://www.qilt.edu.au/surveys/graduate-outcomes-survey-(g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lt@srcentre.com.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rk\My%20Documents\Custom%20Office%20Templates\2019%20Report%20Template%20Current.dotm" TargetMode="External"/></Relationship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98E"/>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FF38F296D24F4397C1DE08C201273E" ma:contentTypeVersion="24" ma:contentTypeDescription="Create a new document." ma:contentTypeScope="" ma:versionID="7330773f2be9fa4686df66618fb42014">
  <xsd:schema xmlns:xsd="http://www.w3.org/2001/XMLSchema" xmlns:xs="http://www.w3.org/2001/XMLSchema" xmlns:p="http://schemas.microsoft.com/office/2006/metadata/properties" xmlns:ns1="http://schemas.microsoft.com/sharepoint/v3" xmlns:ns2="33690d23-2492-4ced-9e6d-0f6a6f5b3a44" xmlns:ns3="b707db52-f0c1-41a8-9140-e4a693d61270" targetNamespace="http://schemas.microsoft.com/office/2006/metadata/properties" ma:root="true" ma:fieldsID="e666d9567df19c6b065356b3692bc9e0" ns1:_="" ns2:_="" ns3:_="">
    <xsd:import namespace="http://schemas.microsoft.com/sharepoint/v3"/>
    <xsd:import namespace="33690d23-2492-4ced-9e6d-0f6a6f5b3a44"/>
    <xsd:import namespace="b707db52-f0c1-41a8-9140-e4a693d61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_x0023_" minOccurs="0"/>
                <xsd:element ref="ns2:Dept" minOccurs="0"/>
                <xsd:element ref="ns2:Category" minOccurs="0"/>
                <xsd:element ref="ns2:Dimensions" minOccurs="0"/>
                <xsd:element ref="ns1:_ip_UnifiedCompliancePolicyProperties" minOccurs="0"/>
                <xsd:element ref="ns1:_ip_UnifiedCompliancePolicyUIAction" minOccurs="0"/>
                <xsd:element ref="ns1:_dlc_Exemp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90d23-2492-4ced-9e6d-0f6a6f5b3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_x0023_" ma:index="14" nillable="true" ma:displayName="QA#" ma:format="Dropdown" ma:internalName="QA_x0023_">
      <xsd:simpleType>
        <xsd:restriction base="dms:Text">
          <xsd:maxLength value="255"/>
        </xsd:restriction>
      </xsd:simpleType>
    </xsd:element>
    <xsd:element name="Dept" ma:index="15" nillable="true" ma:displayName="Dept" ma:format="Dropdown" ma:internalName="Dept">
      <xsd:simpleType>
        <xsd:restriction base="dms:Choice">
          <xsd:enumeration value="Admin"/>
          <xsd:enumeration value="Comms"/>
          <xsd:enumeration value="Corp Gov"/>
          <xsd:enumeration value="Finance"/>
          <xsd:enumeration value="IT"/>
          <xsd:enumeration value="Payroll"/>
          <xsd:enumeration value="QRU"/>
          <xsd:enumeration value="DPA"/>
          <xsd:enumeration value="Coding"/>
          <xsd:enumeration value="Research"/>
          <xsd:enumeration value="HR"/>
          <xsd:enumeration value="OHS"/>
          <xsd:enumeration value="Privacy"/>
          <xsd:enumeration value="Call Centre"/>
        </xsd:restriction>
      </xsd:simpleType>
    </xsd:element>
    <xsd:element name="Category" ma:index="16" nillable="true" ma:displayName="Category" ma:format="Dropdown" ma:internalName="Category">
      <xsd:simpleType>
        <xsd:restriction base="dms:Choice">
          <xsd:enumeration value="Template"/>
          <xsd:enumeration value="Policy"/>
          <xsd:enumeration value="Procedure"/>
          <xsd:enumeration value="Document"/>
          <xsd:enumeration value="Form"/>
          <xsd:enumeration value="Guideline"/>
          <xsd:enumeration value="Position description"/>
          <xsd:enumeration value="Minutes of meeting"/>
          <xsd:enumeration value="Payroll processing"/>
          <xsd:enumeration value="Training"/>
          <xsd:enumeration value="Presentation"/>
          <xsd:enumeration value="EAP"/>
          <xsd:enumeration value="Org"/>
          <xsd:enumeration value="Emergency"/>
          <xsd:enumeration value="WEGA"/>
          <xsd:enumeration value="References"/>
          <xsd:enumeration value="Contracts &amp; legal docs"/>
          <xsd:enumeration value="Recruitment"/>
          <xsd:enumeration value="SRC Seminar Series"/>
        </xsd:restriction>
      </xsd:simpleType>
    </xsd:element>
    <xsd:element name="Dimensions" ma:index="17" nillable="true" ma:displayName="Dimensions" ma:format="Dropdown" ma:internalName="Dimensions">
      <xsd:simpleType>
        <xsd:restriction base="dms:Choice">
          <xsd:enumeration value="Coding"/>
          <xsd:enumeration value="Functionality &amp; Standards"/>
          <xsd:enumeration value="Presentations"/>
          <xsd:enumeration value="Starter Pack"/>
          <xsd:enumeration value="Training materials"/>
          <xsd:enumeration value="User Guide"/>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7db52-f0c1-41a8-9140-e4a693d61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b1e24e-34ef-48ee-873e-7e369f9facbc}" ma:internalName="TaxCatchAll" ma:showField="CatchAllData" ma:web="b707db52-f0c1-41a8-9140-e4a693d61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80FF38F296D24F4397C1DE08C201273E|-1152541523" UniqueId="4d25bf30-f0bf-41c5-8d79-7e3ec7b6ae30">
      <p:Name>Auditing</p:Name>
      <p:Description>Audits user actions on documents and list items to the Audit Log.</p:Description>
      <p:CustomData>
        <Audit>
          <Update/>
          <CheckInOut/>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Dept xmlns="33690d23-2492-4ced-9e6d-0f6a6f5b3a44" xsi:nil="true"/>
    <_ip_UnifiedCompliancePolicyUIAction xmlns="http://schemas.microsoft.com/sharepoint/v3" xsi:nil="true"/>
    <Category xmlns="33690d23-2492-4ced-9e6d-0f6a6f5b3a44" xsi:nil="true"/>
    <_ip_UnifiedCompliancePolicyProperties xmlns="http://schemas.microsoft.com/sharepoint/v3" xsi:nil="true"/>
    <Dimensions xmlns="33690d23-2492-4ced-9e6d-0f6a6f5b3a44" xsi:nil="true"/>
    <QA_x0023_ xmlns="33690d23-2492-4ced-9e6d-0f6a6f5b3a44" xsi:nil="true"/>
    <SharedWithUsers xmlns="b707db52-f0c1-41a8-9140-e4a693d61270">
      <UserInfo>
        <DisplayName>Paula Wilton</DisplayName>
        <AccountId>354</AccountId>
        <AccountType/>
      </UserInfo>
    </SharedWithUsers>
    <lcf76f155ced4ddcb4097134ff3c332f xmlns="33690d23-2492-4ced-9e6d-0f6a6f5b3a44">
      <Terms xmlns="http://schemas.microsoft.com/office/infopath/2007/PartnerControls"/>
    </lcf76f155ced4ddcb4097134ff3c332f>
    <TaxCatchAll xmlns="b707db52-f0c1-41a8-9140-e4a693d61270" xsi:nil="true"/>
  </documentManagement>
</p:properties>
</file>

<file path=customXml/itemProps1.xml><?xml version="1.0" encoding="utf-8"?>
<ds:datastoreItem xmlns:ds="http://schemas.openxmlformats.org/officeDocument/2006/customXml" ds:itemID="{89A727B9-1088-4740-A5D1-FD7BCBE50A4F}">
  <ds:schemaRefs>
    <ds:schemaRef ds:uri="http://schemas.microsoft.com/sharepoint/v3/contenttype/forms"/>
  </ds:schemaRefs>
</ds:datastoreItem>
</file>

<file path=customXml/itemProps2.xml><?xml version="1.0" encoding="utf-8"?>
<ds:datastoreItem xmlns:ds="http://schemas.openxmlformats.org/officeDocument/2006/customXml" ds:itemID="{95251F0B-4F5D-4E79-AA70-318BA8AD4537}">
  <ds:schemaRefs>
    <ds:schemaRef ds:uri="http://schemas.openxmlformats.org/officeDocument/2006/bibliography"/>
  </ds:schemaRefs>
</ds:datastoreItem>
</file>

<file path=customXml/itemProps3.xml><?xml version="1.0" encoding="utf-8"?>
<ds:datastoreItem xmlns:ds="http://schemas.openxmlformats.org/officeDocument/2006/customXml" ds:itemID="{CB14F712-CB78-41F8-9A4F-FACE90257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690d23-2492-4ced-9e6d-0f6a6f5b3a44"/>
    <ds:schemaRef ds:uri="b707db52-f0c1-41a8-9140-e4a693d61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6DF38-2BA2-4D0B-B439-DC336C04DCA3}">
  <ds:schemaRefs>
    <ds:schemaRef ds:uri="office.server.policy"/>
  </ds:schemaRefs>
</ds:datastoreItem>
</file>

<file path=customXml/itemProps5.xml><?xml version="1.0" encoding="utf-8"?>
<ds:datastoreItem xmlns:ds="http://schemas.openxmlformats.org/officeDocument/2006/customXml" ds:itemID="{BFC463A0-8EB6-470F-AE58-FF5B531CA3B1}">
  <ds:schemaRefs>
    <ds:schemaRef ds:uri="33690d23-2492-4ced-9e6d-0f6a6f5b3a4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07db52-f0c1-41a8-9140-e4a693d612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2019 Report Template Current</Template>
  <TotalTime>148</TotalTime>
  <Pages>81</Pages>
  <Words>22912</Words>
  <Characters>130605</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153211</CharactersWithSpaces>
  <SharedDoc>false</SharedDoc>
  <HLinks>
    <vt:vector size="114" baseType="variant">
      <vt:variant>
        <vt:i4>1179697</vt:i4>
      </vt:variant>
      <vt:variant>
        <vt:i4>116</vt:i4>
      </vt:variant>
      <vt:variant>
        <vt:i4>0</vt:i4>
      </vt:variant>
      <vt:variant>
        <vt:i4>5</vt:i4>
      </vt:variant>
      <vt:variant>
        <vt:lpwstr/>
      </vt:variant>
      <vt:variant>
        <vt:lpwstr>_Toc442446334</vt:lpwstr>
      </vt:variant>
      <vt:variant>
        <vt:i4>1179697</vt:i4>
      </vt:variant>
      <vt:variant>
        <vt:i4>110</vt:i4>
      </vt:variant>
      <vt:variant>
        <vt:i4>0</vt:i4>
      </vt:variant>
      <vt:variant>
        <vt:i4>5</vt:i4>
      </vt:variant>
      <vt:variant>
        <vt:lpwstr/>
      </vt:variant>
      <vt:variant>
        <vt:lpwstr>_Toc442446333</vt:lpwstr>
      </vt:variant>
      <vt:variant>
        <vt:i4>1179697</vt:i4>
      </vt:variant>
      <vt:variant>
        <vt:i4>104</vt:i4>
      </vt:variant>
      <vt:variant>
        <vt:i4>0</vt:i4>
      </vt:variant>
      <vt:variant>
        <vt:i4>5</vt:i4>
      </vt:variant>
      <vt:variant>
        <vt:lpwstr/>
      </vt:variant>
      <vt:variant>
        <vt:lpwstr>_Toc442446332</vt:lpwstr>
      </vt:variant>
      <vt:variant>
        <vt:i4>1769526</vt:i4>
      </vt:variant>
      <vt:variant>
        <vt:i4>95</vt:i4>
      </vt:variant>
      <vt:variant>
        <vt:i4>0</vt:i4>
      </vt:variant>
      <vt:variant>
        <vt:i4>5</vt:i4>
      </vt:variant>
      <vt:variant>
        <vt:lpwstr/>
      </vt:variant>
      <vt:variant>
        <vt:lpwstr>_Toc442445493</vt:lpwstr>
      </vt:variant>
      <vt:variant>
        <vt:i4>1769526</vt:i4>
      </vt:variant>
      <vt:variant>
        <vt:i4>89</vt:i4>
      </vt:variant>
      <vt:variant>
        <vt:i4>0</vt:i4>
      </vt:variant>
      <vt:variant>
        <vt:i4>5</vt:i4>
      </vt:variant>
      <vt:variant>
        <vt:lpwstr/>
      </vt:variant>
      <vt:variant>
        <vt:lpwstr>_Toc442445492</vt:lpwstr>
      </vt:variant>
      <vt:variant>
        <vt:i4>1769526</vt:i4>
      </vt:variant>
      <vt:variant>
        <vt:i4>83</vt:i4>
      </vt:variant>
      <vt:variant>
        <vt:i4>0</vt:i4>
      </vt:variant>
      <vt:variant>
        <vt:i4>5</vt:i4>
      </vt:variant>
      <vt:variant>
        <vt:lpwstr/>
      </vt:variant>
      <vt:variant>
        <vt:lpwstr>_Toc442445491</vt:lpwstr>
      </vt:variant>
      <vt:variant>
        <vt:i4>1245236</vt:i4>
      </vt:variant>
      <vt:variant>
        <vt:i4>74</vt:i4>
      </vt:variant>
      <vt:variant>
        <vt:i4>0</vt:i4>
      </vt:variant>
      <vt:variant>
        <vt:i4>5</vt:i4>
      </vt:variant>
      <vt:variant>
        <vt:lpwstr/>
      </vt:variant>
      <vt:variant>
        <vt:lpwstr>_Toc522711206</vt:lpwstr>
      </vt:variant>
      <vt:variant>
        <vt:i4>1245236</vt:i4>
      </vt:variant>
      <vt:variant>
        <vt:i4>68</vt:i4>
      </vt:variant>
      <vt:variant>
        <vt:i4>0</vt:i4>
      </vt:variant>
      <vt:variant>
        <vt:i4>5</vt:i4>
      </vt:variant>
      <vt:variant>
        <vt:lpwstr/>
      </vt:variant>
      <vt:variant>
        <vt:lpwstr>_Toc522711205</vt:lpwstr>
      </vt:variant>
      <vt:variant>
        <vt:i4>1245236</vt:i4>
      </vt:variant>
      <vt:variant>
        <vt:i4>62</vt:i4>
      </vt:variant>
      <vt:variant>
        <vt:i4>0</vt:i4>
      </vt:variant>
      <vt:variant>
        <vt:i4>5</vt:i4>
      </vt:variant>
      <vt:variant>
        <vt:lpwstr/>
      </vt:variant>
      <vt:variant>
        <vt:lpwstr>_Toc522711204</vt:lpwstr>
      </vt:variant>
      <vt:variant>
        <vt:i4>1245236</vt:i4>
      </vt:variant>
      <vt:variant>
        <vt:i4>56</vt:i4>
      </vt:variant>
      <vt:variant>
        <vt:i4>0</vt:i4>
      </vt:variant>
      <vt:variant>
        <vt:i4>5</vt:i4>
      </vt:variant>
      <vt:variant>
        <vt:lpwstr/>
      </vt:variant>
      <vt:variant>
        <vt:lpwstr>_Toc522711203</vt:lpwstr>
      </vt:variant>
      <vt:variant>
        <vt:i4>1245236</vt:i4>
      </vt:variant>
      <vt:variant>
        <vt:i4>50</vt:i4>
      </vt:variant>
      <vt:variant>
        <vt:i4>0</vt:i4>
      </vt:variant>
      <vt:variant>
        <vt:i4>5</vt:i4>
      </vt:variant>
      <vt:variant>
        <vt:lpwstr/>
      </vt:variant>
      <vt:variant>
        <vt:lpwstr>_Toc522711202</vt:lpwstr>
      </vt:variant>
      <vt:variant>
        <vt:i4>1245236</vt:i4>
      </vt:variant>
      <vt:variant>
        <vt:i4>44</vt:i4>
      </vt:variant>
      <vt:variant>
        <vt:i4>0</vt:i4>
      </vt:variant>
      <vt:variant>
        <vt:i4>5</vt:i4>
      </vt:variant>
      <vt:variant>
        <vt:lpwstr/>
      </vt:variant>
      <vt:variant>
        <vt:lpwstr>_Toc522711201</vt:lpwstr>
      </vt:variant>
      <vt:variant>
        <vt:i4>1245236</vt:i4>
      </vt:variant>
      <vt:variant>
        <vt:i4>38</vt:i4>
      </vt:variant>
      <vt:variant>
        <vt:i4>0</vt:i4>
      </vt:variant>
      <vt:variant>
        <vt:i4>5</vt:i4>
      </vt:variant>
      <vt:variant>
        <vt:lpwstr/>
      </vt:variant>
      <vt:variant>
        <vt:lpwstr>_Toc522711200</vt:lpwstr>
      </vt:variant>
      <vt:variant>
        <vt:i4>1703991</vt:i4>
      </vt:variant>
      <vt:variant>
        <vt:i4>32</vt:i4>
      </vt:variant>
      <vt:variant>
        <vt:i4>0</vt:i4>
      </vt:variant>
      <vt:variant>
        <vt:i4>5</vt:i4>
      </vt:variant>
      <vt:variant>
        <vt:lpwstr/>
      </vt:variant>
      <vt:variant>
        <vt:lpwstr>_Toc522711199</vt:lpwstr>
      </vt:variant>
      <vt:variant>
        <vt:i4>1703991</vt:i4>
      </vt:variant>
      <vt:variant>
        <vt:i4>26</vt:i4>
      </vt:variant>
      <vt:variant>
        <vt:i4>0</vt:i4>
      </vt:variant>
      <vt:variant>
        <vt:i4>5</vt:i4>
      </vt:variant>
      <vt:variant>
        <vt:lpwstr/>
      </vt:variant>
      <vt:variant>
        <vt:lpwstr>_Toc522711198</vt:lpwstr>
      </vt:variant>
      <vt:variant>
        <vt:i4>1703991</vt:i4>
      </vt:variant>
      <vt:variant>
        <vt:i4>20</vt:i4>
      </vt:variant>
      <vt:variant>
        <vt:i4>0</vt:i4>
      </vt:variant>
      <vt:variant>
        <vt:i4>5</vt:i4>
      </vt:variant>
      <vt:variant>
        <vt:lpwstr/>
      </vt:variant>
      <vt:variant>
        <vt:lpwstr>_Toc522711197</vt:lpwstr>
      </vt:variant>
      <vt:variant>
        <vt:i4>1703991</vt:i4>
      </vt:variant>
      <vt:variant>
        <vt:i4>14</vt:i4>
      </vt:variant>
      <vt:variant>
        <vt:i4>0</vt:i4>
      </vt:variant>
      <vt:variant>
        <vt:i4>5</vt:i4>
      </vt:variant>
      <vt:variant>
        <vt:lpwstr/>
      </vt:variant>
      <vt:variant>
        <vt:lpwstr>_Toc522711196</vt:lpwstr>
      </vt:variant>
      <vt:variant>
        <vt:i4>1703991</vt:i4>
      </vt:variant>
      <vt:variant>
        <vt:i4>8</vt:i4>
      </vt:variant>
      <vt:variant>
        <vt:i4>0</vt:i4>
      </vt:variant>
      <vt:variant>
        <vt:i4>5</vt:i4>
      </vt:variant>
      <vt:variant>
        <vt:lpwstr/>
      </vt:variant>
      <vt:variant>
        <vt:lpwstr>_Toc522711195</vt:lpwstr>
      </vt:variant>
      <vt:variant>
        <vt:i4>1703991</vt:i4>
      </vt:variant>
      <vt:variant>
        <vt:i4>2</vt:i4>
      </vt:variant>
      <vt:variant>
        <vt:i4>0</vt:i4>
      </vt:variant>
      <vt:variant>
        <vt:i4>5</vt:i4>
      </vt:variant>
      <vt:variant>
        <vt:lpwstr/>
      </vt:variant>
      <vt:variant>
        <vt:lpwstr>_Toc522711194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Marion Clark</dc:creator>
  <cp:keywords/>
  <dc:description/>
  <cp:lastModifiedBy>Kelsey Pool</cp:lastModifiedBy>
  <cp:revision>110</cp:revision>
  <cp:lastPrinted>2016-01-06T00:00:00Z</cp:lastPrinted>
  <dcterms:created xsi:type="dcterms:W3CDTF">2022-10-07T00:58:00Z</dcterms:created>
  <dcterms:modified xsi:type="dcterms:W3CDTF">2023-02-02T00:50:00Z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1919248412</vt:i4>
  </property>
  <property fmtid="{D5CDD505-2E9C-101B-9397-08002B2CF9AE}" pid="3" name="ContentTypeId">
    <vt:lpwstr>0x01010080FF38F296D24F4397C1DE08C201273E</vt:lpwstr>
  </property>
  <property fmtid="{D5CDD505-2E9C-101B-9397-08002B2CF9AE}" pid="4" name="_dlc_DocIdItemGuid">
    <vt:lpwstr>a023ae59-5e30-4fa4-bbf0-9187b442b040</vt:lpwstr>
  </property>
  <property fmtid="{D5CDD505-2E9C-101B-9397-08002B2CF9AE}" pid="5" name="GrammarlyDocumentId">
    <vt:lpwstr>f5c175a6da78323d4cb681dd6a36f80785fd0dfff56c54825492ffb8f6858b15</vt:lpwstr>
  </property>
  <property fmtid="{D5CDD505-2E9C-101B-9397-08002B2CF9AE}" pid="6" name="MediaServiceImageTags">
    <vt:lpwstr/>
  </property>
</Properties>
</file>