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1.xml" ContentType="application/vnd.openxmlformats-officedocument.wordprocessingml.header+xml"/>
  <Override PartName="/word/footer2.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header2.xml" ContentType="application/vnd.openxmlformats-officedocument.wordprocessingml.head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header3.xml" ContentType="application/vnd.openxmlformats-officedocument.wordprocessingml.header+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header4.xml" ContentType="application/vnd.openxmlformats-officedocument.wordprocessingml.header+xml"/>
  <Override PartName="/word/footer3.xml" ContentType="application/vnd.openxmlformats-officedocument.wordprocessingml.footer+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header5.xml" ContentType="application/vnd.openxmlformats-officedocument.wordprocessingml.header+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6.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7.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8.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9.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0.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1.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2.xml" ContentType="application/vnd.openxmlformats-officedocument.themeOverride+xml"/>
  <Override PartName="/word/header8.xml" ContentType="application/vnd.openxmlformats-officedocument.wordprocessingml.header+xml"/>
  <Override PartName="/word/header9.xml" ContentType="application/vnd.openxmlformats-officedocument.wordprocessingml.header+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3.xml" ContentType="application/vnd.openxmlformats-officedocument.themeOverride+xml"/>
  <Override PartName="/word/header10.xml" ContentType="application/vnd.openxmlformats-officedocument.wordprocessingml.header+xml"/>
  <Override PartName="/word/header11.xml" ContentType="application/vnd.openxmlformats-officedocument.wordprocessingml.header+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4.xml" ContentType="application/vnd.openxmlformats-officedocument.themeOverride+xml"/>
  <Override PartName="/word/header12.xml" ContentType="application/vnd.openxmlformats-officedocument.wordprocessingml.header+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45.xml" ContentType="application/vnd.openxmlformats-officedocument.themeOverride+xml"/>
  <Override PartName="/word/header13.xml" ContentType="application/vnd.openxmlformats-officedocument.wordprocessingml.header+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46.xml" ContentType="application/vnd.openxmlformats-officedocument.themeOverrid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7.xml" ContentType="application/vnd.openxmlformats-officedocument.themeOverride+xml"/>
  <Override PartName="/word/header14.xml" ContentType="application/vnd.openxmlformats-officedocument.wordprocessingml.header+xml"/>
  <Override PartName="/word/footer6.xml" ContentType="application/vnd.openxmlformats-officedocument.wordprocessingml.footer+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48.xml" ContentType="application/vnd.openxmlformats-officedocument.themeOverrid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49.xml" ContentType="application/vnd.openxmlformats-officedocument.themeOverrid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50.xml" ContentType="application/vnd.openxmlformats-officedocument.themeOverrid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51.xml" ContentType="application/vnd.openxmlformats-officedocument.themeOverrid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52.xml" ContentType="application/vnd.openxmlformats-officedocument.themeOverrid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53.xml" ContentType="application/vnd.openxmlformats-officedocument.themeOverrid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54.xml" ContentType="application/vnd.openxmlformats-officedocument.themeOverrid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55.xml" ContentType="application/vnd.openxmlformats-officedocument.themeOverrid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56.xml" ContentType="application/vnd.openxmlformats-officedocument.themeOverrid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57.xml" ContentType="application/vnd.openxmlformats-officedocument.themeOverrid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58.xml" ContentType="application/vnd.openxmlformats-officedocument.themeOverrid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59.xml" ContentType="application/vnd.openxmlformats-officedocument.themeOverrid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60.xml" ContentType="application/vnd.openxmlformats-officedocument.themeOverrid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61.xml" ContentType="application/vnd.openxmlformats-officedocument.themeOverride+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8E195D" w14:textId="3B2574F4" w:rsidR="005A5905" w:rsidRPr="00E8656C" w:rsidRDefault="005A5905" w:rsidP="005A5905">
      <w:pPr>
        <w:pStyle w:val="DocumentTitle1"/>
      </w:pPr>
      <w:r w:rsidRPr="00E8656C">
        <w:t>202</w:t>
      </w:r>
      <w:r w:rsidR="00EE7054" w:rsidRPr="00E8656C">
        <w:t>4</w:t>
      </w:r>
      <w:r w:rsidRPr="00E8656C">
        <w:t xml:space="preserve"> Student Experience Survey </w:t>
      </w:r>
    </w:p>
    <w:p w14:paraId="5B70018A" w14:textId="6B9DFC11" w:rsidR="005A5905" w:rsidRPr="00E8656C" w:rsidRDefault="005A5905" w:rsidP="005A5905">
      <w:pPr>
        <w:pStyle w:val="DocumentTitle2"/>
        <w:rPr>
          <w:rFonts w:ascii="Arial" w:hAnsi="Arial" w:cs="Arial"/>
          <w:color w:val="auto"/>
        </w:rPr>
      </w:pPr>
      <w:r w:rsidRPr="00E8656C">
        <w:rPr>
          <w:rFonts w:ascii="Arial" w:hAnsi="Arial" w:cs="Arial"/>
          <w:color w:val="auto"/>
        </w:rPr>
        <w:t>National Report</w:t>
      </w:r>
      <w:r w:rsidR="004D7A82" w:rsidRPr="00E8656C">
        <w:rPr>
          <w:rFonts w:ascii="Arial" w:hAnsi="Arial" w:cs="Arial"/>
          <w:color w:val="auto"/>
        </w:rPr>
        <w:t xml:space="preserve"> – Accessible</w:t>
      </w:r>
    </w:p>
    <w:p w14:paraId="72F7F59A" w14:textId="1F98ECBE" w:rsidR="005A5905" w:rsidRPr="00E8656C" w:rsidRDefault="006116CC" w:rsidP="005A5905">
      <w:pPr>
        <w:pStyle w:val="DocumentTitle3"/>
        <w:rPr>
          <w:rFonts w:ascii="Arial" w:hAnsi="Arial" w:cs="Arial"/>
          <w:color w:val="auto"/>
        </w:rPr>
      </w:pPr>
      <w:r>
        <w:rPr>
          <w:rFonts w:ascii="Arial" w:hAnsi="Arial" w:cs="Arial"/>
          <w:color w:val="auto"/>
        </w:rPr>
        <w:t>September</w:t>
      </w:r>
      <w:r w:rsidR="271AFE96" w:rsidRPr="00E8656C">
        <w:rPr>
          <w:rFonts w:ascii="Arial" w:hAnsi="Arial" w:cs="Arial"/>
          <w:color w:val="auto"/>
        </w:rPr>
        <w:t xml:space="preserve"> </w:t>
      </w:r>
      <w:r w:rsidR="1F03EDE5" w:rsidRPr="00E8656C">
        <w:rPr>
          <w:rFonts w:ascii="Arial" w:hAnsi="Arial" w:cs="Arial"/>
          <w:color w:val="auto"/>
        </w:rPr>
        <w:t>202</w:t>
      </w:r>
      <w:r w:rsidR="76C99F3C" w:rsidRPr="00E8656C">
        <w:rPr>
          <w:rFonts w:ascii="Arial" w:hAnsi="Arial" w:cs="Arial"/>
          <w:color w:val="auto"/>
        </w:rPr>
        <w:t>5</w:t>
      </w:r>
    </w:p>
    <w:p w14:paraId="2D96196C" w14:textId="77777777" w:rsidR="005A5905" w:rsidRPr="00E8656C" w:rsidRDefault="005A5905" w:rsidP="005A5905">
      <w:pPr>
        <w:spacing w:before="107" w:line="218" w:lineRule="atLeast"/>
        <w:rPr>
          <w:rFonts w:cs="Arial"/>
        </w:rPr>
      </w:pPr>
      <w:r w:rsidRPr="00E8656C">
        <w:rPr>
          <w:rFonts w:cs="Arial"/>
        </w:rPr>
        <w:br w:type="page"/>
      </w:r>
    </w:p>
    <w:p w14:paraId="7259FD1A" w14:textId="77777777" w:rsidR="005A5905" w:rsidRPr="00E8656C" w:rsidRDefault="005A5905" w:rsidP="005A5905">
      <w:pPr>
        <w:pStyle w:val="MajorHeading"/>
        <w:rPr>
          <w:rFonts w:cs="Arial"/>
          <w:color w:val="auto"/>
        </w:rPr>
      </w:pPr>
      <w:bookmarkStart w:id="0" w:name="_Toc531104094"/>
      <w:bookmarkStart w:id="1" w:name="_Toc207802589"/>
      <w:r w:rsidRPr="00E8656C">
        <w:rPr>
          <w:rFonts w:cs="Arial"/>
          <w:color w:val="auto"/>
        </w:rPr>
        <w:lastRenderedPageBreak/>
        <w:t>Acknowledgements</w:t>
      </w:r>
      <w:bookmarkEnd w:id="0"/>
      <w:bookmarkEnd w:id="1"/>
    </w:p>
    <w:p w14:paraId="014FC97B" w14:textId="3FD3D7FC" w:rsidR="005A5905" w:rsidRPr="00E8656C" w:rsidRDefault="005A5905" w:rsidP="002F21E7">
      <w:pPr>
        <w:pStyle w:val="Body"/>
        <w:rPr>
          <w:rFonts w:cs="Arial"/>
        </w:rPr>
      </w:pPr>
      <w:r w:rsidRPr="00E8656C">
        <w:rPr>
          <w:rFonts w:cs="Arial"/>
        </w:rPr>
        <w:t>The Quality Indicators for Learning and Teaching (QILT) survey program, including the Student Experience Survey (SES), is funded by the Australian Government Department of Education</w:t>
      </w:r>
      <w:r w:rsidR="00294412" w:rsidRPr="00E8656C">
        <w:rPr>
          <w:rFonts w:cs="Arial"/>
        </w:rPr>
        <w:t xml:space="preserve"> (the Department)</w:t>
      </w:r>
      <w:r w:rsidRPr="00E8656C">
        <w:rPr>
          <w:rFonts w:cs="Arial"/>
        </w:rPr>
        <w:t xml:space="preserve">. </w:t>
      </w:r>
    </w:p>
    <w:p w14:paraId="6350D575" w14:textId="198EA47B" w:rsidR="002F21E7" w:rsidRPr="00E8656C" w:rsidRDefault="002F21E7" w:rsidP="002F21E7">
      <w:pPr>
        <w:pStyle w:val="Body"/>
        <w:rPr>
          <w:rFonts w:cs="Arial"/>
        </w:rPr>
      </w:pPr>
      <w:r w:rsidRPr="00E8656C">
        <w:rPr>
          <w:rFonts w:cs="Arial"/>
        </w:rPr>
        <w:t xml:space="preserve">The Department and </w:t>
      </w:r>
      <w:r w:rsidR="000430D0" w:rsidRPr="00E8656C">
        <w:rPr>
          <w:rFonts w:cs="Arial"/>
        </w:rPr>
        <w:t xml:space="preserve">The </w:t>
      </w:r>
      <w:r w:rsidRPr="00E8656C">
        <w:rPr>
          <w:rFonts w:cs="Arial"/>
        </w:rPr>
        <w:t xml:space="preserve">Social Research Centre acknowledge the Traditional </w:t>
      </w:r>
      <w:r w:rsidR="00F2539B" w:rsidRPr="00E8656C">
        <w:rPr>
          <w:rFonts w:cs="Arial"/>
        </w:rPr>
        <w:t xml:space="preserve">Owners and </w:t>
      </w:r>
      <w:r w:rsidRPr="00E8656C">
        <w:rPr>
          <w:rFonts w:cs="Arial"/>
        </w:rPr>
        <w:t>Custodians of the lands</w:t>
      </w:r>
      <w:r w:rsidR="00512C07" w:rsidRPr="00E8656C">
        <w:rPr>
          <w:rFonts w:cs="Arial"/>
        </w:rPr>
        <w:t xml:space="preserve"> and</w:t>
      </w:r>
      <w:r w:rsidR="00D37D65" w:rsidRPr="00E8656C">
        <w:rPr>
          <w:rFonts w:cs="Arial"/>
        </w:rPr>
        <w:t xml:space="preserve"> </w:t>
      </w:r>
      <w:r w:rsidR="00EE6F3A" w:rsidRPr="00E8656C">
        <w:rPr>
          <w:rFonts w:cs="Arial"/>
        </w:rPr>
        <w:t>waters on which this research was conducte</w:t>
      </w:r>
      <w:r w:rsidR="00BC4742" w:rsidRPr="00E8656C">
        <w:rPr>
          <w:rFonts w:cs="Arial"/>
        </w:rPr>
        <w:t>d. We pay our respect</w:t>
      </w:r>
      <w:r w:rsidR="00D37D65" w:rsidRPr="00E8656C">
        <w:rPr>
          <w:rFonts w:cs="Arial"/>
        </w:rPr>
        <w:t>s</w:t>
      </w:r>
      <w:r w:rsidR="00BC4742" w:rsidRPr="00E8656C">
        <w:rPr>
          <w:rFonts w:cs="Arial"/>
        </w:rPr>
        <w:t xml:space="preserve"> to them</w:t>
      </w:r>
      <w:r w:rsidR="00D37D65" w:rsidRPr="00E8656C">
        <w:rPr>
          <w:rFonts w:cs="Arial"/>
        </w:rPr>
        <w:t xml:space="preserve">, </w:t>
      </w:r>
      <w:r w:rsidR="00BC4742" w:rsidRPr="00E8656C">
        <w:rPr>
          <w:rFonts w:cs="Arial"/>
        </w:rPr>
        <w:t>their culture</w:t>
      </w:r>
      <w:r w:rsidR="00D37D65" w:rsidRPr="00E8656C">
        <w:rPr>
          <w:rFonts w:cs="Arial"/>
        </w:rPr>
        <w:t>s</w:t>
      </w:r>
      <w:r w:rsidR="00142B8F" w:rsidRPr="00E8656C">
        <w:rPr>
          <w:rFonts w:cs="Arial"/>
        </w:rPr>
        <w:t xml:space="preserve"> and </w:t>
      </w:r>
      <w:r w:rsidRPr="00E8656C">
        <w:rPr>
          <w:rFonts w:cs="Arial"/>
        </w:rPr>
        <w:t>Elders</w:t>
      </w:r>
      <w:r w:rsidR="00142B8F" w:rsidRPr="00E8656C">
        <w:rPr>
          <w:rFonts w:cs="Arial"/>
        </w:rPr>
        <w:t xml:space="preserve"> </w:t>
      </w:r>
      <w:r w:rsidRPr="00E8656C">
        <w:rPr>
          <w:rFonts w:cs="Arial"/>
        </w:rPr>
        <w:t xml:space="preserve">past, present and emerging. </w:t>
      </w:r>
    </w:p>
    <w:p w14:paraId="6CF1310C" w14:textId="5E3A314C" w:rsidR="005A5905" w:rsidRPr="00E8656C" w:rsidRDefault="005A5905" w:rsidP="005A5905">
      <w:pPr>
        <w:pStyle w:val="Body"/>
        <w:rPr>
          <w:rFonts w:cs="Arial"/>
        </w:rPr>
      </w:pPr>
      <w:r w:rsidRPr="00E8656C">
        <w:rPr>
          <w:rFonts w:cs="Arial"/>
        </w:rPr>
        <w:t>The Social Research Centre would like to thank the higher education institutions that contributed to the SES in 202</w:t>
      </w:r>
      <w:r w:rsidR="00B16DFA" w:rsidRPr="00E8656C">
        <w:rPr>
          <w:rFonts w:cs="Arial"/>
        </w:rPr>
        <w:t>4</w:t>
      </w:r>
      <w:r w:rsidRPr="00E8656C">
        <w:rPr>
          <w:rFonts w:cs="Arial"/>
        </w:rPr>
        <w:t>. Without the enthusiastic and committed assistance of the survey managers and institutional planners, the 202</w:t>
      </w:r>
      <w:r w:rsidR="00B16DFA" w:rsidRPr="00E8656C">
        <w:rPr>
          <w:rFonts w:cs="Arial"/>
        </w:rPr>
        <w:t>4</w:t>
      </w:r>
      <w:r w:rsidRPr="00E8656C">
        <w:rPr>
          <w:rFonts w:cs="Arial"/>
        </w:rPr>
        <w:t xml:space="preserve"> SES would not have been such a success. </w:t>
      </w:r>
    </w:p>
    <w:p w14:paraId="7BF3907E" w14:textId="72064EF9" w:rsidR="005A5905" w:rsidRPr="00E8656C" w:rsidRDefault="005A5905" w:rsidP="005A5905">
      <w:pPr>
        <w:pStyle w:val="Body"/>
        <w:rPr>
          <w:rFonts w:cs="Arial"/>
        </w:rPr>
      </w:pPr>
      <w:r w:rsidRPr="00E8656C">
        <w:rPr>
          <w:rFonts w:cs="Arial"/>
        </w:rPr>
        <w:t>We are also very grateful to the students who took the time to provide valuable feedback about their student experience. The SES data will be used by institutions for</w:t>
      </w:r>
      <w:r w:rsidR="00B16DFA" w:rsidRPr="00E8656C">
        <w:rPr>
          <w:rFonts w:cs="Arial"/>
        </w:rPr>
        <w:t xml:space="preserve"> benchmarking and</w:t>
      </w:r>
      <w:r w:rsidRPr="00E8656C">
        <w:rPr>
          <w:rFonts w:cs="Arial"/>
        </w:rPr>
        <w:t xml:space="preserve"> continuous improvement and will assist prospective students to make informed decisions about future study.</w:t>
      </w:r>
    </w:p>
    <w:p w14:paraId="455A0E53" w14:textId="2ECB2CD6" w:rsidR="005A5905" w:rsidRPr="00E8656C" w:rsidRDefault="005A5905" w:rsidP="005A5905">
      <w:pPr>
        <w:pStyle w:val="Body"/>
        <w:rPr>
          <w:rFonts w:cs="Arial"/>
        </w:rPr>
      </w:pPr>
      <w:r w:rsidRPr="00E8656C">
        <w:rPr>
          <w:rFonts w:cs="Arial"/>
        </w:rPr>
        <w:t>The 202</w:t>
      </w:r>
      <w:r w:rsidR="00B16DFA" w:rsidRPr="00E8656C">
        <w:rPr>
          <w:rFonts w:cs="Arial"/>
        </w:rPr>
        <w:t>4</w:t>
      </w:r>
      <w:r w:rsidRPr="00E8656C">
        <w:rPr>
          <w:rFonts w:cs="Arial"/>
        </w:rPr>
        <w:t xml:space="preserve"> SES was led by Graham Challice and the project team consisted of Lisa Bolton, Lauren Spencer, </w:t>
      </w:r>
      <w:r w:rsidR="00293B9A" w:rsidRPr="00E8656C">
        <w:rPr>
          <w:rFonts w:cs="Arial"/>
        </w:rPr>
        <w:t xml:space="preserve">Cynthia Kim, </w:t>
      </w:r>
      <w:r w:rsidRPr="00E8656C">
        <w:rPr>
          <w:rFonts w:cs="Arial"/>
        </w:rPr>
        <w:t xml:space="preserve">Diana Nguyen, Vicky Tong, Gabriel Ong, </w:t>
      </w:r>
      <w:r w:rsidR="00474700" w:rsidRPr="00E8656C">
        <w:rPr>
          <w:rFonts w:cs="Arial"/>
        </w:rPr>
        <w:t xml:space="preserve">Hannah Madison, </w:t>
      </w:r>
      <w:r w:rsidR="00D733A1" w:rsidRPr="00E8656C">
        <w:rPr>
          <w:rFonts w:cs="Arial"/>
        </w:rPr>
        <w:t xml:space="preserve">Emmanuel Mnatzaganian, </w:t>
      </w:r>
      <w:r w:rsidRPr="00E8656C">
        <w:rPr>
          <w:rFonts w:cs="Arial"/>
        </w:rPr>
        <w:t xml:space="preserve">Rahul Bet, Rawan Habibeh, Joe Feng, </w:t>
      </w:r>
      <w:r w:rsidR="786B733D" w:rsidRPr="00E8656C">
        <w:rPr>
          <w:rFonts w:cs="Arial"/>
        </w:rPr>
        <w:t xml:space="preserve">Anthony Begovic, </w:t>
      </w:r>
      <w:r w:rsidRPr="00E8656C">
        <w:rPr>
          <w:rFonts w:cs="Arial"/>
        </w:rPr>
        <w:t>Columbia Winterton and Serena Kim.</w:t>
      </w:r>
    </w:p>
    <w:p w14:paraId="2AE465EA" w14:textId="7A12DCD1" w:rsidR="005A5905" w:rsidRPr="00E8656C" w:rsidRDefault="005A5905" w:rsidP="005A5905">
      <w:pPr>
        <w:pStyle w:val="Body"/>
        <w:rPr>
          <w:rStyle w:val="Hyperlink"/>
          <w:rFonts w:cs="Arial"/>
          <w:color w:val="auto"/>
        </w:rPr>
      </w:pPr>
      <w:r w:rsidRPr="00E8656C">
        <w:rPr>
          <w:rFonts w:cs="Arial"/>
        </w:rPr>
        <w:t>For more information on the conduct and results of the 202</w:t>
      </w:r>
      <w:r w:rsidR="00B16DFA" w:rsidRPr="00E8656C">
        <w:rPr>
          <w:rFonts w:cs="Arial"/>
        </w:rPr>
        <w:t>4</w:t>
      </w:r>
      <w:r w:rsidRPr="00E8656C">
        <w:rPr>
          <w:rFonts w:cs="Arial"/>
        </w:rPr>
        <w:t xml:space="preserve"> SES</w:t>
      </w:r>
      <w:r w:rsidR="00B16DFA" w:rsidRPr="00E8656C">
        <w:rPr>
          <w:rFonts w:cs="Arial"/>
        </w:rPr>
        <w:t xml:space="preserve"> including institutional response rates and data representativeness</w:t>
      </w:r>
      <w:r w:rsidRPr="00E8656C">
        <w:rPr>
          <w:rFonts w:cs="Arial"/>
        </w:rPr>
        <w:t>, see the</w:t>
      </w:r>
      <w:r w:rsidR="0068302D" w:rsidRPr="00E8656C">
        <w:rPr>
          <w:rFonts w:cs="Arial"/>
        </w:rPr>
        <w:t xml:space="preserve"> 2024 SES Methodological Report and related tables on the</w:t>
      </w:r>
      <w:r w:rsidRPr="00E8656C">
        <w:rPr>
          <w:rFonts w:cs="Arial"/>
        </w:rPr>
        <w:t xml:space="preserve"> </w:t>
      </w:r>
      <w:hyperlink r:id="rId11" w:history="1">
        <w:r w:rsidRPr="00E8656C">
          <w:rPr>
            <w:rStyle w:val="Hyperlink"/>
            <w:rFonts w:cs="Arial"/>
          </w:rPr>
          <w:t>QILT websit</w:t>
        </w:r>
        <w:r w:rsidR="004D7A82" w:rsidRPr="00E8656C">
          <w:rPr>
            <w:rStyle w:val="Hyperlink"/>
            <w:rFonts w:cs="Arial"/>
          </w:rPr>
          <w:t>e</w:t>
        </w:r>
      </w:hyperlink>
      <w:r w:rsidRPr="00E8656C">
        <w:rPr>
          <w:rFonts w:cs="Arial"/>
        </w:rPr>
        <w:t xml:space="preserve">. The QILT team can be contacted by email at </w:t>
      </w:r>
      <w:hyperlink r:id="rId12" w:history="1">
        <w:r w:rsidRPr="00E8656C">
          <w:rPr>
            <w:rStyle w:val="Hyperlink"/>
            <w:rFonts w:cs="Arial"/>
            <w:color w:val="auto"/>
          </w:rPr>
          <w:t>qilt@srcentre.com.au</w:t>
        </w:r>
      </w:hyperlink>
      <w:r w:rsidRPr="00E8656C">
        <w:rPr>
          <w:rStyle w:val="Hyperlink"/>
          <w:rFonts w:cs="Arial"/>
          <w:color w:val="auto"/>
        </w:rPr>
        <w:t xml:space="preserve">. </w:t>
      </w:r>
    </w:p>
    <w:p w14:paraId="69B7CF98" w14:textId="77777777" w:rsidR="00A36F7D" w:rsidRPr="00E8656C" w:rsidRDefault="00A36F7D" w:rsidP="005A5905">
      <w:pPr>
        <w:pStyle w:val="Body"/>
        <w:rPr>
          <w:rFonts w:cs="Arial"/>
          <w:sz w:val="32"/>
          <w:szCs w:val="32"/>
          <w:lang w:val="en-GB" w:eastAsia="en-GB"/>
        </w:rPr>
      </w:pPr>
    </w:p>
    <w:p w14:paraId="17267ABB" w14:textId="4B11174D" w:rsidR="005A5905" w:rsidRPr="00E8656C" w:rsidRDefault="00DA6A47" w:rsidP="00205618">
      <w:pPr>
        <w:pStyle w:val="SubHeading1"/>
        <w:rPr>
          <w:rFonts w:cs="Arial"/>
          <w:color w:val="auto"/>
          <w:lang w:val="en-GB" w:eastAsia="en-GB"/>
        </w:rPr>
      </w:pPr>
      <w:r w:rsidRPr="00E8656C">
        <w:rPr>
          <w:rFonts w:cs="Arial"/>
          <w:color w:val="auto"/>
          <w:lang w:val="en-GB" w:eastAsia="en-GB"/>
        </w:rPr>
        <w:t>Terminology</w:t>
      </w:r>
    </w:p>
    <w:p w14:paraId="5E511464" w14:textId="6C79828B" w:rsidR="00AE7938" w:rsidRPr="00E8656C" w:rsidRDefault="00AE7938" w:rsidP="00205618">
      <w:pPr>
        <w:pStyle w:val="SubHeading20"/>
        <w:rPr>
          <w:rFonts w:cs="Arial"/>
          <w:color w:val="auto"/>
          <w:lang w:val="en-GB" w:eastAsia="en-GB"/>
        </w:rPr>
      </w:pPr>
      <w:r w:rsidRPr="00E8656C">
        <w:rPr>
          <w:rFonts w:cs="Arial"/>
          <w:color w:val="auto"/>
          <w:lang w:val="en-GB" w:eastAsia="en-GB"/>
        </w:rPr>
        <w:t>‘</w:t>
      </w:r>
      <w:r w:rsidR="009D02FE" w:rsidRPr="00E8656C">
        <w:rPr>
          <w:rFonts w:cs="Arial"/>
          <w:color w:val="auto"/>
          <w:lang w:val="en-GB" w:eastAsia="en-GB"/>
        </w:rPr>
        <w:t xml:space="preserve">First </w:t>
      </w:r>
      <w:r w:rsidR="00E24AE1" w:rsidRPr="00E8656C">
        <w:rPr>
          <w:rFonts w:cs="Arial"/>
          <w:color w:val="auto"/>
          <w:lang w:val="en-GB" w:eastAsia="en-GB"/>
        </w:rPr>
        <w:t>Nations’</w:t>
      </w:r>
    </w:p>
    <w:p w14:paraId="4AF2971B" w14:textId="77777777" w:rsidR="00DA6A47" w:rsidRPr="00E8656C" w:rsidRDefault="00DA6A47" w:rsidP="00DA6A47">
      <w:pPr>
        <w:pStyle w:val="Body"/>
        <w:rPr>
          <w:rFonts w:cs="Arial"/>
        </w:rPr>
      </w:pPr>
      <w:r w:rsidRPr="00E8656C">
        <w:rPr>
          <w:rFonts w:cs="Arial"/>
        </w:rPr>
        <w:t xml:space="preserve">In recognition of the national scope of this research, this report uses the term ‘First Nations’ to encompass both Aboriginal and Torres Strait Islander peoples. </w:t>
      </w:r>
    </w:p>
    <w:p w14:paraId="579BC18C" w14:textId="77777777" w:rsidR="00DA6A47" w:rsidRPr="00E8656C" w:rsidRDefault="00DA6A47" w:rsidP="00DA6A47">
      <w:pPr>
        <w:pStyle w:val="Body"/>
        <w:rPr>
          <w:rFonts w:cs="Arial"/>
        </w:rPr>
      </w:pPr>
      <w:r w:rsidRPr="00E8656C">
        <w:rPr>
          <w:rFonts w:cs="Arial"/>
        </w:rPr>
        <w:t xml:space="preserve">We deeply respect the rich diversity of communities, identities and clans among First Nations peoples and acknowledge there may be preferences to be known by a specific group name or Country, or as Traditional Owners and Custodians. </w:t>
      </w:r>
    </w:p>
    <w:p w14:paraId="73A3A5C8" w14:textId="1048BA5C" w:rsidR="00AE7938" w:rsidRPr="00E8656C" w:rsidRDefault="00DA6A47" w:rsidP="00DA6A47">
      <w:pPr>
        <w:pStyle w:val="Body"/>
        <w:rPr>
          <w:rFonts w:cs="Arial"/>
        </w:rPr>
      </w:pPr>
      <w:r w:rsidRPr="00E8656C">
        <w:rPr>
          <w:rFonts w:cs="Arial"/>
        </w:rPr>
        <w:t xml:space="preserve">The terminology used in this report reflects a considered and deliberate approach to be inclusive by using ‘non-Indigenous students’ when referring to students who do not identify as an Aboriginal and/or Torres Strait Islander person in Australia. This does not infer any disrespect to those who identify as an </w:t>
      </w:r>
      <w:r w:rsidR="000E5956" w:rsidRPr="00E8656C">
        <w:rPr>
          <w:rFonts w:cs="Arial"/>
        </w:rPr>
        <w:t>I</w:t>
      </w:r>
      <w:r w:rsidRPr="00E8656C">
        <w:rPr>
          <w:rFonts w:cs="Arial"/>
        </w:rPr>
        <w:t>ndigenous person from another country.</w:t>
      </w:r>
    </w:p>
    <w:p w14:paraId="3A3F1EAB" w14:textId="66A33D09" w:rsidR="005A5905" w:rsidRPr="00E8656C" w:rsidRDefault="005A5905" w:rsidP="005A5905">
      <w:pPr>
        <w:rPr>
          <w:rFonts w:eastAsia="Times New Roman" w:cs="Arial"/>
          <w:szCs w:val="20"/>
          <w:lang w:val="en-GB" w:eastAsia="en-GB"/>
        </w:rPr>
      </w:pPr>
    </w:p>
    <w:p w14:paraId="6737EF23" w14:textId="77777777" w:rsidR="005A5905" w:rsidRPr="00E8656C" w:rsidRDefault="005A5905" w:rsidP="005A5905">
      <w:pPr>
        <w:pStyle w:val="MajorHeading"/>
        <w:rPr>
          <w:rFonts w:cs="Arial"/>
          <w:color w:val="auto"/>
        </w:rPr>
      </w:pPr>
      <w:bookmarkStart w:id="2" w:name="_Toc207802590"/>
      <w:r w:rsidRPr="00E8656C">
        <w:rPr>
          <w:rFonts w:cs="Arial"/>
          <w:color w:val="auto"/>
        </w:rPr>
        <w:lastRenderedPageBreak/>
        <w:t xml:space="preserve">Executive </w:t>
      </w:r>
      <w:r w:rsidR="00FF7902" w:rsidRPr="00E8656C">
        <w:rPr>
          <w:rFonts w:cs="Arial"/>
          <w:color w:val="auto"/>
        </w:rPr>
        <w:t>summary</w:t>
      </w:r>
      <w:bookmarkEnd w:id="2"/>
    </w:p>
    <w:p w14:paraId="1D7880CD" w14:textId="4033CF55" w:rsidR="00DD112D" w:rsidRPr="00E8656C" w:rsidRDefault="00B05A15" w:rsidP="00DD112D">
      <w:pPr>
        <w:pStyle w:val="Body"/>
        <w:rPr>
          <w:rFonts w:cs="Arial"/>
        </w:rPr>
      </w:pPr>
      <w:r w:rsidRPr="00E8656C">
        <w:rPr>
          <w:rFonts w:cs="Arial"/>
        </w:rPr>
        <w:t>The S</w:t>
      </w:r>
      <w:r w:rsidR="0045315D" w:rsidRPr="00E8656C">
        <w:rPr>
          <w:rFonts w:cs="Arial"/>
        </w:rPr>
        <w:t>tudent Experience Survey (S</w:t>
      </w:r>
      <w:r w:rsidRPr="00E8656C">
        <w:rPr>
          <w:rFonts w:cs="Arial"/>
        </w:rPr>
        <w:t>ES</w:t>
      </w:r>
      <w:r w:rsidR="0045315D" w:rsidRPr="00E8656C">
        <w:rPr>
          <w:rFonts w:cs="Arial"/>
        </w:rPr>
        <w:t>)</w:t>
      </w:r>
      <w:r w:rsidRPr="00E8656C">
        <w:rPr>
          <w:rFonts w:cs="Arial"/>
        </w:rPr>
        <w:t xml:space="preserve"> </w:t>
      </w:r>
      <w:r w:rsidR="00DD112D" w:rsidRPr="00E8656C">
        <w:rPr>
          <w:rFonts w:cs="Arial"/>
        </w:rPr>
        <w:t xml:space="preserve">is one of four surveys in the Quality Indicators for Learning and Teaching (QILT) program. The SES provides a national framework for collecting data on </w:t>
      </w:r>
      <w:r w:rsidR="006254E4" w:rsidRPr="00E8656C">
        <w:rPr>
          <w:rFonts w:cs="Arial"/>
        </w:rPr>
        <w:t>the key</w:t>
      </w:r>
      <w:r w:rsidR="00DD112D" w:rsidRPr="00E8656C">
        <w:rPr>
          <w:rFonts w:cs="Arial"/>
        </w:rPr>
        <w:t xml:space="preserve"> aspects of the higher education student experience</w:t>
      </w:r>
      <w:r w:rsidR="00796525" w:rsidRPr="00E8656C">
        <w:rPr>
          <w:rFonts w:cs="Arial"/>
        </w:rPr>
        <w:t>. These key aspects are referred to in the SES as focus areas</w:t>
      </w:r>
      <w:r w:rsidR="000D07A4" w:rsidRPr="00E8656C">
        <w:rPr>
          <w:rFonts w:cs="Arial"/>
        </w:rPr>
        <w:t xml:space="preserve"> and </w:t>
      </w:r>
      <w:r w:rsidR="00796525" w:rsidRPr="00E8656C">
        <w:rPr>
          <w:rFonts w:cs="Arial"/>
        </w:rPr>
        <w:t>they are</w:t>
      </w:r>
      <w:r w:rsidR="00DD112D" w:rsidRPr="00E8656C">
        <w:rPr>
          <w:rFonts w:cs="Arial"/>
        </w:rPr>
        <w:t>:</w:t>
      </w:r>
    </w:p>
    <w:p w14:paraId="3C89CA2D" w14:textId="25FD5FFF" w:rsidR="002844AA" w:rsidRPr="00E8656C" w:rsidRDefault="002844AA" w:rsidP="002844AA">
      <w:pPr>
        <w:pStyle w:val="Body"/>
        <w:numPr>
          <w:ilvl w:val="0"/>
          <w:numId w:val="41"/>
        </w:numPr>
        <w:rPr>
          <w:rFonts w:cs="Arial"/>
        </w:rPr>
      </w:pPr>
      <w:r w:rsidRPr="00E8656C">
        <w:rPr>
          <w:rFonts w:cs="Arial"/>
          <w:b/>
          <w:bCs/>
        </w:rPr>
        <w:t>Skills Development</w:t>
      </w:r>
      <w:r w:rsidRPr="00E8656C">
        <w:rPr>
          <w:rFonts w:cs="Arial"/>
        </w:rPr>
        <w:t>: Evaluates how students have developed their skills and knowledge in eight areas, including foundation</w:t>
      </w:r>
      <w:r w:rsidR="00EF70A8" w:rsidRPr="00E8656C">
        <w:rPr>
          <w:rFonts w:cs="Arial"/>
        </w:rPr>
        <w:t>al</w:t>
      </w:r>
      <w:r w:rsidRPr="00E8656C">
        <w:rPr>
          <w:rFonts w:cs="Arial"/>
        </w:rPr>
        <w:t>, collaborative, and adaptive skills.</w:t>
      </w:r>
    </w:p>
    <w:p w14:paraId="0D1DE49C" w14:textId="77777777" w:rsidR="002844AA" w:rsidRPr="00E8656C" w:rsidRDefault="002844AA" w:rsidP="002844AA">
      <w:pPr>
        <w:pStyle w:val="Body"/>
        <w:numPr>
          <w:ilvl w:val="0"/>
          <w:numId w:val="41"/>
        </w:numPr>
        <w:rPr>
          <w:rFonts w:cs="Arial"/>
        </w:rPr>
      </w:pPr>
      <w:r w:rsidRPr="00E8656C">
        <w:rPr>
          <w:rFonts w:cs="Arial"/>
          <w:b/>
          <w:bCs/>
        </w:rPr>
        <w:t>Peer Engagement</w:t>
      </w:r>
      <w:r w:rsidRPr="00E8656C">
        <w:rPr>
          <w:rFonts w:cs="Arial"/>
        </w:rPr>
        <w:t>: Assesses the frequency of student interactions with peers inside or outside formal study.</w:t>
      </w:r>
    </w:p>
    <w:p w14:paraId="4ED7FA5B" w14:textId="77777777" w:rsidR="002844AA" w:rsidRPr="00E8656C" w:rsidRDefault="002844AA" w:rsidP="002844AA">
      <w:pPr>
        <w:pStyle w:val="Body"/>
        <w:numPr>
          <w:ilvl w:val="0"/>
          <w:numId w:val="41"/>
        </w:numPr>
        <w:rPr>
          <w:rFonts w:cs="Arial"/>
        </w:rPr>
      </w:pPr>
      <w:r w:rsidRPr="00E8656C">
        <w:rPr>
          <w:rFonts w:cs="Arial"/>
          <w:b/>
          <w:bCs/>
        </w:rPr>
        <w:t>Teaching Quality and Engagement</w:t>
      </w:r>
      <w:r w:rsidRPr="00E8656C">
        <w:rPr>
          <w:rFonts w:cs="Arial"/>
        </w:rPr>
        <w:t>: Rates the relevance and focus of courses, overall teaching quality, and academic staff actions such as engaging students and providing feedback.</w:t>
      </w:r>
    </w:p>
    <w:p w14:paraId="4EAC4C0D" w14:textId="77777777" w:rsidR="002844AA" w:rsidRPr="00E8656C" w:rsidRDefault="002844AA" w:rsidP="002844AA">
      <w:pPr>
        <w:pStyle w:val="Body"/>
        <w:numPr>
          <w:ilvl w:val="0"/>
          <w:numId w:val="41"/>
        </w:numPr>
        <w:rPr>
          <w:rFonts w:cs="Arial"/>
        </w:rPr>
      </w:pPr>
      <w:r w:rsidRPr="00E8656C">
        <w:rPr>
          <w:rFonts w:cs="Arial"/>
          <w:b/>
          <w:bCs/>
        </w:rPr>
        <w:t>Student Support and Services</w:t>
      </w:r>
      <w:r w:rsidRPr="00E8656C">
        <w:rPr>
          <w:rFonts w:cs="Arial"/>
        </w:rPr>
        <w:t>: Measures the helpfulness of various supports and services provided by institutions, including administrative, career development, health, and financial services.</w:t>
      </w:r>
    </w:p>
    <w:p w14:paraId="42EE6424" w14:textId="77777777" w:rsidR="002844AA" w:rsidRPr="00E8656C" w:rsidRDefault="002844AA" w:rsidP="002844AA">
      <w:pPr>
        <w:pStyle w:val="Body"/>
        <w:numPr>
          <w:ilvl w:val="0"/>
          <w:numId w:val="41"/>
        </w:numPr>
        <w:rPr>
          <w:rFonts w:cs="Arial"/>
        </w:rPr>
      </w:pPr>
      <w:r w:rsidRPr="00E8656C">
        <w:rPr>
          <w:rFonts w:cs="Arial"/>
          <w:b/>
          <w:bCs/>
        </w:rPr>
        <w:t>Learning Resources</w:t>
      </w:r>
      <w:r w:rsidRPr="00E8656C">
        <w:rPr>
          <w:rFonts w:cs="Arial"/>
        </w:rPr>
        <w:t>: Evaluates the quality of learning resources in seven areas, including teaching spaces, equipment, and learning materials.</w:t>
      </w:r>
    </w:p>
    <w:p w14:paraId="6D8BA3F0" w14:textId="77777777" w:rsidR="00754EAE" w:rsidRPr="00E8656C" w:rsidRDefault="00754EAE" w:rsidP="0044756F">
      <w:pPr>
        <w:pStyle w:val="Body"/>
        <w:rPr>
          <w:rFonts w:cs="Arial"/>
        </w:rPr>
      </w:pPr>
      <w:r w:rsidRPr="00E8656C">
        <w:rPr>
          <w:rFonts w:cs="Arial"/>
        </w:rPr>
        <w:t xml:space="preserve">The SES also measures the </w:t>
      </w:r>
      <w:r w:rsidRPr="00E8656C">
        <w:rPr>
          <w:rFonts w:cs="Arial"/>
          <w:b/>
          <w:bCs/>
        </w:rPr>
        <w:t>Overall Educational Experience</w:t>
      </w:r>
      <w:r w:rsidRPr="00E8656C">
        <w:rPr>
          <w:rFonts w:cs="Arial"/>
        </w:rPr>
        <w:t xml:space="preserve"> which is a stand-alone item in the survey. Overall Educational Experience is closely related to students’ ratings of Teaching Quality and Engagement and Skills Development, and to areas outside the focus areas, such as students’ Sense of Belonging. (See </w:t>
      </w:r>
      <w:r w:rsidRPr="00E8656C">
        <w:rPr>
          <w:rFonts w:cs="Arial"/>
          <w:b/>
          <w:bCs/>
        </w:rPr>
        <w:fldChar w:fldCharType="begin"/>
      </w:r>
      <w:r w:rsidRPr="00E8656C">
        <w:rPr>
          <w:rFonts w:cs="Arial"/>
          <w:b/>
          <w:bCs/>
        </w:rPr>
        <w:instrText xml:space="preserve"> REF _Ref195520443 \r \h  \* MERGEFORMAT </w:instrText>
      </w:r>
      <w:r w:rsidRPr="00E8656C">
        <w:rPr>
          <w:rFonts w:cs="Arial"/>
          <w:b/>
          <w:bCs/>
        </w:rPr>
      </w:r>
      <w:r w:rsidRPr="00E8656C">
        <w:rPr>
          <w:rFonts w:cs="Arial"/>
          <w:b/>
          <w:bCs/>
        </w:rPr>
        <w:fldChar w:fldCharType="separate"/>
      </w:r>
      <w:r w:rsidRPr="00E8656C">
        <w:rPr>
          <w:rFonts w:cs="Arial"/>
          <w:b/>
          <w:bCs/>
        </w:rPr>
        <w:t>Appendix 1</w:t>
      </w:r>
      <w:r w:rsidRPr="00E8656C">
        <w:rPr>
          <w:rFonts w:cs="Arial"/>
          <w:b/>
          <w:bCs/>
        </w:rPr>
        <w:fldChar w:fldCharType="end"/>
      </w:r>
      <w:r w:rsidRPr="00E8656C">
        <w:rPr>
          <w:rFonts w:cs="Arial"/>
        </w:rPr>
        <w:t xml:space="preserve"> for a list of the individual items in each Focus Area).</w:t>
      </w:r>
    </w:p>
    <w:p w14:paraId="24990811" w14:textId="77777777" w:rsidR="001B4422" w:rsidRPr="00E8656C" w:rsidRDefault="00AA2868" w:rsidP="00EA7D1C">
      <w:pPr>
        <w:pStyle w:val="Body"/>
        <w:rPr>
          <w:rFonts w:cs="Arial"/>
        </w:rPr>
      </w:pPr>
      <w:r w:rsidRPr="00E8656C">
        <w:rPr>
          <w:rFonts w:cs="Arial"/>
        </w:rPr>
        <w:t>The SES results relate to commencing and later year undergraduate and postgraduate coursework students enrolled in Australian higher education institutions.</w:t>
      </w:r>
      <w:r w:rsidR="00D97631" w:rsidRPr="00E8656C">
        <w:rPr>
          <w:rFonts w:cs="Arial"/>
        </w:rPr>
        <w:t xml:space="preserve"> </w:t>
      </w:r>
    </w:p>
    <w:p w14:paraId="217101EE" w14:textId="2D8D56F9" w:rsidR="00AA7B7F" w:rsidRPr="00E8656C" w:rsidRDefault="00AA7B7F" w:rsidP="00EA7D1C">
      <w:pPr>
        <w:pStyle w:val="Body"/>
        <w:rPr>
          <w:rFonts w:cs="Arial"/>
        </w:rPr>
      </w:pPr>
      <w:r w:rsidRPr="00E8656C">
        <w:rPr>
          <w:rFonts w:cs="Arial"/>
        </w:rPr>
        <w:t xml:space="preserve">After a significant decrease in SES ratings during COVID restrictions, undergraduate </w:t>
      </w:r>
      <w:r w:rsidR="00477DF1" w:rsidRPr="00E8656C">
        <w:rPr>
          <w:rFonts w:cs="Arial"/>
        </w:rPr>
        <w:t>rating</w:t>
      </w:r>
      <w:r w:rsidRPr="00E8656C">
        <w:rPr>
          <w:rFonts w:cs="Arial"/>
        </w:rPr>
        <w:t>s have improved. However, in 2024, they were still below</w:t>
      </w:r>
      <w:r w:rsidR="00477DF1" w:rsidRPr="00E8656C">
        <w:rPr>
          <w:rFonts w:cs="Arial"/>
        </w:rPr>
        <w:t xml:space="preserve">, </w:t>
      </w:r>
      <w:r w:rsidRPr="00E8656C">
        <w:rPr>
          <w:rFonts w:cs="Arial"/>
        </w:rPr>
        <w:t xml:space="preserve">or </w:t>
      </w:r>
      <w:proofErr w:type="gramStart"/>
      <w:r w:rsidRPr="00E8656C">
        <w:rPr>
          <w:rFonts w:cs="Arial"/>
        </w:rPr>
        <w:t>similar to</w:t>
      </w:r>
      <w:proofErr w:type="gramEnd"/>
      <w:r w:rsidR="00477DF1" w:rsidRPr="00E8656C">
        <w:rPr>
          <w:rFonts w:cs="Arial"/>
        </w:rPr>
        <w:t>,</w:t>
      </w:r>
      <w:r w:rsidRPr="00E8656C">
        <w:rPr>
          <w:rFonts w:cs="Arial"/>
        </w:rPr>
        <w:t xml:space="preserve"> </w:t>
      </w:r>
      <w:r w:rsidR="00F92252" w:rsidRPr="00E8656C">
        <w:rPr>
          <w:rFonts w:cs="Arial"/>
        </w:rPr>
        <w:t>pre</w:t>
      </w:r>
      <w:r w:rsidRPr="00E8656C">
        <w:rPr>
          <w:rFonts w:cs="Arial"/>
        </w:rPr>
        <w:t xml:space="preserve">-2020 ratings. Conversely, postgraduate coursework </w:t>
      </w:r>
      <w:r w:rsidR="00477DF1" w:rsidRPr="00E8656C">
        <w:rPr>
          <w:rFonts w:cs="Arial"/>
        </w:rPr>
        <w:t>r</w:t>
      </w:r>
      <w:r w:rsidR="00870F87" w:rsidRPr="00E8656C">
        <w:rPr>
          <w:rFonts w:cs="Arial"/>
        </w:rPr>
        <w:t>esults</w:t>
      </w:r>
      <w:r w:rsidRPr="00E8656C">
        <w:rPr>
          <w:rFonts w:cs="Arial"/>
        </w:rPr>
        <w:t xml:space="preserve"> have not only recovered but </w:t>
      </w:r>
      <w:r w:rsidR="00B239B8" w:rsidRPr="00E8656C">
        <w:rPr>
          <w:rFonts w:cs="Arial"/>
        </w:rPr>
        <w:t xml:space="preserve">have </w:t>
      </w:r>
      <w:r w:rsidRPr="00E8656C">
        <w:rPr>
          <w:rFonts w:cs="Arial"/>
        </w:rPr>
        <w:t>exceeded pre-2020 ratings in all five focus areas.</w:t>
      </w:r>
    </w:p>
    <w:p w14:paraId="75CBA6B2" w14:textId="226601F2" w:rsidR="00A93E0C" w:rsidRPr="00E8656C" w:rsidRDefault="65D25FB8" w:rsidP="00EA7D1C">
      <w:pPr>
        <w:pStyle w:val="Body"/>
        <w:rPr>
          <w:rFonts w:cs="Arial"/>
        </w:rPr>
      </w:pPr>
      <w:r w:rsidRPr="00E8656C">
        <w:rPr>
          <w:rFonts w:cs="Arial"/>
        </w:rPr>
        <w:t xml:space="preserve"> </w:t>
      </w:r>
      <w:r w:rsidR="64CB6CFB" w:rsidRPr="00E8656C">
        <w:rPr>
          <w:rFonts w:cs="Arial"/>
        </w:rPr>
        <w:t>T</w:t>
      </w:r>
      <w:r w:rsidR="1BF6F351" w:rsidRPr="00E8656C">
        <w:rPr>
          <w:rFonts w:cs="Arial"/>
        </w:rPr>
        <w:t>he undergraduate rating for Overall Educational Experience in 2024 (76.5 per cent) remained broadly the same as 2023 (76.7 per cent). This continue</w:t>
      </w:r>
      <w:r w:rsidR="48D8DF74" w:rsidRPr="00E8656C">
        <w:rPr>
          <w:rFonts w:cs="Arial"/>
        </w:rPr>
        <w:t>d</w:t>
      </w:r>
      <w:r w:rsidR="1BF6F351" w:rsidRPr="00E8656C">
        <w:rPr>
          <w:rFonts w:cs="Arial"/>
        </w:rPr>
        <w:t xml:space="preserve"> the positive change in ratings from 2021 to 2022. However, it </w:t>
      </w:r>
      <w:r w:rsidR="48E9A283" w:rsidRPr="00E8656C">
        <w:rPr>
          <w:rFonts w:cs="Arial"/>
        </w:rPr>
        <w:t>wa</w:t>
      </w:r>
      <w:r w:rsidR="1BF6F351" w:rsidRPr="00E8656C">
        <w:rPr>
          <w:rFonts w:cs="Arial"/>
        </w:rPr>
        <w:t>s not yet a full recovery to the 78 per cent to 80 per cent range observed prior to 2020.</w:t>
      </w:r>
    </w:p>
    <w:p w14:paraId="20C6ED75" w14:textId="2E3DF567" w:rsidR="00A93E0C" w:rsidRPr="00E8656C" w:rsidRDefault="1BF6F351" w:rsidP="00DA23A6">
      <w:pPr>
        <w:pStyle w:val="Body"/>
        <w:rPr>
          <w:rFonts w:cs="Arial"/>
        </w:rPr>
      </w:pPr>
      <w:r w:rsidRPr="00E8656C">
        <w:rPr>
          <w:rFonts w:cs="Arial"/>
        </w:rPr>
        <w:t xml:space="preserve">Likewise, undergraduate ratings across most focus areas in 2024 were broadly the same as 2023 with changes between 0 and 1 percentage point. However, ratings </w:t>
      </w:r>
      <w:r w:rsidR="76DB96C3" w:rsidRPr="00E8656C">
        <w:rPr>
          <w:rFonts w:cs="Arial"/>
        </w:rPr>
        <w:t>we</w:t>
      </w:r>
      <w:r w:rsidRPr="00E8656C">
        <w:rPr>
          <w:rFonts w:cs="Arial"/>
        </w:rPr>
        <w:t>re still lower than pre-pandemic levels.</w:t>
      </w:r>
    </w:p>
    <w:p w14:paraId="0A905F79" w14:textId="6A26CE79" w:rsidR="00A93E0C" w:rsidRPr="00E8656C" w:rsidRDefault="1BF6F351" w:rsidP="00F05BD1">
      <w:pPr>
        <w:pStyle w:val="Body"/>
        <w:rPr>
          <w:rFonts w:cs="Arial"/>
        </w:rPr>
      </w:pPr>
      <w:r w:rsidRPr="00E8656C">
        <w:rPr>
          <w:rFonts w:cs="Arial"/>
        </w:rPr>
        <w:t xml:space="preserve">Student Support and Services and Peer Engagement </w:t>
      </w:r>
      <w:r w:rsidR="52602811" w:rsidRPr="00E8656C">
        <w:rPr>
          <w:rFonts w:cs="Arial"/>
        </w:rPr>
        <w:t>we</w:t>
      </w:r>
      <w:r w:rsidRPr="00E8656C">
        <w:rPr>
          <w:rFonts w:cs="Arial"/>
        </w:rPr>
        <w:t>re the two exceptions with:</w:t>
      </w:r>
    </w:p>
    <w:p w14:paraId="5FAB60C0" w14:textId="77777777" w:rsidR="00A93E0C" w:rsidRPr="00E8656C" w:rsidRDefault="00A93E0C" w:rsidP="00F05BD1">
      <w:pPr>
        <w:pStyle w:val="Body"/>
        <w:numPr>
          <w:ilvl w:val="0"/>
          <w:numId w:val="43"/>
        </w:numPr>
        <w:rPr>
          <w:rFonts w:cs="Arial"/>
        </w:rPr>
      </w:pPr>
      <w:r w:rsidRPr="00E8656C">
        <w:rPr>
          <w:rFonts w:cs="Arial"/>
        </w:rPr>
        <w:t>Peer Engagement undergraduate ratings equal in 2024 to the highest rating in 2019 at 60.2 per cent.</w:t>
      </w:r>
    </w:p>
    <w:p w14:paraId="4CAB7DA4" w14:textId="68A01000" w:rsidR="00A93E0C" w:rsidRPr="00E8656C" w:rsidRDefault="1BF6F351" w:rsidP="00F05BD1">
      <w:pPr>
        <w:pStyle w:val="Body"/>
        <w:numPr>
          <w:ilvl w:val="0"/>
          <w:numId w:val="43"/>
        </w:numPr>
        <w:rPr>
          <w:rFonts w:cs="Arial"/>
        </w:rPr>
      </w:pPr>
      <w:r w:rsidRPr="00E8656C">
        <w:rPr>
          <w:rFonts w:cs="Arial"/>
        </w:rPr>
        <w:t xml:space="preserve">Student Support and Services undergraduate ratings, which </w:t>
      </w:r>
      <w:r w:rsidR="00B239B8" w:rsidRPr="00E8656C">
        <w:rPr>
          <w:rFonts w:cs="Arial"/>
        </w:rPr>
        <w:t xml:space="preserve">have </w:t>
      </w:r>
      <w:r w:rsidRPr="00E8656C">
        <w:rPr>
          <w:rFonts w:cs="Arial"/>
        </w:rPr>
        <w:t xml:space="preserve">continued to decrease year on year since 2022, equal to 2023 at 71.2 per cent; the lowest rating since </w:t>
      </w:r>
      <w:r w:rsidR="2F8EBB57" w:rsidRPr="00E8656C">
        <w:rPr>
          <w:rFonts w:cs="Arial"/>
        </w:rPr>
        <w:t>2017</w:t>
      </w:r>
      <w:r w:rsidRPr="00E8656C">
        <w:rPr>
          <w:rFonts w:cs="Arial"/>
        </w:rPr>
        <w:t xml:space="preserve">. </w:t>
      </w:r>
    </w:p>
    <w:p w14:paraId="33B4476C" w14:textId="7C4EB8D4" w:rsidR="009A7DBB" w:rsidRPr="00E8656C" w:rsidRDefault="1BF6F351" w:rsidP="009A7DBB">
      <w:pPr>
        <w:pStyle w:val="Body"/>
        <w:rPr>
          <w:rFonts w:cs="Arial"/>
        </w:rPr>
      </w:pPr>
      <w:r w:rsidRPr="00E8656C">
        <w:rPr>
          <w:rFonts w:cs="Arial"/>
        </w:rPr>
        <w:t xml:space="preserve">Conversely, postgraduate coursework ratings continued to increase in 2024 across all the focus areas with ratings higher than pre-pandemic levels. </w:t>
      </w:r>
      <w:r w:rsidR="00B239B8" w:rsidRPr="00E8656C">
        <w:rPr>
          <w:rFonts w:cs="Arial"/>
        </w:rPr>
        <w:t>These i</w:t>
      </w:r>
      <w:r w:rsidR="00A93E0C" w:rsidRPr="00E8656C">
        <w:rPr>
          <w:rFonts w:cs="Arial"/>
        </w:rPr>
        <w:t>ncreases were modest</w:t>
      </w:r>
      <w:r w:rsidR="002D3595" w:rsidRPr="00E8656C">
        <w:rPr>
          <w:rFonts w:cs="Arial"/>
        </w:rPr>
        <w:t xml:space="preserve">, </w:t>
      </w:r>
      <w:r w:rsidR="00A93E0C" w:rsidRPr="00E8656C">
        <w:rPr>
          <w:rFonts w:cs="Arial"/>
        </w:rPr>
        <w:t>ranging from 0.3 to 1 percentage point</w:t>
      </w:r>
      <w:r w:rsidR="002D3595" w:rsidRPr="00E8656C">
        <w:rPr>
          <w:rFonts w:cs="Arial"/>
        </w:rPr>
        <w:t>,</w:t>
      </w:r>
      <w:r w:rsidR="00A93E0C" w:rsidRPr="00E8656C">
        <w:rPr>
          <w:rFonts w:cs="Arial"/>
        </w:rPr>
        <w:t xml:space="preserve"> except for Peer Engagement where the postgraduate coursework rating in 2024 was the highest rating since </w:t>
      </w:r>
      <w:r w:rsidR="00FF5075" w:rsidRPr="00E8656C">
        <w:rPr>
          <w:rFonts w:cs="Arial"/>
        </w:rPr>
        <w:t>2017</w:t>
      </w:r>
      <w:r w:rsidR="00A93E0C" w:rsidRPr="00E8656C">
        <w:rPr>
          <w:rFonts w:cs="Arial"/>
        </w:rPr>
        <w:t xml:space="preserve"> at 62.1 per cent, up 6.1 percentage point on the 2023 rating of 56.0 per cent.</w:t>
      </w:r>
    </w:p>
    <w:p w14:paraId="38E98C47" w14:textId="1EECED4B" w:rsidR="00A93E0C" w:rsidRPr="00E8656C" w:rsidRDefault="00A93E0C" w:rsidP="009A7DBB">
      <w:pPr>
        <w:pStyle w:val="Body"/>
        <w:rPr>
          <w:rFonts w:cs="Arial"/>
        </w:rPr>
      </w:pPr>
      <w:r w:rsidRPr="00E8656C">
        <w:rPr>
          <w:rFonts w:cs="Arial"/>
        </w:rPr>
        <w:t>While the Overall Educational Experience postgraduate coursework rating</w:t>
      </w:r>
      <w:r w:rsidR="00456576" w:rsidRPr="00E8656C">
        <w:rPr>
          <w:rFonts w:cs="Arial"/>
        </w:rPr>
        <w:t xml:space="preserve">, </w:t>
      </w:r>
      <w:r w:rsidRPr="00E8656C">
        <w:rPr>
          <w:rFonts w:cs="Arial"/>
        </w:rPr>
        <w:t xml:space="preserve">at </w:t>
      </w:r>
      <w:r w:rsidR="00EA2092" w:rsidRPr="00E8656C">
        <w:rPr>
          <w:rFonts w:cs="Arial"/>
        </w:rPr>
        <w:t xml:space="preserve">76.7 </w:t>
      </w:r>
      <w:r w:rsidRPr="00E8656C">
        <w:rPr>
          <w:rFonts w:cs="Arial"/>
        </w:rPr>
        <w:t>per cent, decreased compared to 2023, this was a modest change of only 0.4 percentage points.</w:t>
      </w:r>
    </w:p>
    <w:p w14:paraId="1BBCF932" w14:textId="324CC699" w:rsidR="00A01268" w:rsidRPr="00E8656C" w:rsidRDefault="00326548" w:rsidP="00D544C6">
      <w:pPr>
        <w:pStyle w:val="Body"/>
        <w:rPr>
          <w:rFonts w:cs="Arial"/>
        </w:rPr>
      </w:pPr>
      <w:r w:rsidRPr="00E8656C">
        <w:rPr>
          <w:rFonts w:cs="Arial"/>
        </w:rPr>
        <w:t xml:space="preserve">This </w:t>
      </w:r>
      <w:r w:rsidR="005760AD" w:rsidRPr="00E8656C">
        <w:rPr>
          <w:rFonts w:cs="Arial"/>
        </w:rPr>
        <w:t xml:space="preserve">observed </w:t>
      </w:r>
      <w:r w:rsidRPr="00E8656C">
        <w:rPr>
          <w:rFonts w:cs="Arial"/>
        </w:rPr>
        <w:t xml:space="preserve">difference in undergraduate and postgraduate coursework ratings </w:t>
      </w:r>
      <w:r w:rsidR="005760AD" w:rsidRPr="00E8656C">
        <w:rPr>
          <w:rFonts w:cs="Arial"/>
        </w:rPr>
        <w:t>may</w:t>
      </w:r>
      <w:r w:rsidRPr="00E8656C">
        <w:rPr>
          <w:rFonts w:cs="Arial"/>
        </w:rPr>
        <w:t xml:space="preserve"> be influenced by the relative proportions of domestic and international students at the different course levels in 2024 (as was the case in 2023</w:t>
      </w:r>
      <w:r w:rsidR="005F347B" w:rsidRPr="00E8656C">
        <w:rPr>
          <w:rFonts w:cs="Arial"/>
        </w:rPr>
        <w:t>)</w:t>
      </w:r>
      <w:r w:rsidR="00A01268" w:rsidRPr="00E8656C">
        <w:rPr>
          <w:rFonts w:cs="Arial"/>
        </w:rPr>
        <w:t>:</w:t>
      </w:r>
      <w:r w:rsidR="005F347B" w:rsidRPr="00E8656C">
        <w:rPr>
          <w:rFonts w:cs="Arial"/>
        </w:rPr>
        <w:t xml:space="preserve"> </w:t>
      </w:r>
    </w:p>
    <w:p w14:paraId="2F389393" w14:textId="21814CC6" w:rsidR="005744CA" w:rsidRPr="00E8656C" w:rsidRDefault="00D544C6" w:rsidP="00A01268">
      <w:pPr>
        <w:pStyle w:val="Body"/>
        <w:numPr>
          <w:ilvl w:val="0"/>
          <w:numId w:val="44"/>
        </w:numPr>
        <w:rPr>
          <w:rFonts w:cs="Arial"/>
        </w:rPr>
      </w:pPr>
      <w:r w:rsidRPr="00E8656C">
        <w:rPr>
          <w:rFonts w:cs="Arial"/>
        </w:rPr>
        <w:lastRenderedPageBreak/>
        <w:t>I</w:t>
      </w:r>
      <w:r w:rsidR="005744CA" w:rsidRPr="00E8656C">
        <w:rPr>
          <w:rFonts w:cs="Arial"/>
        </w:rPr>
        <w:t xml:space="preserve">nternational student ratings were higher than domestic student ratings for all focus areas except </w:t>
      </w:r>
      <w:r w:rsidR="0071224A" w:rsidRPr="00E8656C">
        <w:rPr>
          <w:rFonts w:cs="Arial"/>
        </w:rPr>
        <w:t xml:space="preserve">for </w:t>
      </w:r>
      <w:r w:rsidR="003F0B5C" w:rsidRPr="00E8656C">
        <w:rPr>
          <w:rFonts w:cs="Arial"/>
        </w:rPr>
        <w:t xml:space="preserve">Learning Resources </w:t>
      </w:r>
      <w:r w:rsidR="007D61B5" w:rsidRPr="00E8656C">
        <w:rPr>
          <w:rFonts w:cs="Arial"/>
        </w:rPr>
        <w:t>which was broadly similar</w:t>
      </w:r>
      <w:r w:rsidR="00E51E3A" w:rsidRPr="00E8656C">
        <w:rPr>
          <w:rFonts w:cs="Arial"/>
        </w:rPr>
        <w:t xml:space="preserve"> for undergraduates, but higher for postgraduate coursework international students</w:t>
      </w:r>
      <w:r w:rsidR="007D61B5" w:rsidRPr="00E8656C">
        <w:rPr>
          <w:rFonts w:cs="Arial"/>
        </w:rPr>
        <w:t>.</w:t>
      </w:r>
      <w:r w:rsidR="003F0B5C" w:rsidRPr="00E8656C">
        <w:rPr>
          <w:rFonts w:cs="Arial"/>
        </w:rPr>
        <w:t xml:space="preserve"> </w:t>
      </w:r>
      <w:r w:rsidR="00C411E4" w:rsidRPr="00E8656C">
        <w:rPr>
          <w:rFonts w:cs="Arial"/>
        </w:rPr>
        <w:t>However, d</w:t>
      </w:r>
      <w:r w:rsidR="00E61D0E" w:rsidRPr="00E8656C">
        <w:rPr>
          <w:rFonts w:cs="Arial"/>
        </w:rPr>
        <w:t>omestic student ratings of the</w:t>
      </w:r>
      <w:r w:rsidR="007D61B5" w:rsidRPr="00E8656C">
        <w:rPr>
          <w:rFonts w:cs="Arial"/>
        </w:rPr>
        <w:t xml:space="preserve"> </w:t>
      </w:r>
      <w:r w:rsidR="0051220B" w:rsidRPr="00E8656C">
        <w:rPr>
          <w:rFonts w:cs="Arial"/>
        </w:rPr>
        <w:t>Overall Educational Experience</w:t>
      </w:r>
      <w:r w:rsidR="00E61D0E" w:rsidRPr="00E8656C">
        <w:rPr>
          <w:rFonts w:cs="Arial"/>
        </w:rPr>
        <w:t xml:space="preserve"> were higher</w:t>
      </w:r>
      <w:r w:rsidR="007B2714" w:rsidRPr="00E8656C">
        <w:rPr>
          <w:rFonts w:cs="Arial"/>
        </w:rPr>
        <w:t xml:space="preserve"> at both the undergraduate and postgraduate coursework levels</w:t>
      </w:r>
      <w:r w:rsidRPr="00E8656C">
        <w:rPr>
          <w:rFonts w:cs="Arial"/>
        </w:rPr>
        <w:t xml:space="preserve">. </w:t>
      </w:r>
    </w:p>
    <w:p w14:paraId="2882494B" w14:textId="09DB7516" w:rsidR="005744CA" w:rsidRPr="00E8656C" w:rsidRDefault="009F7DEF" w:rsidP="00A01268">
      <w:pPr>
        <w:pStyle w:val="Body"/>
        <w:numPr>
          <w:ilvl w:val="0"/>
          <w:numId w:val="44"/>
        </w:numPr>
        <w:rPr>
          <w:rFonts w:cs="Arial"/>
        </w:rPr>
      </w:pPr>
      <w:r w:rsidRPr="00E8656C">
        <w:rPr>
          <w:rFonts w:cs="Arial"/>
        </w:rPr>
        <w:t>D</w:t>
      </w:r>
      <w:r w:rsidR="005744CA" w:rsidRPr="00E8656C">
        <w:rPr>
          <w:rFonts w:cs="Arial"/>
        </w:rPr>
        <w:t>omestic student ratings were either below or close to (but not exceeding) ratings seen prior to the pandemic, whereas international student ratings were higher in 2023 than they were prior to the pandemic</w:t>
      </w:r>
    </w:p>
    <w:p w14:paraId="29428263" w14:textId="56BAFBF2" w:rsidR="005744CA" w:rsidRPr="00E8656C" w:rsidRDefault="005744CA" w:rsidP="005744CA">
      <w:pPr>
        <w:pStyle w:val="Body"/>
        <w:numPr>
          <w:ilvl w:val="0"/>
          <w:numId w:val="44"/>
        </w:numPr>
        <w:rPr>
          <w:rFonts w:cs="Arial"/>
        </w:rPr>
      </w:pPr>
      <w:r w:rsidRPr="00E8656C">
        <w:rPr>
          <w:rFonts w:cs="Arial"/>
        </w:rPr>
        <w:t xml:space="preserve">The proportion of </w:t>
      </w:r>
      <w:r w:rsidR="00782F1C" w:rsidRPr="00E8656C">
        <w:rPr>
          <w:rFonts w:cs="Arial"/>
        </w:rPr>
        <w:t xml:space="preserve">international </w:t>
      </w:r>
      <w:r w:rsidRPr="00E8656C">
        <w:rPr>
          <w:rFonts w:cs="Arial"/>
        </w:rPr>
        <w:t xml:space="preserve">postgraduate coursework respondents increased in 2024 to 58.0 per cent, up </w:t>
      </w:r>
      <w:r w:rsidR="00A1123F" w:rsidRPr="00E8656C">
        <w:rPr>
          <w:rFonts w:cs="Arial"/>
        </w:rPr>
        <w:t xml:space="preserve">10.8 </w:t>
      </w:r>
      <w:r w:rsidRPr="00E8656C">
        <w:rPr>
          <w:rFonts w:cs="Arial"/>
        </w:rPr>
        <w:t xml:space="preserve">percentage points from </w:t>
      </w:r>
      <w:r w:rsidR="00A1123F" w:rsidRPr="00E8656C">
        <w:rPr>
          <w:rFonts w:cs="Arial"/>
        </w:rPr>
        <w:t>47</w:t>
      </w:r>
      <w:r w:rsidR="00234848" w:rsidRPr="00E8656C">
        <w:rPr>
          <w:rFonts w:cs="Arial"/>
        </w:rPr>
        <w:t>.</w:t>
      </w:r>
      <w:r w:rsidR="00A1123F" w:rsidRPr="00E8656C">
        <w:rPr>
          <w:rFonts w:cs="Arial"/>
        </w:rPr>
        <w:t>2</w:t>
      </w:r>
      <w:r w:rsidRPr="00E8656C">
        <w:rPr>
          <w:rFonts w:cs="Arial"/>
        </w:rPr>
        <w:t xml:space="preserve"> per cent in 2023. </w:t>
      </w:r>
      <w:r w:rsidR="005B2AA9" w:rsidRPr="00E8656C">
        <w:rPr>
          <w:rFonts w:cs="Arial"/>
        </w:rPr>
        <w:t>In contrast, t</w:t>
      </w:r>
      <w:r w:rsidRPr="00E8656C">
        <w:rPr>
          <w:rFonts w:cs="Arial"/>
        </w:rPr>
        <w:t xml:space="preserve">he proportion of </w:t>
      </w:r>
      <w:r w:rsidR="00B57185" w:rsidRPr="00E8656C">
        <w:rPr>
          <w:rFonts w:cs="Arial"/>
        </w:rPr>
        <w:t xml:space="preserve">international </w:t>
      </w:r>
      <w:r w:rsidRPr="00E8656C">
        <w:rPr>
          <w:rFonts w:cs="Arial"/>
        </w:rPr>
        <w:t xml:space="preserve">undergraduate respondents increased by </w:t>
      </w:r>
      <w:r w:rsidR="00B57185" w:rsidRPr="00E8656C">
        <w:rPr>
          <w:rFonts w:cs="Arial"/>
        </w:rPr>
        <w:t xml:space="preserve">only </w:t>
      </w:r>
      <w:r w:rsidR="00234848" w:rsidRPr="00E8656C">
        <w:rPr>
          <w:rFonts w:cs="Arial"/>
        </w:rPr>
        <w:t>2.1</w:t>
      </w:r>
      <w:r w:rsidRPr="00E8656C">
        <w:rPr>
          <w:rFonts w:cs="Arial"/>
        </w:rPr>
        <w:t xml:space="preserve"> percentage points (20.1 per cent in 2024, up from </w:t>
      </w:r>
      <w:r w:rsidR="00FE49C1" w:rsidRPr="00E8656C">
        <w:rPr>
          <w:rFonts w:cs="Arial"/>
        </w:rPr>
        <w:t xml:space="preserve">18.0 </w:t>
      </w:r>
      <w:r w:rsidRPr="00E8656C">
        <w:rPr>
          <w:rFonts w:cs="Arial"/>
        </w:rPr>
        <w:t>per cent in 2023). This explains the greater improvement in aggregated postgraduate coursework results compared to undergraduate results.</w:t>
      </w:r>
    </w:p>
    <w:p w14:paraId="36DB8F52" w14:textId="3289FDC1" w:rsidR="00976C8F" w:rsidRPr="00E8656C" w:rsidRDefault="004F10A2" w:rsidP="00695177">
      <w:pPr>
        <w:pStyle w:val="Caption"/>
      </w:pPr>
      <w:r w:rsidRPr="00E8656C">
        <w:t xml:space="preserve">The student experience </w:t>
      </w:r>
      <w:r w:rsidR="00ED3EC8" w:rsidRPr="00E8656C">
        <w:t>by course level</w:t>
      </w:r>
      <w:r w:rsidR="00D61E89" w:rsidRPr="00E8656C">
        <w:t>,</w:t>
      </w:r>
      <w:r w:rsidR="00ED3EC8" w:rsidRPr="00E8656C">
        <w:t xml:space="preserve"> </w:t>
      </w:r>
      <w:r w:rsidRPr="00E8656C">
        <w:t>2017</w:t>
      </w:r>
      <w:r w:rsidR="003551DB" w:rsidRPr="00E8656C">
        <w:t>–</w:t>
      </w:r>
      <w:r w:rsidRPr="00E8656C">
        <w:t>24 (% positive rating)</w:t>
      </w:r>
    </w:p>
    <w:p w14:paraId="11D31861" w14:textId="397D255C" w:rsidR="00FE2255" w:rsidRPr="00E8656C" w:rsidRDefault="0091535E" w:rsidP="005A5898">
      <w:pPr>
        <w:pStyle w:val="FigureNote"/>
        <w:rPr>
          <w:rFonts w:cs="Arial"/>
          <w:lang w:val="en-AU"/>
        </w:rPr>
      </w:pPr>
      <w:r w:rsidRPr="00E8656C">
        <w:rPr>
          <w:rFonts w:cs="Arial"/>
        </w:rPr>
        <w:t xml:space="preserve">Source: </w:t>
      </w:r>
      <w:r w:rsidRPr="00E8656C">
        <w:rPr>
          <w:rFonts w:cs="Arial"/>
          <w:lang w:val="en-AU"/>
        </w:rPr>
        <w:t>FOCUS_UG_ALL_12-YY_YEAR</w:t>
      </w:r>
      <w:r w:rsidR="00E92E16" w:rsidRPr="00E8656C">
        <w:rPr>
          <w:rFonts w:cs="Arial"/>
          <w:lang w:val="en-AU"/>
        </w:rPr>
        <w:t xml:space="preserve"> and </w:t>
      </w:r>
      <w:r w:rsidR="005A5898" w:rsidRPr="00E8656C">
        <w:rPr>
          <w:rFonts w:cs="Arial"/>
        </w:rPr>
        <w:t xml:space="preserve">Source: </w:t>
      </w:r>
      <w:r w:rsidR="005A5898" w:rsidRPr="00E8656C">
        <w:rPr>
          <w:rFonts w:cs="Arial"/>
          <w:lang w:val="en-AU"/>
        </w:rPr>
        <w:t>FOCUS_PGC_ALL_17-YY_YEAR</w:t>
      </w:r>
    </w:p>
    <w:p w14:paraId="51F21FDB" w14:textId="1D9C71EC" w:rsidR="004F10A2" w:rsidRPr="00E8656C" w:rsidRDefault="006F7F90" w:rsidP="004F10A2">
      <w:pPr>
        <w:pStyle w:val="Body"/>
        <w:rPr>
          <w:rFonts w:cs="Arial"/>
        </w:rPr>
      </w:pPr>
      <w:r w:rsidRPr="00E8656C">
        <w:rPr>
          <w:rFonts w:cs="Arial"/>
          <w:noProof/>
        </w:rPr>
        <w:t xml:space="preserve"> </w:t>
      </w:r>
      <w:r w:rsidR="006320E9" w:rsidRPr="00E8656C">
        <w:rPr>
          <w:rFonts w:cs="Arial"/>
          <w:noProof/>
        </w:rPr>
        <w:drawing>
          <wp:inline distT="0" distB="0" distL="0" distR="0" wp14:anchorId="2CCF4CD1" wp14:editId="40AE2780">
            <wp:extent cx="6624000" cy="6010774"/>
            <wp:effectExtent l="0" t="0" r="5715" b="9525"/>
            <wp:docPr id="184445149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51490" name="Picture 1">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24000" cy="6010774"/>
                    </a:xfrm>
                    <a:prstGeom prst="rect">
                      <a:avLst/>
                    </a:prstGeom>
                    <a:noFill/>
                  </pic:spPr>
                </pic:pic>
              </a:graphicData>
            </a:graphic>
          </wp:inline>
        </w:drawing>
      </w:r>
    </w:p>
    <w:p w14:paraId="7D950B56" w14:textId="00442954" w:rsidR="00861750" w:rsidRPr="00E8656C" w:rsidRDefault="00976C8F" w:rsidP="00E55D92">
      <w:pPr>
        <w:pStyle w:val="FigureNote"/>
        <w:rPr>
          <w:rFonts w:cs="Arial"/>
          <w:sz w:val="18"/>
          <w:szCs w:val="24"/>
        </w:rPr>
      </w:pPr>
      <w:r w:rsidRPr="00E8656C">
        <w:rPr>
          <w:rFonts w:cs="Arial"/>
          <w:sz w:val="18"/>
          <w:szCs w:val="24"/>
        </w:rPr>
        <w:lastRenderedPageBreak/>
        <w:t xml:space="preserve">* Note that in 2023 a review was conducted on the SES instrument and revisions were made to the Student Support and Services </w:t>
      </w:r>
      <w:r w:rsidR="00A0297A" w:rsidRPr="00E8656C">
        <w:rPr>
          <w:rFonts w:cs="Arial"/>
          <w:sz w:val="18"/>
          <w:szCs w:val="24"/>
        </w:rPr>
        <w:t xml:space="preserve">(formerly Student Support) </w:t>
      </w:r>
      <w:r w:rsidRPr="00E8656C">
        <w:rPr>
          <w:rFonts w:cs="Arial"/>
          <w:sz w:val="18"/>
          <w:szCs w:val="24"/>
        </w:rPr>
        <w:t>and Peer Engagement (for</w:t>
      </w:r>
      <w:r w:rsidR="0039520F" w:rsidRPr="00E8656C">
        <w:rPr>
          <w:rFonts w:cs="Arial"/>
          <w:sz w:val="18"/>
          <w:szCs w:val="24"/>
        </w:rPr>
        <w:t>merly</w:t>
      </w:r>
      <w:r w:rsidRPr="00E8656C">
        <w:rPr>
          <w:rFonts w:cs="Arial"/>
          <w:sz w:val="18"/>
          <w:szCs w:val="24"/>
        </w:rPr>
        <w:t xml:space="preserve"> Learner Engagement) focus areas. </w:t>
      </w:r>
      <w:r w:rsidR="00861750" w:rsidRPr="00E8656C">
        <w:rPr>
          <w:rFonts w:cs="Arial"/>
          <w:sz w:val="18"/>
          <w:szCs w:val="24"/>
        </w:rPr>
        <w:t xml:space="preserve">For more information about these changes, refer to </w:t>
      </w:r>
      <w:r w:rsidR="006D67B3" w:rsidRPr="00E8656C">
        <w:rPr>
          <w:rFonts w:cs="Arial"/>
          <w:sz w:val="18"/>
          <w:szCs w:val="24"/>
        </w:rPr>
        <w:t>the 2023 SES National Report</w:t>
      </w:r>
      <w:r w:rsidR="00AE7222" w:rsidRPr="00E8656C">
        <w:rPr>
          <w:rFonts w:cs="Arial"/>
          <w:sz w:val="18"/>
          <w:szCs w:val="24"/>
        </w:rPr>
        <w:t>.</w:t>
      </w:r>
    </w:p>
    <w:p w14:paraId="59E0D302" w14:textId="7C1F9478" w:rsidR="004967E2" w:rsidRPr="00E8656C" w:rsidRDefault="004967E2" w:rsidP="007959A4">
      <w:pPr>
        <w:pStyle w:val="SubHeading20"/>
        <w:rPr>
          <w:rFonts w:cs="Arial"/>
          <w:color w:val="auto"/>
        </w:rPr>
      </w:pPr>
      <w:r w:rsidRPr="00E8656C">
        <w:rPr>
          <w:rFonts w:cs="Arial"/>
          <w:color w:val="auto"/>
        </w:rPr>
        <w:t>Demographic and equity groups</w:t>
      </w:r>
      <w:r w:rsidR="006F53AC" w:rsidRPr="00E8656C">
        <w:rPr>
          <w:rFonts w:cs="Arial"/>
          <w:color w:val="auto"/>
        </w:rPr>
        <w:t xml:space="preserve"> </w:t>
      </w:r>
    </w:p>
    <w:p w14:paraId="5058F675" w14:textId="55A0B833" w:rsidR="003E0A8C" w:rsidRPr="00E8656C" w:rsidRDefault="003E0A8C" w:rsidP="00345863">
      <w:pPr>
        <w:pStyle w:val="Body"/>
        <w:rPr>
          <w:rFonts w:cs="Arial"/>
        </w:rPr>
      </w:pPr>
      <w:r w:rsidRPr="00E8656C">
        <w:rPr>
          <w:rFonts w:cs="Arial"/>
        </w:rPr>
        <w:t xml:space="preserve">Student ratings of their educational experience differ among various demographic </w:t>
      </w:r>
      <w:r w:rsidR="00164D35" w:rsidRPr="00E8656C">
        <w:rPr>
          <w:rFonts w:cs="Arial"/>
        </w:rPr>
        <w:t>sub-</w:t>
      </w:r>
      <w:r w:rsidRPr="00E8656C">
        <w:rPr>
          <w:rFonts w:cs="Arial"/>
        </w:rPr>
        <w:t>groups.</w:t>
      </w:r>
      <w:r w:rsidR="005149B0" w:rsidRPr="00E8656C">
        <w:rPr>
          <w:rFonts w:cs="Arial"/>
        </w:rPr>
        <w:t xml:space="preserve"> S</w:t>
      </w:r>
      <w:r w:rsidRPr="00E8656C">
        <w:rPr>
          <w:rFonts w:cs="Arial"/>
        </w:rPr>
        <w:t xml:space="preserve">ome groups, like international students, students </w:t>
      </w:r>
      <w:r w:rsidR="00AE7711" w:rsidRPr="00E8656C">
        <w:rPr>
          <w:rFonts w:cs="Arial"/>
        </w:rPr>
        <w:t xml:space="preserve">aged </w:t>
      </w:r>
      <w:r w:rsidRPr="00E8656C">
        <w:rPr>
          <w:rFonts w:cs="Arial"/>
        </w:rPr>
        <w:t xml:space="preserve">under 25, and those studying in internal </w:t>
      </w:r>
      <w:r w:rsidR="00AE7711" w:rsidRPr="00E8656C">
        <w:rPr>
          <w:rFonts w:cs="Arial"/>
        </w:rPr>
        <w:t xml:space="preserve">or </w:t>
      </w:r>
      <w:r w:rsidR="00F36250" w:rsidRPr="00E8656C">
        <w:rPr>
          <w:rFonts w:cs="Arial"/>
        </w:rPr>
        <w:t>multi</w:t>
      </w:r>
      <w:r w:rsidR="00AE7711" w:rsidRPr="00E8656C">
        <w:rPr>
          <w:rFonts w:cs="Arial"/>
        </w:rPr>
        <w:t>-</w:t>
      </w:r>
      <w:r w:rsidRPr="00E8656C">
        <w:rPr>
          <w:rFonts w:cs="Arial"/>
        </w:rPr>
        <w:t>modes, were more affected by changes in teaching methods and course delivery during and after the COVID-19 pandemic</w:t>
      </w:r>
      <w:r w:rsidR="005149B0" w:rsidRPr="00E8656C">
        <w:rPr>
          <w:rFonts w:cs="Arial"/>
        </w:rPr>
        <w:t>. However, t</w:t>
      </w:r>
      <w:r w:rsidRPr="00E8656C">
        <w:rPr>
          <w:rFonts w:cs="Arial"/>
        </w:rPr>
        <w:t xml:space="preserve">he overall trends </w:t>
      </w:r>
      <w:r w:rsidR="005149B0" w:rsidRPr="00E8656C">
        <w:rPr>
          <w:rFonts w:cs="Arial"/>
        </w:rPr>
        <w:t xml:space="preserve">in student ratings </w:t>
      </w:r>
      <w:r w:rsidRPr="00E8656C">
        <w:rPr>
          <w:rFonts w:cs="Arial"/>
        </w:rPr>
        <w:t>have stayed broadly consistent over the years.</w:t>
      </w:r>
      <w:r w:rsidR="00250757" w:rsidRPr="00E8656C">
        <w:rPr>
          <w:rFonts w:cs="Arial"/>
        </w:rPr>
        <w:t xml:space="preserve"> </w:t>
      </w:r>
    </w:p>
    <w:p w14:paraId="1E56A480" w14:textId="6B67997F" w:rsidR="001D131C" w:rsidRPr="00E8656C" w:rsidRDefault="001D131C" w:rsidP="001D131C">
      <w:pPr>
        <w:pStyle w:val="Body"/>
        <w:rPr>
          <w:rFonts w:cs="Arial"/>
        </w:rPr>
      </w:pPr>
      <w:r w:rsidRPr="00E8656C">
        <w:rPr>
          <w:rFonts w:cs="Arial"/>
          <w:b/>
          <w:bCs/>
        </w:rPr>
        <w:t>Age:</w:t>
      </w:r>
      <w:r w:rsidRPr="00E8656C">
        <w:rPr>
          <w:rFonts w:cs="Arial"/>
        </w:rPr>
        <w:t xml:space="preserve"> In 2024, </w:t>
      </w:r>
      <w:r w:rsidR="00EB71F5" w:rsidRPr="00E8656C">
        <w:rPr>
          <w:rFonts w:cs="Arial"/>
        </w:rPr>
        <w:t xml:space="preserve">students </w:t>
      </w:r>
      <w:r w:rsidR="002C7285" w:rsidRPr="00E8656C">
        <w:rPr>
          <w:rFonts w:cs="Arial"/>
        </w:rPr>
        <w:t xml:space="preserve">aged </w:t>
      </w:r>
      <w:r w:rsidR="00CE3AC8" w:rsidRPr="00E8656C">
        <w:rPr>
          <w:rFonts w:cs="Arial"/>
        </w:rPr>
        <w:t xml:space="preserve">30 </w:t>
      </w:r>
      <w:r w:rsidR="00CB49C4" w:rsidRPr="00E8656C">
        <w:rPr>
          <w:rFonts w:cs="Arial"/>
        </w:rPr>
        <w:t>year</w:t>
      </w:r>
      <w:r w:rsidR="00377AC0" w:rsidRPr="00E8656C">
        <w:rPr>
          <w:rFonts w:cs="Arial"/>
        </w:rPr>
        <w:t>s</w:t>
      </w:r>
      <w:r w:rsidR="00CB49C4" w:rsidRPr="00E8656C">
        <w:rPr>
          <w:rFonts w:cs="Arial"/>
        </w:rPr>
        <w:t xml:space="preserve"> </w:t>
      </w:r>
      <w:r w:rsidR="00F008E2" w:rsidRPr="00E8656C">
        <w:rPr>
          <w:rFonts w:cs="Arial"/>
        </w:rPr>
        <w:t xml:space="preserve">and </w:t>
      </w:r>
      <w:proofErr w:type="gramStart"/>
      <w:r w:rsidR="00253755" w:rsidRPr="00E8656C">
        <w:rPr>
          <w:rFonts w:cs="Arial"/>
        </w:rPr>
        <w:t>over</w:t>
      </w:r>
      <w:r w:rsidR="00B239B8" w:rsidRPr="00E8656C">
        <w:rPr>
          <w:rFonts w:cs="Arial"/>
        </w:rPr>
        <w:t xml:space="preserve"> </w:t>
      </w:r>
      <w:r w:rsidR="00253755" w:rsidRPr="00E8656C">
        <w:rPr>
          <w:rFonts w:cs="Arial"/>
        </w:rPr>
        <w:t>rated</w:t>
      </w:r>
      <w:proofErr w:type="gramEnd"/>
      <w:r w:rsidR="00CB49C4" w:rsidRPr="00E8656C">
        <w:rPr>
          <w:rFonts w:cs="Arial"/>
        </w:rPr>
        <w:t xml:space="preserve"> </w:t>
      </w:r>
      <w:r w:rsidR="002C7285" w:rsidRPr="00E8656C">
        <w:rPr>
          <w:rFonts w:cs="Arial"/>
        </w:rPr>
        <w:t xml:space="preserve">their Overall Educational Experience more highly than those aged </w:t>
      </w:r>
      <w:r w:rsidR="00AE25D5" w:rsidRPr="00E8656C">
        <w:rPr>
          <w:rFonts w:cs="Arial"/>
        </w:rPr>
        <w:t>29</w:t>
      </w:r>
      <w:r w:rsidR="00CB49C4" w:rsidRPr="00E8656C">
        <w:rPr>
          <w:rFonts w:cs="Arial"/>
        </w:rPr>
        <w:t xml:space="preserve"> years</w:t>
      </w:r>
      <w:r w:rsidR="00DB6A0A" w:rsidRPr="00E8656C">
        <w:rPr>
          <w:rFonts w:cs="Arial"/>
        </w:rPr>
        <w:t xml:space="preserve"> </w:t>
      </w:r>
      <w:r w:rsidR="00AE25D5" w:rsidRPr="00E8656C">
        <w:rPr>
          <w:rFonts w:cs="Arial"/>
        </w:rPr>
        <w:t xml:space="preserve">and under </w:t>
      </w:r>
      <w:r w:rsidRPr="00E8656C">
        <w:rPr>
          <w:rFonts w:cs="Arial"/>
        </w:rPr>
        <w:t xml:space="preserve">at both undergraduate and </w:t>
      </w:r>
      <w:r w:rsidR="000148EE" w:rsidRPr="00E8656C">
        <w:rPr>
          <w:rFonts w:cs="Arial"/>
        </w:rPr>
        <w:t>postgraduate coursework level</w:t>
      </w:r>
      <w:r w:rsidRPr="00E8656C">
        <w:rPr>
          <w:rFonts w:cs="Arial"/>
        </w:rPr>
        <w:t>s.</w:t>
      </w:r>
    </w:p>
    <w:p w14:paraId="7CF18C9A" w14:textId="734AD4DD" w:rsidR="001D131C" w:rsidRPr="00E8656C" w:rsidRDefault="001D131C" w:rsidP="001D131C">
      <w:pPr>
        <w:pStyle w:val="Body"/>
        <w:rPr>
          <w:rFonts w:cs="Arial"/>
        </w:rPr>
      </w:pPr>
      <w:r w:rsidRPr="00E8656C">
        <w:rPr>
          <w:rFonts w:cs="Arial"/>
          <w:b/>
          <w:bCs/>
        </w:rPr>
        <w:t>Disability:</w:t>
      </w:r>
      <w:r w:rsidRPr="00E8656C">
        <w:rPr>
          <w:rFonts w:cs="Arial"/>
        </w:rPr>
        <w:t xml:space="preserve"> Ratings have been consistently lower for students with a reported disability since 2017</w:t>
      </w:r>
      <w:r w:rsidR="00B239B8" w:rsidRPr="00E8656C">
        <w:rPr>
          <w:rFonts w:cs="Arial"/>
        </w:rPr>
        <w:t xml:space="preserve"> -</w:t>
      </w:r>
      <w:r w:rsidRPr="00E8656C">
        <w:rPr>
          <w:rFonts w:cs="Arial"/>
        </w:rPr>
        <w:t xml:space="preserve"> a trend that persisted in 2024.</w:t>
      </w:r>
      <w:r w:rsidR="0029268C" w:rsidRPr="00E8656C">
        <w:rPr>
          <w:rFonts w:cs="Arial"/>
        </w:rPr>
        <w:t xml:space="preserve"> </w:t>
      </w:r>
      <w:r w:rsidR="00D34974" w:rsidRPr="00E8656C">
        <w:rPr>
          <w:rFonts w:cs="Arial"/>
        </w:rPr>
        <w:t xml:space="preserve">This highlights an area where </w:t>
      </w:r>
      <w:r w:rsidR="00D40B81" w:rsidRPr="00E8656C">
        <w:rPr>
          <w:rFonts w:cs="Arial"/>
        </w:rPr>
        <w:t xml:space="preserve">institutions could </w:t>
      </w:r>
      <w:r w:rsidR="00F22BBC" w:rsidRPr="00E8656C">
        <w:rPr>
          <w:rFonts w:cs="Arial"/>
        </w:rPr>
        <w:t xml:space="preserve">focus </w:t>
      </w:r>
      <w:r w:rsidR="00D40B81" w:rsidRPr="00E8656C">
        <w:rPr>
          <w:rFonts w:cs="Arial"/>
        </w:rPr>
        <w:t>improve</w:t>
      </w:r>
      <w:r w:rsidR="00F22BBC" w:rsidRPr="00E8656C">
        <w:rPr>
          <w:rFonts w:cs="Arial"/>
        </w:rPr>
        <w:t>ment efforts</w:t>
      </w:r>
      <w:r w:rsidR="00D40B81" w:rsidRPr="00E8656C">
        <w:rPr>
          <w:rFonts w:cs="Arial"/>
        </w:rPr>
        <w:t xml:space="preserve">. </w:t>
      </w:r>
    </w:p>
    <w:p w14:paraId="59ABE26F" w14:textId="2D790DFF" w:rsidR="001D131C" w:rsidRPr="00E8656C" w:rsidRDefault="001D131C" w:rsidP="001D131C">
      <w:pPr>
        <w:pStyle w:val="Body"/>
        <w:rPr>
          <w:rFonts w:cs="Arial"/>
        </w:rPr>
      </w:pPr>
      <w:r w:rsidRPr="00E8656C">
        <w:rPr>
          <w:rFonts w:cs="Arial"/>
          <w:b/>
          <w:bCs/>
        </w:rPr>
        <w:t xml:space="preserve">First Nations </w:t>
      </w:r>
      <w:r w:rsidR="00650357" w:rsidRPr="00E8656C">
        <w:rPr>
          <w:rFonts w:cs="Arial"/>
          <w:b/>
          <w:bCs/>
        </w:rPr>
        <w:t>s</w:t>
      </w:r>
      <w:r w:rsidRPr="00E8656C">
        <w:rPr>
          <w:rFonts w:cs="Arial"/>
          <w:b/>
          <w:bCs/>
        </w:rPr>
        <w:t>tudents:</w:t>
      </w:r>
      <w:r w:rsidRPr="00E8656C">
        <w:rPr>
          <w:rFonts w:cs="Arial"/>
        </w:rPr>
        <w:t xml:space="preserve"> Ratings of Overall Educational Experience were </w:t>
      </w:r>
      <w:proofErr w:type="gramStart"/>
      <w:r w:rsidRPr="00E8656C">
        <w:rPr>
          <w:rFonts w:cs="Arial"/>
        </w:rPr>
        <w:t>similar to</w:t>
      </w:r>
      <w:proofErr w:type="gramEnd"/>
      <w:r w:rsidR="00E42709" w:rsidRPr="00E8656C">
        <w:rPr>
          <w:rFonts w:cs="Arial"/>
        </w:rPr>
        <w:t xml:space="preserve"> domestic</w:t>
      </w:r>
      <w:r w:rsidRPr="00E8656C">
        <w:rPr>
          <w:rFonts w:cs="Arial"/>
        </w:rPr>
        <w:t xml:space="preserve"> non-Indigenous students, but</w:t>
      </w:r>
      <w:r w:rsidR="00E42709" w:rsidRPr="00E8656C">
        <w:rPr>
          <w:rFonts w:cs="Arial"/>
        </w:rPr>
        <w:t xml:space="preserve"> undergraduate</w:t>
      </w:r>
      <w:r w:rsidRPr="00E8656C">
        <w:rPr>
          <w:rFonts w:cs="Arial"/>
        </w:rPr>
        <w:t xml:space="preserve"> Peer Engagement ratings have been consistently lower</w:t>
      </w:r>
      <w:r w:rsidR="00530E13" w:rsidRPr="00E8656C">
        <w:rPr>
          <w:rFonts w:cs="Arial"/>
        </w:rPr>
        <w:t>,</w:t>
      </w:r>
      <w:r w:rsidR="00010AA3" w:rsidRPr="00E8656C">
        <w:rPr>
          <w:rFonts w:cs="Arial"/>
        </w:rPr>
        <w:t xml:space="preserve"> </w:t>
      </w:r>
      <w:r w:rsidR="00167FE9" w:rsidRPr="00E8656C">
        <w:rPr>
          <w:rFonts w:cs="Arial"/>
        </w:rPr>
        <w:t>which may be associated with</w:t>
      </w:r>
      <w:r w:rsidR="00010AA3" w:rsidRPr="00E8656C">
        <w:rPr>
          <w:rFonts w:cs="Arial"/>
        </w:rPr>
        <w:t xml:space="preserve"> a higher proportion of First Nations students undertaking their studies </w:t>
      </w:r>
      <w:r w:rsidR="00B24E14" w:rsidRPr="00E8656C">
        <w:rPr>
          <w:rFonts w:cs="Arial"/>
        </w:rPr>
        <w:t>in an external mode</w:t>
      </w:r>
      <w:r w:rsidRPr="00E8656C">
        <w:rPr>
          <w:rFonts w:cs="Arial"/>
        </w:rPr>
        <w:t>.</w:t>
      </w:r>
    </w:p>
    <w:p w14:paraId="321AAB25" w14:textId="5B3CA2FF" w:rsidR="001D131C" w:rsidRPr="00E8656C" w:rsidRDefault="001D131C" w:rsidP="001D131C">
      <w:pPr>
        <w:pStyle w:val="Body"/>
        <w:rPr>
          <w:rFonts w:cs="Arial"/>
        </w:rPr>
      </w:pPr>
      <w:r w:rsidRPr="00E8656C">
        <w:rPr>
          <w:rFonts w:cs="Arial"/>
          <w:b/>
          <w:bCs/>
        </w:rPr>
        <w:t xml:space="preserve">Stage of </w:t>
      </w:r>
      <w:r w:rsidR="00932C93" w:rsidRPr="00E8656C">
        <w:rPr>
          <w:rFonts w:cs="Arial"/>
          <w:b/>
          <w:bCs/>
        </w:rPr>
        <w:t>s</w:t>
      </w:r>
      <w:r w:rsidRPr="00E8656C">
        <w:rPr>
          <w:rFonts w:cs="Arial"/>
          <w:b/>
          <w:bCs/>
        </w:rPr>
        <w:t>tudy:</w:t>
      </w:r>
      <w:r w:rsidRPr="00E8656C">
        <w:rPr>
          <w:rFonts w:cs="Arial"/>
        </w:rPr>
        <w:t xml:space="preserve"> Commencing undergraduate students rated Overall Educational Experience more positively than </w:t>
      </w:r>
      <w:r w:rsidR="00416203" w:rsidRPr="00E8656C">
        <w:rPr>
          <w:rFonts w:cs="Arial"/>
        </w:rPr>
        <w:t>later-year</w:t>
      </w:r>
      <w:r w:rsidRPr="00E8656C">
        <w:rPr>
          <w:rFonts w:cs="Arial"/>
        </w:rPr>
        <w:t xml:space="preserve"> students, while </w:t>
      </w:r>
      <w:r w:rsidR="00416203" w:rsidRPr="00E8656C">
        <w:rPr>
          <w:rFonts w:cs="Arial"/>
        </w:rPr>
        <w:t>later-year</w:t>
      </w:r>
      <w:r w:rsidRPr="00E8656C">
        <w:rPr>
          <w:rFonts w:cs="Arial"/>
        </w:rPr>
        <w:t xml:space="preserve"> students rated Skills Development higher.</w:t>
      </w:r>
    </w:p>
    <w:p w14:paraId="442476B8" w14:textId="178BF786" w:rsidR="001D131C" w:rsidRPr="00E8656C" w:rsidRDefault="001D131C" w:rsidP="001D131C">
      <w:pPr>
        <w:pStyle w:val="Body"/>
        <w:rPr>
          <w:rFonts w:cs="Arial"/>
        </w:rPr>
      </w:pPr>
      <w:r w:rsidRPr="00E8656C">
        <w:rPr>
          <w:rFonts w:cs="Arial"/>
          <w:b/>
          <w:bCs/>
        </w:rPr>
        <w:t xml:space="preserve">Study </w:t>
      </w:r>
      <w:r w:rsidR="0008337D" w:rsidRPr="00E8656C">
        <w:rPr>
          <w:rFonts w:cs="Arial"/>
          <w:b/>
          <w:bCs/>
        </w:rPr>
        <w:t>m</w:t>
      </w:r>
      <w:r w:rsidRPr="00E8656C">
        <w:rPr>
          <w:rFonts w:cs="Arial"/>
          <w:b/>
          <w:bCs/>
        </w:rPr>
        <w:t>ode</w:t>
      </w:r>
      <w:r w:rsidR="00276E88" w:rsidRPr="00E8656C">
        <w:rPr>
          <w:rStyle w:val="FootnoteReference"/>
          <w:rFonts w:cs="Arial"/>
          <w:b/>
          <w:bCs/>
        </w:rPr>
        <w:footnoteReference w:id="2"/>
      </w:r>
      <w:r w:rsidRPr="00E8656C">
        <w:rPr>
          <w:rFonts w:cs="Arial"/>
          <w:b/>
          <w:bCs/>
        </w:rPr>
        <w:t xml:space="preserve"> </w:t>
      </w:r>
      <w:r w:rsidR="0008337D" w:rsidRPr="00E8656C">
        <w:rPr>
          <w:rFonts w:cs="Arial"/>
          <w:b/>
          <w:bCs/>
        </w:rPr>
        <w:t>i</w:t>
      </w:r>
      <w:r w:rsidRPr="00E8656C">
        <w:rPr>
          <w:rFonts w:cs="Arial"/>
          <w:b/>
          <w:bCs/>
        </w:rPr>
        <w:t>mpact:</w:t>
      </w:r>
      <w:r w:rsidRPr="00E8656C">
        <w:rPr>
          <w:rFonts w:cs="Arial"/>
        </w:rPr>
        <w:t xml:space="preserve"> External students </w:t>
      </w:r>
      <w:r w:rsidR="00996AD4" w:rsidRPr="00E8656C">
        <w:rPr>
          <w:rFonts w:cs="Arial"/>
        </w:rPr>
        <w:t>(studying off-campus</w:t>
      </w:r>
      <w:r w:rsidR="009A411B" w:rsidRPr="00E8656C">
        <w:rPr>
          <w:rFonts w:cs="Arial"/>
        </w:rPr>
        <w:t xml:space="preserve"> or online</w:t>
      </w:r>
      <w:r w:rsidR="00996AD4" w:rsidRPr="00E8656C">
        <w:rPr>
          <w:rFonts w:cs="Arial"/>
        </w:rPr>
        <w:t xml:space="preserve">) </w:t>
      </w:r>
      <w:r w:rsidRPr="00E8656C">
        <w:rPr>
          <w:rFonts w:cs="Arial"/>
        </w:rPr>
        <w:t xml:space="preserve">rated </w:t>
      </w:r>
      <w:r w:rsidR="007F6682" w:rsidRPr="00E8656C">
        <w:rPr>
          <w:rFonts w:cs="Arial"/>
        </w:rPr>
        <w:t>the</w:t>
      </w:r>
      <w:r w:rsidRPr="00E8656C">
        <w:rPr>
          <w:rFonts w:cs="Arial"/>
        </w:rPr>
        <w:t xml:space="preserve"> Overall Educational Experience more positively than</w:t>
      </w:r>
      <w:r w:rsidR="00704156" w:rsidRPr="00E8656C">
        <w:rPr>
          <w:rFonts w:cs="Arial"/>
        </w:rPr>
        <w:t xml:space="preserve"> those who studied </w:t>
      </w:r>
      <w:r w:rsidR="005B0C45" w:rsidRPr="00E8656C">
        <w:rPr>
          <w:rFonts w:cs="Arial"/>
        </w:rPr>
        <w:t>on-campus or a combination of on-campus and online study</w:t>
      </w:r>
      <w:r w:rsidRPr="00E8656C">
        <w:rPr>
          <w:rFonts w:cs="Arial"/>
        </w:rPr>
        <w:t xml:space="preserve"> </w:t>
      </w:r>
      <w:r w:rsidR="005B0C45" w:rsidRPr="00E8656C">
        <w:rPr>
          <w:rFonts w:cs="Arial"/>
        </w:rPr>
        <w:t>(</w:t>
      </w:r>
      <w:r w:rsidRPr="00E8656C">
        <w:rPr>
          <w:rFonts w:cs="Arial"/>
        </w:rPr>
        <w:t>internal</w:t>
      </w:r>
      <w:r w:rsidR="007F6682" w:rsidRPr="00E8656C">
        <w:rPr>
          <w:rFonts w:cs="Arial"/>
        </w:rPr>
        <w:t>/</w:t>
      </w:r>
      <w:r w:rsidR="00E4098D" w:rsidRPr="00E8656C">
        <w:rPr>
          <w:rFonts w:cs="Arial"/>
        </w:rPr>
        <w:t>multi-mode</w:t>
      </w:r>
      <w:r w:rsidR="009A411B" w:rsidRPr="00E8656C">
        <w:rPr>
          <w:rFonts w:cs="Arial"/>
        </w:rPr>
        <w:t>)</w:t>
      </w:r>
      <w:r w:rsidRPr="00E8656C">
        <w:rPr>
          <w:rFonts w:cs="Arial"/>
        </w:rPr>
        <w:t xml:space="preserve"> students, who rated Peer Engagement</w:t>
      </w:r>
      <w:r w:rsidR="00A74268" w:rsidRPr="00E8656C">
        <w:rPr>
          <w:rFonts w:cs="Arial"/>
        </w:rPr>
        <w:t>, Lea</w:t>
      </w:r>
      <w:r w:rsidR="003714FC" w:rsidRPr="00E8656C">
        <w:rPr>
          <w:rFonts w:cs="Arial"/>
        </w:rPr>
        <w:t>rning Resources</w:t>
      </w:r>
      <w:r w:rsidRPr="00E8656C">
        <w:rPr>
          <w:rFonts w:cs="Arial"/>
        </w:rPr>
        <w:t xml:space="preserve"> and Skills Development higher.</w:t>
      </w:r>
    </w:p>
    <w:p w14:paraId="45EB473C" w14:textId="09695B95" w:rsidR="001D131C" w:rsidRPr="00E8656C" w:rsidRDefault="001D131C" w:rsidP="001D131C">
      <w:pPr>
        <w:pStyle w:val="Body"/>
        <w:rPr>
          <w:rFonts w:cs="Arial"/>
        </w:rPr>
      </w:pPr>
      <w:r w:rsidRPr="00E8656C">
        <w:rPr>
          <w:rFonts w:cs="Arial"/>
          <w:b/>
          <w:bCs/>
        </w:rPr>
        <w:t xml:space="preserve">International </w:t>
      </w:r>
      <w:r w:rsidR="00F257AB" w:rsidRPr="00E8656C">
        <w:rPr>
          <w:rFonts w:cs="Arial"/>
          <w:b/>
          <w:bCs/>
        </w:rPr>
        <w:t>s</w:t>
      </w:r>
      <w:r w:rsidRPr="00E8656C">
        <w:rPr>
          <w:rFonts w:cs="Arial"/>
          <w:b/>
          <w:bCs/>
        </w:rPr>
        <w:t>tudents:</w:t>
      </w:r>
      <w:r w:rsidRPr="00E8656C">
        <w:rPr>
          <w:rFonts w:cs="Arial"/>
        </w:rPr>
        <w:t xml:space="preserve"> Ratings were generally higher than domestic students for most </w:t>
      </w:r>
      <w:r w:rsidR="0065234C" w:rsidRPr="00E8656C">
        <w:rPr>
          <w:rFonts w:cs="Arial"/>
        </w:rPr>
        <w:t>focus area</w:t>
      </w:r>
      <w:r w:rsidRPr="00E8656C">
        <w:rPr>
          <w:rFonts w:cs="Arial"/>
        </w:rPr>
        <w:t xml:space="preserve">s, except for Learning Resources, which </w:t>
      </w:r>
      <w:r w:rsidR="008F757F" w:rsidRPr="00E8656C">
        <w:rPr>
          <w:rFonts w:cs="Arial"/>
        </w:rPr>
        <w:t xml:space="preserve">was </w:t>
      </w:r>
      <w:r w:rsidRPr="00E8656C">
        <w:rPr>
          <w:rFonts w:cs="Arial"/>
        </w:rPr>
        <w:t>similar.</w:t>
      </w:r>
      <w:r w:rsidR="008F757F" w:rsidRPr="00E8656C">
        <w:rPr>
          <w:rFonts w:cs="Arial"/>
        </w:rPr>
        <w:t xml:space="preserve"> The Overall Educational Experience was also broadly similar.</w:t>
      </w:r>
    </w:p>
    <w:p w14:paraId="6B7A20B0" w14:textId="495D99FA" w:rsidR="004967E2" w:rsidRPr="00E8656C" w:rsidRDefault="004967E2" w:rsidP="007959A4">
      <w:pPr>
        <w:pStyle w:val="SubHeading20"/>
        <w:rPr>
          <w:rFonts w:cs="Arial"/>
          <w:color w:val="auto"/>
        </w:rPr>
      </w:pPr>
      <w:r w:rsidRPr="00E8656C">
        <w:rPr>
          <w:rFonts w:cs="Arial"/>
          <w:color w:val="auto"/>
        </w:rPr>
        <w:t xml:space="preserve">Study </w:t>
      </w:r>
      <w:r w:rsidR="009F7E20" w:rsidRPr="00E8656C">
        <w:rPr>
          <w:rFonts w:cs="Arial"/>
          <w:color w:val="auto"/>
        </w:rPr>
        <w:t>a</w:t>
      </w:r>
      <w:r w:rsidRPr="00E8656C">
        <w:rPr>
          <w:rFonts w:cs="Arial"/>
          <w:color w:val="auto"/>
        </w:rPr>
        <w:t>reas</w:t>
      </w:r>
    </w:p>
    <w:p w14:paraId="18CC8BBD" w14:textId="63B13718" w:rsidR="00A13BF2" w:rsidRPr="00E8656C" w:rsidRDefault="007D21F4" w:rsidP="003665FC">
      <w:pPr>
        <w:pStyle w:val="Body"/>
        <w:rPr>
          <w:rFonts w:cs="Arial"/>
        </w:rPr>
      </w:pPr>
      <w:r w:rsidRPr="00E8656C">
        <w:rPr>
          <w:rFonts w:cs="Arial"/>
        </w:rPr>
        <w:t xml:space="preserve">In 2024, the largest variations in ratings between study areas were observed in Peer Engagement and Overall Educational Experience. </w:t>
      </w:r>
      <w:r w:rsidR="001541C5" w:rsidRPr="00E8656C">
        <w:rPr>
          <w:rFonts w:cs="Arial"/>
        </w:rPr>
        <w:t xml:space="preserve">The differences in some of the focus area ratings between study areas are influenced by study mode. </w:t>
      </w:r>
      <w:r w:rsidRPr="00E8656C">
        <w:rPr>
          <w:rFonts w:cs="Arial"/>
        </w:rPr>
        <w:t>For example, study areas with more internal/</w:t>
      </w:r>
      <w:r w:rsidR="00E4098D" w:rsidRPr="00E8656C">
        <w:rPr>
          <w:rFonts w:cs="Arial"/>
        </w:rPr>
        <w:t>multi-mode</w:t>
      </w:r>
      <w:r w:rsidRPr="00E8656C">
        <w:rPr>
          <w:rFonts w:cs="Arial"/>
        </w:rPr>
        <w:t xml:space="preserve"> students </w:t>
      </w:r>
      <w:r w:rsidR="00120A41" w:rsidRPr="00E8656C">
        <w:rPr>
          <w:rFonts w:cs="Arial"/>
        </w:rPr>
        <w:t>tend</w:t>
      </w:r>
      <w:r w:rsidRPr="00E8656C">
        <w:rPr>
          <w:rFonts w:cs="Arial"/>
        </w:rPr>
        <w:t xml:space="preserve"> to have higher</w:t>
      </w:r>
      <w:r w:rsidR="00111C44" w:rsidRPr="00E8656C">
        <w:rPr>
          <w:rFonts w:cs="Arial"/>
        </w:rPr>
        <w:t xml:space="preserve"> observed</w:t>
      </w:r>
      <w:r w:rsidRPr="00E8656C">
        <w:rPr>
          <w:rFonts w:cs="Arial"/>
        </w:rPr>
        <w:t xml:space="preserve"> ratings in Peer Engagement</w:t>
      </w:r>
      <w:r w:rsidR="00F92252" w:rsidRPr="00E8656C">
        <w:rPr>
          <w:rFonts w:cs="Arial"/>
        </w:rPr>
        <w:t xml:space="preserve"> than external mode</w:t>
      </w:r>
      <w:r w:rsidRPr="00E8656C">
        <w:rPr>
          <w:rFonts w:cs="Arial"/>
        </w:rPr>
        <w:t xml:space="preserve">, as this </w:t>
      </w:r>
      <w:r w:rsidR="0065234C" w:rsidRPr="00E8656C">
        <w:rPr>
          <w:rFonts w:cs="Arial"/>
        </w:rPr>
        <w:t>focus area</w:t>
      </w:r>
      <w:r w:rsidR="00933139" w:rsidRPr="00E8656C">
        <w:rPr>
          <w:rFonts w:cs="Arial"/>
        </w:rPr>
        <w:t xml:space="preserve"> </w:t>
      </w:r>
      <w:r w:rsidR="006D7295" w:rsidRPr="00E8656C">
        <w:rPr>
          <w:rFonts w:cs="Arial"/>
        </w:rPr>
        <w:t>measures</w:t>
      </w:r>
      <w:r w:rsidRPr="00E8656C">
        <w:rPr>
          <w:rFonts w:cs="Arial"/>
        </w:rPr>
        <w:t xml:space="preserve"> interactions with other students in classes or socially. </w:t>
      </w:r>
    </w:p>
    <w:p w14:paraId="37CBDF11" w14:textId="77B97AE0" w:rsidR="008C52A4" w:rsidRPr="00E8656C" w:rsidRDefault="0005264F" w:rsidP="003665FC">
      <w:pPr>
        <w:pStyle w:val="Body"/>
        <w:rPr>
          <w:rFonts w:cs="Arial"/>
        </w:rPr>
      </w:pPr>
      <w:r w:rsidRPr="00E8656C">
        <w:rPr>
          <w:rFonts w:cs="Arial"/>
        </w:rPr>
        <w:t>While</w:t>
      </w:r>
      <w:r w:rsidR="002F541D" w:rsidRPr="00E8656C">
        <w:rPr>
          <w:rFonts w:cs="Arial"/>
        </w:rPr>
        <w:t xml:space="preserve"> </w:t>
      </w:r>
      <w:r w:rsidR="00A5123A" w:rsidRPr="00E8656C">
        <w:rPr>
          <w:rFonts w:cs="Arial"/>
        </w:rPr>
        <w:t xml:space="preserve">some </w:t>
      </w:r>
      <w:r w:rsidR="00574DB3" w:rsidRPr="00E8656C">
        <w:rPr>
          <w:rFonts w:cs="Arial"/>
        </w:rPr>
        <w:t>smaller study areas (i.e.</w:t>
      </w:r>
      <w:r w:rsidR="00ED428B" w:rsidRPr="00E8656C">
        <w:rPr>
          <w:rFonts w:cs="Arial"/>
        </w:rPr>
        <w:t>,</w:t>
      </w:r>
      <w:r w:rsidR="00574DB3" w:rsidRPr="00E8656C">
        <w:rPr>
          <w:rFonts w:cs="Arial"/>
        </w:rPr>
        <w:t xml:space="preserve"> </w:t>
      </w:r>
      <w:r w:rsidR="008C549E" w:rsidRPr="00E8656C">
        <w:rPr>
          <w:rFonts w:cs="Arial"/>
        </w:rPr>
        <w:t xml:space="preserve">areas </w:t>
      </w:r>
      <w:r w:rsidR="00574DB3" w:rsidRPr="00E8656C">
        <w:rPr>
          <w:rFonts w:cs="Arial"/>
        </w:rPr>
        <w:t>with fewer responses) receive higher student ratings than larger ones</w:t>
      </w:r>
      <w:r w:rsidR="002F541D" w:rsidRPr="00E8656C">
        <w:rPr>
          <w:rFonts w:cs="Arial"/>
        </w:rPr>
        <w:t xml:space="preserve">, </w:t>
      </w:r>
      <w:r w:rsidR="00C22298" w:rsidRPr="00E8656C">
        <w:rPr>
          <w:rFonts w:cs="Arial"/>
        </w:rPr>
        <w:t xml:space="preserve">this is not </w:t>
      </w:r>
      <w:r w:rsidR="00815343" w:rsidRPr="00E8656C">
        <w:rPr>
          <w:rFonts w:cs="Arial"/>
        </w:rPr>
        <w:t>consistent</w:t>
      </w:r>
      <w:r w:rsidR="00C22298" w:rsidRPr="00E8656C">
        <w:rPr>
          <w:rFonts w:cs="Arial"/>
        </w:rPr>
        <w:t xml:space="preserve"> </w:t>
      </w:r>
      <w:r w:rsidR="005C0161" w:rsidRPr="00E8656C">
        <w:rPr>
          <w:rFonts w:cs="Arial"/>
        </w:rPr>
        <w:t xml:space="preserve">across all small study areas. </w:t>
      </w:r>
      <w:r w:rsidR="00960B0D" w:rsidRPr="00E8656C">
        <w:rPr>
          <w:rFonts w:cs="Arial"/>
        </w:rPr>
        <w:t>Moreover, s</w:t>
      </w:r>
      <w:r w:rsidR="00815343" w:rsidRPr="00E8656C">
        <w:rPr>
          <w:rFonts w:cs="Arial"/>
        </w:rPr>
        <w:t>maller</w:t>
      </w:r>
      <w:r w:rsidR="00765961" w:rsidRPr="00E8656C">
        <w:rPr>
          <w:rFonts w:cs="Arial"/>
        </w:rPr>
        <w:t xml:space="preserve"> study</w:t>
      </w:r>
      <w:r w:rsidR="005C0161" w:rsidRPr="00E8656C">
        <w:rPr>
          <w:rFonts w:cs="Arial"/>
        </w:rPr>
        <w:t xml:space="preserve"> </w:t>
      </w:r>
      <w:r w:rsidR="00574DB3" w:rsidRPr="00E8656C">
        <w:rPr>
          <w:rFonts w:cs="Arial"/>
        </w:rPr>
        <w:t xml:space="preserve">areas </w:t>
      </w:r>
      <w:r w:rsidR="00765961" w:rsidRPr="00E8656C">
        <w:rPr>
          <w:rFonts w:cs="Arial"/>
        </w:rPr>
        <w:t xml:space="preserve">tend </w:t>
      </w:r>
      <w:r w:rsidR="00574DB3" w:rsidRPr="00E8656C">
        <w:rPr>
          <w:rFonts w:cs="Arial"/>
        </w:rPr>
        <w:t xml:space="preserve">to </w:t>
      </w:r>
      <w:r w:rsidR="0067748D" w:rsidRPr="00E8656C">
        <w:rPr>
          <w:rFonts w:cs="Arial"/>
        </w:rPr>
        <w:t>have</w:t>
      </w:r>
      <w:r w:rsidR="00574DB3" w:rsidRPr="00E8656C">
        <w:rPr>
          <w:rFonts w:cs="Arial"/>
        </w:rPr>
        <w:t xml:space="preserve"> more volatility in </w:t>
      </w:r>
      <w:r w:rsidR="00DC4521" w:rsidRPr="00E8656C">
        <w:rPr>
          <w:rFonts w:cs="Arial"/>
        </w:rPr>
        <w:t xml:space="preserve">their </w:t>
      </w:r>
      <w:r w:rsidR="001122FF" w:rsidRPr="00E8656C">
        <w:rPr>
          <w:rFonts w:cs="Arial"/>
        </w:rPr>
        <w:t>year</w:t>
      </w:r>
      <w:r w:rsidR="0083486C" w:rsidRPr="00E8656C">
        <w:rPr>
          <w:rFonts w:cs="Arial"/>
        </w:rPr>
        <w:t>-</w:t>
      </w:r>
      <w:r w:rsidR="001122FF" w:rsidRPr="00E8656C">
        <w:rPr>
          <w:rFonts w:cs="Arial"/>
        </w:rPr>
        <w:t>on</w:t>
      </w:r>
      <w:r w:rsidR="0083486C" w:rsidRPr="00E8656C">
        <w:rPr>
          <w:rFonts w:cs="Arial"/>
        </w:rPr>
        <w:t>-</w:t>
      </w:r>
      <w:r w:rsidR="001122FF" w:rsidRPr="00E8656C">
        <w:rPr>
          <w:rFonts w:cs="Arial"/>
        </w:rPr>
        <w:t xml:space="preserve">year </w:t>
      </w:r>
      <w:r w:rsidR="005D1B1D" w:rsidRPr="00E8656C">
        <w:rPr>
          <w:rFonts w:cs="Arial"/>
        </w:rPr>
        <w:t xml:space="preserve">comparison </w:t>
      </w:r>
      <w:r w:rsidR="00574DB3" w:rsidRPr="00E8656C">
        <w:rPr>
          <w:rFonts w:cs="Arial"/>
        </w:rPr>
        <w:t>data compared to those with higher response numbers</w:t>
      </w:r>
      <w:r w:rsidR="00023D2E" w:rsidRPr="00E8656C">
        <w:rPr>
          <w:rFonts w:cs="Arial"/>
        </w:rPr>
        <w:t xml:space="preserve">, </w:t>
      </w:r>
      <w:r w:rsidR="00F92252" w:rsidRPr="00E8656C">
        <w:rPr>
          <w:rFonts w:cs="Arial"/>
        </w:rPr>
        <w:t>like</w:t>
      </w:r>
      <w:r w:rsidR="00023D2E" w:rsidRPr="00E8656C">
        <w:rPr>
          <w:rFonts w:cs="Arial"/>
        </w:rPr>
        <w:t xml:space="preserve"> any small dataset</w:t>
      </w:r>
      <w:r w:rsidR="00574DB3" w:rsidRPr="00E8656C">
        <w:rPr>
          <w:rFonts w:cs="Arial"/>
        </w:rPr>
        <w:t>.</w:t>
      </w:r>
    </w:p>
    <w:p w14:paraId="2D26A10D" w14:textId="71796CAF" w:rsidR="004967E2" w:rsidRPr="00E8656C" w:rsidRDefault="00FF0440" w:rsidP="003665FC">
      <w:pPr>
        <w:pStyle w:val="Body"/>
        <w:rPr>
          <w:rFonts w:cs="Arial"/>
        </w:rPr>
      </w:pPr>
      <w:r w:rsidRPr="00E8656C">
        <w:rPr>
          <w:rFonts w:cs="Arial"/>
        </w:rPr>
        <w:t>It should also be noted that broad disciplinary aggregations often obscure details relevant to schools, faculties, and academic departments. More detailed SES results, disaggregated by 45 study areas, are available from the QILT website in the additional tables accompanying this report.</w:t>
      </w:r>
    </w:p>
    <w:p w14:paraId="3DFD3BB3" w14:textId="1058934D" w:rsidR="004967E2" w:rsidRPr="00E8656C" w:rsidRDefault="004967E2" w:rsidP="007959A4">
      <w:pPr>
        <w:pStyle w:val="SubHeading20"/>
        <w:rPr>
          <w:rFonts w:cs="Arial"/>
          <w:color w:val="auto"/>
        </w:rPr>
      </w:pPr>
      <w:r w:rsidRPr="00E8656C">
        <w:rPr>
          <w:rFonts w:cs="Arial"/>
          <w:color w:val="auto"/>
        </w:rPr>
        <w:t>Institutions</w:t>
      </w:r>
    </w:p>
    <w:p w14:paraId="40C1A3F5" w14:textId="3C01C889" w:rsidR="00A80EF6" w:rsidRPr="00E8656C" w:rsidRDefault="00000724" w:rsidP="00A80EF6">
      <w:pPr>
        <w:pStyle w:val="Body"/>
        <w:rPr>
          <w:rFonts w:cs="Arial"/>
          <w:lang w:eastAsia="en-GB"/>
        </w:rPr>
      </w:pPr>
      <w:r w:rsidRPr="00E8656C">
        <w:rPr>
          <w:rFonts w:cs="Arial"/>
          <w:lang w:eastAsia="en-GB"/>
        </w:rPr>
        <w:t>In general</w:t>
      </w:r>
      <w:r w:rsidR="00A80EF6" w:rsidRPr="00E8656C">
        <w:rPr>
          <w:rFonts w:cs="Arial"/>
          <w:lang w:eastAsia="en-GB"/>
        </w:rPr>
        <w:t>, undergraduate student ratings at non-university higher education institutions (NUHEIs) tend to be higher than those at universities, except for Learning Resources, which has consistently been rated lower by students attending NUHEIs</w:t>
      </w:r>
      <w:r w:rsidR="00157B16" w:rsidRPr="00E8656C">
        <w:rPr>
          <w:rFonts w:cs="Arial"/>
          <w:lang w:eastAsia="en-GB"/>
        </w:rPr>
        <w:t xml:space="preserve"> since 2017</w:t>
      </w:r>
      <w:r w:rsidR="00A80EF6" w:rsidRPr="00E8656C">
        <w:rPr>
          <w:rFonts w:cs="Arial"/>
          <w:lang w:eastAsia="en-GB"/>
        </w:rPr>
        <w:t>.</w:t>
      </w:r>
    </w:p>
    <w:p w14:paraId="0290192B" w14:textId="0613E377" w:rsidR="004967E2" w:rsidRPr="00E8656C" w:rsidRDefault="00A80EF6" w:rsidP="004967E2">
      <w:pPr>
        <w:pStyle w:val="Body"/>
        <w:rPr>
          <w:rFonts w:cs="Arial"/>
          <w:lang w:eastAsia="en-GB"/>
        </w:rPr>
      </w:pPr>
      <w:r w:rsidRPr="00E8656C">
        <w:rPr>
          <w:rFonts w:cs="Arial"/>
          <w:lang w:eastAsia="en-GB"/>
        </w:rPr>
        <w:t>Postgraduate coursework students at NUHEIs tend to rate Student Support and Services, Teaching Quality and Engagement, and Overall Educational Experience higher than their counterparts at universities.</w:t>
      </w:r>
      <w:r w:rsidR="008A3C28" w:rsidRPr="00E8656C">
        <w:rPr>
          <w:rFonts w:cs="Arial"/>
          <w:lang w:eastAsia="en-GB"/>
        </w:rPr>
        <w:t xml:space="preserve"> </w:t>
      </w:r>
      <w:r w:rsidRPr="00E8656C">
        <w:rPr>
          <w:rFonts w:cs="Arial"/>
          <w:lang w:eastAsia="en-GB"/>
        </w:rPr>
        <w:t xml:space="preserve">This trend continued in 2024. Additionally, NUHEI postgraduate coursework student ratings surpassed university </w:t>
      </w:r>
      <w:r w:rsidRPr="00E8656C">
        <w:rPr>
          <w:rFonts w:cs="Arial"/>
          <w:lang w:eastAsia="en-GB"/>
        </w:rPr>
        <w:lastRenderedPageBreak/>
        <w:t>ratings in Skills Development and Peer Engagement</w:t>
      </w:r>
      <w:r w:rsidR="008A0912" w:rsidRPr="00E8656C">
        <w:rPr>
          <w:rFonts w:cs="Arial"/>
          <w:lang w:eastAsia="en-GB"/>
        </w:rPr>
        <w:t xml:space="preserve"> in 2024</w:t>
      </w:r>
      <w:r w:rsidRPr="00E8656C">
        <w:rPr>
          <w:rFonts w:cs="Arial"/>
          <w:lang w:eastAsia="en-GB"/>
        </w:rPr>
        <w:t>. However, like undergraduates, postgraduate coursework students at NUHEIs continue</w:t>
      </w:r>
      <w:r w:rsidR="00E83325" w:rsidRPr="00E8656C">
        <w:rPr>
          <w:rFonts w:cs="Arial"/>
          <w:lang w:eastAsia="en-GB"/>
        </w:rPr>
        <w:t>d</w:t>
      </w:r>
      <w:r w:rsidRPr="00E8656C">
        <w:rPr>
          <w:rFonts w:cs="Arial"/>
          <w:lang w:eastAsia="en-GB"/>
        </w:rPr>
        <w:t xml:space="preserve"> to rate Learning Resources less positively than those at universities.</w:t>
      </w:r>
    </w:p>
    <w:p w14:paraId="6D2235E6" w14:textId="5286AD62" w:rsidR="004967E2" w:rsidRPr="00E8656C" w:rsidRDefault="004967E2" w:rsidP="004967E2">
      <w:pPr>
        <w:pStyle w:val="SubHeading20"/>
        <w:rPr>
          <w:rFonts w:cs="Arial"/>
          <w:color w:val="auto"/>
          <w:sz w:val="32"/>
          <w:szCs w:val="32"/>
        </w:rPr>
      </w:pPr>
      <w:r w:rsidRPr="00E8656C">
        <w:rPr>
          <w:rFonts w:cs="Arial"/>
          <w:color w:val="auto"/>
          <w:sz w:val="32"/>
          <w:szCs w:val="32"/>
        </w:rPr>
        <w:t>Other aspects of the student experience</w:t>
      </w:r>
    </w:p>
    <w:p w14:paraId="547AA9FF" w14:textId="77777777" w:rsidR="004967E2" w:rsidRPr="00E8656C" w:rsidRDefault="004967E2" w:rsidP="007959A4">
      <w:pPr>
        <w:pStyle w:val="SubHeading20"/>
        <w:rPr>
          <w:rFonts w:cs="Arial"/>
          <w:color w:val="auto"/>
        </w:rPr>
      </w:pPr>
      <w:r w:rsidRPr="00E8656C">
        <w:rPr>
          <w:rFonts w:cs="Arial"/>
          <w:color w:val="auto"/>
        </w:rPr>
        <w:t>Sense of belonging</w:t>
      </w:r>
    </w:p>
    <w:p w14:paraId="73BE525A" w14:textId="656AEDC9" w:rsidR="00C140F4" w:rsidRPr="00E8656C" w:rsidRDefault="00B344E9" w:rsidP="00C140F4">
      <w:pPr>
        <w:pStyle w:val="Body"/>
        <w:rPr>
          <w:rFonts w:cs="Arial"/>
        </w:rPr>
      </w:pPr>
      <w:r w:rsidRPr="00E8656C">
        <w:rPr>
          <w:rFonts w:cs="Arial"/>
        </w:rPr>
        <w:t xml:space="preserve">Students’ sense of belonging, which encompasses feelings of connectedness, inclusion, and acceptance, is crucial for academic achievement, personal wellbeing, student satisfaction, and retention. These ratings dropped </w:t>
      </w:r>
      <w:r w:rsidR="00C92250" w:rsidRPr="00E8656C">
        <w:rPr>
          <w:rFonts w:cs="Arial"/>
        </w:rPr>
        <w:t>markedly</w:t>
      </w:r>
      <w:r w:rsidRPr="00E8656C">
        <w:rPr>
          <w:rFonts w:cs="Arial"/>
        </w:rPr>
        <w:t xml:space="preserve"> in 2020 due to the pandemic. </w:t>
      </w:r>
      <w:r w:rsidR="00B239B8" w:rsidRPr="00E8656C">
        <w:rPr>
          <w:rFonts w:cs="Arial"/>
        </w:rPr>
        <w:t>U</w:t>
      </w:r>
      <w:r w:rsidRPr="00E8656C">
        <w:rPr>
          <w:rFonts w:cs="Arial"/>
        </w:rPr>
        <w:t xml:space="preserve">ndergraduate ratings </w:t>
      </w:r>
      <w:r w:rsidR="00B239B8" w:rsidRPr="00E8656C">
        <w:rPr>
          <w:rFonts w:cs="Arial"/>
        </w:rPr>
        <w:t xml:space="preserve">have improved since easing of restrictions, however, have still </w:t>
      </w:r>
      <w:r w:rsidRPr="00E8656C">
        <w:rPr>
          <w:rFonts w:cs="Arial"/>
        </w:rPr>
        <w:t xml:space="preserve">not returned to pre-2020 levels. </w:t>
      </w:r>
      <w:r w:rsidR="00922185" w:rsidRPr="00E8656C">
        <w:rPr>
          <w:rFonts w:cs="Arial"/>
        </w:rPr>
        <w:t>In comparison</w:t>
      </w:r>
      <w:r w:rsidRPr="00E8656C">
        <w:rPr>
          <w:rFonts w:cs="Arial"/>
        </w:rPr>
        <w:t xml:space="preserve">, postgraduate coursework ratings, which also declined in 2020 and 2021, surpassed pre-COVID levels </w:t>
      </w:r>
      <w:r w:rsidR="00B239B8" w:rsidRPr="00E8656C">
        <w:rPr>
          <w:rFonts w:cs="Arial"/>
        </w:rPr>
        <w:t xml:space="preserve">in </w:t>
      </w:r>
      <w:r w:rsidRPr="00E8656C">
        <w:rPr>
          <w:rFonts w:cs="Arial"/>
        </w:rPr>
        <w:t xml:space="preserve">2024. This </w:t>
      </w:r>
      <w:r w:rsidR="00336F06" w:rsidRPr="00E8656C">
        <w:rPr>
          <w:rFonts w:cs="Arial"/>
        </w:rPr>
        <w:t xml:space="preserve">increase </w:t>
      </w:r>
      <w:r w:rsidRPr="00E8656C">
        <w:rPr>
          <w:rFonts w:cs="Arial"/>
        </w:rPr>
        <w:t>may be partly due to the increase in international postgraduate coursework students, who have consistently reported a stronger sense of belonging compared to domestic students</w:t>
      </w:r>
      <w:r w:rsidR="00393FA5" w:rsidRPr="00E8656C">
        <w:rPr>
          <w:rFonts w:cs="Arial"/>
        </w:rPr>
        <w:t>.</w:t>
      </w:r>
      <w:r w:rsidR="001A171F" w:rsidRPr="00E8656C">
        <w:rPr>
          <w:rFonts w:cs="Arial"/>
        </w:rPr>
        <w:t xml:space="preserve"> </w:t>
      </w:r>
    </w:p>
    <w:p w14:paraId="021E5C0E" w14:textId="79BD9429" w:rsidR="005E5A92" w:rsidRPr="00E8656C" w:rsidRDefault="005E5A92" w:rsidP="005E5A92">
      <w:pPr>
        <w:pStyle w:val="Body"/>
        <w:rPr>
          <w:rFonts w:cs="Arial"/>
        </w:rPr>
      </w:pPr>
      <w:r w:rsidRPr="00E8656C">
        <w:rPr>
          <w:rFonts w:cs="Arial"/>
        </w:rPr>
        <w:t xml:space="preserve">In 2024, the greatest variation in undergraduate </w:t>
      </w:r>
      <w:r w:rsidR="00D76A94" w:rsidRPr="00E8656C">
        <w:rPr>
          <w:rFonts w:cs="Arial"/>
        </w:rPr>
        <w:t xml:space="preserve">ratings of </w:t>
      </w:r>
      <w:r w:rsidR="00932952" w:rsidRPr="00E8656C">
        <w:rPr>
          <w:rFonts w:cs="Arial"/>
        </w:rPr>
        <w:t>s</w:t>
      </w:r>
      <w:r w:rsidRPr="00E8656C">
        <w:rPr>
          <w:rFonts w:cs="Arial"/>
        </w:rPr>
        <w:t xml:space="preserve">ense of </w:t>
      </w:r>
      <w:r w:rsidR="00932952" w:rsidRPr="00E8656C">
        <w:rPr>
          <w:rFonts w:cs="Arial"/>
        </w:rPr>
        <w:t>b</w:t>
      </w:r>
      <w:r w:rsidRPr="00E8656C">
        <w:rPr>
          <w:rFonts w:cs="Arial"/>
        </w:rPr>
        <w:t xml:space="preserve">elonging </w:t>
      </w:r>
      <w:r w:rsidR="00932952" w:rsidRPr="00E8656C">
        <w:rPr>
          <w:rFonts w:cs="Arial"/>
        </w:rPr>
        <w:t>to their institution</w:t>
      </w:r>
      <w:r w:rsidRPr="00E8656C">
        <w:rPr>
          <w:rFonts w:cs="Arial"/>
        </w:rPr>
        <w:t xml:space="preserve"> was between </w:t>
      </w:r>
      <w:r w:rsidR="00291B08" w:rsidRPr="00E8656C">
        <w:rPr>
          <w:rFonts w:cs="Arial"/>
        </w:rPr>
        <w:t xml:space="preserve">students from NUHEIs </w:t>
      </w:r>
      <w:r w:rsidR="00CA0F3B" w:rsidRPr="00E8656C">
        <w:rPr>
          <w:rFonts w:cs="Arial"/>
        </w:rPr>
        <w:t>and</w:t>
      </w:r>
      <w:r w:rsidR="00291B08" w:rsidRPr="00E8656C">
        <w:rPr>
          <w:rFonts w:cs="Arial"/>
        </w:rPr>
        <w:t xml:space="preserve"> those from universities, with university students r</w:t>
      </w:r>
      <w:r w:rsidR="00334C32" w:rsidRPr="00E8656C">
        <w:rPr>
          <w:rFonts w:cs="Arial"/>
        </w:rPr>
        <w:t>ating</w:t>
      </w:r>
      <w:r w:rsidR="00291B08" w:rsidRPr="00E8656C">
        <w:rPr>
          <w:rFonts w:cs="Arial"/>
        </w:rPr>
        <w:t xml:space="preserve"> </w:t>
      </w:r>
      <w:r w:rsidR="00F54252" w:rsidRPr="00E8656C">
        <w:rPr>
          <w:rFonts w:cs="Arial"/>
        </w:rPr>
        <w:t>their s</w:t>
      </w:r>
      <w:r w:rsidR="00291B08" w:rsidRPr="00E8656C">
        <w:rPr>
          <w:rFonts w:cs="Arial"/>
        </w:rPr>
        <w:t xml:space="preserve">ense of </w:t>
      </w:r>
      <w:r w:rsidR="003C1102" w:rsidRPr="00E8656C">
        <w:rPr>
          <w:rFonts w:cs="Arial"/>
        </w:rPr>
        <w:t>b</w:t>
      </w:r>
      <w:r w:rsidR="00291B08" w:rsidRPr="00E8656C">
        <w:rPr>
          <w:rFonts w:cs="Arial"/>
        </w:rPr>
        <w:t>elonging lower.</w:t>
      </w:r>
      <w:r w:rsidRPr="00E8656C">
        <w:rPr>
          <w:rFonts w:cs="Arial"/>
        </w:rPr>
        <w:t xml:space="preserve"> International students rated </w:t>
      </w:r>
      <w:r w:rsidR="00CC42B4" w:rsidRPr="00E8656C">
        <w:rPr>
          <w:rFonts w:cs="Arial"/>
        </w:rPr>
        <w:t>s</w:t>
      </w:r>
      <w:r w:rsidRPr="00E8656C">
        <w:rPr>
          <w:rFonts w:cs="Arial"/>
        </w:rPr>
        <w:t xml:space="preserve">ense of </w:t>
      </w:r>
      <w:r w:rsidR="00CC42B4" w:rsidRPr="00E8656C">
        <w:rPr>
          <w:rFonts w:cs="Arial"/>
        </w:rPr>
        <w:t>b</w:t>
      </w:r>
      <w:r w:rsidRPr="00E8656C">
        <w:rPr>
          <w:rFonts w:cs="Arial"/>
        </w:rPr>
        <w:t xml:space="preserve">elonging higher than domestic students, while commencing students rated </w:t>
      </w:r>
      <w:r w:rsidR="00263803" w:rsidRPr="00E8656C">
        <w:rPr>
          <w:rFonts w:cs="Arial"/>
        </w:rPr>
        <w:t xml:space="preserve">it </w:t>
      </w:r>
      <w:r w:rsidRPr="00E8656C">
        <w:rPr>
          <w:rFonts w:cs="Arial"/>
        </w:rPr>
        <w:t xml:space="preserve">higher than </w:t>
      </w:r>
      <w:r w:rsidR="00416203" w:rsidRPr="00E8656C">
        <w:rPr>
          <w:rFonts w:cs="Arial"/>
        </w:rPr>
        <w:t>later-year</w:t>
      </w:r>
      <w:r w:rsidRPr="00E8656C">
        <w:rPr>
          <w:rFonts w:cs="Arial"/>
        </w:rPr>
        <w:t xml:space="preserve"> students. Students with </w:t>
      </w:r>
      <w:r w:rsidR="00127396" w:rsidRPr="00E8656C">
        <w:rPr>
          <w:rFonts w:cs="Arial"/>
        </w:rPr>
        <w:t xml:space="preserve">a reported </w:t>
      </w:r>
      <w:r w:rsidRPr="00E8656C">
        <w:rPr>
          <w:rFonts w:cs="Arial"/>
        </w:rPr>
        <w:t>disabilit</w:t>
      </w:r>
      <w:r w:rsidR="00127396" w:rsidRPr="00E8656C">
        <w:rPr>
          <w:rFonts w:cs="Arial"/>
        </w:rPr>
        <w:t>y</w:t>
      </w:r>
      <w:r w:rsidRPr="00E8656C">
        <w:rPr>
          <w:rFonts w:cs="Arial"/>
        </w:rPr>
        <w:t xml:space="preserve"> </w:t>
      </w:r>
      <w:r w:rsidR="005A331B" w:rsidRPr="00E8656C">
        <w:rPr>
          <w:rFonts w:cs="Arial"/>
        </w:rPr>
        <w:t xml:space="preserve">have </w:t>
      </w:r>
      <w:r w:rsidRPr="00E8656C">
        <w:rPr>
          <w:rFonts w:cs="Arial"/>
        </w:rPr>
        <w:t xml:space="preserve">consistently rated </w:t>
      </w:r>
      <w:r w:rsidR="005A331B" w:rsidRPr="00E8656C">
        <w:rPr>
          <w:rFonts w:cs="Arial"/>
        </w:rPr>
        <w:t xml:space="preserve">this </w:t>
      </w:r>
      <w:r w:rsidRPr="00E8656C">
        <w:rPr>
          <w:rFonts w:cs="Arial"/>
        </w:rPr>
        <w:t>lower than those without. These differences highlight areas for institutions to improve student engagement and support.</w:t>
      </w:r>
    </w:p>
    <w:p w14:paraId="4FD66C34" w14:textId="7BE0F00A" w:rsidR="00ED3EC8" w:rsidRPr="00E8656C" w:rsidRDefault="00ED3EC8" w:rsidP="00695177">
      <w:pPr>
        <w:pStyle w:val="Caption"/>
      </w:pPr>
      <w:r w:rsidRPr="00E8656C">
        <w:t xml:space="preserve">Sense of belonging </w:t>
      </w:r>
      <w:r w:rsidR="0008004F" w:rsidRPr="00E8656C">
        <w:t xml:space="preserve">to institution </w:t>
      </w:r>
      <w:r w:rsidRPr="00E8656C">
        <w:t>by course level</w:t>
      </w:r>
      <w:r w:rsidR="006D2365" w:rsidRPr="00E8656C">
        <w:t>,</w:t>
      </w:r>
      <w:r w:rsidRPr="00E8656C">
        <w:t xml:space="preserve"> 2017</w:t>
      </w:r>
      <w:r w:rsidR="0008004F" w:rsidRPr="00E8656C">
        <w:t>–</w:t>
      </w:r>
      <w:r w:rsidRPr="00E8656C">
        <w:t>24 (% positive response)</w:t>
      </w:r>
    </w:p>
    <w:p w14:paraId="2095D641" w14:textId="2F493D1A" w:rsidR="00F82C50" w:rsidRPr="00E8656C" w:rsidRDefault="00F82C50" w:rsidP="00F82C50">
      <w:pPr>
        <w:pStyle w:val="Body"/>
        <w:rPr>
          <w:rFonts w:cs="Arial"/>
          <w:lang w:eastAsia="en-AU"/>
        </w:rPr>
      </w:pPr>
      <w:r w:rsidRPr="00E8656C">
        <w:rPr>
          <w:rFonts w:cs="Arial"/>
          <w:noProof/>
        </w:rPr>
        <w:drawing>
          <wp:inline distT="0" distB="0" distL="0" distR="0" wp14:anchorId="27B9DED8" wp14:editId="742E30CA">
            <wp:extent cx="4962525" cy="1965325"/>
            <wp:effectExtent l="0" t="0" r="0" b="0"/>
            <wp:docPr id="857084449" name="Chart 1">
              <a:extLst xmlns:a="http://schemas.openxmlformats.org/drawingml/2006/main">
                <a:ext uri="{FF2B5EF4-FFF2-40B4-BE49-F238E27FC236}">
                  <a16:creationId xmlns:a16="http://schemas.microsoft.com/office/drawing/2014/main" id="{D7508636-F1BC-B0D1-75DD-8BEDEB1778E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0260159" w14:textId="4C784A9C" w:rsidR="004967E2" w:rsidRPr="00E8656C" w:rsidRDefault="004967E2" w:rsidP="004967E2">
      <w:pPr>
        <w:pStyle w:val="SubHeading20"/>
        <w:rPr>
          <w:rFonts w:cs="Arial"/>
          <w:color w:val="auto"/>
        </w:rPr>
      </w:pPr>
      <w:r w:rsidRPr="00E8656C">
        <w:rPr>
          <w:rFonts w:cs="Arial"/>
          <w:color w:val="auto"/>
        </w:rPr>
        <w:t>Considered leaving</w:t>
      </w:r>
    </w:p>
    <w:p w14:paraId="587E8955" w14:textId="1C884A2A" w:rsidR="008D6F5D" w:rsidRPr="00E8656C" w:rsidRDefault="008D6F5D" w:rsidP="008D6F5D">
      <w:pPr>
        <w:pStyle w:val="Body"/>
        <w:rPr>
          <w:rFonts w:cs="Arial"/>
          <w:lang w:eastAsia="en-GB"/>
        </w:rPr>
      </w:pPr>
      <w:r w:rsidRPr="00E8656C">
        <w:rPr>
          <w:rFonts w:cs="Arial"/>
          <w:lang w:eastAsia="en-GB"/>
        </w:rPr>
        <w:t>In 2024, 18.3 per cent of undergraduates and 16.0 per cent of postgraduate coursework students had seriously considered leaving the</w:t>
      </w:r>
      <w:r w:rsidR="00B42423" w:rsidRPr="00E8656C">
        <w:rPr>
          <w:rFonts w:cs="Arial"/>
          <w:lang w:eastAsia="en-GB"/>
        </w:rPr>
        <w:t>ir</w:t>
      </w:r>
      <w:r w:rsidRPr="00E8656C">
        <w:rPr>
          <w:rFonts w:cs="Arial"/>
          <w:lang w:eastAsia="en-GB"/>
        </w:rPr>
        <w:t xml:space="preserve"> institution </w:t>
      </w:r>
      <w:r w:rsidR="00C80E8C" w:rsidRPr="00E8656C">
        <w:rPr>
          <w:rFonts w:cs="Arial"/>
          <w:lang w:eastAsia="en-GB"/>
        </w:rPr>
        <w:t>in the survey year but</w:t>
      </w:r>
      <w:r w:rsidRPr="00E8656C">
        <w:rPr>
          <w:rFonts w:cs="Arial"/>
          <w:lang w:eastAsia="en-GB"/>
        </w:rPr>
        <w:t xml:space="preserve"> had not yet left at the time of the survey.</w:t>
      </w:r>
    </w:p>
    <w:p w14:paraId="0967757F" w14:textId="5F78B8C2" w:rsidR="008D6F5D" w:rsidRPr="00E8656C" w:rsidRDefault="008D6F5D" w:rsidP="008D6F5D">
      <w:pPr>
        <w:pStyle w:val="Body"/>
        <w:rPr>
          <w:rFonts w:cs="Arial"/>
          <w:lang w:eastAsia="en-GB"/>
        </w:rPr>
      </w:pPr>
      <w:r w:rsidRPr="00E8656C">
        <w:rPr>
          <w:rFonts w:cs="Arial"/>
          <w:lang w:eastAsia="en-GB"/>
        </w:rPr>
        <w:t xml:space="preserve">For undergraduate students, the </w:t>
      </w:r>
      <w:r w:rsidR="006C7C55" w:rsidRPr="00E8656C">
        <w:rPr>
          <w:rFonts w:cs="Arial"/>
          <w:lang w:eastAsia="en-GB"/>
        </w:rPr>
        <w:t xml:space="preserve">most cited </w:t>
      </w:r>
      <w:r w:rsidRPr="00E8656C">
        <w:rPr>
          <w:rFonts w:cs="Arial"/>
          <w:lang w:eastAsia="en-GB"/>
        </w:rPr>
        <w:t>reasons for considering leaving included stress levels, mental health, financial difficulties, study workload, and study/life balance.</w:t>
      </w:r>
    </w:p>
    <w:p w14:paraId="61134707" w14:textId="7BF1DB6D" w:rsidR="008D6F5D" w:rsidRPr="00E8656C" w:rsidRDefault="008D6F5D" w:rsidP="008D6F5D">
      <w:pPr>
        <w:pStyle w:val="Body"/>
        <w:rPr>
          <w:rFonts w:cs="Arial"/>
          <w:lang w:eastAsia="en-GB"/>
        </w:rPr>
      </w:pPr>
      <w:r w:rsidRPr="00E8656C">
        <w:rPr>
          <w:rFonts w:cs="Arial"/>
          <w:lang w:eastAsia="en-GB"/>
        </w:rPr>
        <w:t xml:space="preserve">Postgraduate coursework students </w:t>
      </w:r>
      <w:r w:rsidR="00E72EE0" w:rsidRPr="00E8656C">
        <w:rPr>
          <w:rFonts w:cs="Arial"/>
          <w:lang w:eastAsia="en-GB"/>
        </w:rPr>
        <w:t xml:space="preserve">chose </w:t>
      </w:r>
      <w:r w:rsidRPr="00E8656C">
        <w:rPr>
          <w:rFonts w:cs="Arial"/>
          <w:lang w:eastAsia="en-GB"/>
        </w:rPr>
        <w:t xml:space="preserve">financial difficulties, stress levels, study workload, unmet course expectations, study/life balance, and mental health as </w:t>
      </w:r>
      <w:r w:rsidR="00E72EE0" w:rsidRPr="00E8656C">
        <w:rPr>
          <w:rFonts w:cs="Arial"/>
          <w:lang w:eastAsia="en-GB"/>
        </w:rPr>
        <w:t xml:space="preserve">one of </w:t>
      </w:r>
      <w:r w:rsidRPr="00E8656C">
        <w:rPr>
          <w:rFonts w:cs="Arial"/>
          <w:lang w:eastAsia="en-GB"/>
        </w:rPr>
        <w:t>their primary reasons for considering leaving.</w:t>
      </w:r>
    </w:p>
    <w:p w14:paraId="1DE0BEC9" w14:textId="3DF0E654" w:rsidR="004967E2" w:rsidRPr="00E8656C" w:rsidRDefault="009B59BC" w:rsidP="004967E2">
      <w:pPr>
        <w:pStyle w:val="Body"/>
        <w:rPr>
          <w:rFonts w:cs="Arial"/>
        </w:rPr>
      </w:pPr>
      <w:r w:rsidRPr="00E8656C">
        <w:rPr>
          <w:rFonts w:cs="Arial"/>
          <w:lang w:eastAsia="en-GB"/>
        </w:rPr>
        <w:t>These reasons were only asked of students who had indicated they had considered leaving. However, other students may face similar challenges</w:t>
      </w:r>
      <w:r w:rsidR="004967E2" w:rsidRPr="00E8656C">
        <w:rPr>
          <w:rFonts w:cs="Arial"/>
        </w:rPr>
        <w:t>.</w:t>
      </w:r>
    </w:p>
    <w:p w14:paraId="38E1A032" w14:textId="386AF428" w:rsidR="00ED3EC8" w:rsidRPr="00E8656C" w:rsidRDefault="00E62A96" w:rsidP="00695177">
      <w:pPr>
        <w:pStyle w:val="Caption"/>
      </w:pPr>
      <w:r w:rsidRPr="00E8656C">
        <w:lastRenderedPageBreak/>
        <w:t>Likelihood</w:t>
      </w:r>
      <w:r w:rsidR="00ED3EC8" w:rsidRPr="00E8656C">
        <w:t xml:space="preserve"> to consider leaving their institution by course level</w:t>
      </w:r>
      <w:r w:rsidR="007075F8" w:rsidRPr="00E8656C">
        <w:t>,</w:t>
      </w:r>
      <w:r w:rsidR="00ED3EC8" w:rsidRPr="00E8656C">
        <w:t xml:space="preserve"> 2017</w:t>
      </w:r>
      <w:r w:rsidR="007075F8" w:rsidRPr="00E8656C">
        <w:t>–</w:t>
      </w:r>
      <w:r w:rsidR="00ED3EC8" w:rsidRPr="00E8656C">
        <w:t>24</w:t>
      </w:r>
    </w:p>
    <w:p w14:paraId="6CF6372C" w14:textId="0BBB0BCD" w:rsidR="00D2568E" w:rsidRPr="00E8656C" w:rsidRDefault="00EF3674" w:rsidP="004967E2">
      <w:pPr>
        <w:pStyle w:val="Body"/>
        <w:rPr>
          <w:rFonts w:cs="Arial"/>
        </w:rPr>
      </w:pPr>
      <w:r w:rsidRPr="00E8656C">
        <w:rPr>
          <w:rFonts w:cs="Arial"/>
          <w:noProof/>
        </w:rPr>
        <w:drawing>
          <wp:inline distT="0" distB="0" distL="0" distR="0" wp14:anchorId="21C07118" wp14:editId="2B12A6AD">
            <wp:extent cx="4964400" cy="1965600"/>
            <wp:effectExtent l="0" t="0" r="8255" b="0"/>
            <wp:docPr id="1880279546" name="Chart 1">
              <a:extLst xmlns:a="http://schemas.openxmlformats.org/drawingml/2006/main">
                <a:ext uri="{FF2B5EF4-FFF2-40B4-BE49-F238E27FC236}">
                  <a16:creationId xmlns:a16="http://schemas.microsoft.com/office/drawing/2014/main" id="{46DFB6F6-D5D2-44DA-BF25-896A557312B9}"/>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sdt>
      <w:sdtPr>
        <w:rPr>
          <w:rFonts w:eastAsiaTheme="minorEastAsia" w:cs="Arial"/>
          <w:b/>
          <w:bCs/>
          <w:color w:val="auto"/>
          <w:sz w:val="24"/>
          <w:szCs w:val="24"/>
        </w:rPr>
        <w:id w:val="213322055"/>
        <w:docPartObj>
          <w:docPartGallery w:val="Table of Contents"/>
          <w:docPartUnique/>
        </w:docPartObj>
      </w:sdtPr>
      <w:sdtEndPr>
        <w:rPr>
          <w:b w:val="0"/>
          <w:bCs w:val="0"/>
          <w:sz w:val="20"/>
          <w:szCs w:val="20"/>
        </w:rPr>
      </w:sdtEndPr>
      <w:sdtContent>
        <w:p w14:paraId="14E16137" w14:textId="77777777" w:rsidR="005A5905" w:rsidRPr="00E8656C" w:rsidRDefault="005A5905" w:rsidP="005A5905">
          <w:pPr>
            <w:pStyle w:val="TOCHeading"/>
            <w:numPr>
              <w:ilvl w:val="0"/>
              <w:numId w:val="0"/>
            </w:numPr>
            <w:rPr>
              <w:rStyle w:val="MajorHeadingChar"/>
              <w:rFonts w:cs="Arial"/>
              <w:color w:val="auto"/>
            </w:rPr>
          </w:pPr>
          <w:r w:rsidRPr="00E8656C">
            <w:rPr>
              <w:rStyle w:val="MajorHeadingChar"/>
              <w:rFonts w:cs="Arial"/>
              <w:color w:val="auto"/>
            </w:rPr>
            <w:t>Table of Contents</w:t>
          </w:r>
        </w:p>
        <w:p w14:paraId="12FB83F8" w14:textId="31856684" w:rsidR="005E54CB" w:rsidRDefault="005A5905">
          <w:pPr>
            <w:pStyle w:val="TOC1"/>
            <w:rPr>
              <w:rFonts w:asciiTheme="minorHAnsi" w:eastAsiaTheme="minorEastAsia" w:hAnsiTheme="minorHAnsi" w:cstheme="minorBidi"/>
              <w:b w:val="0"/>
              <w:kern w:val="2"/>
              <w:sz w:val="24"/>
              <w:szCs w:val="24"/>
              <w:lang w:eastAsia="zh-CN"/>
              <w14:ligatures w14:val="standardContextual"/>
            </w:rPr>
          </w:pPr>
          <w:r w:rsidRPr="00E8656C">
            <w:rPr>
              <w:rFonts w:cs="Arial"/>
            </w:rPr>
            <w:fldChar w:fldCharType="begin"/>
          </w:r>
          <w:r w:rsidRPr="00E8656C">
            <w:rPr>
              <w:rFonts w:cs="Arial"/>
            </w:rPr>
            <w:instrText xml:space="preserve"> TOC \o "1-3" \h \z \u </w:instrText>
          </w:r>
          <w:r w:rsidRPr="00E8656C">
            <w:rPr>
              <w:rFonts w:cs="Arial"/>
            </w:rPr>
            <w:fldChar w:fldCharType="separate"/>
          </w:r>
          <w:hyperlink w:anchor="_Toc207802589" w:history="1">
            <w:r w:rsidR="005E54CB" w:rsidRPr="006B49B7">
              <w:rPr>
                <w:rStyle w:val="Hyperlink"/>
                <w:rFonts w:cs="Arial"/>
              </w:rPr>
              <w:t>Acknowledgements</w:t>
            </w:r>
            <w:r w:rsidR="005E54CB">
              <w:rPr>
                <w:webHidden/>
              </w:rPr>
              <w:tab/>
            </w:r>
            <w:r w:rsidR="005E54CB">
              <w:rPr>
                <w:webHidden/>
              </w:rPr>
              <w:fldChar w:fldCharType="begin"/>
            </w:r>
            <w:r w:rsidR="005E54CB">
              <w:rPr>
                <w:webHidden/>
              </w:rPr>
              <w:instrText xml:space="preserve"> PAGEREF _Toc207802589 \h </w:instrText>
            </w:r>
            <w:r w:rsidR="005E54CB">
              <w:rPr>
                <w:webHidden/>
              </w:rPr>
            </w:r>
            <w:r w:rsidR="005E54CB">
              <w:rPr>
                <w:webHidden/>
              </w:rPr>
              <w:fldChar w:fldCharType="separate"/>
            </w:r>
            <w:r w:rsidR="005E54CB">
              <w:rPr>
                <w:webHidden/>
              </w:rPr>
              <w:t>ii</w:t>
            </w:r>
            <w:r w:rsidR="005E54CB">
              <w:rPr>
                <w:webHidden/>
              </w:rPr>
              <w:fldChar w:fldCharType="end"/>
            </w:r>
          </w:hyperlink>
        </w:p>
        <w:p w14:paraId="56028C9F" w14:textId="43D788DC" w:rsidR="005E54CB" w:rsidRDefault="005E54CB">
          <w:pPr>
            <w:pStyle w:val="TOC1"/>
            <w:rPr>
              <w:rFonts w:asciiTheme="minorHAnsi" w:eastAsiaTheme="minorEastAsia" w:hAnsiTheme="minorHAnsi" w:cstheme="minorBidi"/>
              <w:b w:val="0"/>
              <w:kern w:val="2"/>
              <w:sz w:val="24"/>
              <w:szCs w:val="24"/>
              <w:lang w:eastAsia="zh-CN"/>
              <w14:ligatures w14:val="standardContextual"/>
            </w:rPr>
          </w:pPr>
          <w:hyperlink w:anchor="_Toc207802590" w:history="1">
            <w:r w:rsidRPr="006B49B7">
              <w:rPr>
                <w:rStyle w:val="Hyperlink"/>
                <w:rFonts w:cs="Arial"/>
              </w:rPr>
              <w:t>Executive summary</w:t>
            </w:r>
            <w:r>
              <w:rPr>
                <w:webHidden/>
              </w:rPr>
              <w:tab/>
            </w:r>
            <w:r>
              <w:rPr>
                <w:webHidden/>
              </w:rPr>
              <w:fldChar w:fldCharType="begin"/>
            </w:r>
            <w:r>
              <w:rPr>
                <w:webHidden/>
              </w:rPr>
              <w:instrText xml:space="preserve"> PAGEREF _Toc207802590 \h </w:instrText>
            </w:r>
            <w:r>
              <w:rPr>
                <w:webHidden/>
              </w:rPr>
            </w:r>
            <w:r>
              <w:rPr>
                <w:webHidden/>
              </w:rPr>
              <w:fldChar w:fldCharType="separate"/>
            </w:r>
            <w:r>
              <w:rPr>
                <w:webHidden/>
              </w:rPr>
              <w:t>iii</w:t>
            </w:r>
            <w:r>
              <w:rPr>
                <w:webHidden/>
              </w:rPr>
              <w:fldChar w:fldCharType="end"/>
            </w:r>
          </w:hyperlink>
        </w:p>
        <w:p w14:paraId="3AD98D33" w14:textId="25230C3E" w:rsidR="005E54CB" w:rsidRDefault="005E54CB">
          <w:pPr>
            <w:pStyle w:val="TOC1"/>
            <w:rPr>
              <w:rFonts w:asciiTheme="minorHAnsi" w:eastAsiaTheme="minorEastAsia" w:hAnsiTheme="minorHAnsi" w:cstheme="minorBidi"/>
              <w:b w:val="0"/>
              <w:kern w:val="2"/>
              <w:sz w:val="24"/>
              <w:szCs w:val="24"/>
              <w:lang w:eastAsia="zh-CN"/>
              <w14:ligatures w14:val="standardContextual"/>
            </w:rPr>
          </w:pPr>
          <w:hyperlink w:anchor="_Toc207802591" w:history="1">
            <w:r w:rsidRPr="006B49B7">
              <w:rPr>
                <w:rStyle w:val="Hyperlink"/>
                <w:rFonts w:cs="Arial"/>
              </w:rPr>
              <w:t>List of Tables</w:t>
            </w:r>
            <w:r>
              <w:rPr>
                <w:webHidden/>
              </w:rPr>
              <w:tab/>
            </w:r>
            <w:r>
              <w:rPr>
                <w:webHidden/>
              </w:rPr>
              <w:fldChar w:fldCharType="begin"/>
            </w:r>
            <w:r>
              <w:rPr>
                <w:webHidden/>
              </w:rPr>
              <w:instrText xml:space="preserve"> PAGEREF _Toc207802591 \h </w:instrText>
            </w:r>
            <w:r>
              <w:rPr>
                <w:webHidden/>
              </w:rPr>
            </w:r>
            <w:r>
              <w:rPr>
                <w:webHidden/>
              </w:rPr>
              <w:fldChar w:fldCharType="separate"/>
            </w:r>
            <w:r>
              <w:rPr>
                <w:webHidden/>
              </w:rPr>
              <w:t>ix</w:t>
            </w:r>
            <w:r>
              <w:rPr>
                <w:webHidden/>
              </w:rPr>
              <w:fldChar w:fldCharType="end"/>
            </w:r>
          </w:hyperlink>
        </w:p>
        <w:p w14:paraId="470AA469" w14:textId="37C4629F" w:rsidR="005E54CB" w:rsidRDefault="005E54CB">
          <w:pPr>
            <w:pStyle w:val="TOC1"/>
            <w:rPr>
              <w:rFonts w:asciiTheme="minorHAnsi" w:eastAsiaTheme="minorEastAsia" w:hAnsiTheme="minorHAnsi" w:cstheme="minorBidi"/>
              <w:b w:val="0"/>
              <w:kern w:val="2"/>
              <w:sz w:val="24"/>
              <w:szCs w:val="24"/>
              <w:lang w:eastAsia="zh-CN"/>
              <w14:ligatures w14:val="standardContextual"/>
            </w:rPr>
          </w:pPr>
          <w:hyperlink w:anchor="_Toc207802592" w:history="1">
            <w:r w:rsidRPr="006B49B7">
              <w:rPr>
                <w:rStyle w:val="Hyperlink"/>
                <w:rFonts w:cs="Arial"/>
              </w:rPr>
              <w:t>List of Figures</w:t>
            </w:r>
            <w:r>
              <w:rPr>
                <w:webHidden/>
              </w:rPr>
              <w:tab/>
            </w:r>
            <w:r>
              <w:rPr>
                <w:webHidden/>
              </w:rPr>
              <w:fldChar w:fldCharType="begin"/>
            </w:r>
            <w:r>
              <w:rPr>
                <w:webHidden/>
              </w:rPr>
              <w:instrText xml:space="preserve"> PAGEREF _Toc207802592 \h </w:instrText>
            </w:r>
            <w:r>
              <w:rPr>
                <w:webHidden/>
              </w:rPr>
            </w:r>
            <w:r>
              <w:rPr>
                <w:webHidden/>
              </w:rPr>
              <w:fldChar w:fldCharType="separate"/>
            </w:r>
            <w:r>
              <w:rPr>
                <w:webHidden/>
              </w:rPr>
              <w:t>x</w:t>
            </w:r>
            <w:r>
              <w:rPr>
                <w:webHidden/>
              </w:rPr>
              <w:fldChar w:fldCharType="end"/>
            </w:r>
          </w:hyperlink>
        </w:p>
        <w:p w14:paraId="7E522389" w14:textId="4C6D9397" w:rsidR="005E54CB" w:rsidRDefault="005E54CB">
          <w:pPr>
            <w:pStyle w:val="TOC1"/>
            <w:rPr>
              <w:rFonts w:asciiTheme="minorHAnsi" w:eastAsiaTheme="minorEastAsia" w:hAnsiTheme="minorHAnsi" w:cstheme="minorBidi"/>
              <w:b w:val="0"/>
              <w:kern w:val="2"/>
              <w:sz w:val="24"/>
              <w:szCs w:val="24"/>
              <w:lang w:eastAsia="zh-CN"/>
              <w14:ligatures w14:val="standardContextual"/>
            </w:rPr>
          </w:pPr>
          <w:hyperlink w:anchor="_Toc207802593" w:history="1">
            <w:r w:rsidRPr="006B49B7">
              <w:rPr>
                <w:rStyle w:val="Hyperlink"/>
                <w:rFonts w:cs="Arial"/>
              </w:rPr>
              <w:t>1.</w:t>
            </w:r>
            <w:r>
              <w:rPr>
                <w:rFonts w:asciiTheme="minorHAnsi" w:eastAsiaTheme="minorEastAsia" w:hAnsiTheme="minorHAnsi" w:cstheme="minorBidi"/>
                <w:b w:val="0"/>
                <w:kern w:val="2"/>
                <w:sz w:val="24"/>
                <w:szCs w:val="24"/>
                <w:lang w:eastAsia="zh-CN"/>
                <w14:ligatures w14:val="standardContextual"/>
              </w:rPr>
              <w:tab/>
            </w:r>
            <w:r w:rsidRPr="006B49B7">
              <w:rPr>
                <w:rStyle w:val="Hyperlink"/>
                <w:rFonts w:cs="Arial"/>
              </w:rPr>
              <w:t>Background</w:t>
            </w:r>
            <w:r>
              <w:rPr>
                <w:webHidden/>
              </w:rPr>
              <w:tab/>
            </w:r>
            <w:r>
              <w:rPr>
                <w:webHidden/>
              </w:rPr>
              <w:fldChar w:fldCharType="begin"/>
            </w:r>
            <w:r>
              <w:rPr>
                <w:webHidden/>
              </w:rPr>
              <w:instrText xml:space="preserve"> PAGEREF _Toc207802593 \h </w:instrText>
            </w:r>
            <w:r>
              <w:rPr>
                <w:webHidden/>
              </w:rPr>
            </w:r>
            <w:r>
              <w:rPr>
                <w:webHidden/>
              </w:rPr>
              <w:fldChar w:fldCharType="separate"/>
            </w:r>
            <w:r>
              <w:rPr>
                <w:webHidden/>
              </w:rPr>
              <w:t>1</w:t>
            </w:r>
            <w:r>
              <w:rPr>
                <w:webHidden/>
              </w:rPr>
              <w:fldChar w:fldCharType="end"/>
            </w:r>
          </w:hyperlink>
        </w:p>
        <w:p w14:paraId="302A4558" w14:textId="5259BCF2"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594" w:history="1">
            <w:r w:rsidRPr="006B49B7">
              <w:rPr>
                <w:rStyle w:val="Hyperlink"/>
              </w:rPr>
              <w:t>1.1</w:t>
            </w:r>
            <w:r>
              <w:rPr>
                <w:rFonts w:asciiTheme="minorHAnsi" w:eastAsiaTheme="minorEastAsia" w:hAnsiTheme="minorHAnsi" w:cstheme="minorBidi"/>
                <w:kern w:val="2"/>
                <w:sz w:val="24"/>
                <w:szCs w:val="24"/>
                <w:lang w:eastAsia="zh-CN"/>
                <w14:ligatures w14:val="standardContextual"/>
              </w:rPr>
              <w:tab/>
            </w:r>
            <w:r w:rsidRPr="006B49B7">
              <w:rPr>
                <w:rStyle w:val="Hyperlink"/>
              </w:rPr>
              <w:t>About the SES</w:t>
            </w:r>
            <w:r>
              <w:rPr>
                <w:webHidden/>
              </w:rPr>
              <w:tab/>
            </w:r>
            <w:r>
              <w:rPr>
                <w:webHidden/>
              </w:rPr>
              <w:fldChar w:fldCharType="begin"/>
            </w:r>
            <w:r>
              <w:rPr>
                <w:webHidden/>
              </w:rPr>
              <w:instrText xml:space="preserve"> PAGEREF _Toc207802594 \h </w:instrText>
            </w:r>
            <w:r>
              <w:rPr>
                <w:webHidden/>
              </w:rPr>
            </w:r>
            <w:r>
              <w:rPr>
                <w:webHidden/>
              </w:rPr>
              <w:fldChar w:fldCharType="separate"/>
            </w:r>
            <w:r>
              <w:rPr>
                <w:webHidden/>
              </w:rPr>
              <w:t>1</w:t>
            </w:r>
            <w:r>
              <w:rPr>
                <w:webHidden/>
              </w:rPr>
              <w:fldChar w:fldCharType="end"/>
            </w:r>
          </w:hyperlink>
        </w:p>
        <w:p w14:paraId="60B2FD22" w14:textId="711753B9"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595" w:history="1">
            <w:r w:rsidRPr="006B49B7">
              <w:rPr>
                <w:rStyle w:val="Hyperlink"/>
              </w:rPr>
              <w:t>1.2</w:t>
            </w:r>
            <w:r>
              <w:rPr>
                <w:rFonts w:asciiTheme="minorHAnsi" w:eastAsiaTheme="minorEastAsia" w:hAnsiTheme="minorHAnsi" w:cstheme="minorBidi"/>
                <w:kern w:val="2"/>
                <w:sz w:val="24"/>
                <w:szCs w:val="24"/>
                <w:lang w:eastAsia="zh-CN"/>
                <w14:ligatures w14:val="standardContextual"/>
              </w:rPr>
              <w:tab/>
            </w:r>
            <w:r w:rsidRPr="006B49B7">
              <w:rPr>
                <w:rStyle w:val="Hyperlink"/>
              </w:rPr>
              <w:t>Participation in the 2024 SES</w:t>
            </w:r>
            <w:r>
              <w:rPr>
                <w:webHidden/>
              </w:rPr>
              <w:tab/>
            </w:r>
            <w:r>
              <w:rPr>
                <w:webHidden/>
              </w:rPr>
              <w:fldChar w:fldCharType="begin"/>
            </w:r>
            <w:r>
              <w:rPr>
                <w:webHidden/>
              </w:rPr>
              <w:instrText xml:space="preserve"> PAGEREF _Toc207802595 \h </w:instrText>
            </w:r>
            <w:r>
              <w:rPr>
                <w:webHidden/>
              </w:rPr>
            </w:r>
            <w:r>
              <w:rPr>
                <w:webHidden/>
              </w:rPr>
              <w:fldChar w:fldCharType="separate"/>
            </w:r>
            <w:r>
              <w:rPr>
                <w:webHidden/>
              </w:rPr>
              <w:t>1</w:t>
            </w:r>
            <w:r>
              <w:rPr>
                <w:webHidden/>
              </w:rPr>
              <w:fldChar w:fldCharType="end"/>
            </w:r>
          </w:hyperlink>
        </w:p>
        <w:p w14:paraId="4DA5FC15" w14:textId="754E09F4"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596" w:history="1">
            <w:r w:rsidRPr="006B49B7">
              <w:rPr>
                <w:rStyle w:val="Hyperlink"/>
              </w:rPr>
              <w:t>1.3</w:t>
            </w:r>
            <w:r>
              <w:rPr>
                <w:rFonts w:asciiTheme="minorHAnsi" w:eastAsiaTheme="minorEastAsia" w:hAnsiTheme="minorHAnsi" w:cstheme="minorBidi"/>
                <w:kern w:val="2"/>
                <w:sz w:val="24"/>
                <w:szCs w:val="24"/>
                <w:lang w:eastAsia="zh-CN"/>
                <w14:ligatures w14:val="standardContextual"/>
              </w:rPr>
              <w:tab/>
            </w:r>
            <w:r w:rsidRPr="006B49B7">
              <w:rPr>
                <w:rStyle w:val="Hyperlink"/>
              </w:rPr>
              <w:t>About this report</w:t>
            </w:r>
            <w:r>
              <w:rPr>
                <w:webHidden/>
              </w:rPr>
              <w:tab/>
            </w:r>
            <w:r>
              <w:rPr>
                <w:webHidden/>
              </w:rPr>
              <w:fldChar w:fldCharType="begin"/>
            </w:r>
            <w:r>
              <w:rPr>
                <w:webHidden/>
              </w:rPr>
              <w:instrText xml:space="preserve"> PAGEREF _Toc207802596 \h </w:instrText>
            </w:r>
            <w:r>
              <w:rPr>
                <w:webHidden/>
              </w:rPr>
            </w:r>
            <w:r>
              <w:rPr>
                <w:webHidden/>
              </w:rPr>
              <w:fldChar w:fldCharType="separate"/>
            </w:r>
            <w:r>
              <w:rPr>
                <w:webHidden/>
              </w:rPr>
              <w:t>2</w:t>
            </w:r>
            <w:r>
              <w:rPr>
                <w:webHidden/>
              </w:rPr>
              <w:fldChar w:fldCharType="end"/>
            </w:r>
          </w:hyperlink>
        </w:p>
        <w:p w14:paraId="73C49FB2" w14:textId="45982FDE"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597" w:history="1">
            <w:r w:rsidRPr="006B49B7">
              <w:rPr>
                <w:rStyle w:val="Hyperlink"/>
                <w:lang w:val="en-GB"/>
              </w:rPr>
              <w:t>1.4</w:t>
            </w:r>
            <w:r>
              <w:rPr>
                <w:rFonts w:asciiTheme="minorHAnsi" w:eastAsiaTheme="minorEastAsia" w:hAnsiTheme="minorHAnsi" w:cstheme="minorBidi"/>
                <w:kern w:val="2"/>
                <w:sz w:val="24"/>
                <w:szCs w:val="24"/>
                <w:lang w:eastAsia="zh-CN"/>
                <w14:ligatures w14:val="standardContextual"/>
              </w:rPr>
              <w:tab/>
            </w:r>
            <w:r w:rsidRPr="006B49B7">
              <w:rPr>
                <w:rStyle w:val="Hyperlink"/>
                <w:lang w:val="en-GB"/>
              </w:rPr>
              <w:t>Context of changes in student experience since 2019</w:t>
            </w:r>
            <w:r>
              <w:rPr>
                <w:webHidden/>
              </w:rPr>
              <w:tab/>
            </w:r>
            <w:r>
              <w:rPr>
                <w:webHidden/>
              </w:rPr>
              <w:fldChar w:fldCharType="begin"/>
            </w:r>
            <w:r>
              <w:rPr>
                <w:webHidden/>
              </w:rPr>
              <w:instrText xml:space="preserve"> PAGEREF _Toc207802597 \h </w:instrText>
            </w:r>
            <w:r>
              <w:rPr>
                <w:webHidden/>
              </w:rPr>
            </w:r>
            <w:r>
              <w:rPr>
                <w:webHidden/>
              </w:rPr>
              <w:fldChar w:fldCharType="separate"/>
            </w:r>
            <w:r>
              <w:rPr>
                <w:webHidden/>
              </w:rPr>
              <w:t>2</w:t>
            </w:r>
            <w:r>
              <w:rPr>
                <w:webHidden/>
              </w:rPr>
              <w:fldChar w:fldCharType="end"/>
            </w:r>
          </w:hyperlink>
        </w:p>
        <w:p w14:paraId="592F6959" w14:textId="647E6ED4" w:rsidR="005E54CB" w:rsidRDefault="005E54CB">
          <w:pPr>
            <w:pStyle w:val="TOC1"/>
            <w:rPr>
              <w:rFonts w:asciiTheme="minorHAnsi" w:eastAsiaTheme="minorEastAsia" w:hAnsiTheme="minorHAnsi" w:cstheme="minorBidi"/>
              <w:b w:val="0"/>
              <w:kern w:val="2"/>
              <w:sz w:val="24"/>
              <w:szCs w:val="24"/>
              <w:lang w:eastAsia="zh-CN"/>
              <w14:ligatures w14:val="standardContextual"/>
            </w:rPr>
          </w:pPr>
          <w:hyperlink w:anchor="_Toc207802598" w:history="1">
            <w:r w:rsidRPr="006B49B7">
              <w:rPr>
                <w:rStyle w:val="Hyperlink"/>
                <w:rFonts w:cs="Arial"/>
              </w:rPr>
              <w:t>2.</w:t>
            </w:r>
            <w:r>
              <w:rPr>
                <w:rFonts w:asciiTheme="minorHAnsi" w:eastAsiaTheme="minorEastAsia" w:hAnsiTheme="minorHAnsi" w:cstheme="minorBidi"/>
                <w:b w:val="0"/>
                <w:kern w:val="2"/>
                <w:sz w:val="24"/>
                <w:szCs w:val="24"/>
                <w:lang w:eastAsia="zh-CN"/>
                <w14:ligatures w14:val="standardContextual"/>
              </w:rPr>
              <w:tab/>
            </w:r>
            <w:r w:rsidRPr="006B49B7">
              <w:rPr>
                <w:rStyle w:val="Hyperlink"/>
                <w:rFonts w:cs="Arial"/>
              </w:rPr>
              <w:t>Focus areas and Overall Educational Experience</w:t>
            </w:r>
            <w:r>
              <w:rPr>
                <w:webHidden/>
              </w:rPr>
              <w:tab/>
            </w:r>
            <w:r>
              <w:rPr>
                <w:webHidden/>
              </w:rPr>
              <w:fldChar w:fldCharType="begin"/>
            </w:r>
            <w:r>
              <w:rPr>
                <w:webHidden/>
              </w:rPr>
              <w:instrText xml:space="preserve"> PAGEREF _Toc207802598 \h </w:instrText>
            </w:r>
            <w:r>
              <w:rPr>
                <w:webHidden/>
              </w:rPr>
            </w:r>
            <w:r>
              <w:rPr>
                <w:webHidden/>
              </w:rPr>
              <w:fldChar w:fldCharType="separate"/>
            </w:r>
            <w:r>
              <w:rPr>
                <w:webHidden/>
              </w:rPr>
              <w:t>3</w:t>
            </w:r>
            <w:r>
              <w:rPr>
                <w:webHidden/>
              </w:rPr>
              <w:fldChar w:fldCharType="end"/>
            </w:r>
          </w:hyperlink>
        </w:p>
        <w:p w14:paraId="0AE95493" w14:textId="6E05FC8D"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599" w:history="1">
            <w:r w:rsidRPr="006B49B7">
              <w:rPr>
                <w:rStyle w:val="Hyperlink"/>
              </w:rPr>
              <w:t>2.1</w:t>
            </w:r>
            <w:r>
              <w:rPr>
                <w:rFonts w:asciiTheme="minorHAnsi" w:eastAsiaTheme="minorEastAsia" w:hAnsiTheme="minorHAnsi" w:cstheme="minorBidi"/>
                <w:kern w:val="2"/>
                <w:sz w:val="24"/>
                <w:szCs w:val="24"/>
                <w:lang w:eastAsia="zh-CN"/>
                <w14:ligatures w14:val="standardContextual"/>
              </w:rPr>
              <w:tab/>
            </w:r>
            <w:r w:rsidRPr="006B49B7">
              <w:rPr>
                <w:rStyle w:val="Hyperlink"/>
              </w:rPr>
              <w:t>Results by course level</w:t>
            </w:r>
            <w:r>
              <w:rPr>
                <w:webHidden/>
              </w:rPr>
              <w:tab/>
            </w:r>
            <w:r>
              <w:rPr>
                <w:webHidden/>
              </w:rPr>
              <w:fldChar w:fldCharType="begin"/>
            </w:r>
            <w:r>
              <w:rPr>
                <w:webHidden/>
              </w:rPr>
              <w:instrText xml:space="preserve"> PAGEREF _Toc207802599 \h </w:instrText>
            </w:r>
            <w:r>
              <w:rPr>
                <w:webHidden/>
              </w:rPr>
            </w:r>
            <w:r>
              <w:rPr>
                <w:webHidden/>
              </w:rPr>
              <w:fldChar w:fldCharType="separate"/>
            </w:r>
            <w:r>
              <w:rPr>
                <w:webHidden/>
              </w:rPr>
              <w:t>3</w:t>
            </w:r>
            <w:r>
              <w:rPr>
                <w:webHidden/>
              </w:rPr>
              <w:fldChar w:fldCharType="end"/>
            </w:r>
          </w:hyperlink>
        </w:p>
        <w:p w14:paraId="345E4BB1" w14:textId="56819EDD"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600" w:history="1">
            <w:r w:rsidRPr="006B49B7">
              <w:rPr>
                <w:rStyle w:val="Hyperlink"/>
              </w:rPr>
              <w:t>2.2</w:t>
            </w:r>
            <w:r>
              <w:rPr>
                <w:rFonts w:asciiTheme="minorHAnsi" w:eastAsiaTheme="minorEastAsia" w:hAnsiTheme="minorHAnsi" w:cstheme="minorBidi"/>
                <w:kern w:val="2"/>
                <w:sz w:val="24"/>
                <w:szCs w:val="24"/>
                <w:lang w:eastAsia="zh-CN"/>
                <w14:ligatures w14:val="standardContextual"/>
              </w:rPr>
              <w:tab/>
            </w:r>
            <w:r w:rsidRPr="006B49B7">
              <w:rPr>
                <w:rStyle w:val="Hyperlink"/>
              </w:rPr>
              <w:t>Results by demographic and equity groups</w:t>
            </w:r>
            <w:r>
              <w:rPr>
                <w:webHidden/>
              </w:rPr>
              <w:tab/>
            </w:r>
            <w:r>
              <w:rPr>
                <w:webHidden/>
              </w:rPr>
              <w:fldChar w:fldCharType="begin"/>
            </w:r>
            <w:r>
              <w:rPr>
                <w:webHidden/>
              </w:rPr>
              <w:instrText xml:space="preserve"> PAGEREF _Toc207802600 \h </w:instrText>
            </w:r>
            <w:r>
              <w:rPr>
                <w:webHidden/>
              </w:rPr>
            </w:r>
            <w:r>
              <w:rPr>
                <w:webHidden/>
              </w:rPr>
              <w:fldChar w:fldCharType="separate"/>
            </w:r>
            <w:r>
              <w:rPr>
                <w:webHidden/>
              </w:rPr>
              <w:t>7</w:t>
            </w:r>
            <w:r>
              <w:rPr>
                <w:webHidden/>
              </w:rPr>
              <w:fldChar w:fldCharType="end"/>
            </w:r>
          </w:hyperlink>
        </w:p>
        <w:p w14:paraId="208A994C" w14:textId="500220A3"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601" w:history="1">
            <w:r w:rsidRPr="006B49B7">
              <w:rPr>
                <w:rStyle w:val="Hyperlink"/>
              </w:rPr>
              <w:t>2.3</w:t>
            </w:r>
            <w:r>
              <w:rPr>
                <w:rFonts w:asciiTheme="minorHAnsi" w:eastAsiaTheme="minorEastAsia" w:hAnsiTheme="minorHAnsi" w:cstheme="minorBidi"/>
                <w:kern w:val="2"/>
                <w:sz w:val="24"/>
                <w:szCs w:val="24"/>
                <w:lang w:eastAsia="zh-CN"/>
                <w14:ligatures w14:val="standardContextual"/>
              </w:rPr>
              <w:tab/>
            </w:r>
            <w:r w:rsidRPr="006B49B7">
              <w:rPr>
                <w:rStyle w:val="Hyperlink"/>
              </w:rPr>
              <w:t>Study area</w:t>
            </w:r>
            <w:r>
              <w:rPr>
                <w:webHidden/>
              </w:rPr>
              <w:tab/>
            </w:r>
            <w:r>
              <w:rPr>
                <w:webHidden/>
              </w:rPr>
              <w:fldChar w:fldCharType="begin"/>
            </w:r>
            <w:r>
              <w:rPr>
                <w:webHidden/>
              </w:rPr>
              <w:instrText xml:space="preserve"> PAGEREF _Toc207802601 \h </w:instrText>
            </w:r>
            <w:r>
              <w:rPr>
                <w:webHidden/>
              </w:rPr>
            </w:r>
            <w:r>
              <w:rPr>
                <w:webHidden/>
              </w:rPr>
              <w:fldChar w:fldCharType="separate"/>
            </w:r>
            <w:r>
              <w:rPr>
                <w:webHidden/>
              </w:rPr>
              <w:t>20</w:t>
            </w:r>
            <w:r>
              <w:rPr>
                <w:webHidden/>
              </w:rPr>
              <w:fldChar w:fldCharType="end"/>
            </w:r>
          </w:hyperlink>
        </w:p>
        <w:p w14:paraId="0027C3D7" w14:textId="44940891"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602" w:history="1">
            <w:r w:rsidRPr="006B49B7">
              <w:rPr>
                <w:rStyle w:val="Hyperlink"/>
              </w:rPr>
              <w:t>2.4</w:t>
            </w:r>
            <w:r>
              <w:rPr>
                <w:rFonts w:asciiTheme="minorHAnsi" w:eastAsiaTheme="minorEastAsia" w:hAnsiTheme="minorHAnsi" w:cstheme="minorBidi"/>
                <w:kern w:val="2"/>
                <w:sz w:val="24"/>
                <w:szCs w:val="24"/>
                <w:lang w:eastAsia="zh-CN"/>
                <w14:ligatures w14:val="standardContextual"/>
              </w:rPr>
              <w:tab/>
            </w:r>
            <w:r w:rsidRPr="006B49B7">
              <w:rPr>
                <w:rStyle w:val="Hyperlink"/>
              </w:rPr>
              <w:t>Institution</w:t>
            </w:r>
            <w:r>
              <w:rPr>
                <w:webHidden/>
              </w:rPr>
              <w:tab/>
            </w:r>
            <w:r>
              <w:rPr>
                <w:webHidden/>
              </w:rPr>
              <w:fldChar w:fldCharType="begin"/>
            </w:r>
            <w:r>
              <w:rPr>
                <w:webHidden/>
              </w:rPr>
              <w:instrText xml:space="preserve"> PAGEREF _Toc207802602 \h </w:instrText>
            </w:r>
            <w:r>
              <w:rPr>
                <w:webHidden/>
              </w:rPr>
            </w:r>
            <w:r>
              <w:rPr>
                <w:webHidden/>
              </w:rPr>
              <w:fldChar w:fldCharType="separate"/>
            </w:r>
            <w:r>
              <w:rPr>
                <w:webHidden/>
              </w:rPr>
              <w:t>25</w:t>
            </w:r>
            <w:r>
              <w:rPr>
                <w:webHidden/>
              </w:rPr>
              <w:fldChar w:fldCharType="end"/>
            </w:r>
          </w:hyperlink>
        </w:p>
        <w:p w14:paraId="1090D0AC" w14:textId="32F8A38F" w:rsidR="005E54CB" w:rsidRDefault="005E54CB">
          <w:pPr>
            <w:pStyle w:val="TOC3"/>
            <w:rPr>
              <w:rFonts w:asciiTheme="minorHAnsi" w:eastAsiaTheme="minorEastAsia" w:hAnsiTheme="minorHAnsi" w:cstheme="minorBidi"/>
              <w:kern w:val="2"/>
              <w:sz w:val="24"/>
              <w:szCs w:val="24"/>
              <w:lang w:eastAsia="zh-CN"/>
              <w14:ligatures w14:val="standardContextual"/>
            </w:rPr>
          </w:pPr>
          <w:hyperlink w:anchor="_Toc207802603" w:history="1">
            <w:r w:rsidRPr="006B49B7">
              <w:rPr>
                <w:rStyle w:val="Hyperlink"/>
              </w:rPr>
              <w:t>2.4.1</w:t>
            </w:r>
            <w:r>
              <w:rPr>
                <w:rFonts w:asciiTheme="minorHAnsi" w:eastAsiaTheme="minorEastAsia" w:hAnsiTheme="minorHAnsi" w:cstheme="minorBidi"/>
                <w:kern w:val="2"/>
                <w:sz w:val="24"/>
                <w:szCs w:val="24"/>
                <w:lang w:eastAsia="zh-CN"/>
                <w14:ligatures w14:val="standardContextual"/>
              </w:rPr>
              <w:tab/>
            </w:r>
            <w:r w:rsidRPr="006B49B7">
              <w:rPr>
                <w:rStyle w:val="Hyperlink"/>
              </w:rPr>
              <w:t>Higher education provider type</w:t>
            </w:r>
            <w:r>
              <w:rPr>
                <w:webHidden/>
              </w:rPr>
              <w:tab/>
            </w:r>
            <w:r>
              <w:rPr>
                <w:webHidden/>
              </w:rPr>
              <w:fldChar w:fldCharType="begin"/>
            </w:r>
            <w:r>
              <w:rPr>
                <w:webHidden/>
              </w:rPr>
              <w:instrText xml:space="preserve"> PAGEREF _Toc207802603 \h </w:instrText>
            </w:r>
            <w:r>
              <w:rPr>
                <w:webHidden/>
              </w:rPr>
            </w:r>
            <w:r>
              <w:rPr>
                <w:webHidden/>
              </w:rPr>
              <w:fldChar w:fldCharType="separate"/>
            </w:r>
            <w:r>
              <w:rPr>
                <w:webHidden/>
              </w:rPr>
              <w:t>25</w:t>
            </w:r>
            <w:r>
              <w:rPr>
                <w:webHidden/>
              </w:rPr>
              <w:fldChar w:fldCharType="end"/>
            </w:r>
          </w:hyperlink>
        </w:p>
        <w:p w14:paraId="1EA2077E" w14:textId="3B8A8D2A" w:rsidR="005E54CB" w:rsidRDefault="005E54CB">
          <w:pPr>
            <w:pStyle w:val="TOC3"/>
            <w:rPr>
              <w:rFonts w:asciiTheme="minorHAnsi" w:eastAsiaTheme="minorEastAsia" w:hAnsiTheme="minorHAnsi" w:cstheme="minorBidi"/>
              <w:kern w:val="2"/>
              <w:sz w:val="24"/>
              <w:szCs w:val="24"/>
              <w:lang w:eastAsia="zh-CN"/>
              <w14:ligatures w14:val="standardContextual"/>
            </w:rPr>
          </w:pPr>
          <w:hyperlink w:anchor="_Toc207802604" w:history="1">
            <w:r w:rsidRPr="006B49B7">
              <w:rPr>
                <w:rStyle w:val="Hyperlink"/>
              </w:rPr>
              <w:t>2.4.2</w:t>
            </w:r>
            <w:r>
              <w:rPr>
                <w:rFonts w:asciiTheme="minorHAnsi" w:eastAsiaTheme="minorEastAsia" w:hAnsiTheme="minorHAnsi" w:cstheme="minorBidi"/>
                <w:kern w:val="2"/>
                <w:sz w:val="24"/>
                <w:szCs w:val="24"/>
                <w:lang w:eastAsia="zh-CN"/>
                <w14:ligatures w14:val="standardContextual"/>
              </w:rPr>
              <w:tab/>
            </w:r>
            <w:r w:rsidRPr="006B49B7">
              <w:rPr>
                <w:rStyle w:val="Hyperlink"/>
              </w:rPr>
              <w:t>Universities</w:t>
            </w:r>
            <w:r>
              <w:rPr>
                <w:webHidden/>
              </w:rPr>
              <w:tab/>
            </w:r>
            <w:r>
              <w:rPr>
                <w:webHidden/>
              </w:rPr>
              <w:fldChar w:fldCharType="begin"/>
            </w:r>
            <w:r>
              <w:rPr>
                <w:webHidden/>
              </w:rPr>
              <w:instrText xml:space="preserve"> PAGEREF _Toc207802604 \h </w:instrText>
            </w:r>
            <w:r>
              <w:rPr>
                <w:webHidden/>
              </w:rPr>
            </w:r>
            <w:r>
              <w:rPr>
                <w:webHidden/>
              </w:rPr>
              <w:fldChar w:fldCharType="separate"/>
            </w:r>
            <w:r>
              <w:rPr>
                <w:webHidden/>
              </w:rPr>
              <w:t>28</w:t>
            </w:r>
            <w:r>
              <w:rPr>
                <w:webHidden/>
              </w:rPr>
              <w:fldChar w:fldCharType="end"/>
            </w:r>
          </w:hyperlink>
        </w:p>
        <w:p w14:paraId="490626AD" w14:textId="0519FA1F" w:rsidR="005E54CB" w:rsidRDefault="005E54CB">
          <w:pPr>
            <w:pStyle w:val="TOC3"/>
            <w:rPr>
              <w:rFonts w:asciiTheme="minorHAnsi" w:eastAsiaTheme="minorEastAsia" w:hAnsiTheme="minorHAnsi" w:cstheme="minorBidi"/>
              <w:kern w:val="2"/>
              <w:sz w:val="24"/>
              <w:szCs w:val="24"/>
              <w:lang w:eastAsia="zh-CN"/>
              <w14:ligatures w14:val="standardContextual"/>
            </w:rPr>
          </w:pPr>
          <w:hyperlink w:anchor="_Toc207802605" w:history="1">
            <w:r w:rsidRPr="006B49B7">
              <w:rPr>
                <w:rStyle w:val="Hyperlink"/>
              </w:rPr>
              <w:t>2.4.3</w:t>
            </w:r>
            <w:r>
              <w:rPr>
                <w:rFonts w:asciiTheme="minorHAnsi" w:eastAsiaTheme="minorEastAsia" w:hAnsiTheme="minorHAnsi" w:cstheme="minorBidi"/>
                <w:kern w:val="2"/>
                <w:sz w:val="24"/>
                <w:szCs w:val="24"/>
                <w:lang w:eastAsia="zh-CN"/>
                <w14:ligatures w14:val="standardContextual"/>
              </w:rPr>
              <w:tab/>
            </w:r>
            <w:r w:rsidRPr="006B49B7">
              <w:rPr>
                <w:rStyle w:val="Hyperlink"/>
              </w:rPr>
              <w:t>NUHEIs</w:t>
            </w:r>
            <w:r>
              <w:rPr>
                <w:webHidden/>
              </w:rPr>
              <w:tab/>
            </w:r>
            <w:r>
              <w:rPr>
                <w:webHidden/>
              </w:rPr>
              <w:fldChar w:fldCharType="begin"/>
            </w:r>
            <w:r>
              <w:rPr>
                <w:webHidden/>
              </w:rPr>
              <w:instrText xml:space="preserve"> PAGEREF _Toc207802605 \h </w:instrText>
            </w:r>
            <w:r>
              <w:rPr>
                <w:webHidden/>
              </w:rPr>
            </w:r>
            <w:r>
              <w:rPr>
                <w:webHidden/>
              </w:rPr>
              <w:fldChar w:fldCharType="separate"/>
            </w:r>
            <w:r>
              <w:rPr>
                <w:webHidden/>
              </w:rPr>
              <w:t>31</w:t>
            </w:r>
            <w:r>
              <w:rPr>
                <w:webHidden/>
              </w:rPr>
              <w:fldChar w:fldCharType="end"/>
            </w:r>
          </w:hyperlink>
        </w:p>
        <w:p w14:paraId="0C0685DB" w14:textId="373B74D1" w:rsidR="005E54CB" w:rsidRDefault="005E54CB">
          <w:pPr>
            <w:pStyle w:val="TOC1"/>
            <w:rPr>
              <w:rFonts w:asciiTheme="minorHAnsi" w:eastAsiaTheme="minorEastAsia" w:hAnsiTheme="minorHAnsi" w:cstheme="minorBidi"/>
              <w:b w:val="0"/>
              <w:kern w:val="2"/>
              <w:sz w:val="24"/>
              <w:szCs w:val="24"/>
              <w:lang w:eastAsia="zh-CN"/>
              <w14:ligatures w14:val="standardContextual"/>
            </w:rPr>
          </w:pPr>
          <w:hyperlink w:anchor="_Toc207802606" w:history="1">
            <w:r w:rsidRPr="006B49B7">
              <w:rPr>
                <w:rStyle w:val="Hyperlink"/>
                <w:rFonts w:cs="Arial"/>
              </w:rPr>
              <w:t>3.</w:t>
            </w:r>
            <w:r>
              <w:rPr>
                <w:rFonts w:asciiTheme="minorHAnsi" w:eastAsiaTheme="minorEastAsia" w:hAnsiTheme="minorHAnsi" w:cstheme="minorBidi"/>
                <w:b w:val="0"/>
                <w:kern w:val="2"/>
                <w:sz w:val="24"/>
                <w:szCs w:val="24"/>
                <w:lang w:eastAsia="zh-CN"/>
                <w14:ligatures w14:val="standardContextual"/>
              </w:rPr>
              <w:tab/>
            </w:r>
            <w:r w:rsidRPr="006B49B7">
              <w:rPr>
                <w:rStyle w:val="Hyperlink"/>
                <w:rFonts w:cs="Arial"/>
              </w:rPr>
              <w:t>Other aspects of the student experience</w:t>
            </w:r>
            <w:r>
              <w:rPr>
                <w:webHidden/>
              </w:rPr>
              <w:tab/>
            </w:r>
            <w:r>
              <w:rPr>
                <w:webHidden/>
              </w:rPr>
              <w:fldChar w:fldCharType="begin"/>
            </w:r>
            <w:r>
              <w:rPr>
                <w:webHidden/>
              </w:rPr>
              <w:instrText xml:space="preserve"> PAGEREF _Toc207802606 \h </w:instrText>
            </w:r>
            <w:r>
              <w:rPr>
                <w:webHidden/>
              </w:rPr>
            </w:r>
            <w:r>
              <w:rPr>
                <w:webHidden/>
              </w:rPr>
              <w:fldChar w:fldCharType="separate"/>
            </w:r>
            <w:r>
              <w:rPr>
                <w:webHidden/>
              </w:rPr>
              <w:t>34</w:t>
            </w:r>
            <w:r>
              <w:rPr>
                <w:webHidden/>
              </w:rPr>
              <w:fldChar w:fldCharType="end"/>
            </w:r>
          </w:hyperlink>
        </w:p>
        <w:p w14:paraId="7149CF37" w14:textId="5706A295"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607" w:history="1">
            <w:r w:rsidRPr="006B49B7">
              <w:rPr>
                <w:rStyle w:val="Hyperlink"/>
              </w:rPr>
              <w:t>3.1</w:t>
            </w:r>
            <w:r>
              <w:rPr>
                <w:rFonts w:asciiTheme="minorHAnsi" w:eastAsiaTheme="minorEastAsia" w:hAnsiTheme="minorHAnsi" w:cstheme="minorBidi"/>
                <w:kern w:val="2"/>
                <w:sz w:val="24"/>
                <w:szCs w:val="24"/>
                <w:lang w:eastAsia="zh-CN"/>
                <w14:ligatures w14:val="standardContextual"/>
              </w:rPr>
              <w:tab/>
            </w:r>
            <w:r w:rsidRPr="006B49B7">
              <w:rPr>
                <w:rStyle w:val="Hyperlink"/>
              </w:rPr>
              <w:t>Sense of belonging</w:t>
            </w:r>
            <w:r>
              <w:rPr>
                <w:webHidden/>
              </w:rPr>
              <w:tab/>
            </w:r>
            <w:r>
              <w:rPr>
                <w:webHidden/>
              </w:rPr>
              <w:fldChar w:fldCharType="begin"/>
            </w:r>
            <w:r>
              <w:rPr>
                <w:webHidden/>
              </w:rPr>
              <w:instrText xml:space="preserve"> PAGEREF _Toc207802607 \h </w:instrText>
            </w:r>
            <w:r>
              <w:rPr>
                <w:webHidden/>
              </w:rPr>
            </w:r>
            <w:r>
              <w:rPr>
                <w:webHidden/>
              </w:rPr>
              <w:fldChar w:fldCharType="separate"/>
            </w:r>
            <w:r>
              <w:rPr>
                <w:webHidden/>
              </w:rPr>
              <w:t>34</w:t>
            </w:r>
            <w:r>
              <w:rPr>
                <w:webHidden/>
              </w:rPr>
              <w:fldChar w:fldCharType="end"/>
            </w:r>
          </w:hyperlink>
        </w:p>
        <w:p w14:paraId="379F54B6" w14:textId="46F80C75"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608" w:history="1">
            <w:r w:rsidRPr="006B49B7">
              <w:rPr>
                <w:rStyle w:val="Hyperlink"/>
              </w:rPr>
              <w:t>3.2</w:t>
            </w:r>
            <w:r>
              <w:rPr>
                <w:rFonts w:asciiTheme="minorHAnsi" w:eastAsiaTheme="minorEastAsia" w:hAnsiTheme="minorHAnsi" w:cstheme="minorBidi"/>
                <w:kern w:val="2"/>
                <w:sz w:val="24"/>
                <w:szCs w:val="24"/>
                <w:lang w:eastAsia="zh-CN"/>
                <w14:ligatures w14:val="standardContextual"/>
              </w:rPr>
              <w:tab/>
            </w:r>
            <w:r w:rsidRPr="006B49B7">
              <w:rPr>
                <w:rStyle w:val="Hyperlink"/>
              </w:rPr>
              <w:t>Likelihood to consider leaving current institution</w:t>
            </w:r>
            <w:r>
              <w:rPr>
                <w:webHidden/>
              </w:rPr>
              <w:tab/>
            </w:r>
            <w:r>
              <w:rPr>
                <w:webHidden/>
              </w:rPr>
              <w:fldChar w:fldCharType="begin"/>
            </w:r>
            <w:r>
              <w:rPr>
                <w:webHidden/>
              </w:rPr>
              <w:instrText xml:space="preserve"> PAGEREF _Toc207802608 \h </w:instrText>
            </w:r>
            <w:r>
              <w:rPr>
                <w:webHidden/>
              </w:rPr>
            </w:r>
            <w:r>
              <w:rPr>
                <w:webHidden/>
              </w:rPr>
              <w:fldChar w:fldCharType="separate"/>
            </w:r>
            <w:r>
              <w:rPr>
                <w:webHidden/>
              </w:rPr>
              <w:t>38</w:t>
            </w:r>
            <w:r>
              <w:rPr>
                <w:webHidden/>
              </w:rPr>
              <w:fldChar w:fldCharType="end"/>
            </w:r>
          </w:hyperlink>
        </w:p>
        <w:p w14:paraId="76819AF6" w14:textId="43A95A86"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609" w:history="1">
            <w:r w:rsidRPr="006B49B7">
              <w:rPr>
                <w:rStyle w:val="Hyperlink"/>
              </w:rPr>
              <w:t>3.3</w:t>
            </w:r>
            <w:r>
              <w:rPr>
                <w:rFonts w:asciiTheme="minorHAnsi" w:eastAsiaTheme="minorEastAsia" w:hAnsiTheme="minorHAnsi" w:cstheme="minorBidi"/>
                <w:kern w:val="2"/>
                <w:sz w:val="24"/>
                <w:szCs w:val="24"/>
                <w:lang w:eastAsia="zh-CN"/>
                <w14:ligatures w14:val="standardContextual"/>
              </w:rPr>
              <w:tab/>
            </w:r>
            <w:r w:rsidRPr="006B49B7">
              <w:rPr>
                <w:rStyle w:val="Hyperlink"/>
              </w:rPr>
              <w:t>Freedom of expression</w:t>
            </w:r>
            <w:r>
              <w:rPr>
                <w:webHidden/>
              </w:rPr>
              <w:tab/>
            </w:r>
            <w:r>
              <w:rPr>
                <w:webHidden/>
              </w:rPr>
              <w:fldChar w:fldCharType="begin"/>
            </w:r>
            <w:r>
              <w:rPr>
                <w:webHidden/>
              </w:rPr>
              <w:instrText xml:space="preserve"> PAGEREF _Toc207802609 \h </w:instrText>
            </w:r>
            <w:r>
              <w:rPr>
                <w:webHidden/>
              </w:rPr>
            </w:r>
            <w:r>
              <w:rPr>
                <w:webHidden/>
              </w:rPr>
              <w:fldChar w:fldCharType="separate"/>
            </w:r>
            <w:r>
              <w:rPr>
                <w:webHidden/>
              </w:rPr>
              <w:t>40</w:t>
            </w:r>
            <w:r>
              <w:rPr>
                <w:webHidden/>
              </w:rPr>
              <w:fldChar w:fldCharType="end"/>
            </w:r>
          </w:hyperlink>
        </w:p>
        <w:p w14:paraId="6522CF31" w14:textId="24F1F5B8" w:rsidR="005E54CB" w:rsidRDefault="005E54CB">
          <w:pPr>
            <w:pStyle w:val="TOC1"/>
            <w:tabs>
              <w:tab w:val="left" w:pos="1843"/>
            </w:tabs>
            <w:rPr>
              <w:rFonts w:asciiTheme="minorHAnsi" w:eastAsiaTheme="minorEastAsia" w:hAnsiTheme="minorHAnsi" w:cstheme="minorBidi"/>
              <w:b w:val="0"/>
              <w:kern w:val="2"/>
              <w:sz w:val="24"/>
              <w:szCs w:val="24"/>
              <w:lang w:eastAsia="zh-CN"/>
              <w14:ligatures w14:val="standardContextual"/>
            </w:rPr>
          </w:pPr>
          <w:hyperlink w:anchor="_Toc207802610" w:history="1">
            <w:r w:rsidRPr="006B49B7">
              <w:rPr>
                <w:rStyle w:val="Hyperlink"/>
              </w:rPr>
              <w:t>Appendix 1</w:t>
            </w:r>
            <w:r>
              <w:rPr>
                <w:rFonts w:asciiTheme="minorHAnsi" w:eastAsiaTheme="minorEastAsia" w:hAnsiTheme="minorHAnsi" w:cstheme="minorBidi"/>
                <w:b w:val="0"/>
                <w:kern w:val="2"/>
                <w:sz w:val="24"/>
                <w:szCs w:val="24"/>
                <w:lang w:eastAsia="zh-CN"/>
                <w14:ligatures w14:val="standardContextual"/>
              </w:rPr>
              <w:tab/>
            </w:r>
            <w:r w:rsidRPr="006B49B7">
              <w:rPr>
                <w:rStyle w:val="Hyperlink"/>
              </w:rPr>
              <w:t>SES Focus area items</w:t>
            </w:r>
            <w:r>
              <w:rPr>
                <w:webHidden/>
              </w:rPr>
              <w:tab/>
            </w:r>
            <w:r>
              <w:rPr>
                <w:webHidden/>
              </w:rPr>
              <w:fldChar w:fldCharType="begin"/>
            </w:r>
            <w:r>
              <w:rPr>
                <w:webHidden/>
              </w:rPr>
              <w:instrText xml:space="preserve"> PAGEREF _Toc207802610 \h </w:instrText>
            </w:r>
            <w:r>
              <w:rPr>
                <w:webHidden/>
              </w:rPr>
            </w:r>
            <w:r>
              <w:rPr>
                <w:webHidden/>
              </w:rPr>
              <w:fldChar w:fldCharType="separate"/>
            </w:r>
            <w:r>
              <w:rPr>
                <w:webHidden/>
              </w:rPr>
              <w:t>42</w:t>
            </w:r>
            <w:r>
              <w:rPr>
                <w:webHidden/>
              </w:rPr>
              <w:fldChar w:fldCharType="end"/>
            </w:r>
          </w:hyperlink>
        </w:p>
        <w:p w14:paraId="03738683" w14:textId="622CA422"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611" w:history="1">
            <w:r w:rsidRPr="006B49B7">
              <w:rPr>
                <w:rStyle w:val="Hyperlink"/>
              </w:rPr>
              <w:t>A1.1</w:t>
            </w:r>
            <w:r>
              <w:rPr>
                <w:rFonts w:asciiTheme="minorHAnsi" w:eastAsiaTheme="minorEastAsia" w:hAnsiTheme="minorHAnsi" w:cstheme="minorBidi"/>
                <w:kern w:val="2"/>
                <w:sz w:val="24"/>
                <w:szCs w:val="24"/>
                <w:lang w:eastAsia="zh-CN"/>
                <w14:ligatures w14:val="standardContextual"/>
              </w:rPr>
              <w:tab/>
            </w:r>
            <w:r w:rsidRPr="006B49B7">
              <w:rPr>
                <w:rStyle w:val="Hyperlink"/>
              </w:rPr>
              <w:t>Skills Development</w:t>
            </w:r>
            <w:r>
              <w:rPr>
                <w:webHidden/>
              </w:rPr>
              <w:tab/>
            </w:r>
            <w:r>
              <w:rPr>
                <w:webHidden/>
              </w:rPr>
              <w:fldChar w:fldCharType="begin"/>
            </w:r>
            <w:r>
              <w:rPr>
                <w:webHidden/>
              </w:rPr>
              <w:instrText xml:space="preserve"> PAGEREF _Toc207802611 \h </w:instrText>
            </w:r>
            <w:r>
              <w:rPr>
                <w:webHidden/>
              </w:rPr>
            </w:r>
            <w:r>
              <w:rPr>
                <w:webHidden/>
              </w:rPr>
              <w:fldChar w:fldCharType="separate"/>
            </w:r>
            <w:r>
              <w:rPr>
                <w:webHidden/>
              </w:rPr>
              <w:t>42</w:t>
            </w:r>
            <w:r>
              <w:rPr>
                <w:webHidden/>
              </w:rPr>
              <w:fldChar w:fldCharType="end"/>
            </w:r>
          </w:hyperlink>
        </w:p>
        <w:p w14:paraId="01FBFECC" w14:textId="00F653DB"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612" w:history="1">
            <w:r w:rsidRPr="006B49B7">
              <w:rPr>
                <w:rStyle w:val="Hyperlink"/>
              </w:rPr>
              <w:t>A1.2</w:t>
            </w:r>
            <w:r>
              <w:rPr>
                <w:rFonts w:asciiTheme="minorHAnsi" w:eastAsiaTheme="minorEastAsia" w:hAnsiTheme="minorHAnsi" w:cstheme="minorBidi"/>
                <w:kern w:val="2"/>
                <w:sz w:val="24"/>
                <w:szCs w:val="24"/>
                <w:lang w:eastAsia="zh-CN"/>
                <w14:ligatures w14:val="standardContextual"/>
              </w:rPr>
              <w:tab/>
            </w:r>
            <w:r w:rsidRPr="006B49B7">
              <w:rPr>
                <w:rStyle w:val="Hyperlink"/>
              </w:rPr>
              <w:t>Peer Engagement (formerly Learner Engagement)</w:t>
            </w:r>
            <w:r>
              <w:rPr>
                <w:webHidden/>
              </w:rPr>
              <w:tab/>
            </w:r>
            <w:r>
              <w:rPr>
                <w:webHidden/>
              </w:rPr>
              <w:fldChar w:fldCharType="begin"/>
            </w:r>
            <w:r>
              <w:rPr>
                <w:webHidden/>
              </w:rPr>
              <w:instrText xml:space="preserve"> PAGEREF _Toc207802612 \h </w:instrText>
            </w:r>
            <w:r>
              <w:rPr>
                <w:webHidden/>
              </w:rPr>
            </w:r>
            <w:r>
              <w:rPr>
                <w:webHidden/>
              </w:rPr>
              <w:fldChar w:fldCharType="separate"/>
            </w:r>
            <w:r>
              <w:rPr>
                <w:webHidden/>
              </w:rPr>
              <w:t>42</w:t>
            </w:r>
            <w:r>
              <w:rPr>
                <w:webHidden/>
              </w:rPr>
              <w:fldChar w:fldCharType="end"/>
            </w:r>
          </w:hyperlink>
        </w:p>
        <w:p w14:paraId="3B6A9C38" w14:textId="45E6E83C"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613" w:history="1">
            <w:r w:rsidRPr="006B49B7">
              <w:rPr>
                <w:rStyle w:val="Hyperlink"/>
              </w:rPr>
              <w:t>A1.3</w:t>
            </w:r>
            <w:r>
              <w:rPr>
                <w:rFonts w:asciiTheme="minorHAnsi" w:eastAsiaTheme="minorEastAsia" w:hAnsiTheme="minorHAnsi" w:cstheme="minorBidi"/>
                <w:kern w:val="2"/>
                <w:sz w:val="24"/>
                <w:szCs w:val="24"/>
                <w:lang w:eastAsia="zh-CN"/>
                <w14:ligatures w14:val="standardContextual"/>
              </w:rPr>
              <w:tab/>
            </w:r>
            <w:r w:rsidRPr="006B49B7">
              <w:rPr>
                <w:rStyle w:val="Hyperlink"/>
              </w:rPr>
              <w:t>Teaching Quality and Engagement (formerly Teaching Quality)</w:t>
            </w:r>
            <w:r>
              <w:rPr>
                <w:webHidden/>
              </w:rPr>
              <w:tab/>
            </w:r>
            <w:r>
              <w:rPr>
                <w:webHidden/>
              </w:rPr>
              <w:fldChar w:fldCharType="begin"/>
            </w:r>
            <w:r>
              <w:rPr>
                <w:webHidden/>
              </w:rPr>
              <w:instrText xml:space="preserve"> PAGEREF _Toc207802613 \h </w:instrText>
            </w:r>
            <w:r>
              <w:rPr>
                <w:webHidden/>
              </w:rPr>
            </w:r>
            <w:r>
              <w:rPr>
                <w:webHidden/>
              </w:rPr>
              <w:fldChar w:fldCharType="separate"/>
            </w:r>
            <w:r>
              <w:rPr>
                <w:webHidden/>
              </w:rPr>
              <w:t>42</w:t>
            </w:r>
            <w:r>
              <w:rPr>
                <w:webHidden/>
              </w:rPr>
              <w:fldChar w:fldCharType="end"/>
            </w:r>
          </w:hyperlink>
        </w:p>
        <w:p w14:paraId="03F7EE76" w14:textId="25A78BEE"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614" w:history="1">
            <w:r w:rsidRPr="006B49B7">
              <w:rPr>
                <w:rStyle w:val="Hyperlink"/>
              </w:rPr>
              <w:t>A1.4</w:t>
            </w:r>
            <w:r>
              <w:rPr>
                <w:rFonts w:asciiTheme="minorHAnsi" w:eastAsiaTheme="minorEastAsia" w:hAnsiTheme="minorHAnsi" w:cstheme="minorBidi"/>
                <w:kern w:val="2"/>
                <w:sz w:val="24"/>
                <w:szCs w:val="24"/>
                <w:lang w:eastAsia="zh-CN"/>
                <w14:ligatures w14:val="standardContextual"/>
              </w:rPr>
              <w:tab/>
            </w:r>
            <w:r w:rsidRPr="006B49B7">
              <w:rPr>
                <w:rStyle w:val="Hyperlink"/>
              </w:rPr>
              <w:t>Student Support and Services (formerly Student Support)</w:t>
            </w:r>
            <w:r>
              <w:rPr>
                <w:webHidden/>
              </w:rPr>
              <w:tab/>
            </w:r>
            <w:r>
              <w:rPr>
                <w:webHidden/>
              </w:rPr>
              <w:fldChar w:fldCharType="begin"/>
            </w:r>
            <w:r>
              <w:rPr>
                <w:webHidden/>
              </w:rPr>
              <w:instrText xml:space="preserve"> PAGEREF _Toc207802614 \h </w:instrText>
            </w:r>
            <w:r>
              <w:rPr>
                <w:webHidden/>
              </w:rPr>
            </w:r>
            <w:r>
              <w:rPr>
                <w:webHidden/>
              </w:rPr>
              <w:fldChar w:fldCharType="separate"/>
            </w:r>
            <w:r>
              <w:rPr>
                <w:webHidden/>
              </w:rPr>
              <w:t>43</w:t>
            </w:r>
            <w:r>
              <w:rPr>
                <w:webHidden/>
              </w:rPr>
              <w:fldChar w:fldCharType="end"/>
            </w:r>
          </w:hyperlink>
        </w:p>
        <w:p w14:paraId="5983CE60" w14:textId="24538B7A"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615" w:history="1">
            <w:r w:rsidRPr="006B49B7">
              <w:rPr>
                <w:rStyle w:val="Hyperlink"/>
              </w:rPr>
              <w:t>A1.5</w:t>
            </w:r>
            <w:r>
              <w:rPr>
                <w:rFonts w:asciiTheme="minorHAnsi" w:eastAsiaTheme="minorEastAsia" w:hAnsiTheme="minorHAnsi" w:cstheme="minorBidi"/>
                <w:kern w:val="2"/>
                <w:sz w:val="24"/>
                <w:szCs w:val="24"/>
                <w:lang w:eastAsia="zh-CN"/>
                <w14:ligatures w14:val="standardContextual"/>
              </w:rPr>
              <w:tab/>
            </w:r>
            <w:r w:rsidRPr="006B49B7">
              <w:rPr>
                <w:rStyle w:val="Hyperlink"/>
              </w:rPr>
              <w:t>Learning Resources</w:t>
            </w:r>
            <w:r>
              <w:rPr>
                <w:webHidden/>
              </w:rPr>
              <w:tab/>
            </w:r>
            <w:r>
              <w:rPr>
                <w:webHidden/>
              </w:rPr>
              <w:fldChar w:fldCharType="begin"/>
            </w:r>
            <w:r>
              <w:rPr>
                <w:webHidden/>
              </w:rPr>
              <w:instrText xml:space="preserve"> PAGEREF _Toc207802615 \h </w:instrText>
            </w:r>
            <w:r>
              <w:rPr>
                <w:webHidden/>
              </w:rPr>
            </w:r>
            <w:r>
              <w:rPr>
                <w:webHidden/>
              </w:rPr>
              <w:fldChar w:fldCharType="separate"/>
            </w:r>
            <w:r>
              <w:rPr>
                <w:webHidden/>
              </w:rPr>
              <w:t>43</w:t>
            </w:r>
            <w:r>
              <w:rPr>
                <w:webHidden/>
              </w:rPr>
              <w:fldChar w:fldCharType="end"/>
            </w:r>
          </w:hyperlink>
        </w:p>
        <w:p w14:paraId="30912AD8" w14:textId="7A6C4D2B" w:rsidR="005E54CB" w:rsidRDefault="005E54CB">
          <w:pPr>
            <w:pStyle w:val="TOC1"/>
            <w:tabs>
              <w:tab w:val="left" w:pos="1843"/>
            </w:tabs>
            <w:rPr>
              <w:rFonts w:asciiTheme="minorHAnsi" w:eastAsiaTheme="minorEastAsia" w:hAnsiTheme="minorHAnsi" w:cstheme="minorBidi"/>
              <w:b w:val="0"/>
              <w:kern w:val="2"/>
              <w:sz w:val="24"/>
              <w:szCs w:val="24"/>
              <w:lang w:eastAsia="zh-CN"/>
              <w14:ligatures w14:val="standardContextual"/>
            </w:rPr>
          </w:pPr>
          <w:hyperlink w:anchor="_Toc207802616" w:history="1">
            <w:r w:rsidRPr="006B49B7">
              <w:rPr>
                <w:rStyle w:val="Hyperlink"/>
                <w:rFonts w:cs="Arial"/>
              </w:rPr>
              <w:t>Appendix 2</w:t>
            </w:r>
            <w:r>
              <w:rPr>
                <w:rFonts w:asciiTheme="minorHAnsi" w:eastAsiaTheme="minorEastAsia" w:hAnsiTheme="minorHAnsi" w:cstheme="minorBidi"/>
                <w:b w:val="0"/>
                <w:kern w:val="2"/>
                <w:sz w:val="24"/>
                <w:szCs w:val="24"/>
                <w:lang w:eastAsia="zh-CN"/>
                <w14:ligatures w14:val="standardContextual"/>
              </w:rPr>
              <w:tab/>
            </w:r>
            <w:r w:rsidRPr="006B49B7">
              <w:rPr>
                <w:rStyle w:val="Hyperlink"/>
                <w:rFonts w:cs="Arial"/>
              </w:rPr>
              <w:t>Detailed tables</w:t>
            </w:r>
            <w:r>
              <w:rPr>
                <w:webHidden/>
              </w:rPr>
              <w:tab/>
            </w:r>
            <w:r>
              <w:rPr>
                <w:webHidden/>
              </w:rPr>
              <w:fldChar w:fldCharType="begin"/>
            </w:r>
            <w:r>
              <w:rPr>
                <w:webHidden/>
              </w:rPr>
              <w:instrText xml:space="preserve"> PAGEREF _Toc207802616 \h </w:instrText>
            </w:r>
            <w:r>
              <w:rPr>
                <w:webHidden/>
              </w:rPr>
            </w:r>
            <w:r>
              <w:rPr>
                <w:webHidden/>
              </w:rPr>
              <w:fldChar w:fldCharType="separate"/>
            </w:r>
            <w:r>
              <w:rPr>
                <w:webHidden/>
              </w:rPr>
              <w:t>44</w:t>
            </w:r>
            <w:r>
              <w:rPr>
                <w:webHidden/>
              </w:rPr>
              <w:fldChar w:fldCharType="end"/>
            </w:r>
          </w:hyperlink>
        </w:p>
        <w:p w14:paraId="4C255E82" w14:textId="5C5F6154"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617" w:history="1">
            <w:r w:rsidRPr="006B49B7">
              <w:rPr>
                <w:rStyle w:val="Hyperlink"/>
              </w:rPr>
              <w:t>A2.1</w:t>
            </w:r>
            <w:r>
              <w:rPr>
                <w:rFonts w:asciiTheme="minorHAnsi" w:eastAsiaTheme="minorEastAsia" w:hAnsiTheme="minorHAnsi" w:cstheme="minorBidi"/>
                <w:kern w:val="2"/>
                <w:sz w:val="24"/>
                <w:szCs w:val="24"/>
                <w:lang w:eastAsia="zh-CN"/>
                <w14:ligatures w14:val="standardContextual"/>
              </w:rPr>
              <w:tab/>
            </w:r>
            <w:r w:rsidRPr="006B49B7">
              <w:rPr>
                <w:rStyle w:val="Hyperlink"/>
              </w:rPr>
              <w:t>Focus areas and the Overall Educational Experience</w:t>
            </w:r>
            <w:r>
              <w:rPr>
                <w:webHidden/>
              </w:rPr>
              <w:tab/>
            </w:r>
            <w:r>
              <w:rPr>
                <w:webHidden/>
              </w:rPr>
              <w:fldChar w:fldCharType="begin"/>
            </w:r>
            <w:r>
              <w:rPr>
                <w:webHidden/>
              </w:rPr>
              <w:instrText xml:space="preserve"> PAGEREF _Toc207802617 \h </w:instrText>
            </w:r>
            <w:r>
              <w:rPr>
                <w:webHidden/>
              </w:rPr>
            </w:r>
            <w:r>
              <w:rPr>
                <w:webHidden/>
              </w:rPr>
              <w:fldChar w:fldCharType="separate"/>
            </w:r>
            <w:r>
              <w:rPr>
                <w:webHidden/>
              </w:rPr>
              <w:t>44</w:t>
            </w:r>
            <w:r>
              <w:rPr>
                <w:webHidden/>
              </w:rPr>
              <w:fldChar w:fldCharType="end"/>
            </w:r>
          </w:hyperlink>
        </w:p>
        <w:p w14:paraId="50A78A5A" w14:textId="0A69EE61" w:rsidR="005E54CB" w:rsidRDefault="005E54CB">
          <w:pPr>
            <w:pStyle w:val="TOC3"/>
            <w:rPr>
              <w:rFonts w:asciiTheme="minorHAnsi" w:eastAsiaTheme="minorEastAsia" w:hAnsiTheme="minorHAnsi" w:cstheme="minorBidi"/>
              <w:kern w:val="2"/>
              <w:sz w:val="24"/>
              <w:szCs w:val="24"/>
              <w:lang w:eastAsia="zh-CN"/>
              <w14:ligatures w14:val="standardContextual"/>
            </w:rPr>
          </w:pPr>
          <w:hyperlink w:anchor="_Toc207802618" w:history="1">
            <w:r w:rsidRPr="006B49B7">
              <w:rPr>
                <w:rStyle w:val="Hyperlink"/>
              </w:rPr>
              <w:t>A2.1.1</w:t>
            </w:r>
            <w:r>
              <w:rPr>
                <w:rFonts w:asciiTheme="minorHAnsi" w:eastAsiaTheme="minorEastAsia" w:hAnsiTheme="minorHAnsi" w:cstheme="minorBidi"/>
                <w:kern w:val="2"/>
                <w:sz w:val="24"/>
                <w:szCs w:val="24"/>
                <w:lang w:eastAsia="zh-CN"/>
                <w14:ligatures w14:val="standardContextual"/>
              </w:rPr>
              <w:tab/>
            </w:r>
            <w:r w:rsidRPr="006B49B7">
              <w:rPr>
                <w:rStyle w:val="Hyperlink"/>
              </w:rPr>
              <w:t>Course level by demographic sub-groups</w:t>
            </w:r>
            <w:r>
              <w:rPr>
                <w:webHidden/>
              </w:rPr>
              <w:tab/>
            </w:r>
            <w:r>
              <w:rPr>
                <w:webHidden/>
              </w:rPr>
              <w:fldChar w:fldCharType="begin"/>
            </w:r>
            <w:r>
              <w:rPr>
                <w:webHidden/>
              </w:rPr>
              <w:instrText xml:space="preserve"> PAGEREF _Toc207802618 \h </w:instrText>
            </w:r>
            <w:r>
              <w:rPr>
                <w:webHidden/>
              </w:rPr>
            </w:r>
            <w:r>
              <w:rPr>
                <w:webHidden/>
              </w:rPr>
              <w:fldChar w:fldCharType="separate"/>
            </w:r>
            <w:r>
              <w:rPr>
                <w:webHidden/>
              </w:rPr>
              <w:t>44</w:t>
            </w:r>
            <w:r>
              <w:rPr>
                <w:webHidden/>
              </w:rPr>
              <w:fldChar w:fldCharType="end"/>
            </w:r>
          </w:hyperlink>
        </w:p>
        <w:p w14:paraId="46737277" w14:textId="75DC255C" w:rsidR="005E54CB" w:rsidRDefault="005E54CB">
          <w:pPr>
            <w:pStyle w:val="TOC2"/>
            <w:rPr>
              <w:rFonts w:asciiTheme="minorHAnsi" w:eastAsiaTheme="minorEastAsia" w:hAnsiTheme="minorHAnsi" w:cstheme="minorBidi"/>
              <w:kern w:val="2"/>
              <w:sz w:val="24"/>
              <w:szCs w:val="24"/>
              <w:lang w:eastAsia="zh-CN"/>
              <w14:ligatures w14:val="standardContextual"/>
            </w:rPr>
          </w:pPr>
          <w:hyperlink w:anchor="_Toc207802619" w:history="1">
            <w:r w:rsidRPr="006B49B7">
              <w:rPr>
                <w:rStyle w:val="Hyperlink"/>
              </w:rPr>
              <w:t>A2.2</w:t>
            </w:r>
            <w:r>
              <w:rPr>
                <w:rFonts w:asciiTheme="minorHAnsi" w:eastAsiaTheme="minorEastAsia" w:hAnsiTheme="minorHAnsi" w:cstheme="minorBidi"/>
                <w:kern w:val="2"/>
                <w:sz w:val="24"/>
                <w:szCs w:val="24"/>
                <w:lang w:eastAsia="zh-CN"/>
                <w14:ligatures w14:val="standardContextual"/>
              </w:rPr>
              <w:tab/>
            </w:r>
            <w:r w:rsidRPr="006B49B7">
              <w:rPr>
                <w:rStyle w:val="Hyperlink"/>
              </w:rPr>
              <w:t>Other aspects of the student experience</w:t>
            </w:r>
            <w:r>
              <w:rPr>
                <w:webHidden/>
              </w:rPr>
              <w:tab/>
            </w:r>
            <w:r>
              <w:rPr>
                <w:webHidden/>
              </w:rPr>
              <w:fldChar w:fldCharType="begin"/>
            </w:r>
            <w:r>
              <w:rPr>
                <w:webHidden/>
              </w:rPr>
              <w:instrText xml:space="preserve"> PAGEREF _Toc207802619 \h </w:instrText>
            </w:r>
            <w:r>
              <w:rPr>
                <w:webHidden/>
              </w:rPr>
            </w:r>
            <w:r>
              <w:rPr>
                <w:webHidden/>
              </w:rPr>
              <w:fldChar w:fldCharType="separate"/>
            </w:r>
            <w:r>
              <w:rPr>
                <w:webHidden/>
              </w:rPr>
              <w:t>52</w:t>
            </w:r>
            <w:r>
              <w:rPr>
                <w:webHidden/>
              </w:rPr>
              <w:fldChar w:fldCharType="end"/>
            </w:r>
          </w:hyperlink>
        </w:p>
        <w:p w14:paraId="55FB1BEA" w14:textId="1A66F7DF" w:rsidR="005E54CB" w:rsidRDefault="005E54CB">
          <w:pPr>
            <w:pStyle w:val="TOC3"/>
            <w:rPr>
              <w:rFonts w:asciiTheme="minorHAnsi" w:eastAsiaTheme="minorEastAsia" w:hAnsiTheme="minorHAnsi" w:cstheme="minorBidi"/>
              <w:kern w:val="2"/>
              <w:sz w:val="24"/>
              <w:szCs w:val="24"/>
              <w:lang w:eastAsia="zh-CN"/>
              <w14:ligatures w14:val="standardContextual"/>
            </w:rPr>
          </w:pPr>
          <w:hyperlink w:anchor="_Toc207802620" w:history="1">
            <w:r w:rsidRPr="006B49B7">
              <w:rPr>
                <w:rStyle w:val="Hyperlink"/>
              </w:rPr>
              <w:t>A2.2.1</w:t>
            </w:r>
            <w:r>
              <w:rPr>
                <w:rFonts w:asciiTheme="minorHAnsi" w:eastAsiaTheme="minorEastAsia" w:hAnsiTheme="minorHAnsi" w:cstheme="minorBidi"/>
                <w:kern w:val="2"/>
                <w:sz w:val="24"/>
                <w:szCs w:val="24"/>
                <w:lang w:eastAsia="zh-CN"/>
                <w14:ligatures w14:val="standardContextual"/>
              </w:rPr>
              <w:tab/>
            </w:r>
            <w:r w:rsidRPr="006B49B7">
              <w:rPr>
                <w:rStyle w:val="Hyperlink"/>
              </w:rPr>
              <w:t>Sense of belonging</w:t>
            </w:r>
            <w:r>
              <w:rPr>
                <w:webHidden/>
              </w:rPr>
              <w:tab/>
            </w:r>
            <w:r>
              <w:rPr>
                <w:webHidden/>
              </w:rPr>
              <w:fldChar w:fldCharType="begin"/>
            </w:r>
            <w:r>
              <w:rPr>
                <w:webHidden/>
              </w:rPr>
              <w:instrText xml:space="preserve"> PAGEREF _Toc207802620 \h </w:instrText>
            </w:r>
            <w:r>
              <w:rPr>
                <w:webHidden/>
              </w:rPr>
            </w:r>
            <w:r>
              <w:rPr>
                <w:webHidden/>
              </w:rPr>
              <w:fldChar w:fldCharType="separate"/>
            </w:r>
            <w:r>
              <w:rPr>
                <w:webHidden/>
              </w:rPr>
              <w:t>52</w:t>
            </w:r>
            <w:r>
              <w:rPr>
                <w:webHidden/>
              </w:rPr>
              <w:fldChar w:fldCharType="end"/>
            </w:r>
          </w:hyperlink>
        </w:p>
        <w:p w14:paraId="1D6AD44D" w14:textId="5D44EE09" w:rsidR="005E54CB" w:rsidRDefault="005E54CB">
          <w:pPr>
            <w:pStyle w:val="TOC3"/>
            <w:rPr>
              <w:rFonts w:asciiTheme="minorHAnsi" w:eastAsiaTheme="minorEastAsia" w:hAnsiTheme="minorHAnsi" w:cstheme="minorBidi"/>
              <w:kern w:val="2"/>
              <w:sz w:val="24"/>
              <w:szCs w:val="24"/>
              <w:lang w:eastAsia="zh-CN"/>
              <w14:ligatures w14:val="standardContextual"/>
            </w:rPr>
          </w:pPr>
          <w:hyperlink w:anchor="_Toc207802621" w:history="1">
            <w:r w:rsidRPr="006B49B7">
              <w:rPr>
                <w:rStyle w:val="Hyperlink"/>
              </w:rPr>
              <w:t>A2.2.2</w:t>
            </w:r>
            <w:r>
              <w:rPr>
                <w:rFonts w:asciiTheme="minorHAnsi" w:eastAsiaTheme="minorEastAsia" w:hAnsiTheme="minorHAnsi" w:cstheme="minorBidi"/>
                <w:kern w:val="2"/>
                <w:sz w:val="24"/>
                <w:szCs w:val="24"/>
                <w:lang w:eastAsia="zh-CN"/>
                <w14:ligatures w14:val="standardContextual"/>
              </w:rPr>
              <w:tab/>
            </w:r>
            <w:r w:rsidRPr="006B49B7">
              <w:rPr>
                <w:rStyle w:val="Hyperlink"/>
              </w:rPr>
              <w:t>Considered leaving the institution</w:t>
            </w:r>
            <w:r>
              <w:rPr>
                <w:webHidden/>
              </w:rPr>
              <w:tab/>
            </w:r>
            <w:r>
              <w:rPr>
                <w:webHidden/>
              </w:rPr>
              <w:fldChar w:fldCharType="begin"/>
            </w:r>
            <w:r>
              <w:rPr>
                <w:webHidden/>
              </w:rPr>
              <w:instrText xml:space="preserve"> PAGEREF _Toc207802621 \h </w:instrText>
            </w:r>
            <w:r>
              <w:rPr>
                <w:webHidden/>
              </w:rPr>
            </w:r>
            <w:r>
              <w:rPr>
                <w:webHidden/>
              </w:rPr>
              <w:fldChar w:fldCharType="separate"/>
            </w:r>
            <w:r>
              <w:rPr>
                <w:webHidden/>
              </w:rPr>
              <w:t>56</w:t>
            </w:r>
            <w:r>
              <w:rPr>
                <w:webHidden/>
              </w:rPr>
              <w:fldChar w:fldCharType="end"/>
            </w:r>
          </w:hyperlink>
        </w:p>
        <w:p w14:paraId="265F3DDB" w14:textId="3D949257" w:rsidR="005E54CB" w:rsidRDefault="005E54CB">
          <w:pPr>
            <w:pStyle w:val="TOC3"/>
            <w:rPr>
              <w:rFonts w:asciiTheme="minorHAnsi" w:eastAsiaTheme="minorEastAsia" w:hAnsiTheme="minorHAnsi" w:cstheme="minorBidi"/>
              <w:kern w:val="2"/>
              <w:sz w:val="24"/>
              <w:szCs w:val="24"/>
              <w:lang w:eastAsia="zh-CN"/>
              <w14:ligatures w14:val="standardContextual"/>
            </w:rPr>
          </w:pPr>
          <w:hyperlink w:anchor="_Toc207802622" w:history="1">
            <w:r w:rsidRPr="006B49B7">
              <w:rPr>
                <w:rStyle w:val="Hyperlink"/>
              </w:rPr>
              <w:t>A2.2.3</w:t>
            </w:r>
            <w:r>
              <w:rPr>
                <w:rFonts w:asciiTheme="minorHAnsi" w:eastAsiaTheme="minorEastAsia" w:hAnsiTheme="minorHAnsi" w:cstheme="minorBidi"/>
                <w:kern w:val="2"/>
                <w:sz w:val="24"/>
                <w:szCs w:val="24"/>
                <w:lang w:eastAsia="zh-CN"/>
                <w14:ligatures w14:val="standardContextual"/>
              </w:rPr>
              <w:tab/>
            </w:r>
            <w:r w:rsidRPr="006B49B7">
              <w:rPr>
                <w:rStyle w:val="Hyperlink"/>
              </w:rPr>
              <w:t>Freedom of Expression</w:t>
            </w:r>
            <w:r>
              <w:rPr>
                <w:webHidden/>
              </w:rPr>
              <w:tab/>
            </w:r>
            <w:r>
              <w:rPr>
                <w:webHidden/>
              </w:rPr>
              <w:fldChar w:fldCharType="begin"/>
            </w:r>
            <w:r>
              <w:rPr>
                <w:webHidden/>
              </w:rPr>
              <w:instrText xml:space="preserve"> PAGEREF _Toc207802622 \h </w:instrText>
            </w:r>
            <w:r>
              <w:rPr>
                <w:webHidden/>
              </w:rPr>
            </w:r>
            <w:r>
              <w:rPr>
                <w:webHidden/>
              </w:rPr>
              <w:fldChar w:fldCharType="separate"/>
            </w:r>
            <w:r>
              <w:rPr>
                <w:webHidden/>
              </w:rPr>
              <w:t>57</w:t>
            </w:r>
            <w:r>
              <w:rPr>
                <w:webHidden/>
              </w:rPr>
              <w:fldChar w:fldCharType="end"/>
            </w:r>
          </w:hyperlink>
        </w:p>
        <w:p w14:paraId="63571A18" w14:textId="2ED4B0A8" w:rsidR="005A5905" w:rsidRPr="00E8656C" w:rsidRDefault="005A5905" w:rsidP="005A5905">
          <w:pPr>
            <w:rPr>
              <w:rFonts w:cs="Arial"/>
            </w:rPr>
          </w:pPr>
          <w:r w:rsidRPr="00E8656C">
            <w:rPr>
              <w:rFonts w:cs="Arial"/>
              <w:b/>
              <w:bCs/>
              <w:noProof/>
            </w:rPr>
            <w:fldChar w:fldCharType="end"/>
          </w:r>
        </w:p>
      </w:sdtContent>
    </w:sdt>
    <w:p w14:paraId="1768DEE3" w14:textId="1D8FAAE8" w:rsidR="005A5905" w:rsidRPr="00E8656C" w:rsidRDefault="005A5905" w:rsidP="005A5905">
      <w:pPr>
        <w:rPr>
          <w:rFonts w:eastAsia="Times New Roman" w:cs="Arial"/>
          <w:szCs w:val="20"/>
          <w:lang w:val="en-GB" w:eastAsia="en-GB"/>
        </w:rPr>
      </w:pPr>
      <w:r w:rsidRPr="00E8656C">
        <w:rPr>
          <w:rFonts w:cs="Arial"/>
          <w:lang w:val="en-GB" w:eastAsia="en-GB"/>
        </w:rPr>
        <w:br w:type="page"/>
      </w:r>
    </w:p>
    <w:p w14:paraId="2D3B5F24" w14:textId="56BDC717" w:rsidR="005A5905" w:rsidRPr="00E8656C" w:rsidRDefault="005A5905" w:rsidP="005A5905">
      <w:pPr>
        <w:pStyle w:val="MajorHeading"/>
        <w:rPr>
          <w:rFonts w:cs="Arial"/>
          <w:color w:val="auto"/>
        </w:rPr>
      </w:pPr>
      <w:bookmarkStart w:id="3" w:name="_Toc207802591"/>
      <w:r w:rsidRPr="00E8656C">
        <w:rPr>
          <w:rFonts w:cs="Arial"/>
          <w:color w:val="auto"/>
        </w:rPr>
        <w:lastRenderedPageBreak/>
        <w:t>List of Tables</w:t>
      </w:r>
      <w:bookmarkEnd w:id="3"/>
    </w:p>
    <w:p w14:paraId="03CDE699" w14:textId="77777777" w:rsidR="00CF5D00" w:rsidRPr="00E8656C" w:rsidRDefault="00CF5D00" w:rsidP="00CF5D00">
      <w:pPr>
        <w:rPr>
          <w:rFonts w:cs="Arial"/>
        </w:rPr>
      </w:pPr>
    </w:p>
    <w:p w14:paraId="0938D4EA" w14:textId="21A63024" w:rsidR="00695177" w:rsidRPr="00E8656C" w:rsidRDefault="005A5905">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r w:rsidRPr="00E8656C">
        <w:rPr>
          <w:rFonts w:eastAsiaTheme="minorEastAsia" w:cs="Arial"/>
          <w:b/>
          <w:bCs/>
          <w:color w:val="auto"/>
          <w:lang w:val="en-GB" w:eastAsia="en-GB"/>
        </w:rPr>
        <w:fldChar w:fldCharType="begin"/>
      </w:r>
      <w:r w:rsidRPr="00E8656C">
        <w:rPr>
          <w:rFonts w:cs="Arial"/>
          <w:color w:val="auto"/>
          <w:lang w:val="en-GB" w:eastAsia="en-GB"/>
        </w:rPr>
        <w:instrText xml:space="preserve"> TOC \h \z \c "Table" </w:instrText>
      </w:r>
      <w:r w:rsidRPr="00E8656C">
        <w:rPr>
          <w:rFonts w:eastAsiaTheme="minorEastAsia" w:cs="Arial"/>
          <w:b/>
          <w:bCs/>
          <w:color w:val="auto"/>
          <w:lang w:val="en-GB" w:eastAsia="en-GB"/>
        </w:rPr>
        <w:fldChar w:fldCharType="separate"/>
      </w:r>
      <w:hyperlink w:anchor="_Toc201065418" w:history="1">
        <w:r w:rsidR="00695177" w:rsidRPr="00E8656C">
          <w:rPr>
            <w:rStyle w:val="Hyperlink"/>
            <w:noProof/>
          </w:rPr>
          <w:t>Table 1</w:t>
        </w:r>
        <w:r w:rsidR="00695177" w:rsidRPr="00E8656C">
          <w:rPr>
            <w:rFonts w:asciiTheme="minorHAnsi" w:eastAsiaTheme="minorEastAsia" w:hAnsiTheme="minorHAnsi"/>
            <w:noProof/>
            <w:color w:val="auto"/>
            <w:kern w:val="2"/>
            <w:sz w:val="24"/>
            <w:szCs w:val="24"/>
            <w:lang w:eastAsia="zh-CN"/>
            <w14:ligatures w14:val="standardContextual"/>
          </w:rPr>
          <w:tab/>
        </w:r>
        <w:r w:rsidR="00695177" w:rsidRPr="00E8656C">
          <w:rPr>
            <w:rStyle w:val="Hyperlink"/>
            <w:noProof/>
          </w:rPr>
          <w:t>The undergraduate student experience by study area, 2024 (% positive rating)</w:t>
        </w:r>
        <w:r w:rsidR="00695177" w:rsidRPr="00E8656C">
          <w:rPr>
            <w:noProof/>
            <w:webHidden/>
          </w:rPr>
          <w:tab/>
        </w:r>
        <w:r w:rsidR="00695177" w:rsidRPr="00E8656C">
          <w:rPr>
            <w:noProof/>
            <w:webHidden/>
          </w:rPr>
          <w:fldChar w:fldCharType="begin"/>
        </w:r>
        <w:r w:rsidR="00695177" w:rsidRPr="00E8656C">
          <w:rPr>
            <w:noProof/>
            <w:webHidden/>
          </w:rPr>
          <w:instrText xml:space="preserve"> PAGEREF _Toc201065418 \h </w:instrText>
        </w:r>
        <w:r w:rsidR="00695177" w:rsidRPr="00E8656C">
          <w:rPr>
            <w:noProof/>
            <w:webHidden/>
          </w:rPr>
        </w:r>
        <w:r w:rsidR="00695177" w:rsidRPr="00E8656C">
          <w:rPr>
            <w:noProof/>
            <w:webHidden/>
          </w:rPr>
          <w:fldChar w:fldCharType="separate"/>
        </w:r>
        <w:r w:rsidR="005E54CB">
          <w:rPr>
            <w:noProof/>
            <w:webHidden/>
          </w:rPr>
          <w:t>23</w:t>
        </w:r>
        <w:r w:rsidR="00695177" w:rsidRPr="00E8656C">
          <w:rPr>
            <w:noProof/>
            <w:webHidden/>
          </w:rPr>
          <w:fldChar w:fldCharType="end"/>
        </w:r>
      </w:hyperlink>
    </w:p>
    <w:p w14:paraId="644CC110" w14:textId="7D88E1C3"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419" w:history="1">
        <w:r w:rsidRPr="00E8656C">
          <w:rPr>
            <w:rStyle w:val="Hyperlink"/>
            <w:noProof/>
          </w:rPr>
          <w:t>Table 2</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The postgraduate coursework student experience by study area, 2024 (% positive rating)</w:t>
        </w:r>
        <w:r w:rsidRPr="00E8656C">
          <w:rPr>
            <w:noProof/>
            <w:webHidden/>
          </w:rPr>
          <w:tab/>
        </w:r>
        <w:r w:rsidRPr="00E8656C">
          <w:rPr>
            <w:noProof/>
            <w:webHidden/>
          </w:rPr>
          <w:fldChar w:fldCharType="begin"/>
        </w:r>
        <w:r w:rsidRPr="00E8656C">
          <w:rPr>
            <w:noProof/>
            <w:webHidden/>
          </w:rPr>
          <w:instrText xml:space="preserve"> PAGEREF _Toc201065419 \h </w:instrText>
        </w:r>
        <w:r w:rsidRPr="00E8656C">
          <w:rPr>
            <w:noProof/>
            <w:webHidden/>
          </w:rPr>
        </w:r>
        <w:r w:rsidRPr="00E8656C">
          <w:rPr>
            <w:noProof/>
            <w:webHidden/>
          </w:rPr>
          <w:fldChar w:fldCharType="separate"/>
        </w:r>
        <w:r w:rsidR="005E54CB">
          <w:rPr>
            <w:noProof/>
            <w:webHidden/>
          </w:rPr>
          <w:t>24</w:t>
        </w:r>
        <w:r w:rsidRPr="00E8656C">
          <w:rPr>
            <w:noProof/>
            <w:webHidden/>
          </w:rPr>
          <w:fldChar w:fldCharType="end"/>
        </w:r>
      </w:hyperlink>
    </w:p>
    <w:p w14:paraId="6F977B85" w14:textId="6C652A7D"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420" w:history="1">
        <w:r w:rsidRPr="00E8656C">
          <w:rPr>
            <w:rStyle w:val="Hyperlink"/>
            <w:noProof/>
          </w:rPr>
          <w:t>Table 3</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Freedom of expression by course level and stage of study, 2024 (% positive rating*)</w:t>
        </w:r>
        <w:r w:rsidRPr="00E8656C">
          <w:rPr>
            <w:noProof/>
            <w:webHidden/>
          </w:rPr>
          <w:tab/>
        </w:r>
        <w:r w:rsidRPr="00E8656C">
          <w:rPr>
            <w:noProof/>
            <w:webHidden/>
          </w:rPr>
          <w:fldChar w:fldCharType="begin"/>
        </w:r>
        <w:r w:rsidRPr="00E8656C">
          <w:rPr>
            <w:noProof/>
            <w:webHidden/>
          </w:rPr>
          <w:instrText xml:space="preserve"> PAGEREF _Toc201065420 \h </w:instrText>
        </w:r>
        <w:r w:rsidRPr="00E8656C">
          <w:rPr>
            <w:noProof/>
            <w:webHidden/>
          </w:rPr>
        </w:r>
        <w:r w:rsidRPr="00E8656C">
          <w:rPr>
            <w:noProof/>
            <w:webHidden/>
          </w:rPr>
          <w:fldChar w:fldCharType="separate"/>
        </w:r>
        <w:r w:rsidR="005E54CB">
          <w:rPr>
            <w:noProof/>
            <w:webHidden/>
          </w:rPr>
          <w:t>40</w:t>
        </w:r>
        <w:r w:rsidRPr="00E8656C">
          <w:rPr>
            <w:noProof/>
            <w:webHidden/>
          </w:rPr>
          <w:fldChar w:fldCharType="end"/>
        </w:r>
      </w:hyperlink>
    </w:p>
    <w:p w14:paraId="216A8F0F" w14:textId="23B25618"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421" w:history="1">
        <w:r w:rsidRPr="00E8656C">
          <w:rPr>
            <w:rStyle w:val="Hyperlink"/>
            <w:noProof/>
          </w:rPr>
          <w:t>Table 4</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Undergraduate student experience by demographic sub-group, 2022–24 (% positive rating)††</w:t>
        </w:r>
        <w:r w:rsidRPr="00E8656C">
          <w:rPr>
            <w:noProof/>
            <w:webHidden/>
          </w:rPr>
          <w:tab/>
        </w:r>
        <w:r w:rsidRPr="00E8656C">
          <w:rPr>
            <w:noProof/>
            <w:webHidden/>
          </w:rPr>
          <w:fldChar w:fldCharType="begin"/>
        </w:r>
        <w:r w:rsidRPr="00E8656C">
          <w:rPr>
            <w:noProof/>
            <w:webHidden/>
          </w:rPr>
          <w:instrText xml:space="preserve"> PAGEREF _Toc201065421 \h </w:instrText>
        </w:r>
        <w:r w:rsidRPr="00E8656C">
          <w:rPr>
            <w:noProof/>
            <w:webHidden/>
          </w:rPr>
        </w:r>
        <w:r w:rsidRPr="00E8656C">
          <w:rPr>
            <w:noProof/>
            <w:webHidden/>
          </w:rPr>
          <w:fldChar w:fldCharType="separate"/>
        </w:r>
        <w:r w:rsidR="005E54CB">
          <w:rPr>
            <w:noProof/>
            <w:webHidden/>
          </w:rPr>
          <w:t>44</w:t>
        </w:r>
        <w:r w:rsidRPr="00E8656C">
          <w:rPr>
            <w:noProof/>
            <w:webHidden/>
          </w:rPr>
          <w:fldChar w:fldCharType="end"/>
        </w:r>
      </w:hyperlink>
    </w:p>
    <w:p w14:paraId="0FFF021A" w14:textId="4CCCCC67"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422" w:history="1">
        <w:r w:rsidRPr="00E8656C">
          <w:rPr>
            <w:rStyle w:val="Hyperlink"/>
            <w:noProof/>
          </w:rPr>
          <w:t>Table 5</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Postgraduate coursework student experience by demographic group, 2022–24 (% positive rating)††</w:t>
        </w:r>
        <w:r w:rsidRPr="00E8656C">
          <w:rPr>
            <w:noProof/>
            <w:webHidden/>
          </w:rPr>
          <w:tab/>
        </w:r>
        <w:r w:rsidRPr="00E8656C">
          <w:rPr>
            <w:noProof/>
            <w:webHidden/>
          </w:rPr>
          <w:fldChar w:fldCharType="begin"/>
        </w:r>
        <w:r w:rsidRPr="00E8656C">
          <w:rPr>
            <w:noProof/>
            <w:webHidden/>
          </w:rPr>
          <w:instrText xml:space="preserve"> PAGEREF _Toc201065422 \h </w:instrText>
        </w:r>
        <w:r w:rsidRPr="00E8656C">
          <w:rPr>
            <w:noProof/>
            <w:webHidden/>
          </w:rPr>
        </w:r>
        <w:r w:rsidRPr="00E8656C">
          <w:rPr>
            <w:noProof/>
            <w:webHidden/>
          </w:rPr>
          <w:fldChar w:fldCharType="separate"/>
        </w:r>
        <w:r w:rsidR="005E54CB">
          <w:rPr>
            <w:noProof/>
            <w:webHidden/>
          </w:rPr>
          <w:t>48</w:t>
        </w:r>
        <w:r w:rsidRPr="00E8656C">
          <w:rPr>
            <w:noProof/>
            <w:webHidden/>
          </w:rPr>
          <w:fldChar w:fldCharType="end"/>
        </w:r>
      </w:hyperlink>
    </w:p>
    <w:p w14:paraId="45005625" w14:textId="4A589A21"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423" w:history="1">
        <w:r w:rsidRPr="00E8656C">
          <w:rPr>
            <w:rStyle w:val="Hyperlink"/>
            <w:noProof/>
          </w:rPr>
          <w:t>Table 6</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Undergraduate sense of belonging to institution, 2017–24 (% positive rating)</w:t>
        </w:r>
        <w:r w:rsidRPr="00E8656C">
          <w:rPr>
            <w:noProof/>
            <w:webHidden/>
          </w:rPr>
          <w:tab/>
        </w:r>
        <w:r w:rsidRPr="00E8656C">
          <w:rPr>
            <w:noProof/>
            <w:webHidden/>
          </w:rPr>
          <w:fldChar w:fldCharType="begin"/>
        </w:r>
        <w:r w:rsidRPr="00E8656C">
          <w:rPr>
            <w:noProof/>
            <w:webHidden/>
          </w:rPr>
          <w:instrText xml:space="preserve"> PAGEREF _Toc201065423 \h </w:instrText>
        </w:r>
        <w:r w:rsidRPr="00E8656C">
          <w:rPr>
            <w:noProof/>
            <w:webHidden/>
          </w:rPr>
        </w:r>
        <w:r w:rsidRPr="00E8656C">
          <w:rPr>
            <w:noProof/>
            <w:webHidden/>
          </w:rPr>
          <w:fldChar w:fldCharType="separate"/>
        </w:r>
        <w:r w:rsidR="005E54CB">
          <w:rPr>
            <w:noProof/>
            <w:webHidden/>
          </w:rPr>
          <w:t>52</w:t>
        </w:r>
        <w:r w:rsidRPr="00E8656C">
          <w:rPr>
            <w:noProof/>
            <w:webHidden/>
          </w:rPr>
          <w:fldChar w:fldCharType="end"/>
        </w:r>
      </w:hyperlink>
    </w:p>
    <w:p w14:paraId="38F593D9" w14:textId="043CAC49"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424" w:history="1">
        <w:r w:rsidRPr="00E8656C">
          <w:rPr>
            <w:rStyle w:val="Hyperlink"/>
            <w:noProof/>
          </w:rPr>
          <w:t>Table 7</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Postgraduate coursework sense of belonging to institution, 2017–24 (% positive rating)</w:t>
        </w:r>
        <w:r w:rsidRPr="00E8656C">
          <w:rPr>
            <w:noProof/>
            <w:webHidden/>
          </w:rPr>
          <w:tab/>
        </w:r>
        <w:r w:rsidRPr="00E8656C">
          <w:rPr>
            <w:noProof/>
            <w:webHidden/>
          </w:rPr>
          <w:fldChar w:fldCharType="begin"/>
        </w:r>
        <w:r w:rsidRPr="00E8656C">
          <w:rPr>
            <w:noProof/>
            <w:webHidden/>
          </w:rPr>
          <w:instrText xml:space="preserve"> PAGEREF _Toc201065424 \h </w:instrText>
        </w:r>
        <w:r w:rsidRPr="00E8656C">
          <w:rPr>
            <w:noProof/>
            <w:webHidden/>
          </w:rPr>
        </w:r>
        <w:r w:rsidRPr="00E8656C">
          <w:rPr>
            <w:noProof/>
            <w:webHidden/>
          </w:rPr>
          <w:fldChar w:fldCharType="separate"/>
        </w:r>
        <w:r w:rsidR="005E54CB">
          <w:rPr>
            <w:noProof/>
            <w:webHidden/>
          </w:rPr>
          <w:t>54</w:t>
        </w:r>
        <w:r w:rsidRPr="00E8656C">
          <w:rPr>
            <w:noProof/>
            <w:webHidden/>
          </w:rPr>
          <w:fldChar w:fldCharType="end"/>
        </w:r>
      </w:hyperlink>
    </w:p>
    <w:p w14:paraId="4035AD78" w14:textId="089C4F7E"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425" w:history="1">
        <w:r w:rsidRPr="00E8656C">
          <w:rPr>
            <w:rStyle w:val="Hyperlink"/>
            <w:noProof/>
          </w:rPr>
          <w:t>Table 8</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Reasons for considering early departure from institution in 2024 by course level (%)</w:t>
        </w:r>
        <w:r w:rsidRPr="00E8656C">
          <w:rPr>
            <w:noProof/>
            <w:webHidden/>
          </w:rPr>
          <w:tab/>
        </w:r>
        <w:r w:rsidRPr="00E8656C">
          <w:rPr>
            <w:noProof/>
            <w:webHidden/>
          </w:rPr>
          <w:fldChar w:fldCharType="begin"/>
        </w:r>
        <w:r w:rsidRPr="00E8656C">
          <w:rPr>
            <w:noProof/>
            <w:webHidden/>
          </w:rPr>
          <w:instrText xml:space="preserve"> PAGEREF _Toc201065425 \h </w:instrText>
        </w:r>
        <w:r w:rsidRPr="00E8656C">
          <w:rPr>
            <w:noProof/>
            <w:webHidden/>
          </w:rPr>
        </w:r>
        <w:r w:rsidRPr="00E8656C">
          <w:rPr>
            <w:noProof/>
            <w:webHidden/>
          </w:rPr>
          <w:fldChar w:fldCharType="separate"/>
        </w:r>
        <w:r w:rsidR="005E54CB">
          <w:rPr>
            <w:noProof/>
            <w:webHidden/>
          </w:rPr>
          <w:t>56</w:t>
        </w:r>
        <w:r w:rsidRPr="00E8656C">
          <w:rPr>
            <w:noProof/>
            <w:webHidden/>
          </w:rPr>
          <w:fldChar w:fldCharType="end"/>
        </w:r>
      </w:hyperlink>
    </w:p>
    <w:p w14:paraId="664CB2ED" w14:textId="31FCA229"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426" w:history="1">
        <w:r w:rsidRPr="00E8656C">
          <w:rPr>
            <w:rStyle w:val="Hyperlink"/>
            <w:noProof/>
          </w:rPr>
          <w:t>Table 9</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Freedom of expression by demographic sub-group, undergraduate, 2024 (% positive rating)</w:t>
        </w:r>
        <w:r w:rsidRPr="00E8656C">
          <w:rPr>
            <w:noProof/>
            <w:webHidden/>
          </w:rPr>
          <w:tab/>
        </w:r>
        <w:r w:rsidRPr="00E8656C">
          <w:rPr>
            <w:noProof/>
            <w:webHidden/>
          </w:rPr>
          <w:fldChar w:fldCharType="begin"/>
        </w:r>
        <w:r w:rsidRPr="00E8656C">
          <w:rPr>
            <w:noProof/>
            <w:webHidden/>
          </w:rPr>
          <w:instrText xml:space="preserve"> PAGEREF _Toc201065426 \h </w:instrText>
        </w:r>
        <w:r w:rsidRPr="00E8656C">
          <w:rPr>
            <w:noProof/>
            <w:webHidden/>
          </w:rPr>
        </w:r>
        <w:r w:rsidRPr="00E8656C">
          <w:rPr>
            <w:noProof/>
            <w:webHidden/>
          </w:rPr>
          <w:fldChar w:fldCharType="separate"/>
        </w:r>
        <w:r w:rsidR="005E54CB">
          <w:rPr>
            <w:noProof/>
            <w:webHidden/>
          </w:rPr>
          <w:t>57</w:t>
        </w:r>
        <w:r w:rsidRPr="00E8656C">
          <w:rPr>
            <w:noProof/>
            <w:webHidden/>
          </w:rPr>
          <w:fldChar w:fldCharType="end"/>
        </w:r>
      </w:hyperlink>
    </w:p>
    <w:p w14:paraId="2779223D" w14:textId="029C4565"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427" w:history="1">
        <w:r w:rsidRPr="00E8656C">
          <w:rPr>
            <w:rStyle w:val="Hyperlink"/>
            <w:noProof/>
          </w:rPr>
          <w:t>Table 10</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Freedom of expression by demographic sub-group, postgraduate coursework, 2024 (% positive rating)</w:t>
        </w:r>
        <w:r w:rsidRPr="00E8656C">
          <w:rPr>
            <w:noProof/>
            <w:webHidden/>
          </w:rPr>
          <w:tab/>
        </w:r>
        <w:r w:rsidRPr="00E8656C">
          <w:rPr>
            <w:noProof/>
            <w:webHidden/>
          </w:rPr>
          <w:fldChar w:fldCharType="begin"/>
        </w:r>
        <w:r w:rsidRPr="00E8656C">
          <w:rPr>
            <w:noProof/>
            <w:webHidden/>
          </w:rPr>
          <w:instrText xml:space="preserve"> PAGEREF _Toc201065427 \h </w:instrText>
        </w:r>
        <w:r w:rsidRPr="00E8656C">
          <w:rPr>
            <w:noProof/>
            <w:webHidden/>
          </w:rPr>
        </w:r>
        <w:r w:rsidRPr="00E8656C">
          <w:rPr>
            <w:noProof/>
            <w:webHidden/>
          </w:rPr>
          <w:fldChar w:fldCharType="separate"/>
        </w:r>
        <w:r w:rsidR="005E54CB">
          <w:rPr>
            <w:noProof/>
            <w:webHidden/>
          </w:rPr>
          <w:t>60</w:t>
        </w:r>
        <w:r w:rsidRPr="00E8656C">
          <w:rPr>
            <w:noProof/>
            <w:webHidden/>
          </w:rPr>
          <w:fldChar w:fldCharType="end"/>
        </w:r>
      </w:hyperlink>
    </w:p>
    <w:p w14:paraId="364D3792" w14:textId="6D234677" w:rsidR="005A5905" w:rsidRPr="00E8656C" w:rsidRDefault="005A5905" w:rsidP="005A5905">
      <w:pPr>
        <w:pStyle w:val="Body"/>
        <w:spacing w:line="276" w:lineRule="auto"/>
        <w:rPr>
          <w:rFonts w:cs="Arial"/>
          <w:lang w:val="en-GB" w:eastAsia="en-GB"/>
        </w:rPr>
      </w:pPr>
      <w:r w:rsidRPr="00E8656C">
        <w:rPr>
          <w:rFonts w:cs="Arial"/>
          <w:lang w:val="en-GB" w:eastAsia="en-GB"/>
        </w:rPr>
        <w:fldChar w:fldCharType="end"/>
      </w:r>
    </w:p>
    <w:p w14:paraId="4B59A997" w14:textId="77777777" w:rsidR="005A5905" w:rsidRPr="00E8656C" w:rsidRDefault="005A5905" w:rsidP="005A5905">
      <w:pPr>
        <w:rPr>
          <w:rFonts w:eastAsia="Times New Roman" w:cs="Arial"/>
          <w:szCs w:val="20"/>
          <w:lang w:val="en-GB" w:eastAsia="en-GB"/>
        </w:rPr>
      </w:pPr>
      <w:r w:rsidRPr="00E8656C">
        <w:rPr>
          <w:rFonts w:cs="Arial"/>
          <w:lang w:val="en-GB" w:eastAsia="en-GB"/>
        </w:rPr>
        <w:br w:type="page"/>
      </w:r>
    </w:p>
    <w:p w14:paraId="49CBDF9F" w14:textId="40A1B6D7" w:rsidR="005A5905" w:rsidRPr="00E8656C" w:rsidRDefault="005A5905" w:rsidP="005A5905">
      <w:pPr>
        <w:pStyle w:val="MajorHeading"/>
        <w:rPr>
          <w:rFonts w:cs="Arial"/>
          <w:color w:val="auto"/>
        </w:rPr>
      </w:pPr>
      <w:bookmarkStart w:id="4" w:name="_Toc207802592"/>
      <w:r w:rsidRPr="00E8656C">
        <w:rPr>
          <w:rFonts w:cs="Arial"/>
          <w:color w:val="auto"/>
        </w:rPr>
        <w:lastRenderedPageBreak/>
        <w:t>List of Figures</w:t>
      </w:r>
      <w:bookmarkEnd w:id="4"/>
    </w:p>
    <w:p w14:paraId="51ECFBE3" w14:textId="360F4631" w:rsidR="00695177" w:rsidRPr="00E8656C" w:rsidRDefault="005A5905">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r w:rsidRPr="00E8656C">
        <w:rPr>
          <w:rFonts w:eastAsiaTheme="minorEastAsia" w:cs="Arial"/>
          <w:b/>
          <w:bCs/>
          <w:color w:val="auto"/>
          <w:sz w:val="24"/>
          <w:szCs w:val="24"/>
          <w:lang w:val="en-GB" w:eastAsia="en-GB"/>
        </w:rPr>
        <w:fldChar w:fldCharType="begin"/>
      </w:r>
      <w:r w:rsidRPr="00E8656C">
        <w:rPr>
          <w:rFonts w:cs="Arial"/>
          <w:color w:val="auto"/>
          <w:lang w:val="en-GB" w:eastAsia="en-GB"/>
        </w:rPr>
        <w:instrText xml:space="preserve"> TOC \h \z \c "Figure" </w:instrText>
      </w:r>
      <w:r w:rsidRPr="00E8656C">
        <w:rPr>
          <w:rFonts w:eastAsiaTheme="minorEastAsia" w:cs="Arial"/>
          <w:b/>
          <w:bCs/>
          <w:color w:val="auto"/>
          <w:sz w:val="24"/>
          <w:szCs w:val="24"/>
          <w:lang w:val="en-GB" w:eastAsia="en-GB"/>
        </w:rPr>
        <w:fldChar w:fldCharType="separate"/>
      </w:r>
      <w:hyperlink w:anchor="_Toc201065551" w:history="1">
        <w:r w:rsidR="00695177" w:rsidRPr="00E8656C">
          <w:rPr>
            <w:rStyle w:val="Hyperlink"/>
            <w:noProof/>
          </w:rPr>
          <w:t>Figure 1</w:t>
        </w:r>
        <w:r w:rsidR="00695177" w:rsidRPr="00E8656C">
          <w:rPr>
            <w:rFonts w:asciiTheme="minorHAnsi" w:eastAsiaTheme="minorEastAsia" w:hAnsiTheme="minorHAnsi"/>
            <w:noProof/>
            <w:color w:val="auto"/>
            <w:kern w:val="2"/>
            <w:sz w:val="24"/>
            <w:szCs w:val="24"/>
            <w:lang w:eastAsia="zh-CN"/>
            <w14:ligatures w14:val="standardContextual"/>
          </w:rPr>
          <w:tab/>
        </w:r>
        <w:r w:rsidR="00695177" w:rsidRPr="00E8656C">
          <w:rPr>
            <w:rStyle w:val="Hyperlink"/>
            <w:noProof/>
          </w:rPr>
          <w:t>The undergraduate student experience, 2017–24 (% positive rating)</w:t>
        </w:r>
        <w:r w:rsidR="00695177" w:rsidRPr="00E8656C">
          <w:rPr>
            <w:noProof/>
            <w:webHidden/>
          </w:rPr>
          <w:tab/>
        </w:r>
        <w:r w:rsidR="00695177" w:rsidRPr="00E8656C">
          <w:rPr>
            <w:noProof/>
            <w:webHidden/>
          </w:rPr>
          <w:fldChar w:fldCharType="begin"/>
        </w:r>
        <w:r w:rsidR="00695177" w:rsidRPr="00E8656C">
          <w:rPr>
            <w:noProof/>
            <w:webHidden/>
          </w:rPr>
          <w:instrText xml:space="preserve"> PAGEREF _Toc201065551 \h </w:instrText>
        </w:r>
        <w:r w:rsidR="00695177" w:rsidRPr="00E8656C">
          <w:rPr>
            <w:noProof/>
            <w:webHidden/>
          </w:rPr>
        </w:r>
        <w:r w:rsidR="00695177" w:rsidRPr="00E8656C">
          <w:rPr>
            <w:noProof/>
            <w:webHidden/>
          </w:rPr>
          <w:fldChar w:fldCharType="separate"/>
        </w:r>
        <w:r w:rsidR="005E54CB">
          <w:rPr>
            <w:noProof/>
            <w:webHidden/>
          </w:rPr>
          <w:t>4</w:t>
        </w:r>
        <w:r w:rsidR="00695177" w:rsidRPr="00E8656C">
          <w:rPr>
            <w:noProof/>
            <w:webHidden/>
          </w:rPr>
          <w:fldChar w:fldCharType="end"/>
        </w:r>
      </w:hyperlink>
    </w:p>
    <w:p w14:paraId="0B88091D" w14:textId="3EEFB87E"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52" w:history="1">
        <w:r w:rsidRPr="00E8656C">
          <w:rPr>
            <w:rStyle w:val="Hyperlink"/>
            <w:noProof/>
          </w:rPr>
          <w:t>Figure 2</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The postgraduate coursework student experience, 2017–24 (% positive rating)</w:t>
        </w:r>
        <w:r w:rsidRPr="00E8656C">
          <w:rPr>
            <w:noProof/>
            <w:webHidden/>
          </w:rPr>
          <w:tab/>
        </w:r>
        <w:r w:rsidRPr="00E8656C">
          <w:rPr>
            <w:noProof/>
            <w:webHidden/>
          </w:rPr>
          <w:fldChar w:fldCharType="begin"/>
        </w:r>
        <w:r w:rsidRPr="00E8656C">
          <w:rPr>
            <w:noProof/>
            <w:webHidden/>
          </w:rPr>
          <w:instrText xml:space="preserve"> PAGEREF _Toc201065552 \h </w:instrText>
        </w:r>
        <w:r w:rsidRPr="00E8656C">
          <w:rPr>
            <w:noProof/>
            <w:webHidden/>
          </w:rPr>
        </w:r>
        <w:r w:rsidRPr="00E8656C">
          <w:rPr>
            <w:noProof/>
            <w:webHidden/>
          </w:rPr>
          <w:fldChar w:fldCharType="separate"/>
        </w:r>
        <w:r w:rsidR="005E54CB">
          <w:rPr>
            <w:noProof/>
            <w:webHidden/>
          </w:rPr>
          <w:t>5</w:t>
        </w:r>
        <w:r w:rsidRPr="00E8656C">
          <w:rPr>
            <w:noProof/>
            <w:webHidden/>
          </w:rPr>
          <w:fldChar w:fldCharType="end"/>
        </w:r>
      </w:hyperlink>
    </w:p>
    <w:p w14:paraId="7CD2423F" w14:textId="09F4764C"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53" w:history="1">
        <w:r w:rsidRPr="00E8656C">
          <w:rPr>
            <w:rStyle w:val="Hyperlink"/>
            <w:noProof/>
          </w:rPr>
          <w:t>Figure 3</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The student experience by course level, 2024 (% positive rating)</w:t>
        </w:r>
        <w:r w:rsidRPr="00E8656C">
          <w:rPr>
            <w:noProof/>
            <w:webHidden/>
          </w:rPr>
          <w:tab/>
        </w:r>
        <w:r w:rsidRPr="00E8656C">
          <w:rPr>
            <w:noProof/>
            <w:webHidden/>
          </w:rPr>
          <w:fldChar w:fldCharType="begin"/>
        </w:r>
        <w:r w:rsidRPr="00E8656C">
          <w:rPr>
            <w:noProof/>
            <w:webHidden/>
          </w:rPr>
          <w:instrText xml:space="preserve"> PAGEREF _Toc201065553 \h </w:instrText>
        </w:r>
        <w:r w:rsidRPr="00E8656C">
          <w:rPr>
            <w:noProof/>
            <w:webHidden/>
          </w:rPr>
        </w:r>
        <w:r w:rsidRPr="00E8656C">
          <w:rPr>
            <w:noProof/>
            <w:webHidden/>
          </w:rPr>
          <w:fldChar w:fldCharType="separate"/>
        </w:r>
        <w:r w:rsidR="005E54CB">
          <w:rPr>
            <w:noProof/>
            <w:webHidden/>
          </w:rPr>
          <w:t>6</w:t>
        </w:r>
        <w:r w:rsidRPr="00E8656C">
          <w:rPr>
            <w:noProof/>
            <w:webHidden/>
          </w:rPr>
          <w:fldChar w:fldCharType="end"/>
        </w:r>
      </w:hyperlink>
    </w:p>
    <w:p w14:paraId="29446B3E" w14:textId="2CF836FC"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54" w:history="1">
        <w:r w:rsidRPr="00E8656C">
          <w:rPr>
            <w:rStyle w:val="Hyperlink"/>
            <w:noProof/>
          </w:rPr>
          <w:t>Figure 4</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Proportion of responses to the SES from international students by course level, 2017–24 SES</w:t>
        </w:r>
        <w:r w:rsidRPr="00E8656C">
          <w:rPr>
            <w:noProof/>
            <w:webHidden/>
          </w:rPr>
          <w:tab/>
        </w:r>
        <w:r w:rsidRPr="00E8656C">
          <w:rPr>
            <w:noProof/>
            <w:webHidden/>
          </w:rPr>
          <w:fldChar w:fldCharType="begin"/>
        </w:r>
        <w:r w:rsidRPr="00E8656C">
          <w:rPr>
            <w:noProof/>
            <w:webHidden/>
          </w:rPr>
          <w:instrText xml:space="preserve"> PAGEREF _Toc201065554 \h </w:instrText>
        </w:r>
        <w:r w:rsidRPr="00E8656C">
          <w:rPr>
            <w:noProof/>
            <w:webHidden/>
          </w:rPr>
        </w:r>
        <w:r w:rsidRPr="00E8656C">
          <w:rPr>
            <w:noProof/>
            <w:webHidden/>
          </w:rPr>
          <w:fldChar w:fldCharType="separate"/>
        </w:r>
        <w:r w:rsidR="005E54CB">
          <w:rPr>
            <w:noProof/>
            <w:webHidden/>
          </w:rPr>
          <w:t>7</w:t>
        </w:r>
        <w:r w:rsidRPr="00E8656C">
          <w:rPr>
            <w:noProof/>
            <w:webHidden/>
          </w:rPr>
          <w:fldChar w:fldCharType="end"/>
        </w:r>
      </w:hyperlink>
    </w:p>
    <w:p w14:paraId="40D2E2D8" w14:textId="6788D256"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55" w:history="1">
        <w:r w:rsidRPr="00E8656C">
          <w:rPr>
            <w:rStyle w:val="Hyperlink"/>
            <w:noProof/>
          </w:rPr>
          <w:t xml:space="preserve">Figure 5 </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Overall Educational Experience by course level and age, 2017–24 (% positive rating)</w:t>
        </w:r>
        <w:r w:rsidRPr="00E8656C">
          <w:rPr>
            <w:noProof/>
            <w:webHidden/>
          </w:rPr>
          <w:tab/>
        </w:r>
        <w:r w:rsidRPr="00E8656C">
          <w:rPr>
            <w:noProof/>
            <w:webHidden/>
          </w:rPr>
          <w:fldChar w:fldCharType="begin"/>
        </w:r>
        <w:r w:rsidRPr="00E8656C">
          <w:rPr>
            <w:noProof/>
            <w:webHidden/>
          </w:rPr>
          <w:instrText xml:space="preserve"> PAGEREF _Toc201065555 \h </w:instrText>
        </w:r>
        <w:r w:rsidRPr="00E8656C">
          <w:rPr>
            <w:noProof/>
            <w:webHidden/>
          </w:rPr>
        </w:r>
        <w:r w:rsidRPr="00E8656C">
          <w:rPr>
            <w:noProof/>
            <w:webHidden/>
          </w:rPr>
          <w:fldChar w:fldCharType="separate"/>
        </w:r>
        <w:r w:rsidR="005E54CB">
          <w:rPr>
            <w:noProof/>
            <w:webHidden/>
          </w:rPr>
          <w:t>8</w:t>
        </w:r>
        <w:r w:rsidRPr="00E8656C">
          <w:rPr>
            <w:noProof/>
            <w:webHidden/>
          </w:rPr>
          <w:fldChar w:fldCharType="end"/>
        </w:r>
      </w:hyperlink>
    </w:p>
    <w:p w14:paraId="75555095" w14:textId="153FBC99"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56" w:history="1">
        <w:r w:rsidRPr="00E8656C">
          <w:rPr>
            <w:rStyle w:val="Hyperlink"/>
            <w:noProof/>
          </w:rPr>
          <w:t>Figure 6</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Overall Educational Experience by course level and mode of study, 2017–24 (% positive rating)</w:t>
        </w:r>
        <w:r w:rsidRPr="00E8656C">
          <w:rPr>
            <w:noProof/>
            <w:webHidden/>
          </w:rPr>
          <w:tab/>
        </w:r>
        <w:r w:rsidRPr="00E8656C">
          <w:rPr>
            <w:noProof/>
            <w:webHidden/>
          </w:rPr>
          <w:fldChar w:fldCharType="begin"/>
        </w:r>
        <w:r w:rsidRPr="00E8656C">
          <w:rPr>
            <w:noProof/>
            <w:webHidden/>
          </w:rPr>
          <w:instrText xml:space="preserve"> PAGEREF _Toc201065556 \h </w:instrText>
        </w:r>
        <w:r w:rsidRPr="00E8656C">
          <w:rPr>
            <w:noProof/>
            <w:webHidden/>
          </w:rPr>
        </w:r>
        <w:r w:rsidRPr="00E8656C">
          <w:rPr>
            <w:noProof/>
            <w:webHidden/>
          </w:rPr>
          <w:fldChar w:fldCharType="separate"/>
        </w:r>
        <w:r w:rsidR="005E54CB">
          <w:rPr>
            <w:noProof/>
            <w:webHidden/>
          </w:rPr>
          <w:t>9</w:t>
        </w:r>
        <w:r w:rsidRPr="00E8656C">
          <w:rPr>
            <w:noProof/>
            <w:webHidden/>
          </w:rPr>
          <w:fldChar w:fldCharType="end"/>
        </w:r>
      </w:hyperlink>
    </w:p>
    <w:p w14:paraId="65015558" w14:textId="61CFA79A"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57" w:history="1">
        <w:r w:rsidRPr="00E8656C">
          <w:rPr>
            <w:rStyle w:val="Hyperlink"/>
            <w:noProof/>
          </w:rPr>
          <w:t>Figure 7</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Skills Development by course level and study mode, 2017–24 (% positive rating)</w:t>
        </w:r>
        <w:r w:rsidRPr="00E8656C">
          <w:rPr>
            <w:noProof/>
            <w:webHidden/>
          </w:rPr>
          <w:tab/>
        </w:r>
        <w:r w:rsidRPr="00E8656C">
          <w:rPr>
            <w:noProof/>
            <w:webHidden/>
          </w:rPr>
          <w:fldChar w:fldCharType="begin"/>
        </w:r>
        <w:r w:rsidRPr="00E8656C">
          <w:rPr>
            <w:noProof/>
            <w:webHidden/>
          </w:rPr>
          <w:instrText xml:space="preserve"> PAGEREF _Toc201065557 \h </w:instrText>
        </w:r>
        <w:r w:rsidRPr="00E8656C">
          <w:rPr>
            <w:noProof/>
            <w:webHidden/>
          </w:rPr>
        </w:r>
        <w:r w:rsidRPr="00E8656C">
          <w:rPr>
            <w:noProof/>
            <w:webHidden/>
          </w:rPr>
          <w:fldChar w:fldCharType="separate"/>
        </w:r>
        <w:r w:rsidR="005E54CB">
          <w:rPr>
            <w:noProof/>
            <w:webHidden/>
          </w:rPr>
          <w:t>10</w:t>
        </w:r>
        <w:r w:rsidRPr="00E8656C">
          <w:rPr>
            <w:noProof/>
            <w:webHidden/>
          </w:rPr>
          <w:fldChar w:fldCharType="end"/>
        </w:r>
      </w:hyperlink>
    </w:p>
    <w:p w14:paraId="7F33FC7D" w14:textId="77ED5C35"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58" w:history="1">
        <w:r w:rsidRPr="00E8656C">
          <w:rPr>
            <w:rStyle w:val="Hyperlink"/>
            <w:noProof/>
          </w:rPr>
          <w:t>Figure 8</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Peer Engagement by course level and mode of study, 2017–24 (% positive rating)</w:t>
        </w:r>
        <w:r w:rsidRPr="00E8656C">
          <w:rPr>
            <w:noProof/>
            <w:webHidden/>
          </w:rPr>
          <w:tab/>
        </w:r>
        <w:r w:rsidRPr="00E8656C">
          <w:rPr>
            <w:noProof/>
            <w:webHidden/>
          </w:rPr>
          <w:fldChar w:fldCharType="begin"/>
        </w:r>
        <w:r w:rsidRPr="00E8656C">
          <w:rPr>
            <w:noProof/>
            <w:webHidden/>
          </w:rPr>
          <w:instrText xml:space="preserve"> PAGEREF _Toc201065558 \h </w:instrText>
        </w:r>
        <w:r w:rsidRPr="00E8656C">
          <w:rPr>
            <w:noProof/>
            <w:webHidden/>
          </w:rPr>
        </w:r>
        <w:r w:rsidRPr="00E8656C">
          <w:rPr>
            <w:noProof/>
            <w:webHidden/>
          </w:rPr>
          <w:fldChar w:fldCharType="separate"/>
        </w:r>
        <w:r w:rsidR="005E54CB">
          <w:rPr>
            <w:noProof/>
            <w:webHidden/>
          </w:rPr>
          <w:t>11</w:t>
        </w:r>
        <w:r w:rsidRPr="00E8656C">
          <w:rPr>
            <w:noProof/>
            <w:webHidden/>
          </w:rPr>
          <w:fldChar w:fldCharType="end"/>
        </w:r>
      </w:hyperlink>
    </w:p>
    <w:p w14:paraId="086A3A5B" w14:textId="02493027"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59" w:history="1">
        <w:r w:rsidRPr="00E8656C">
          <w:rPr>
            <w:rStyle w:val="Hyperlink"/>
            <w:noProof/>
          </w:rPr>
          <w:t>Figure 9</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The student experience by course level and stage of study, 2024 (% positive rating)</w:t>
        </w:r>
        <w:r w:rsidRPr="00E8656C">
          <w:rPr>
            <w:noProof/>
            <w:webHidden/>
          </w:rPr>
          <w:tab/>
        </w:r>
        <w:r w:rsidRPr="00E8656C">
          <w:rPr>
            <w:noProof/>
            <w:webHidden/>
          </w:rPr>
          <w:fldChar w:fldCharType="begin"/>
        </w:r>
        <w:r w:rsidRPr="00E8656C">
          <w:rPr>
            <w:noProof/>
            <w:webHidden/>
          </w:rPr>
          <w:instrText xml:space="preserve"> PAGEREF _Toc201065559 \h </w:instrText>
        </w:r>
        <w:r w:rsidRPr="00E8656C">
          <w:rPr>
            <w:noProof/>
            <w:webHidden/>
          </w:rPr>
        </w:r>
        <w:r w:rsidRPr="00E8656C">
          <w:rPr>
            <w:noProof/>
            <w:webHidden/>
          </w:rPr>
          <w:fldChar w:fldCharType="separate"/>
        </w:r>
        <w:r w:rsidR="005E54CB">
          <w:rPr>
            <w:noProof/>
            <w:webHidden/>
          </w:rPr>
          <w:t>12</w:t>
        </w:r>
        <w:r w:rsidRPr="00E8656C">
          <w:rPr>
            <w:noProof/>
            <w:webHidden/>
          </w:rPr>
          <w:fldChar w:fldCharType="end"/>
        </w:r>
      </w:hyperlink>
    </w:p>
    <w:p w14:paraId="6E4D5ABF" w14:textId="2213C7C3"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60" w:history="1">
        <w:r w:rsidRPr="00E8656C">
          <w:rPr>
            <w:rStyle w:val="Hyperlink"/>
            <w:noProof/>
          </w:rPr>
          <w:t>Figure 10</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Overall Educational Experience by course level and citizenship, 2017–24 (% positive rating)</w:t>
        </w:r>
        <w:r w:rsidRPr="00E8656C">
          <w:rPr>
            <w:noProof/>
            <w:webHidden/>
          </w:rPr>
          <w:tab/>
        </w:r>
        <w:r w:rsidRPr="00E8656C">
          <w:rPr>
            <w:noProof/>
            <w:webHidden/>
          </w:rPr>
          <w:fldChar w:fldCharType="begin"/>
        </w:r>
        <w:r w:rsidRPr="00E8656C">
          <w:rPr>
            <w:noProof/>
            <w:webHidden/>
          </w:rPr>
          <w:instrText xml:space="preserve"> PAGEREF _Toc201065560 \h </w:instrText>
        </w:r>
        <w:r w:rsidRPr="00E8656C">
          <w:rPr>
            <w:noProof/>
            <w:webHidden/>
          </w:rPr>
        </w:r>
        <w:r w:rsidRPr="00E8656C">
          <w:rPr>
            <w:noProof/>
            <w:webHidden/>
          </w:rPr>
          <w:fldChar w:fldCharType="separate"/>
        </w:r>
        <w:r w:rsidR="005E54CB">
          <w:rPr>
            <w:noProof/>
            <w:webHidden/>
          </w:rPr>
          <w:t>13</w:t>
        </w:r>
        <w:r w:rsidRPr="00E8656C">
          <w:rPr>
            <w:noProof/>
            <w:webHidden/>
          </w:rPr>
          <w:fldChar w:fldCharType="end"/>
        </w:r>
      </w:hyperlink>
    </w:p>
    <w:p w14:paraId="289F393D" w14:textId="47291DAD"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61" w:history="1">
        <w:r w:rsidRPr="00E8656C">
          <w:rPr>
            <w:rStyle w:val="Hyperlink"/>
            <w:noProof/>
          </w:rPr>
          <w:t>Figure 11</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Peer Engagement by course level and citizenship, 2017–24 (% positive rating)</w:t>
        </w:r>
        <w:r w:rsidRPr="00E8656C">
          <w:rPr>
            <w:noProof/>
            <w:webHidden/>
          </w:rPr>
          <w:tab/>
        </w:r>
        <w:r w:rsidRPr="00E8656C">
          <w:rPr>
            <w:noProof/>
            <w:webHidden/>
          </w:rPr>
          <w:fldChar w:fldCharType="begin"/>
        </w:r>
        <w:r w:rsidRPr="00E8656C">
          <w:rPr>
            <w:noProof/>
            <w:webHidden/>
          </w:rPr>
          <w:instrText xml:space="preserve"> PAGEREF _Toc201065561 \h </w:instrText>
        </w:r>
        <w:r w:rsidRPr="00E8656C">
          <w:rPr>
            <w:noProof/>
            <w:webHidden/>
          </w:rPr>
        </w:r>
        <w:r w:rsidRPr="00E8656C">
          <w:rPr>
            <w:noProof/>
            <w:webHidden/>
          </w:rPr>
          <w:fldChar w:fldCharType="separate"/>
        </w:r>
        <w:r w:rsidR="005E54CB">
          <w:rPr>
            <w:noProof/>
            <w:webHidden/>
          </w:rPr>
          <w:t>14</w:t>
        </w:r>
        <w:r w:rsidRPr="00E8656C">
          <w:rPr>
            <w:noProof/>
            <w:webHidden/>
          </w:rPr>
          <w:fldChar w:fldCharType="end"/>
        </w:r>
      </w:hyperlink>
    </w:p>
    <w:p w14:paraId="7F63A9B4" w14:textId="61029969"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62" w:history="1">
        <w:r w:rsidRPr="00E8656C">
          <w:rPr>
            <w:rStyle w:val="Hyperlink"/>
            <w:noProof/>
          </w:rPr>
          <w:t>Figure 12</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Overall Educational Experience by course level and disability status, 2017–24 (% positive rating)*</w:t>
        </w:r>
        <w:r w:rsidRPr="00E8656C">
          <w:rPr>
            <w:noProof/>
            <w:webHidden/>
          </w:rPr>
          <w:tab/>
        </w:r>
        <w:r w:rsidRPr="00E8656C">
          <w:rPr>
            <w:noProof/>
            <w:webHidden/>
          </w:rPr>
          <w:fldChar w:fldCharType="begin"/>
        </w:r>
        <w:r w:rsidRPr="00E8656C">
          <w:rPr>
            <w:noProof/>
            <w:webHidden/>
          </w:rPr>
          <w:instrText xml:space="preserve"> PAGEREF _Toc201065562 \h </w:instrText>
        </w:r>
        <w:r w:rsidRPr="00E8656C">
          <w:rPr>
            <w:noProof/>
            <w:webHidden/>
          </w:rPr>
        </w:r>
        <w:r w:rsidRPr="00E8656C">
          <w:rPr>
            <w:noProof/>
            <w:webHidden/>
          </w:rPr>
          <w:fldChar w:fldCharType="separate"/>
        </w:r>
        <w:r w:rsidR="005E54CB">
          <w:rPr>
            <w:noProof/>
            <w:webHidden/>
          </w:rPr>
          <w:t>15</w:t>
        </w:r>
        <w:r w:rsidRPr="00E8656C">
          <w:rPr>
            <w:noProof/>
            <w:webHidden/>
          </w:rPr>
          <w:fldChar w:fldCharType="end"/>
        </w:r>
      </w:hyperlink>
    </w:p>
    <w:p w14:paraId="2D7268B6" w14:textId="0EBCA33A"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63" w:history="1">
        <w:r w:rsidRPr="00E8656C">
          <w:rPr>
            <w:rStyle w:val="Hyperlink"/>
            <w:noProof/>
          </w:rPr>
          <w:t>Figure 13</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Overall Educational Experience by course level and home language, 2017–24 (% positive rating)*</w:t>
        </w:r>
        <w:r w:rsidRPr="00E8656C">
          <w:rPr>
            <w:noProof/>
            <w:webHidden/>
          </w:rPr>
          <w:tab/>
        </w:r>
        <w:r w:rsidRPr="00E8656C">
          <w:rPr>
            <w:noProof/>
            <w:webHidden/>
          </w:rPr>
          <w:fldChar w:fldCharType="begin"/>
        </w:r>
        <w:r w:rsidRPr="00E8656C">
          <w:rPr>
            <w:noProof/>
            <w:webHidden/>
          </w:rPr>
          <w:instrText xml:space="preserve"> PAGEREF _Toc201065563 \h </w:instrText>
        </w:r>
        <w:r w:rsidRPr="00E8656C">
          <w:rPr>
            <w:noProof/>
            <w:webHidden/>
          </w:rPr>
        </w:r>
        <w:r w:rsidRPr="00E8656C">
          <w:rPr>
            <w:noProof/>
            <w:webHidden/>
          </w:rPr>
          <w:fldChar w:fldCharType="separate"/>
        </w:r>
        <w:r w:rsidR="005E54CB">
          <w:rPr>
            <w:noProof/>
            <w:webHidden/>
          </w:rPr>
          <w:t>16</w:t>
        </w:r>
        <w:r w:rsidRPr="00E8656C">
          <w:rPr>
            <w:noProof/>
            <w:webHidden/>
          </w:rPr>
          <w:fldChar w:fldCharType="end"/>
        </w:r>
      </w:hyperlink>
    </w:p>
    <w:p w14:paraId="1927CD96" w14:textId="35F49303"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64" w:history="1">
        <w:r w:rsidRPr="00E8656C">
          <w:rPr>
            <w:rStyle w:val="Hyperlink"/>
            <w:noProof/>
          </w:rPr>
          <w:t>Figure 14</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Peer Engagement by course level and First Nations status, 2017–24 (% positive rating)*</w:t>
        </w:r>
        <w:r w:rsidRPr="00E8656C">
          <w:rPr>
            <w:noProof/>
            <w:webHidden/>
          </w:rPr>
          <w:tab/>
        </w:r>
        <w:r w:rsidRPr="00E8656C">
          <w:rPr>
            <w:noProof/>
            <w:webHidden/>
          </w:rPr>
          <w:fldChar w:fldCharType="begin"/>
        </w:r>
        <w:r w:rsidRPr="00E8656C">
          <w:rPr>
            <w:noProof/>
            <w:webHidden/>
          </w:rPr>
          <w:instrText xml:space="preserve"> PAGEREF _Toc201065564 \h </w:instrText>
        </w:r>
        <w:r w:rsidRPr="00E8656C">
          <w:rPr>
            <w:noProof/>
            <w:webHidden/>
          </w:rPr>
        </w:r>
        <w:r w:rsidRPr="00E8656C">
          <w:rPr>
            <w:noProof/>
            <w:webHidden/>
          </w:rPr>
          <w:fldChar w:fldCharType="separate"/>
        </w:r>
        <w:r w:rsidR="005E54CB">
          <w:rPr>
            <w:noProof/>
            <w:webHidden/>
          </w:rPr>
          <w:t>17</w:t>
        </w:r>
        <w:r w:rsidRPr="00E8656C">
          <w:rPr>
            <w:noProof/>
            <w:webHidden/>
          </w:rPr>
          <w:fldChar w:fldCharType="end"/>
        </w:r>
      </w:hyperlink>
    </w:p>
    <w:p w14:paraId="2706A133" w14:textId="5A49C97D"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65" w:history="1">
        <w:r w:rsidRPr="00E8656C">
          <w:rPr>
            <w:rStyle w:val="Hyperlink"/>
            <w:noProof/>
          </w:rPr>
          <w:t>Figure 15</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Overall Educational Experience, undergraduate, 2024 (% positive rating)</w:t>
        </w:r>
        <w:r w:rsidRPr="00E8656C">
          <w:rPr>
            <w:noProof/>
            <w:webHidden/>
          </w:rPr>
          <w:tab/>
        </w:r>
        <w:r w:rsidRPr="00E8656C">
          <w:rPr>
            <w:noProof/>
            <w:webHidden/>
          </w:rPr>
          <w:fldChar w:fldCharType="begin"/>
        </w:r>
        <w:r w:rsidRPr="00E8656C">
          <w:rPr>
            <w:noProof/>
            <w:webHidden/>
          </w:rPr>
          <w:instrText xml:space="preserve"> PAGEREF _Toc201065565 \h </w:instrText>
        </w:r>
        <w:r w:rsidRPr="00E8656C">
          <w:rPr>
            <w:noProof/>
            <w:webHidden/>
          </w:rPr>
        </w:r>
        <w:r w:rsidRPr="00E8656C">
          <w:rPr>
            <w:noProof/>
            <w:webHidden/>
          </w:rPr>
          <w:fldChar w:fldCharType="separate"/>
        </w:r>
        <w:r w:rsidR="005E54CB">
          <w:rPr>
            <w:noProof/>
            <w:webHidden/>
          </w:rPr>
          <w:t>20</w:t>
        </w:r>
        <w:r w:rsidRPr="00E8656C">
          <w:rPr>
            <w:noProof/>
            <w:webHidden/>
          </w:rPr>
          <w:fldChar w:fldCharType="end"/>
        </w:r>
      </w:hyperlink>
    </w:p>
    <w:p w14:paraId="4462F3B9" w14:textId="62721AA1"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66" w:history="1">
        <w:r w:rsidRPr="00E8656C">
          <w:rPr>
            <w:rStyle w:val="Hyperlink"/>
            <w:noProof/>
          </w:rPr>
          <w:t>Figure 16</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Overall Educational Experience, postgraduate coursework, 2024 (% positive rating)</w:t>
        </w:r>
        <w:r w:rsidRPr="00E8656C">
          <w:rPr>
            <w:noProof/>
            <w:webHidden/>
          </w:rPr>
          <w:tab/>
        </w:r>
        <w:r w:rsidRPr="00E8656C">
          <w:rPr>
            <w:noProof/>
            <w:webHidden/>
          </w:rPr>
          <w:fldChar w:fldCharType="begin"/>
        </w:r>
        <w:r w:rsidRPr="00E8656C">
          <w:rPr>
            <w:noProof/>
            <w:webHidden/>
          </w:rPr>
          <w:instrText xml:space="preserve"> PAGEREF _Toc201065566 \h </w:instrText>
        </w:r>
        <w:r w:rsidRPr="00E8656C">
          <w:rPr>
            <w:noProof/>
            <w:webHidden/>
          </w:rPr>
        </w:r>
        <w:r w:rsidRPr="00E8656C">
          <w:rPr>
            <w:noProof/>
            <w:webHidden/>
          </w:rPr>
          <w:fldChar w:fldCharType="separate"/>
        </w:r>
        <w:r w:rsidR="005E54CB">
          <w:rPr>
            <w:noProof/>
            <w:webHidden/>
          </w:rPr>
          <w:t>21</w:t>
        </w:r>
        <w:r w:rsidRPr="00E8656C">
          <w:rPr>
            <w:noProof/>
            <w:webHidden/>
          </w:rPr>
          <w:fldChar w:fldCharType="end"/>
        </w:r>
      </w:hyperlink>
    </w:p>
    <w:p w14:paraId="232CE403" w14:textId="08AE37B7"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67" w:history="1">
        <w:r w:rsidRPr="00E8656C">
          <w:rPr>
            <w:rStyle w:val="Hyperlink"/>
            <w:noProof/>
          </w:rPr>
          <w:t>Figure 17</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Undergraduate student experience by institution type, 2019–24 (% positive rating)</w:t>
        </w:r>
        <w:r w:rsidRPr="00E8656C">
          <w:rPr>
            <w:noProof/>
            <w:webHidden/>
          </w:rPr>
          <w:tab/>
        </w:r>
        <w:r w:rsidRPr="00E8656C">
          <w:rPr>
            <w:noProof/>
            <w:webHidden/>
          </w:rPr>
          <w:fldChar w:fldCharType="begin"/>
        </w:r>
        <w:r w:rsidRPr="00E8656C">
          <w:rPr>
            <w:noProof/>
            <w:webHidden/>
          </w:rPr>
          <w:instrText xml:space="preserve"> PAGEREF _Toc201065567 \h </w:instrText>
        </w:r>
        <w:r w:rsidRPr="00E8656C">
          <w:rPr>
            <w:noProof/>
            <w:webHidden/>
          </w:rPr>
        </w:r>
        <w:r w:rsidRPr="00E8656C">
          <w:rPr>
            <w:noProof/>
            <w:webHidden/>
          </w:rPr>
          <w:fldChar w:fldCharType="separate"/>
        </w:r>
        <w:r w:rsidR="005E54CB">
          <w:rPr>
            <w:noProof/>
            <w:webHidden/>
          </w:rPr>
          <w:t>26</w:t>
        </w:r>
        <w:r w:rsidRPr="00E8656C">
          <w:rPr>
            <w:noProof/>
            <w:webHidden/>
          </w:rPr>
          <w:fldChar w:fldCharType="end"/>
        </w:r>
      </w:hyperlink>
    </w:p>
    <w:p w14:paraId="0C341ED6" w14:textId="4D9D6589"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68" w:history="1">
        <w:r w:rsidRPr="00E8656C">
          <w:rPr>
            <w:rStyle w:val="Hyperlink"/>
            <w:noProof/>
          </w:rPr>
          <w:t>Figure 18</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Postgraduate coursework student experience by institution type, 2019–24 (% positive rating)</w:t>
        </w:r>
        <w:r w:rsidRPr="00E8656C">
          <w:rPr>
            <w:noProof/>
            <w:webHidden/>
          </w:rPr>
          <w:tab/>
        </w:r>
        <w:r w:rsidRPr="00E8656C">
          <w:rPr>
            <w:noProof/>
            <w:webHidden/>
          </w:rPr>
          <w:fldChar w:fldCharType="begin"/>
        </w:r>
        <w:r w:rsidRPr="00E8656C">
          <w:rPr>
            <w:noProof/>
            <w:webHidden/>
          </w:rPr>
          <w:instrText xml:space="preserve"> PAGEREF _Toc201065568 \h </w:instrText>
        </w:r>
        <w:r w:rsidRPr="00E8656C">
          <w:rPr>
            <w:noProof/>
            <w:webHidden/>
          </w:rPr>
        </w:r>
        <w:r w:rsidRPr="00E8656C">
          <w:rPr>
            <w:noProof/>
            <w:webHidden/>
          </w:rPr>
          <w:fldChar w:fldCharType="separate"/>
        </w:r>
        <w:r w:rsidR="005E54CB">
          <w:rPr>
            <w:noProof/>
            <w:webHidden/>
          </w:rPr>
          <w:t>27</w:t>
        </w:r>
        <w:r w:rsidRPr="00E8656C">
          <w:rPr>
            <w:noProof/>
            <w:webHidden/>
          </w:rPr>
          <w:fldChar w:fldCharType="end"/>
        </w:r>
      </w:hyperlink>
    </w:p>
    <w:p w14:paraId="468F9FC1" w14:textId="60EE2546"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69" w:history="1">
        <w:r w:rsidRPr="00E8656C">
          <w:rPr>
            <w:rStyle w:val="Hyperlink"/>
            <w:noProof/>
          </w:rPr>
          <w:t>Figure 19</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Overall Educational Experience for undergraduate university students, 2024 (% positive rating)</w:t>
        </w:r>
        <w:r w:rsidRPr="00E8656C">
          <w:rPr>
            <w:noProof/>
            <w:webHidden/>
          </w:rPr>
          <w:tab/>
        </w:r>
        <w:r w:rsidRPr="00E8656C">
          <w:rPr>
            <w:noProof/>
            <w:webHidden/>
          </w:rPr>
          <w:fldChar w:fldCharType="begin"/>
        </w:r>
        <w:r w:rsidRPr="00E8656C">
          <w:rPr>
            <w:noProof/>
            <w:webHidden/>
          </w:rPr>
          <w:instrText xml:space="preserve"> PAGEREF _Toc201065569 \h </w:instrText>
        </w:r>
        <w:r w:rsidRPr="00E8656C">
          <w:rPr>
            <w:noProof/>
            <w:webHidden/>
          </w:rPr>
        </w:r>
        <w:r w:rsidRPr="00E8656C">
          <w:rPr>
            <w:noProof/>
            <w:webHidden/>
          </w:rPr>
          <w:fldChar w:fldCharType="separate"/>
        </w:r>
        <w:r w:rsidR="005E54CB">
          <w:rPr>
            <w:noProof/>
            <w:webHidden/>
          </w:rPr>
          <w:t>29</w:t>
        </w:r>
        <w:r w:rsidRPr="00E8656C">
          <w:rPr>
            <w:noProof/>
            <w:webHidden/>
          </w:rPr>
          <w:fldChar w:fldCharType="end"/>
        </w:r>
      </w:hyperlink>
    </w:p>
    <w:p w14:paraId="0EF088CE" w14:textId="104FD037"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70" w:history="1">
        <w:r w:rsidRPr="00E8656C">
          <w:rPr>
            <w:rStyle w:val="Hyperlink"/>
            <w:noProof/>
          </w:rPr>
          <w:t>Figure 20</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Overall Educational Experience for postgraduate coursework university students, 2024 (% positive rating)</w:t>
        </w:r>
        <w:r w:rsidRPr="00E8656C">
          <w:rPr>
            <w:noProof/>
            <w:webHidden/>
          </w:rPr>
          <w:tab/>
        </w:r>
        <w:r w:rsidRPr="00E8656C">
          <w:rPr>
            <w:noProof/>
            <w:webHidden/>
          </w:rPr>
          <w:fldChar w:fldCharType="begin"/>
        </w:r>
        <w:r w:rsidRPr="00E8656C">
          <w:rPr>
            <w:noProof/>
            <w:webHidden/>
          </w:rPr>
          <w:instrText xml:space="preserve"> PAGEREF _Toc201065570 \h </w:instrText>
        </w:r>
        <w:r w:rsidRPr="00E8656C">
          <w:rPr>
            <w:noProof/>
            <w:webHidden/>
          </w:rPr>
        </w:r>
        <w:r w:rsidRPr="00E8656C">
          <w:rPr>
            <w:noProof/>
            <w:webHidden/>
          </w:rPr>
          <w:fldChar w:fldCharType="separate"/>
        </w:r>
        <w:r w:rsidR="005E54CB">
          <w:rPr>
            <w:noProof/>
            <w:webHidden/>
          </w:rPr>
          <w:t>30</w:t>
        </w:r>
        <w:r w:rsidRPr="00E8656C">
          <w:rPr>
            <w:noProof/>
            <w:webHidden/>
          </w:rPr>
          <w:fldChar w:fldCharType="end"/>
        </w:r>
      </w:hyperlink>
    </w:p>
    <w:p w14:paraId="3CBD0A92" w14:textId="131711C4"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71" w:history="1">
        <w:r w:rsidRPr="00E8656C">
          <w:rPr>
            <w:rStyle w:val="Hyperlink"/>
            <w:noProof/>
          </w:rPr>
          <w:t>Figure 21</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Overall Educational Experience for undergraduate non-university higher education institution (NUHEI) students, pooled 2023–24 (% positive rating)</w:t>
        </w:r>
        <w:r w:rsidRPr="00E8656C">
          <w:rPr>
            <w:noProof/>
            <w:webHidden/>
          </w:rPr>
          <w:tab/>
        </w:r>
        <w:r w:rsidRPr="00E8656C">
          <w:rPr>
            <w:noProof/>
            <w:webHidden/>
          </w:rPr>
          <w:fldChar w:fldCharType="begin"/>
        </w:r>
        <w:r w:rsidRPr="00E8656C">
          <w:rPr>
            <w:noProof/>
            <w:webHidden/>
          </w:rPr>
          <w:instrText xml:space="preserve"> PAGEREF _Toc201065571 \h </w:instrText>
        </w:r>
        <w:r w:rsidRPr="00E8656C">
          <w:rPr>
            <w:noProof/>
            <w:webHidden/>
          </w:rPr>
        </w:r>
        <w:r w:rsidRPr="00E8656C">
          <w:rPr>
            <w:noProof/>
            <w:webHidden/>
          </w:rPr>
          <w:fldChar w:fldCharType="separate"/>
        </w:r>
        <w:r w:rsidR="005E54CB">
          <w:rPr>
            <w:noProof/>
            <w:webHidden/>
          </w:rPr>
          <w:t>32</w:t>
        </w:r>
        <w:r w:rsidRPr="00E8656C">
          <w:rPr>
            <w:noProof/>
            <w:webHidden/>
          </w:rPr>
          <w:fldChar w:fldCharType="end"/>
        </w:r>
      </w:hyperlink>
    </w:p>
    <w:p w14:paraId="3B4B64AC" w14:textId="389E6156"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72" w:history="1">
        <w:r w:rsidRPr="00E8656C">
          <w:rPr>
            <w:rStyle w:val="Hyperlink"/>
            <w:noProof/>
          </w:rPr>
          <w:t>Figure 22</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Overall Educational Experience for postgraduate coursework non-university higher education institution (NUHEI) students, pooled 2023–24 (% positive rating)</w:t>
        </w:r>
        <w:r w:rsidRPr="00E8656C">
          <w:rPr>
            <w:noProof/>
            <w:webHidden/>
          </w:rPr>
          <w:tab/>
        </w:r>
        <w:r w:rsidRPr="00E8656C">
          <w:rPr>
            <w:noProof/>
            <w:webHidden/>
          </w:rPr>
          <w:fldChar w:fldCharType="begin"/>
        </w:r>
        <w:r w:rsidRPr="00E8656C">
          <w:rPr>
            <w:noProof/>
            <w:webHidden/>
          </w:rPr>
          <w:instrText xml:space="preserve"> PAGEREF _Toc201065572 \h </w:instrText>
        </w:r>
        <w:r w:rsidRPr="00E8656C">
          <w:rPr>
            <w:noProof/>
            <w:webHidden/>
          </w:rPr>
        </w:r>
        <w:r w:rsidRPr="00E8656C">
          <w:rPr>
            <w:noProof/>
            <w:webHidden/>
          </w:rPr>
          <w:fldChar w:fldCharType="separate"/>
        </w:r>
        <w:r w:rsidR="005E54CB">
          <w:rPr>
            <w:noProof/>
            <w:webHidden/>
          </w:rPr>
          <w:t>33</w:t>
        </w:r>
        <w:r w:rsidRPr="00E8656C">
          <w:rPr>
            <w:noProof/>
            <w:webHidden/>
          </w:rPr>
          <w:fldChar w:fldCharType="end"/>
        </w:r>
      </w:hyperlink>
    </w:p>
    <w:p w14:paraId="5661E7F6" w14:textId="73FE9FE3"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73" w:history="1">
        <w:r w:rsidRPr="00E8656C">
          <w:rPr>
            <w:rStyle w:val="Hyperlink"/>
            <w:noProof/>
          </w:rPr>
          <w:t>Figure 23</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Sense of belonging to institution by course level, 2017–24 (% positive rating*)</w:t>
        </w:r>
        <w:r w:rsidRPr="00E8656C">
          <w:rPr>
            <w:noProof/>
            <w:webHidden/>
          </w:rPr>
          <w:tab/>
        </w:r>
        <w:r w:rsidRPr="00E8656C">
          <w:rPr>
            <w:noProof/>
            <w:webHidden/>
          </w:rPr>
          <w:fldChar w:fldCharType="begin"/>
        </w:r>
        <w:r w:rsidRPr="00E8656C">
          <w:rPr>
            <w:noProof/>
            <w:webHidden/>
          </w:rPr>
          <w:instrText xml:space="preserve"> PAGEREF _Toc201065573 \h </w:instrText>
        </w:r>
        <w:r w:rsidRPr="00E8656C">
          <w:rPr>
            <w:noProof/>
            <w:webHidden/>
          </w:rPr>
        </w:r>
        <w:r w:rsidRPr="00E8656C">
          <w:rPr>
            <w:noProof/>
            <w:webHidden/>
          </w:rPr>
          <w:fldChar w:fldCharType="separate"/>
        </w:r>
        <w:r w:rsidR="005E54CB">
          <w:rPr>
            <w:noProof/>
            <w:webHidden/>
          </w:rPr>
          <w:t>35</w:t>
        </w:r>
        <w:r w:rsidRPr="00E8656C">
          <w:rPr>
            <w:noProof/>
            <w:webHidden/>
          </w:rPr>
          <w:fldChar w:fldCharType="end"/>
        </w:r>
      </w:hyperlink>
    </w:p>
    <w:p w14:paraId="050C9B2B" w14:textId="311C987A"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74" w:history="1">
        <w:r w:rsidRPr="00E8656C">
          <w:rPr>
            <w:rStyle w:val="Hyperlink"/>
            <w:noProof/>
          </w:rPr>
          <w:t>Figure 24</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Sense of belonging to institution by sub-group, undergraduate, 2017–24 (% positive rating)</w:t>
        </w:r>
        <w:r w:rsidRPr="00E8656C">
          <w:rPr>
            <w:noProof/>
            <w:webHidden/>
          </w:rPr>
          <w:tab/>
        </w:r>
        <w:r w:rsidRPr="00E8656C">
          <w:rPr>
            <w:noProof/>
            <w:webHidden/>
          </w:rPr>
          <w:fldChar w:fldCharType="begin"/>
        </w:r>
        <w:r w:rsidRPr="00E8656C">
          <w:rPr>
            <w:noProof/>
            <w:webHidden/>
          </w:rPr>
          <w:instrText xml:space="preserve"> PAGEREF _Toc201065574 \h </w:instrText>
        </w:r>
        <w:r w:rsidRPr="00E8656C">
          <w:rPr>
            <w:noProof/>
            <w:webHidden/>
          </w:rPr>
        </w:r>
        <w:r w:rsidRPr="00E8656C">
          <w:rPr>
            <w:noProof/>
            <w:webHidden/>
          </w:rPr>
          <w:fldChar w:fldCharType="separate"/>
        </w:r>
        <w:r w:rsidR="005E54CB">
          <w:rPr>
            <w:noProof/>
            <w:webHidden/>
          </w:rPr>
          <w:t>36</w:t>
        </w:r>
        <w:r w:rsidRPr="00E8656C">
          <w:rPr>
            <w:noProof/>
            <w:webHidden/>
          </w:rPr>
          <w:fldChar w:fldCharType="end"/>
        </w:r>
      </w:hyperlink>
    </w:p>
    <w:p w14:paraId="4FA96915" w14:textId="6FAD3FE4"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75" w:history="1">
        <w:r w:rsidRPr="00E8656C">
          <w:rPr>
            <w:rStyle w:val="Hyperlink"/>
            <w:noProof/>
          </w:rPr>
          <w:t>Figure 25</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Sense of belonging to institution by sub-group, postgraduate coursework, 2017–24 (% positive rating)</w:t>
        </w:r>
        <w:r w:rsidRPr="00E8656C">
          <w:rPr>
            <w:noProof/>
            <w:webHidden/>
          </w:rPr>
          <w:tab/>
        </w:r>
        <w:r w:rsidRPr="00E8656C">
          <w:rPr>
            <w:noProof/>
            <w:webHidden/>
          </w:rPr>
          <w:fldChar w:fldCharType="begin"/>
        </w:r>
        <w:r w:rsidRPr="00E8656C">
          <w:rPr>
            <w:noProof/>
            <w:webHidden/>
          </w:rPr>
          <w:instrText xml:space="preserve"> PAGEREF _Toc201065575 \h </w:instrText>
        </w:r>
        <w:r w:rsidRPr="00E8656C">
          <w:rPr>
            <w:noProof/>
            <w:webHidden/>
          </w:rPr>
        </w:r>
        <w:r w:rsidRPr="00E8656C">
          <w:rPr>
            <w:noProof/>
            <w:webHidden/>
          </w:rPr>
          <w:fldChar w:fldCharType="separate"/>
        </w:r>
        <w:r w:rsidR="005E54CB">
          <w:rPr>
            <w:noProof/>
            <w:webHidden/>
          </w:rPr>
          <w:t>37</w:t>
        </w:r>
        <w:r w:rsidRPr="00E8656C">
          <w:rPr>
            <w:noProof/>
            <w:webHidden/>
          </w:rPr>
          <w:fldChar w:fldCharType="end"/>
        </w:r>
      </w:hyperlink>
    </w:p>
    <w:p w14:paraId="313127C4" w14:textId="23F83F4F"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76" w:history="1">
        <w:r w:rsidRPr="00E8656C">
          <w:rPr>
            <w:rStyle w:val="Hyperlink"/>
            <w:noProof/>
          </w:rPr>
          <w:t>Figure 26</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Proportion of students who considered early departure from institution by course level, 2017–24</w:t>
        </w:r>
        <w:r w:rsidRPr="00E8656C">
          <w:rPr>
            <w:noProof/>
            <w:webHidden/>
          </w:rPr>
          <w:tab/>
        </w:r>
        <w:r w:rsidRPr="00E8656C">
          <w:rPr>
            <w:noProof/>
            <w:webHidden/>
          </w:rPr>
          <w:fldChar w:fldCharType="begin"/>
        </w:r>
        <w:r w:rsidRPr="00E8656C">
          <w:rPr>
            <w:noProof/>
            <w:webHidden/>
          </w:rPr>
          <w:instrText xml:space="preserve"> PAGEREF _Toc201065576 \h </w:instrText>
        </w:r>
        <w:r w:rsidRPr="00E8656C">
          <w:rPr>
            <w:noProof/>
            <w:webHidden/>
          </w:rPr>
        </w:r>
        <w:r w:rsidRPr="00E8656C">
          <w:rPr>
            <w:noProof/>
            <w:webHidden/>
          </w:rPr>
          <w:fldChar w:fldCharType="separate"/>
        </w:r>
        <w:r w:rsidR="005E54CB">
          <w:rPr>
            <w:noProof/>
            <w:webHidden/>
          </w:rPr>
          <w:t>38</w:t>
        </w:r>
        <w:r w:rsidRPr="00E8656C">
          <w:rPr>
            <w:noProof/>
            <w:webHidden/>
          </w:rPr>
          <w:fldChar w:fldCharType="end"/>
        </w:r>
      </w:hyperlink>
    </w:p>
    <w:p w14:paraId="45CF5B93" w14:textId="10A05410" w:rsidR="00695177" w:rsidRPr="00E8656C" w:rsidRDefault="00695177">
      <w:pPr>
        <w:pStyle w:val="TableofFigures"/>
        <w:tabs>
          <w:tab w:val="right" w:leader="dot" w:pos="10450"/>
        </w:tabs>
        <w:rPr>
          <w:rFonts w:asciiTheme="minorHAnsi" w:eastAsiaTheme="minorEastAsia" w:hAnsiTheme="minorHAnsi"/>
          <w:noProof/>
          <w:color w:val="auto"/>
          <w:kern w:val="2"/>
          <w:sz w:val="24"/>
          <w:szCs w:val="24"/>
          <w:lang w:eastAsia="zh-CN"/>
          <w14:ligatures w14:val="standardContextual"/>
        </w:rPr>
      </w:pPr>
      <w:hyperlink w:anchor="_Toc201065577" w:history="1">
        <w:r w:rsidRPr="00E8656C">
          <w:rPr>
            <w:rStyle w:val="Hyperlink"/>
            <w:noProof/>
          </w:rPr>
          <w:t>Figure 27</w:t>
        </w:r>
        <w:r w:rsidRPr="00E8656C">
          <w:rPr>
            <w:rFonts w:asciiTheme="minorHAnsi" w:eastAsiaTheme="minorEastAsia" w:hAnsiTheme="minorHAnsi"/>
            <w:noProof/>
            <w:color w:val="auto"/>
            <w:kern w:val="2"/>
            <w:sz w:val="24"/>
            <w:szCs w:val="24"/>
            <w:lang w:eastAsia="zh-CN"/>
            <w14:ligatures w14:val="standardContextual"/>
          </w:rPr>
          <w:tab/>
        </w:r>
        <w:r w:rsidRPr="00E8656C">
          <w:rPr>
            <w:rStyle w:val="Hyperlink"/>
            <w:noProof/>
          </w:rPr>
          <w:t>Top reasons for considering early departure from institution in 2024 (% of those who considered leaving)</w:t>
        </w:r>
        <w:r w:rsidRPr="00E8656C">
          <w:rPr>
            <w:noProof/>
            <w:webHidden/>
          </w:rPr>
          <w:tab/>
        </w:r>
        <w:r w:rsidRPr="00E8656C">
          <w:rPr>
            <w:noProof/>
            <w:webHidden/>
          </w:rPr>
          <w:fldChar w:fldCharType="begin"/>
        </w:r>
        <w:r w:rsidRPr="00E8656C">
          <w:rPr>
            <w:noProof/>
            <w:webHidden/>
          </w:rPr>
          <w:instrText xml:space="preserve"> PAGEREF _Toc201065577 \h </w:instrText>
        </w:r>
        <w:r w:rsidRPr="00E8656C">
          <w:rPr>
            <w:noProof/>
            <w:webHidden/>
          </w:rPr>
        </w:r>
        <w:r w:rsidRPr="00E8656C">
          <w:rPr>
            <w:noProof/>
            <w:webHidden/>
          </w:rPr>
          <w:fldChar w:fldCharType="separate"/>
        </w:r>
        <w:r w:rsidR="005E54CB">
          <w:rPr>
            <w:noProof/>
            <w:webHidden/>
          </w:rPr>
          <w:t>39</w:t>
        </w:r>
        <w:r w:rsidRPr="00E8656C">
          <w:rPr>
            <w:noProof/>
            <w:webHidden/>
          </w:rPr>
          <w:fldChar w:fldCharType="end"/>
        </w:r>
      </w:hyperlink>
    </w:p>
    <w:p w14:paraId="4F25525E" w14:textId="3EF8FA48" w:rsidR="0017622C" w:rsidRPr="00E8656C" w:rsidRDefault="005A5905" w:rsidP="005A5905">
      <w:pPr>
        <w:pStyle w:val="Body"/>
        <w:rPr>
          <w:rFonts w:cs="Arial"/>
          <w:lang w:val="en-GB" w:eastAsia="en-GB"/>
        </w:rPr>
        <w:sectPr w:rsidR="0017622C" w:rsidRPr="00E8656C" w:rsidSect="00E8656C">
          <w:footerReference w:type="default" r:id="rId16"/>
          <w:type w:val="continuous"/>
          <w:pgSz w:w="11900" w:h="16840"/>
          <w:pgMar w:top="1134" w:right="1134" w:bottom="1134" w:left="1134" w:header="397" w:footer="170" w:gutter="0"/>
          <w:pgNumType w:fmt="lowerRoman"/>
          <w:cols w:space="708"/>
          <w:titlePg/>
          <w:docGrid w:linePitch="360"/>
        </w:sectPr>
      </w:pPr>
      <w:r w:rsidRPr="00E8656C">
        <w:rPr>
          <w:rFonts w:cs="Arial"/>
          <w:lang w:val="en-GB" w:eastAsia="en-GB"/>
        </w:rPr>
        <w:fldChar w:fldCharType="end"/>
      </w:r>
    </w:p>
    <w:p w14:paraId="3018B85B" w14:textId="77777777" w:rsidR="001664F5" w:rsidRPr="00E8656C" w:rsidRDefault="002D527B" w:rsidP="005A5905">
      <w:pPr>
        <w:pStyle w:val="Heading1"/>
        <w:rPr>
          <w:rFonts w:cs="Arial"/>
          <w:b/>
          <w:bCs/>
          <w:color w:val="auto"/>
        </w:rPr>
      </w:pPr>
      <w:bookmarkStart w:id="5" w:name="_Toc207802593"/>
      <w:r w:rsidRPr="00E8656C">
        <w:rPr>
          <w:rFonts w:cs="Arial"/>
          <w:color w:val="auto"/>
        </w:rPr>
        <w:lastRenderedPageBreak/>
        <w:t>Background</w:t>
      </w:r>
      <w:bookmarkEnd w:id="5"/>
    </w:p>
    <w:p w14:paraId="62661BF3" w14:textId="67868E94" w:rsidR="005A5905" w:rsidRPr="00E8656C" w:rsidRDefault="00DA6A47" w:rsidP="001664F5">
      <w:pPr>
        <w:pStyle w:val="Heading2"/>
        <w:rPr>
          <w:b/>
          <w:bCs/>
          <w:color w:val="auto"/>
        </w:rPr>
      </w:pPr>
      <w:bookmarkStart w:id="6" w:name="_Toc207802594"/>
      <w:r w:rsidRPr="00E8656C">
        <w:rPr>
          <w:color w:val="auto"/>
        </w:rPr>
        <w:t>About the SES</w:t>
      </w:r>
      <w:bookmarkEnd w:id="6"/>
    </w:p>
    <w:p w14:paraId="1189001D" w14:textId="70CAB4EB" w:rsidR="005D459B" w:rsidRPr="00E8656C" w:rsidRDefault="005D459B" w:rsidP="005D459B">
      <w:pPr>
        <w:pStyle w:val="Body"/>
        <w:rPr>
          <w:rFonts w:cs="Arial"/>
        </w:rPr>
      </w:pPr>
      <w:r w:rsidRPr="00E8656C">
        <w:rPr>
          <w:rFonts w:cs="Arial"/>
        </w:rPr>
        <w:t xml:space="preserve">The Student Experience Survey (SES) provides a national framework for collecting data on key aspects of the higher education student experience. It focuses on measurable aspects linked to learning outcomes and influenced by institutions. The SES measures five aspects </w:t>
      </w:r>
      <w:r w:rsidR="00BC1118" w:rsidRPr="00E8656C">
        <w:rPr>
          <w:rFonts w:cs="Arial"/>
        </w:rPr>
        <w:t xml:space="preserve">(or </w:t>
      </w:r>
      <w:r w:rsidR="0065234C" w:rsidRPr="00E8656C">
        <w:rPr>
          <w:rFonts w:cs="Arial"/>
        </w:rPr>
        <w:t>focus area</w:t>
      </w:r>
      <w:r w:rsidR="00BC1118" w:rsidRPr="00E8656C">
        <w:rPr>
          <w:rFonts w:cs="Arial"/>
        </w:rPr>
        <w:t xml:space="preserve">s) </w:t>
      </w:r>
      <w:r w:rsidRPr="00E8656C">
        <w:rPr>
          <w:rFonts w:cs="Arial"/>
        </w:rPr>
        <w:t>of the student experience:</w:t>
      </w:r>
    </w:p>
    <w:p w14:paraId="03773B0A" w14:textId="07331D18" w:rsidR="00DB64B1" w:rsidRPr="00E8656C" w:rsidRDefault="00DB64B1" w:rsidP="00DB64B1">
      <w:pPr>
        <w:pStyle w:val="Body"/>
        <w:numPr>
          <w:ilvl w:val="0"/>
          <w:numId w:val="41"/>
        </w:numPr>
        <w:rPr>
          <w:rFonts w:cs="Arial"/>
        </w:rPr>
      </w:pPr>
      <w:r w:rsidRPr="00E8656C">
        <w:rPr>
          <w:rFonts w:cs="Arial"/>
          <w:b/>
          <w:bCs/>
        </w:rPr>
        <w:t>Skills Development</w:t>
      </w:r>
      <w:r w:rsidRPr="00E8656C">
        <w:rPr>
          <w:rFonts w:cs="Arial"/>
        </w:rPr>
        <w:t>: Evaluates how students have developed their skills and knowledge in eight areas, including foundation</w:t>
      </w:r>
      <w:r w:rsidR="00513DB8" w:rsidRPr="00E8656C">
        <w:rPr>
          <w:rFonts w:cs="Arial"/>
        </w:rPr>
        <w:t>al</w:t>
      </w:r>
      <w:r w:rsidRPr="00E8656C">
        <w:rPr>
          <w:rFonts w:cs="Arial"/>
        </w:rPr>
        <w:t>, collaborative, and adaptive skills.</w:t>
      </w:r>
    </w:p>
    <w:p w14:paraId="1020A94E" w14:textId="77777777" w:rsidR="00DB64B1" w:rsidRPr="00E8656C" w:rsidRDefault="00DB64B1" w:rsidP="00DB64B1">
      <w:pPr>
        <w:pStyle w:val="Body"/>
        <w:numPr>
          <w:ilvl w:val="0"/>
          <w:numId w:val="41"/>
        </w:numPr>
        <w:rPr>
          <w:rFonts w:cs="Arial"/>
        </w:rPr>
      </w:pPr>
      <w:r w:rsidRPr="00E8656C">
        <w:rPr>
          <w:rFonts w:cs="Arial"/>
          <w:b/>
          <w:bCs/>
        </w:rPr>
        <w:t>Peer Engagement</w:t>
      </w:r>
      <w:r w:rsidRPr="00E8656C">
        <w:rPr>
          <w:rFonts w:cs="Arial"/>
        </w:rPr>
        <w:t>: Assesses the frequency of student interactions with peers inside or outside formal study.</w:t>
      </w:r>
    </w:p>
    <w:p w14:paraId="500BD16E" w14:textId="77777777" w:rsidR="00DB64B1" w:rsidRPr="00E8656C" w:rsidRDefault="00DB64B1" w:rsidP="00DB64B1">
      <w:pPr>
        <w:pStyle w:val="Body"/>
        <w:numPr>
          <w:ilvl w:val="0"/>
          <w:numId w:val="41"/>
        </w:numPr>
        <w:rPr>
          <w:rFonts w:cs="Arial"/>
        </w:rPr>
      </w:pPr>
      <w:r w:rsidRPr="00E8656C">
        <w:rPr>
          <w:rFonts w:cs="Arial"/>
          <w:b/>
          <w:bCs/>
        </w:rPr>
        <w:t>Teaching Quality and Engagement</w:t>
      </w:r>
      <w:r w:rsidRPr="00E8656C">
        <w:rPr>
          <w:rFonts w:cs="Arial"/>
        </w:rPr>
        <w:t>: Rates the relevance and focus of courses, overall teaching quality, and academic staff actions such as engaging students and providing feedback.</w:t>
      </w:r>
    </w:p>
    <w:p w14:paraId="706E365C" w14:textId="77777777" w:rsidR="00DB64B1" w:rsidRPr="00E8656C" w:rsidRDefault="00DB64B1" w:rsidP="00DB64B1">
      <w:pPr>
        <w:pStyle w:val="Body"/>
        <w:numPr>
          <w:ilvl w:val="0"/>
          <w:numId w:val="41"/>
        </w:numPr>
        <w:rPr>
          <w:rFonts w:cs="Arial"/>
        </w:rPr>
      </w:pPr>
      <w:r w:rsidRPr="00E8656C">
        <w:rPr>
          <w:rFonts w:cs="Arial"/>
          <w:b/>
          <w:bCs/>
        </w:rPr>
        <w:t>Student Support and Services</w:t>
      </w:r>
      <w:r w:rsidRPr="00E8656C">
        <w:rPr>
          <w:rFonts w:cs="Arial"/>
        </w:rPr>
        <w:t>: Measures the helpfulness of various supports and services provided by institutions, including administrative, career development, health, and financial services.</w:t>
      </w:r>
    </w:p>
    <w:p w14:paraId="4F28599D" w14:textId="77777777" w:rsidR="00DB64B1" w:rsidRPr="00E8656C" w:rsidRDefault="00DB64B1" w:rsidP="00DB64B1">
      <w:pPr>
        <w:pStyle w:val="Body"/>
        <w:numPr>
          <w:ilvl w:val="0"/>
          <w:numId w:val="41"/>
        </w:numPr>
        <w:rPr>
          <w:rFonts w:cs="Arial"/>
        </w:rPr>
      </w:pPr>
      <w:r w:rsidRPr="00E8656C">
        <w:rPr>
          <w:rFonts w:cs="Arial"/>
          <w:b/>
          <w:bCs/>
        </w:rPr>
        <w:t>Learning Resources</w:t>
      </w:r>
      <w:r w:rsidRPr="00E8656C">
        <w:rPr>
          <w:rFonts w:cs="Arial"/>
        </w:rPr>
        <w:t>: Evaluates the quality of learning resources in seven areas, including teaching spaces, equipment, and learning materials.</w:t>
      </w:r>
    </w:p>
    <w:p w14:paraId="54AF15D1" w14:textId="4EEBE50C" w:rsidR="005D459B" w:rsidRPr="00E8656C" w:rsidRDefault="00F73C8F" w:rsidP="005D459B">
      <w:pPr>
        <w:pStyle w:val="Body"/>
        <w:rPr>
          <w:rFonts w:cs="Arial"/>
        </w:rPr>
      </w:pPr>
      <w:r w:rsidRPr="00E8656C">
        <w:rPr>
          <w:rFonts w:cs="Arial"/>
        </w:rPr>
        <w:t>The SES</w:t>
      </w:r>
      <w:r w:rsidR="427B7BC7" w:rsidRPr="00E8656C">
        <w:rPr>
          <w:rFonts w:cs="Arial"/>
        </w:rPr>
        <w:t xml:space="preserve"> </w:t>
      </w:r>
      <w:r w:rsidRPr="00E8656C">
        <w:rPr>
          <w:rFonts w:cs="Arial"/>
        </w:rPr>
        <w:t>a</w:t>
      </w:r>
      <w:r w:rsidR="427B7BC7" w:rsidRPr="00E8656C">
        <w:rPr>
          <w:rFonts w:cs="Arial"/>
        </w:rPr>
        <w:t>lso measures</w:t>
      </w:r>
      <w:r w:rsidR="005D459B" w:rsidRPr="00E8656C">
        <w:rPr>
          <w:rFonts w:cs="Arial"/>
        </w:rPr>
        <w:t xml:space="preserve"> the </w:t>
      </w:r>
      <w:r w:rsidR="005D459B" w:rsidRPr="00E8656C">
        <w:rPr>
          <w:rFonts w:cs="Arial"/>
          <w:b/>
          <w:bCs/>
        </w:rPr>
        <w:t>Overall Educational Experience</w:t>
      </w:r>
      <w:r w:rsidR="00A26AF7" w:rsidRPr="00E8656C">
        <w:rPr>
          <w:rFonts w:cs="Arial"/>
        </w:rPr>
        <w:t xml:space="preserve"> which is a stand</w:t>
      </w:r>
      <w:r w:rsidR="007F0610" w:rsidRPr="00E8656C">
        <w:rPr>
          <w:rFonts w:cs="Arial"/>
        </w:rPr>
        <w:t>-</w:t>
      </w:r>
      <w:r w:rsidR="00A26AF7" w:rsidRPr="00E8656C">
        <w:rPr>
          <w:rFonts w:cs="Arial"/>
        </w:rPr>
        <w:t>alon</w:t>
      </w:r>
      <w:r w:rsidR="007F0610" w:rsidRPr="00E8656C">
        <w:rPr>
          <w:rFonts w:cs="Arial"/>
        </w:rPr>
        <w:t>e</w:t>
      </w:r>
      <w:r w:rsidR="00A26AF7" w:rsidRPr="00E8656C">
        <w:rPr>
          <w:rFonts w:cs="Arial"/>
        </w:rPr>
        <w:t xml:space="preserve"> item</w:t>
      </w:r>
      <w:r w:rsidR="005D184E" w:rsidRPr="00E8656C">
        <w:rPr>
          <w:rFonts w:cs="Arial"/>
        </w:rPr>
        <w:t xml:space="preserve"> in the survey.</w:t>
      </w:r>
      <w:r w:rsidR="00662996" w:rsidRPr="00E8656C">
        <w:rPr>
          <w:rFonts w:cs="Arial"/>
        </w:rPr>
        <w:t xml:space="preserve"> </w:t>
      </w:r>
      <w:r w:rsidR="005D184E" w:rsidRPr="00E8656C">
        <w:rPr>
          <w:rFonts w:cs="Arial"/>
        </w:rPr>
        <w:t xml:space="preserve">Overall Educational Experience is </w:t>
      </w:r>
      <w:r w:rsidR="00A26AF7" w:rsidRPr="00E8656C">
        <w:rPr>
          <w:rFonts w:cs="Arial"/>
        </w:rPr>
        <w:t>closely related to students</w:t>
      </w:r>
      <w:r w:rsidR="007F0610" w:rsidRPr="00E8656C">
        <w:rPr>
          <w:rFonts w:cs="Arial"/>
        </w:rPr>
        <w:t>’</w:t>
      </w:r>
      <w:r w:rsidR="00A26AF7" w:rsidRPr="00E8656C">
        <w:rPr>
          <w:rFonts w:cs="Arial"/>
        </w:rPr>
        <w:t xml:space="preserve"> ratings of </w:t>
      </w:r>
      <w:r w:rsidR="00D00481" w:rsidRPr="00E8656C">
        <w:rPr>
          <w:rFonts w:cs="Arial"/>
        </w:rPr>
        <w:t>Teach</w:t>
      </w:r>
      <w:r w:rsidR="00362EE5" w:rsidRPr="00E8656C">
        <w:rPr>
          <w:rFonts w:cs="Arial"/>
        </w:rPr>
        <w:t>i</w:t>
      </w:r>
      <w:r w:rsidR="00D00481" w:rsidRPr="00E8656C">
        <w:rPr>
          <w:rFonts w:cs="Arial"/>
        </w:rPr>
        <w:t>ng Quality and Engagement and Skills Development</w:t>
      </w:r>
      <w:r w:rsidR="005D184E" w:rsidRPr="00E8656C">
        <w:rPr>
          <w:rFonts w:cs="Arial"/>
        </w:rPr>
        <w:t xml:space="preserve">, and to </w:t>
      </w:r>
      <w:r w:rsidR="00D00481" w:rsidRPr="00E8656C">
        <w:rPr>
          <w:rFonts w:cs="Arial"/>
        </w:rPr>
        <w:t>areas outside the focus areas, such as students’ Sense of Belonging.</w:t>
      </w:r>
      <w:r w:rsidR="001E39DE" w:rsidRPr="00E8656C">
        <w:rPr>
          <w:rFonts w:cs="Arial"/>
        </w:rPr>
        <w:t xml:space="preserve"> (See </w:t>
      </w:r>
      <w:r w:rsidR="001E39DE" w:rsidRPr="00E8656C">
        <w:rPr>
          <w:rFonts w:cs="Arial"/>
          <w:b/>
          <w:bCs/>
        </w:rPr>
        <w:fldChar w:fldCharType="begin"/>
      </w:r>
      <w:r w:rsidR="001E39DE" w:rsidRPr="00E8656C">
        <w:rPr>
          <w:rFonts w:cs="Arial"/>
          <w:b/>
          <w:bCs/>
        </w:rPr>
        <w:instrText xml:space="preserve"> REF _Ref195520443 \r \h </w:instrText>
      </w:r>
      <w:r w:rsidR="0094250A" w:rsidRPr="00E8656C">
        <w:rPr>
          <w:rFonts w:cs="Arial"/>
          <w:b/>
          <w:bCs/>
        </w:rPr>
        <w:instrText xml:space="preserve"> \* MERGEFORMAT </w:instrText>
      </w:r>
      <w:r w:rsidR="001E39DE" w:rsidRPr="00E8656C">
        <w:rPr>
          <w:rFonts w:cs="Arial"/>
          <w:b/>
          <w:bCs/>
        </w:rPr>
      </w:r>
      <w:r w:rsidR="001E39DE" w:rsidRPr="00E8656C">
        <w:rPr>
          <w:rFonts w:cs="Arial"/>
          <w:b/>
          <w:bCs/>
        </w:rPr>
        <w:fldChar w:fldCharType="separate"/>
      </w:r>
      <w:r w:rsidR="001E39DE" w:rsidRPr="00E8656C">
        <w:rPr>
          <w:rFonts w:cs="Arial"/>
          <w:b/>
          <w:bCs/>
        </w:rPr>
        <w:t>Appendix 1</w:t>
      </w:r>
      <w:r w:rsidR="001E39DE" w:rsidRPr="00E8656C">
        <w:rPr>
          <w:rFonts w:cs="Arial"/>
          <w:b/>
          <w:bCs/>
        </w:rPr>
        <w:fldChar w:fldCharType="end"/>
      </w:r>
      <w:r w:rsidR="00682078" w:rsidRPr="00E8656C">
        <w:rPr>
          <w:rFonts w:cs="Arial"/>
        </w:rPr>
        <w:t xml:space="preserve"> for a </w:t>
      </w:r>
      <w:r w:rsidR="00574B31" w:rsidRPr="00E8656C">
        <w:rPr>
          <w:rFonts w:cs="Arial"/>
        </w:rPr>
        <w:t>list</w:t>
      </w:r>
      <w:r w:rsidR="00682078" w:rsidRPr="00E8656C">
        <w:rPr>
          <w:rFonts w:cs="Arial"/>
        </w:rPr>
        <w:t xml:space="preserve"> of the individual items in each Focus Area).</w:t>
      </w:r>
    </w:p>
    <w:p w14:paraId="5BE4D5E8" w14:textId="246958E9" w:rsidR="005D459B" w:rsidRPr="00E8656C" w:rsidRDefault="005D459B" w:rsidP="005D459B">
      <w:pPr>
        <w:pStyle w:val="Body"/>
        <w:rPr>
          <w:rFonts w:cs="Arial"/>
        </w:rPr>
      </w:pPr>
      <w:r w:rsidRPr="00E8656C">
        <w:rPr>
          <w:rFonts w:cs="Arial"/>
        </w:rPr>
        <w:t xml:space="preserve">Each </w:t>
      </w:r>
      <w:r w:rsidR="0065234C" w:rsidRPr="00E8656C">
        <w:rPr>
          <w:rFonts w:cs="Arial"/>
        </w:rPr>
        <w:t>focus area</w:t>
      </w:r>
      <w:r w:rsidRPr="00E8656C">
        <w:rPr>
          <w:rFonts w:cs="Arial"/>
        </w:rPr>
        <w:t xml:space="preserve"> consists of related survey items that collect student feedback. Ratings are classified as positive or negative based on responses</w:t>
      </w:r>
      <w:r w:rsidR="00D336A2" w:rsidRPr="00E8656C">
        <w:rPr>
          <w:rFonts w:cs="Arial"/>
        </w:rPr>
        <w:t xml:space="preserve"> to the underlying items</w:t>
      </w:r>
      <w:r w:rsidRPr="00E8656C">
        <w:rPr>
          <w:rFonts w:cs="Arial"/>
        </w:rPr>
        <w:t>, with scores representing the proportion of students who responded positively.</w:t>
      </w:r>
    </w:p>
    <w:p w14:paraId="570F145E" w14:textId="77777777" w:rsidR="009E2976" w:rsidRPr="00E8656C" w:rsidRDefault="009E2976" w:rsidP="009E2976">
      <w:pPr>
        <w:pStyle w:val="Body"/>
        <w:rPr>
          <w:rFonts w:cs="Arial"/>
        </w:rPr>
      </w:pPr>
      <w:r w:rsidRPr="00E8656C">
        <w:rPr>
          <w:rFonts w:cs="Arial"/>
        </w:rPr>
        <w:t>Originally developed as the University Experience Survey (UES) in 2011, the SES was renamed in 2015 to include non-university higher education institutions (NUHEIs). Initially focused on undergraduates, the survey expanded to include postgraduate coursework students in 2017.</w:t>
      </w:r>
    </w:p>
    <w:p w14:paraId="788D4EE2" w14:textId="77777777" w:rsidR="009E2976" w:rsidRPr="00E8656C" w:rsidRDefault="009E2976" w:rsidP="009E2976">
      <w:pPr>
        <w:pStyle w:val="Body"/>
        <w:rPr>
          <w:rFonts w:cs="Arial"/>
        </w:rPr>
      </w:pPr>
      <w:r w:rsidRPr="00E8656C">
        <w:rPr>
          <w:rFonts w:cs="Arial"/>
        </w:rPr>
        <w:t>From 2014 to 2019, the survey remained largely unchanged, with minor wording adjustments. In 2020, an international student module was added to measure broader aspects of their experience. In 2021, items on freedom of expression were included.</w:t>
      </w:r>
    </w:p>
    <w:p w14:paraId="60183427" w14:textId="5681C7C5" w:rsidR="009E2976" w:rsidRPr="00E8656C" w:rsidRDefault="009E2976" w:rsidP="009E2976">
      <w:pPr>
        <w:pStyle w:val="Body"/>
        <w:rPr>
          <w:rFonts w:cs="Arial"/>
        </w:rPr>
      </w:pPr>
      <w:r w:rsidRPr="00E8656C">
        <w:rPr>
          <w:rFonts w:cs="Arial"/>
        </w:rPr>
        <w:t xml:space="preserve">A 2022 review led to several changes in the 2023 SES, including renaming </w:t>
      </w:r>
      <w:r w:rsidR="0065234C" w:rsidRPr="00E8656C">
        <w:rPr>
          <w:rFonts w:cs="Arial"/>
        </w:rPr>
        <w:t>focus area</w:t>
      </w:r>
      <w:r w:rsidRPr="00E8656C">
        <w:rPr>
          <w:rFonts w:cs="Arial"/>
        </w:rPr>
        <w:t xml:space="preserve">s: Learner Engagement to Peer Engagement, and Student Support to Student Support and Services. The Teaching Quality </w:t>
      </w:r>
      <w:r w:rsidR="0065234C" w:rsidRPr="00E8656C">
        <w:rPr>
          <w:rFonts w:cs="Arial"/>
        </w:rPr>
        <w:t>focus area</w:t>
      </w:r>
      <w:r w:rsidRPr="00E8656C">
        <w:rPr>
          <w:rFonts w:cs="Arial"/>
        </w:rPr>
        <w:t xml:space="preserve"> was renamed to Teaching Quality and Engagement, and </w:t>
      </w:r>
      <w:r w:rsidR="001A152D" w:rsidRPr="00E8656C">
        <w:rPr>
          <w:rFonts w:cs="Arial"/>
        </w:rPr>
        <w:t xml:space="preserve">the </w:t>
      </w:r>
      <w:r w:rsidR="00B02977" w:rsidRPr="00E8656C">
        <w:rPr>
          <w:rFonts w:cs="Arial"/>
        </w:rPr>
        <w:t>S</w:t>
      </w:r>
      <w:r w:rsidRPr="00E8656C">
        <w:rPr>
          <w:rFonts w:cs="Arial"/>
        </w:rPr>
        <w:t xml:space="preserve">ense of </w:t>
      </w:r>
      <w:r w:rsidR="00B02977" w:rsidRPr="00E8656C">
        <w:rPr>
          <w:rFonts w:cs="Arial"/>
        </w:rPr>
        <w:t>B</w:t>
      </w:r>
      <w:r w:rsidRPr="00E8656C">
        <w:rPr>
          <w:rFonts w:cs="Arial"/>
        </w:rPr>
        <w:t>elonging item became a stand-alone measure.</w:t>
      </w:r>
    </w:p>
    <w:p w14:paraId="600CEA46" w14:textId="511C1B09" w:rsidR="00C15FB6" w:rsidRPr="00E8656C" w:rsidRDefault="00C15FB6" w:rsidP="00F02326">
      <w:pPr>
        <w:pStyle w:val="Heading2"/>
        <w:rPr>
          <w:color w:val="auto"/>
        </w:rPr>
      </w:pPr>
      <w:bookmarkStart w:id="7" w:name="_Toc207802595"/>
      <w:r w:rsidRPr="00E8656C">
        <w:rPr>
          <w:color w:val="auto"/>
        </w:rPr>
        <w:t>Participation</w:t>
      </w:r>
      <w:r w:rsidR="00B16DFA" w:rsidRPr="00E8656C">
        <w:rPr>
          <w:color w:val="auto"/>
        </w:rPr>
        <w:t xml:space="preserve"> in the 2024 SES</w:t>
      </w:r>
      <w:bookmarkEnd w:id="7"/>
    </w:p>
    <w:p w14:paraId="1909779B" w14:textId="68AD889F" w:rsidR="00D41212" w:rsidRPr="00E8656C" w:rsidRDefault="00D41212" w:rsidP="00D41212">
      <w:pPr>
        <w:pStyle w:val="Body"/>
        <w:rPr>
          <w:rFonts w:cs="Arial"/>
        </w:rPr>
      </w:pPr>
      <w:r w:rsidRPr="00E8656C">
        <w:rPr>
          <w:rFonts w:cs="Arial"/>
        </w:rPr>
        <w:t>In 2024, 149 higher education institutions participated in the SES, including all 42 universities and 107 NUHEIs, up from 142 in 2023 and 141 in 2022. The survey included commencing and later-year, onshore, undergraduate, and postgraduate coursework students.</w:t>
      </w:r>
    </w:p>
    <w:p w14:paraId="1B3E2D48" w14:textId="77E19B4F" w:rsidR="00D41212" w:rsidRPr="00E8656C" w:rsidRDefault="00D41212" w:rsidP="00D41212">
      <w:pPr>
        <w:pStyle w:val="Body"/>
        <w:rPr>
          <w:rFonts w:cs="Arial"/>
        </w:rPr>
      </w:pPr>
      <w:r w:rsidRPr="00E8656C">
        <w:rPr>
          <w:rFonts w:cs="Arial"/>
        </w:rPr>
        <w:t>The main online fieldwork ran from 30 July to 1 September 2024, with a secondary collection from 10 September to 13 October 2024. From a sample of 692,631 students, 257,865 responses were received</w:t>
      </w:r>
      <w:r w:rsidR="00493EE4" w:rsidRPr="00E8656C">
        <w:rPr>
          <w:rFonts w:cs="Arial"/>
        </w:rPr>
        <w:t xml:space="preserve"> at the student level</w:t>
      </w:r>
      <w:r w:rsidRPr="00E8656C">
        <w:rPr>
          <w:rFonts w:cs="Arial"/>
        </w:rPr>
        <w:t>, resulting in 270,292 valid surveys</w:t>
      </w:r>
      <w:r w:rsidR="00493EE4" w:rsidRPr="00E8656C">
        <w:rPr>
          <w:rFonts w:cs="Arial"/>
        </w:rPr>
        <w:t xml:space="preserve"> at the course level</w:t>
      </w:r>
      <w:r w:rsidRPr="00E8656C">
        <w:rPr>
          <w:rFonts w:cs="Arial"/>
        </w:rPr>
        <w:t>. This represents a response rate of 37.2</w:t>
      </w:r>
      <w:r w:rsidR="00D106E1" w:rsidRPr="00E8656C">
        <w:rPr>
          <w:rFonts w:cs="Arial"/>
        </w:rPr>
        <w:t xml:space="preserve"> per cent</w:t>
      </w:r>
      <w:r w:rsidRPr="00E8656C">
        <w:rPr>
          <w:rFonts w:cs="Arial"/>
        </w:rPr>
        <w:t>, comparable to 37.5</w:t>
      </w:r>
      <w:r w:rsidR="00D106E1" w:rsidRPr="00E8656C">
        <w:rPr>
          <w:rFonts w:cs="Arial"/>
        </w:rPr>
        <w:t xml:space="preserve"> per cent</w:t>
      </w:r>
      <w:r w:rsidRPr="00E8656C">
        <w:rPr>
          <w:rFonts w:cs="Arial"/>
        </w:rPr>
        <w:t xml:space="preserve"> in 2023 and 37.0</w:t>
      </w:r>
      <w:r w:rsidR="00D106E1" w:rsidRPr="00E8656C">
        <w:rPr>
          <w:rFonts w:cs="Arial"/>
        </w:rPr>
        <w:t xml:space="preserve"> per cent</w:t>
      </w:r>
      <w:r w:rsidRPr="00E8656C">
        <w:rPr>
          <w:rFonts w:cs="Arial"/>
        </w:rPr>
        <w:t xml:space="preserve"> in 2022. Despite a decline from 44.1</w:t>
      </w:r>
      <w:r w:rsidR="00D106E1" w:rsidRPr="00E8656C">
        <w:rPr>
          <w:rFonts w:cs="Arial"/>
        </w:rPr>
        <w:t xml:space="preserve"> per cent</w:t>
      </w:r>
      <w:r w:rsidRPr="00E8656C">
        <w:rPr>
          <w:rFonts w:cs="Arial"/>
        </w:rPr>
        <w:t xml:space="preserve"> </w:t>
      </w:r>
      <w:r w:rsidRPr="00E8656C">
        <w:rPr>
          <w:rFonts w:cs="Arial"/>
        </w:rPr>
        <w:lastRenderedPageBreak/>
        <w:t>in 2020, th</w:t>
      </w:r>
      <w:r w:rsidR="00D106E1" w:rsidRPr="00E8656C">
        <w:rPr>
          <w:rFonts w:cs="Arial"/>
        </w:rPr>
        <w:t xml:space="preserve">e 2024 response </w:t>
      </w:r>
      <w:r w:rsidRPr="00E8656C">
        <w:rPr>
          <w:rFonts w:cs="Arial"/>
        </w:rPr>
        <w:t>rate is still considered good, ensuring the results are representative of the student population.</w:t>
      </w:r>
    </w:p>
    <w:p w14:paraId="3C9A2F0C" w14:textId="156A1A5F" w:rsidR="00216693" w:rsidRPr="00E8656C" w:rsidRDefault="00216693" w:rsidP="00B379C4">
      <w:pPr>
        <w:pStyle w:val="Body"/>
        <w:rPr>
          <w:rFonts w:cs="Arial"/>
        </w:rPr>
      </w:pPr>
      <w:r w:rsidRPr="00E8656C">
        <w:rPr>
          <w:rFonts w:cs="Arial"/>
        </w:rPr>
        <w:t xml:space="preserve">For more information about the SES methodology, please refer to the 2024 SES Methodological Report available on the </w:t>
      </w:r>
      <w:hyperlink r:id="rId17" w:history="1">
        <w:r w:rsidR="00EF7C6F" w:rsidRPr="00E8656C">
          <w:rPr>
            <w:rStyle w:val="Hyperlink"/>
            <w:rFonts w:cs="Arial"/>
            <w:color w:val="auto"/>
          </w:rPr>
          <w:t>QILT website</w:t>
        </w:r>
      </w:hyperlink>
      <w:r w:rsidRPr="00E8656C">
        <w:rPr>
          <w:rFonts w:cs="Arial"/>
        </w:rPr>
        <w:t>.</w:t>
      </w:r>
    </w:p>
    <w:p w14:paraId="5991BA9B" w14:textId="77777777" w:rsidR="0085000C" w:rsidRPr="00E8656C" w:rsidRDefault="0085000C" w:rsidP="004E3C65">
      <w:pPr>
        <w:pStyle w:val="Heading2"/>
        <w:rPr>
          <w:color w:val="auto"/>
        </w:rPr>
      </w:pPr>
      <w:bookmarkStart w:id="8" w:name="_Toc207802596"/>
      <w:r w:rsidRPr="00E8656C">
        <w:rPr>
          <w:color w:val="auto"/>
        </w:rPr>
        <w:t>About this report</w:t>
      </w:r>
      <w:bookmarkEnd w:id="8"/>
    </w:p>
    <w:p w14:paraId="5F5A7900" w14:textId="697239C1" w:rsidR="00DD278C" w:rsidRPr="00E8656C" w:rsidRDefault="00DD278C" w:rsidP="00DD278C">
      <w:pPr>
        <w:pStyle w:val="Body"/>
        <w:rPr>
          <w:rFonts w:cs="Arial"/>
        </w:rPr>
      </w:pPr>
      <w:r w:rsidRPr="00E8656C">
        <w:rPr>
          <w:rFonts w:cs="Arial"/>
        </w:rPr>
        <w:t xml:space="preserve">This report emphasises the Overall Educational Experience because it is a </w:t>
      </w:r>
      <w:r w:rsidR="00C05BCF" w:rsidRPr="00E8656C">
        <w:rPr>
          <w:rFonts w:cs="Arial"/>
        </w:rPr>
        <w:t>stand-alone single</w:t>
      </w:r>
      <w:r w:rsidRPr="00E8656C">
        <w:rPr>
          <w:rFonts w:cs="Arial"/>
        </w:rPr>
        <w:t xml:space="preserve"> </w:t>
      </w:r>
      <w:r w:rsidR="00A92004" w:rsidRPr="00E8656C">
        <w:rPr>
          <w:rFonts w:cs="Arial"/>
        </w:rPr>
        <w:t>item</w:t>
      </w:r>
      <w:r w:rsidRPr="00E8656C">
        <w:rPr>
          <w:rFonts w:cs="Arial"/>
        </w:rPr>
        <w:t xml:space="preserve"> strongly associated with </w:t>
      </w:r>
      <w:r w:rsidR="006677E0" w:rsidRPr="00E8656C">
        <w:rPr>
          <w:rFonts w:cs="Arial"/>
        </w:rPr>
        <w:t xml:space="preserve">student </w:t>
      </w:r>
      <w:r w:rsidRPr="00E8656C">
        <w:rPr>
          <w:rFonts w:cs="Arial"/>
        </w:rPr>
        <w:t xml:space="preserve">ratings </w:t>
      </w:r>
      <w:r w:rsidR="006677E0" w:rsidRPr="00E8656C">
        <w:rPr>
          <w:rFonts w:cs="Arial"/>
        </w:rPr>
        <w:t>of</w:t>
      </w:r>
      <w:r w:rsidRPr="00E8656C">
        <w:rPr>
          <w:rFonts w:cs="Arial"/>
        </w:rPr>
        <w:t xml:space="preserve"> Teaching Quality and Engagement</w:t>
      </w:r>
      <w:r w:rsidR="004D15DE" w:rsidRPr="00E8656C">
        <w:rPr>
          <w:rFonts w:cs="Arial"/>
        </w:rPr>
        <w:t xml:space="preserve">, as well as </w:t>
      </w:r>
      <w:r w:rsidR="001779E9" w:rsidRPr="00E8656C">
        <w:rPr>
          <w:rFonts w:cs="Arial"/>
        </w:rPr>
        <w:t>Skills Development</w:t>
      </w:r>
      <w:r w:rsidRPr="00E8656C">
        <w:rPr>
          <w:rFonts w:cs="Arial"/>
        </w:rPr>
        <w:t xml:space="preserve">. It is also </w:t>
      </w:r>
      <w:r w:rsidR="004D15DE" w:rsidRPr="00E8656C">
        <w:rPr>
          <w:rFonts w:cs="Arial"/>
        </w:rPr>
        <w:t>closely</w:t>
      </w:r>
      <w:r w:rsidR="00C0704A" w:rsidRPr="00E8656C">
        <w:rPr>
          <w:rFonts w:cs="Arial"/>
        </w:rPr>
        <w:t xml:space="preserve"> </w:t>
      </w:r>
      <w:r w:rsidRPr="00E8656C">
        <w:rPr>
          <w:rFonts w:cs="Arial"/>
        </w:rPr>
        <w:t xml:space="preserve">related to elements outside the </w:t>
      </w:r>
      <w:r w:rsidR="0065234C" w:rsidRPr="00E8656C">
        <w:rPr>
          <w:rFonts w:cs="Arial"/>
        </w:rPr>
        <w:t>focus area</w:t>
      </w:r>
      <w:r w:rsidRPr="00E8656C">
        <w:rPr>
          <w:rFonts w:cs="Arial"/>
        </w:rPr>
        <w:t>s, such as students' Sense of Belonging.</w:t>
      </w:r>
    </w:p>
    <w:p w14:paraId="2CE0EC10" w14:textId="63ED9EE3" w:rsidR="00DD278C" w:rsidRPr="00E8656C" w:rsidRDefault="00DD278C" w:rsidP="00DD278C">
      <w:pPr>
        <w:pStyle w:val="Body"/>
        <w:rPr>
          <w:rFonts w:cs="Arial"/>
        </w:rPr>
      </w:pPr>
      <w:r w:rsidRPr="00E8656C">
        <w:rPr>
          <w:rFonts w:cs="Arial"/>
        </w:rPr>
        <w:t xml:space="preserve">Section 2 provides an overview of SES results since 2017, </w:t>
      </w:r>
      <w:r w:rsidR="00EB45AE" w:rsidRPr="00E8656C">
        <w:rPr>
          <w:rFonts w:cs="Arial"/>
        </w:rPr>
        <w:t xml:space="preserve">including </w:t>
      </w:r>
      <w:r w:rsidRPr="00E8656C">
        <w:rPr>
          <w:rFonts w:cs="Arial"/>
        </w:rPr>
        <w:t>high-level results for 2024 across various demographic and equity groups, study areas, and institutions. Detailed results are available in the accompanying tables and Power</w:t>
      </w:r>
      <w:r w:rsidR="006D7AEC" w:rsidRPr="00E8656C">
        <w:rPr>
          <w:rFonts w:cs="Arial"/>
        </w:rPr>
        <w:t xml:space="preserve"> </w:t>
      </w:r>
      <w:r w:rsidRPr="00E8656C">
        <w:rPr>
          <w:rFonts w:cs="Arial"/>
        </w:rPr>
        <w:t>BI reports on the QILT website.</w:t>
      </w:r>
    </w:p>
    <w:p w14:paraId="4BCCED57" w14:textId="40D8B04D" w:rsidR="00DD278C" w:rsidRPr="00E8656C" w:rsidRDefault="00DD278C" w:rsidP="00DD278C">
      <w:pPr>
        <w:pStyle w:val="Body"/>
        <w:rPr>
          <w:rFonts w:cs="Arial"/>
        </w:rPr>
      </w:pPr>
      <w:r w:rsidRPr="00E8656C">
        <w:rPr>
          <w:rFonts w:cs="Arial"/>
        </w:rPr>
        <w:t xml:space="preserve">Section 3 explores other aspects of the student experience, including </w:t>
      </w:r>
      <w:r w:rsidR="008A06E9" w:rsidRPr="00E8656C">
        <w:rPr>
          <w:rFonts w:cs="Arial"/>
        </w:rPr>
        <w:t>s</w:t>
      </w:r>
      <w:r w:rsidRPr="00E8656C">
        <w:rPr>
          <w:rFonts w:cs="Arial"/>
        </w:rPr>
        <w:t xml:space="preserve">ense of </w:t>
      </w:r>
      <w:r w:rsidR="008A06E9" w:rsidRPr="00E8656C">
        <w:rPr>
          <w:rFonts w:cs="Arial"/>
        </w:rPr>
        <w:t>b</w:t>
      </w:r>
      <w:r w:rsidRPr="00E8656C">
        <w:rPr>
          <w:rFonts w:cs="Arial"/>
        </w:rPr>
        <w:t xml:space="preserve">elonging, likelihood of </w:t>
      </w:r>
      <w:r w:rsidR="2465E712" w:rsidRPr="00E8656C">
        <w:rPr>
          <w:rFonts w:cs="Arial"/>
        </w:rPr>
        <w:t>considering leaving</w:t>
      </w:r>
      <w:r w:rsidR="00562770" w:rsidRPr="00E8656C">
        <w:rPr>
          <w:rFonts w:cs="Arial"/>
        </w:rPr>
        <w:t xml:space="preserve"> the institution</w:t>
      </w:r>
      <w:r w:rsidRPr="00E8656C">
        <w:rPr>
          <w:rFonts w:cs="Arial"/>
        </w:rPr>
        <w:t xml:space="preserve">, and freedom of </w:t>
      </w:r>
      <w:r w:rsidR="7D68E5D1" w:rsidRPr="00E8656C">
        <w:rPr>
          <w:rFonts w:cs="Arial"/>
        </w:rPr>
        <w:t>expression</w:t>
      </w:r>
      <w:r w:rsidRPr="00E8656C">
        <w:rPr>
          <w:rFonts w:cs="Arial"/>
        </w:rPr>
        <w:t>.</w:t>
      </w:r>
    </w:p>
    <w:p w14:paraId="4F4E7B4E" w14:textId="724DABBB" w:rsidR="005A3628" w:rsidRPr="00E8656C" w:rsidRDefault="00336173" w:rsidP="005A3628">
      <w:pPr>
        <w:pStyle w:val="Body"/>
        <w:rPr>
          <w:rFonts w:cs="Arial"/>
        </w:rPr>
      </w:pPr>
      <w:r w:rsidRPr="00E8656C">
        <w:rPr>
          <w:rFonts w:cs="Arial"/>
        </w:rPr>
        <w:t>Methodological information previously</w:t>
      </w:r>
      <w:r w:rsidR="00B4169C" w:rsidRPr="00E8656C">
        <w:rPr>
          <w:rFonts w:cs="Arial"/>
        </w:rPr>
        <w:t xml:space="preserve"> included in Appendix 1 of earlier reports</w:t>
      </w:r>
      <w:r w:rsidR="009C18D5" w:rsidRPr="00E8656C">
        <w:rPr>
          <w:rFonts w:cs="Arial"/>
        </w:rPr>
        <w:t xml:space="preserve"> </w:t>
      </w:r>
      <w:r w:rsidR="008440CE" w:rsidRPr="00E8656C">
        <w:rPr>
          <w:rFonts w:cs="Arial"/>
        </w:rPr>
        <w:t xml:space="preserve">is </w:t>
      </w:r>
      <w:r w:rsidRPr="00E8656C">
        <w:rPr>
          <w:rFonts w:cs="Arial"/>
        </w:rPr>
        <w:t xml:space="preserve">now available in the </w:t>
      </w:r>
      <w:r w:rsidRPr="00E8656C">
        <w:rPr>
          <w:rFonts w:cs="Arial"/>
          <w:b/>
          <w:bCs/>
        </w:rPr>
        <w:t>2024 SES Methodological Report</w:t>
      </w:r>
      <w:r w:rsidRPr="00E8656C">
        <w:rPr>
          <w:rFonts w:cs="Arial"/>
        </w:rPr>
        <w:t xml:space="preserve">. Additional technical details—such as the </w:t>
      </w:r>
      <w:r w:rsidR="002A4C98" w:rsidRPr="00E8656C">
        <w:rPr>
          <w:rFonts w:cs="Arial"/>
        </w:rPr>
        <w:t>SEQ items</w:t>
      </w:r>
      <w:r w:rsidRPr="00E8656C">
        <w:rPr>
          <w:rFonts w:cs="Arial"/>
        </w:rPr>
        <w:t xml:space="preserve">, </w:t>
      </w:r>
      <w:r w:rsidR="00492BE1" w:rsidRPr="00E8656C">
        <w:rPr>
          <w:rFonts w:cs="Arial"/>
        </w:rPr>
        <w:t xml:space="preserve">the </w:t>
      </w:r>
      <w:r w:rsidRPr="00E8656C">
        <w:rPr>
          <w:rFonts w:cs="Arial"/>
        </w:rPr>
        <w:t>construction of focus area scores and confidence intervals</w:t>
      </w:r>
      <w:r w:rsidR="00560FD2" w:rsidRPr="00E8656C">
        <w:rPr>
          <w:rFonts w:cs="Arial"/>
        </w:rPr>
        <w:t>, and the study area concordance</w:t>
      </w:r>
      <w:r w:rsidRPr="00E8656C">
        <w:rPr>
          <w:rFonts w:cs="Arial"/>
        </w:rPr>
        <w:t xml:space="preserve">—can be found on the </w:t>
      </w:r>
      <w:hyperlink r:id="rId18" w:history="1">
        <w:r w:rsidR="005C59BE" w:rsidRPr="00E8656C">
          <w:rPr>
            <w:rStyle w:val="Hyperlink"/>
            <w:rFonts w:cs="Arial"/>
            <w:color w:val="auto"/>
          </w:rPr>
          <w:t>QILT website</w:t>
        </w:r>
      </w:hyperlink>
      <w:r w:rsidRPr="00E8656C">
        <w:rPr>
          <w:rFonts w:cs="Arial"/>
        </w:rPr>
        <w:t>, rather than</w:t>
      </w:r>
      <w:r w:rsidR="008440CE" w:rsidRPr="00E8656C">
        <w:rPr>
          <w:rFonts w:cs="Arial"/>
        </w:rPr>
        <w:t xml:space="preserve"> in the </w:t>
      </w:r>
      <w:r w:rsidRPr="00E8656C">
        <w:rPr>
          <w:rFonts w:cs="Arial"/>
        </w:rPr>
        <w:t>appendices as in past reports</w:t>
      </w:r>
      <w:r w:rsidR="00DD278C" w:rsidRPr="00E8656C">
        <w:rPr>
          <w:rFonts w:cs="Arial"/>
        </w:rPr>
        <w:t>.</w:t>
      </w:r>
    </w:p>
    <w:p w14:paraId="10DD4F82" w14:textId="77777777" w:rsidR="005A3628" w:rsidRPr="00E8656C" w:rsidRDefault="005A3628" w:rsidP="005A3628">
      <w:pPr>
        <w:pStyle w:val="Heading2"/>
        <w:rPr>
          <w:color w:val="auto"/>
          <w:lang w:val="en-GB"/>
        </w:rPr>
      </w:pPr>
      <w:bookmarkStart w:id="9" w:name="_Toc207802597"/>
      <w:r w:rsidRPr="00E8656C">
        <w:rPr>
          <w:color w:val="auto"/>
          <w:lang w:val="en-GB"/>
        </w:rPr>
        <w:t>Context of changes in student experience since 2019</w:t>
      </w:r>
      <w:bookmarkEnd w:id="9"/>
    </w:p>
    <w:p w14:paraId="3E53E946" w14:textId="497570C7" w:rsidR="002C619A" w:rsidRPr="00E8656C" w:rsidRDefault="005A3628" w:rsidP="002C619A">
      <w:pPr>
        <w:pStyle w:val="Body"/>
        <w:rPr>
          <w:rFonts w:cs="Arial"/>
        </w:rPr>
      </w:pPr>
      <w:r w:rsidRPr="00E8656C">
        <w:rPr>
          <w:rFonts w:cs="Arial"/>
        </w:rPr>
        <w:t xml:space="preserve">The higher education sector faced significant challenges due to the COVID-19 pandemic, leading to a rapid shift to online learning. In the post-pandemic period, many institutions have retained hybrid delivery modes, combining online and </w:t>
      </w:r>
      <w:r w:rsidR="00B239B8" w:rsidRPr="00E8656C">
        <w:rPr>
          <w:rFonts w:cs="Arial"/>
        </w:rPr>
        <w:t>on-campus</w:t>
      </w:r>
      <w:r w:rsidRPr="00E8656C">
        <w:rPr>
          <w:rFonts w:cs="Arial"/>
        </w:rPr>
        <w:t xml:space="preserve"> classes.</w:t>
      </w:r>
      <w:r w:rsidR="002C619A" w:rsidRPr="00E8656C">
        <w:rPr>
          <w:rFonts w:cs="Arial"/>
        </w:rPr>
        <w:t xml:space="preserve"> </w:t>
      </w:r>
      <w:r w:rsidR="00DD29FA" w:rsidRPr="00E8656C">
        <w:rPr>
          <w:rFonts w:cs="Arial"/>
        </w:rPr>
        <w:t>Additionally,</w:t>
      </w:r>
      <w:r w:rsidR="00F44CAB" w:rsidRPr="00E8656C">
        <w:rPr>
          <w:rFonts w:cs="Arial"/>
        </w:rPr>
        <w:t xml:space="preserve"> changes in</w:t>
      </w:r>
      <w:r w:rsidR="00DD29FA" w:rsidRPr="00E8656C">
        <w:rPr>
          <w:rFonts w:cs="Arial"/>
        </w:rPr>
        <w:t xml:space="preserve"> the relative proportion of international students</w:t>
      </w:r>
      <w:r w:rsidR="00F44CAB" w:rsidRPr="00E8656C">
        <w:rPr>
          <w:rFonts w:cs="Arial"/>
        </w:rPr>
        <w:t xml:space="preserve"> over time</w:t>
      </w:r>
      <w:r w:rsidR="00DD29FA" w:rsidRPr="00E8656C">
        <w:rPr>
          <w:rFonts w:cs="Arial"/>
        </w:rPr>
        <w:t xml:space="preserve">, particularly </w:t>
      </w:r>
      <w:r w:rsidR="007A1A54" w:rsidRPr="00E8656C">
        <w:rPr>
          <w:rFonts w:cs="Arial"/>
        </w:rPr>
        <w:t>as a proportion of the postgraduate coursework population</w:t>
      </w:r>
      <w:r w:rsidR="00880AA5" w:rsidRPr="00E8656C">
        <w:rPr>
          <w:rFonts w:cs="Arial"/>
        </w:rPr>
        <w:t>,</w:t>
      </w:r>
      <w:r w:rsidR="007A1A54" w:rsidRPr="00E8656C">
        <w:rPr>
          <w:rFonts w:cs="Arial"/>
        </w:rPr>
        <w:t xml:space="preserve"> who are predominantly</w:t>
      </w:r>
      <w:r w:rsidR="002C619A" w:rsidRPr="00E8656C">
        <w:rPr>
          <w:rFonts w:cs="Arial"/>
        </w:rPr>
        <w:t xml:space="preserve"> </w:t>
      </w:r>
      <w:r w:rsidR="00F44CAB" w:rsidRPr="00E8656C">
        <w:rPr>
          <w:rFonts w:cs="Arial"/>
        </w:rPr>
        <w:t>studying in an internal/</w:t>
      </w:r>
      <w:r w:rsidR="00AA3A48" w:rsidRPr="00E8656C">
        <w:rPr>
          <w:rFonts w:cs="Arial"/>
        </w:rPr>
        <w:t>multi-mode of study</w:t>
      </w:r>
      <w:r w:rsidR="00F44CAB" w:rsidRPr="00E8656C">
        <w:rPr>
          <w:rFonts w:cs="Arial"/>
        </w:rPr>
        <w:t xml:space="preserve"> has affected overall sector results. </w:t>
      </w:r>
      <w:r w:rsidR="002C619A" w:rsidRPr="00E8656C">
        <w:rPr>
          <w:rFonts w:cs="Arial"/>
        </w:rPr>
        <w:t xml:space="preserve">The primary focus of this report is the 2024 data, but it will briefly cover changes since 2019 where relevant. </w:t>
      </w:r>
    </w:p>
    <w:p w14:paraId="6F637654" w14:textId="7DF3CBC3" w:rsidR="00BF2833" w:rsidRPr="00E8656C" w:rsidRDefault="00235208" w:rsidP="00A60A4E">
      <w:pPr>
        <w:pStyle w:val="Heading1"/>
        <w:rPr>
          <w:rFonts w:cs="Arial"/>
          <w:color w:val="auto"/>
        </w:rPr>
      </w:pPr>
      <w:bookmarkStart w:id="10" w:name="_Toc207802598"/>
      <w:bookmarkStart w:id="11" w:name="_Ref167916523"/>
      <w:bookmarkStart w:id="12" w:name="_Ref167916527"/>
      <w:r w:rsidRPr="00E8656C">
        <w:rPr>
          <w:rFonts w:cs="Arial"/>
          <w:color w:val="auto"/>
        </w:rPr>
        <w:lastRenderedPageBreak/>
        <w:t>Focus areas</w:t>
      </w:r>
      <w:r w:rsidR="005740F8" w:rsidRPr="00E8656C">
        <w:rPr>
          <w:rFonts w:cs="Arial"/>
          <w:color w:val="auto"/>
        </w:rPr>
        <w:t xml:space="preserve"> and </w:t>
      </w:r>
      <w:r w:rsidR="00965F37" w:rsidRPr="00E8656C">
        <w:rPr>
          <w:rFonts w:cs="Arial"/>
          <w:color w:val="auto"/>
        </w:rPr>
        <w:t>Overall</w:t>
      </w:r>
      <w:r w:rsidR="005740F8" w:rsidRPr="00E8656C">
        <w:rPr>
          <w:rFonts w:cs="Arial"/>
          <w:color w:val="auto"/>
        </w:rPr>
        <w:t xml:space="preserve"> </w:t>
      </w:r>
      <w:r w:rsidR="00965F37" w:rsidRPr="00E8656C">
        <w:rPr>
          <w:rFonts w:cs="Arial"/>
          <w:color w:val="auto"/>
        </w:rPr>
        <w:t>E</w:t>
      </w:r>
      <w:r w:rsidR="005740F8" w:rsidRPr="00E8656C">
        <w:rPr>
          <w:rFonts w:cs="Arial"/>
          <w:color w:val="auto"/>
        </w:rPr>
        <w:t xml:space="preserve">ducational </w:t>
      </w:r>
      <w:r w:rsidR="00965F37" w:rsidRPr="00E8656C">
        <w:rPr>
          <w:rFonts w:cs="Arial"/>
          <w:color w:val="auto"/>
        </w:rPr>
        <w:t>E</w:t>
      </w:r>
      <w:r w:rsidR="005740F8" w:rsidRPr="00E8656C">
        <w:rPr>
          <w:rFonts w:cs="Arial"/>
          <w:color w:val="auto"/>
        </w:rPr>
        <w:t>xperience</w:t>
      </w:r>
      <w:bookmarkEnd w:id="10"/>
    </w:p>
    <w:p w14:paraId="6882D75A" w14:textId="72BC90D0" w:rsidR="005A5905" w:rsidRPr="00E8656C" w:rsidRDefault="009A2C80" w:rsidP="00AA7E2D">
      <w:pPr>
        <w:pStyle w:val="Heading2"/>
        <w:rPr>
          <w:color w:val="auto"/>
        </w:rPr>
      </w:pPr>
      <w:bookmarkStart w:id="13" w:name="_Toc207802599"/>
      <w:bookmarkEnd w:id="11"/>
      <w:bookmarkEnd w:id="12"/>
      <w:r w:rsidRPr="00E8656C">
        <w:rPr>
          <w:color w:val="auto"/>
        </w:rPr>
        <w:t>R</w:t>
      </w:r>
      <w:r w:rsidR="00180414" w:rsidRPr="00E8656C">
        <w:rPr>
          <w:color w:val="auto"/>
        </w:rPr>
        <w:t>esults</w:t>
      </w:r>
      <w:r w:rsidRPr="00E8656C">
        <w:rPr>
          <w:color w:val="auto"/>
        </w:rPr>
        <w:t xml:space="preserve"> by course level</w:t>
      </w:r>
      <w:bookmarkEnd w:id="13"/>
    </w:p>
    <w:p w14:paraId="4194F8D7" w14:textId="270266C3" w:rsidR="007D4F9E" w:rsidRPr="00E8656C" w:rsidRDefault="00AD08D1" w:rsidP="00EF5F45">
      <w:pPr>
        <w:pStyle w:val="Body"/>
        <w:rPr>
          <w:rFonts w:cs="Arial"/>
        </w:rPr>
      </w:pPr>
      <w:r w:rsidRPr="00E8656C">
        <w:rPr>
          <w:rFonts w:cs="Arial"/>
        </w:rPr>
        <w:t xml:space="preserve">After a significant decrease in ratings during COVID restrictions, undergraduate results have since improved. However, in 2024, undergraduate ratings across most focus areas remained broadly the same as in 2023, with changes ranging between 0 and 1 percentage point. </w:t>
      </w:r>
      <w:r w:rsidR="00D80950" w:rsidRPr="00E8656C">
        <w:rPr>
          <w:rFonts w:cs="Arial"/>
        </w:rPr>
        <w:t xml:space="preserve">These ratings were still below or </w:t>
      </w:r>
      <w:proofErr w:type="gramStart"/>
      <w:r w:rsidR="00D80950" w:rsidRPr="00E8656C">
        <w:rPr>
          <w:rFonts w:cs="Arial"/>
        </w:rPr>
        <w:t>similar to</w:t>
      </w:r>
      <w:proofErr w:type="gramEnd"/>
      <w:r w:rsidR="00D80950" w:rsidRPr="00E8656C">
        <w:rPr>
          <w:rFonts w:cs="Arial"/>
        </w:rPr>
        <w:t xml:space="preserve"> pre-2020 levels, as shown in </w:t>
      </w:r>
      <w:r w:rsidR="00D80950" w:rsidRPr="00E8656C">
        <w:rPr>
          <w:rFonts w:cs="Arial"/>
          <w:b/>
          <w:bCs/>
        </w:rPr>
        <w:fldChar w:fldCharType="begin"/>
      </w:r>
      <w:r w:rsidR="00D80950" w:rsidRPr="00E8656C">
        <w:rPr>
          <w:rFonts w:cs="Arial"/>
          <w:b/>
          <w:bCs/>
        </w:rPr>
        <w:instrText xml:space="preserve"> REF _Ref133572148 \h  \* MERGEFORMAT </w:instrText>
      </w:r>
      <w:r w:rsidR="00D80950" w:rsidRPr="00E8656C">
        <w:rPr>
          <w:rFonts w:cs="Arial"/>
          <w:b/>
          <w:bCs/>
        </w:rPr>
      </w:r>
      <w:r w:rsidR="00D80950" w:rsidRPr="00E8656C">
        <w:rPr>
          <w:rFonts w:cs="Arial"/>
          <w:b/>
          <w:bCs/>
        </w:rPr>
        <w:fldChar w:fldCharType="separate"/>
      </w:r>
      <w:r w:rsidR="00D80950" w:rsidRPr="00E8656C">
        <w:rPr>
          <w:rFonts w:cs="Arial"/>
          <w:b/>
          <w:bCs/>
        </w:rPr>
        <w:t xml:space="preserve">Figure </w:t>
      </w:r>
      <w:r w:rsidR="00E03108" w:rsidRPr="00E8656C">
        <w:rPr>
          <w:rFonts w:cs="Arial"/>
          <w:b/>
          <w:bCs/>
          <w:noProof/>
        </w:rPr>
        <w:t>1</w:t>
      </w:r>
      <w:r w:rsidR="00D80950" w:rsidRPr="00E8656C">
        <w:rPr>
          <w:rFonts w:cs="Arial"/>
          <w:b/>
          <w:bCs/>
        </w:rPr>
        <w:fldChar w:fldCharType="end"/>
      </w:r>
      <w:r w:rsidR="00D80950" w:rsidRPr="00E8656C">
        <w:rPr>
          <w:rFonts w:cs="Arial"/>
        </w:rPr>
        <w:t>.</w:t>
      </w:r>
      <w:r w:rsidR="00D22825" w:rsidRPr="00E8656C">
        <w:rPr>
          <w:rFonts w:cs="Arial"/>
        </w:rPr>
        <w:t xml:space="preserve"> </w:t>
      </w:r>
    </w:p>
    <w:p w14:paraId="6D15C3C8" w14:textId="0213CE1A" w:rsidR="005E574C" w:rsidRPr="00E8656C" w:rsidRDefault="005E574C" w:rsidP="005E574C">
      <w:pPr>
        <w:pStyle w:val="Body"/>
        <w:rPr>
          <w:rFonts w:cs="Arial"/>
        </w:rPr>
      </w:pPr>
      <w:r w:rsidRPr="00E8656C">
        <w:rPr>
          <w:rFonts w:cs="Arial"/>
        </w:rPr>
        <w:t xml:space="preserve">There were two exceptions: Student Support and Services, and Peer Engagement. Peer Engagement undergraduate ratings in 2024 matched the highest rating in 2019 at 60.2 percent. Conversely, Student Support and Services undergraduate ratings have </w:t>
      </w:r>
      <w:r w:rsidR="00486FF9" w:rsidRPr="00E8656C">
        <w:rPr>
          <w:rFonts w:cs="Arial"/>
        </w:rPr>
        <w:t>trended</w:t>
      </w:r>
      <w:r w:rsidR="004F49E9" w:rsidRPr="00E8656C">
        <w:rPr>
          <w:rFonts w:cs="Arial"/>
        </w:rPr>
        <w:t xml:space="preserve"> down</w:t>
      </w:r>
      <w:r w:rsidRPr="00E8656C">
        <w:rPr>
          <w:rFonts w:cs="Arial"/>
        </w:rPr>
        <w:t xml:space="preserve"> since 2022, remaining at 71.2 percent in 2023</w:t>
      </w:r>
      <w:r w:rsidR="009B4197" w:rsidRPr="00E8656C">
        <w:rPr>
          <w:rFonts w:cs="Arial"/>
        </w:rPr>
        <w:t xml:space="preserve"> and 2024</w:t>
      </w:r>
      <w:r w:rsidR="004F49E9" w:rsidRPr="00E8656C">
        <w:rPr>
          <w:rFonts w:cs="Arial"/>
        </w:rPr>
        <w:t xml:space="preserve"> </w:t>
      </w:r>
      <w:r w:rsidRPr="00E8656C">
        <w:rPr>
          <w:rFonts w:cs="Arial"/>
        </w:rPr>
        <w:t>—</w:t>
      </w:r>
      <w:r w:rsidR="004F49E9" w:rsidRPr="00E8656C">
        <w:rPr>
          <w:rFonts w:cs="Arial"/>
        </w:rPr>
        <w:t xml:space="preserve"> </w:t>
      </w:r>
      <w:r w:rsidRPr="00E8656C">
        <w:rPr>
          <w:rFonts w:cs="Arial"/>
        </w:rPr>
        <w:t>the lowest rating since 2017.</w:t>
      </w:r>
    </w:p>
    <w:p w14:paraId="7704C3CB" w14:textId="77777777" w:rsidR="005E574C" w:rsidRPr="00E8656C" w:rsidRDefault="005E574C" w:rsidP="005E574C">
      <w:pPr>
        <w:pStyle w:val="Body"/>
        <w:rPr>
          <w:rFonts w:cs="Arial"/>
        </w:rPr>
      </w:pPr>
      <w:r w:rsidRPr="00E8656C">
        <w:rPr>
          <w:rFonts w:cs="Arial"/>
        </w:rPr>
        <w:t>Additionally, the undergraduate rating for Overall Educational Experience in 2024 (76.5 percent) remained broadly the same as in 2023 (76.7 percent). This continues the positive trend in ratings from 2021 to 2022. However, it has not yet fully recovered to the 78 to 80 percent range observed prior to 2020.</w:t>
      </w:r>
    </w:p>
    <w:p w14:paraId="7E899DB0" w14:textId="72BF1898" w:rsidR="00251F8C" w:rsidRPr="00E8656C" w:rsidRDefault="00251F8C" w:rsidP="00251F8C">
      <w:pPr>
        <w:pStyle w:val="Body"/>
        <w:rPr>
          <w:rFonts w:cs="Arial"/>
        </w:rPr>
      </w:pPr>
      <w:r w:rsidRPr="00E8656C">
        <w:rPr>
          <w:rFonts w:cs="Arial"/>
        </w:rPr>
        <w:t xml:space="preserve">Conversely postgraduate coursework results in 2024 have not only recovered but also exceeded pre-2020 ratings in all five focus areas, as shown in </w:t>
      </w:r>
      <w:r w:rsidRPr="00E8656C">
        <w:rPr>
          <w:rFonts w:cs="Arial"/>
          <w:b/>
          <w:bCs/>
        </w:rPr>
        <w:fldChar w:fldCharType="begin"/>
      </w:r>
      <w:r w:rsidRPr="00E8656C">
        <w:rPr>
          <w:rFonts w:cs="Arial"/>
          <w:b/>
          <w:bCs/>
        </w:rPr>
        <w:instrText xml:space="preserve"> REF _Ref195573428 \h  \* MERGEFORMAT </w:instrText>
      </w:r>
      <w:r w:rsidRPr="00E8656C">
        <w:rPr>
          <w:rFonts w:cs="Arial"/>
          <w:b/>
          <w:bCs/>
        </w:rPr>
      </w:r>
      <w:r w:rsidRPr="00E8656C">
        <w:rPr>
          <w:rFonts w:cs="Arial"/>
          <w:b/>
          <w:bCs/>
        </w:rPr>
        <w:fldChar w:fldCharType="separate"/>
      </w:r>
      <w:r w:rsidRPr="00E8656C">
        <w:rPr>
          <w:rFonts w:cs="Arial"/>
          <w:b/>
          <w:bCs/>
        </w:rPr>
        <w:t xml:space="preserve">Figure </w:t>
      </w:r>
      <w:r w:rsidRPr="00E8656C">
        <w:rPr>
          <w:rFonts w:cs="Arial"/>
          <w:b/>
          <w:bCs/>
          <w:noProof/>
        </w:rPr>
        <w:t>2</w:t>
      </w:r>
      <w:r w:rsidRPr="00E8656C">
        <w:rPr>
          <w:rFonts w:cs="Arial"/>
          <w:b/>
          <w:bCs/>
        </w:rPr>
        <w:fldChar w:fldCharType="end"/>
      </w:r>
      <w:r w:rsidRPr="00E8656C">
        <w:rPr>
          <w:rFonts w:cs="Arial"/>
        </w:rPr>
        <w:t>.</w:t>
      </w:r>
      <w:r w:rsidR="00F76297" w:rsidRPr="00E8656C">
        <w:rPr>
          <w:rFonts w:cs="Arial"/>
        </w:rPr>
        <w:t xml:space="preserve"> The postgraduate coursework rating for Overall Educational Experience also exceeded pre-2020 ratings; however, decreased slightly in 2024 (0.4 percentage points) from its highest rating in 2023 of 82.1 per cent. </w:t>
      </w:r>
    </w:p>
    <w:p w14:paraId="67BDFC6C" w14:textId="77777777" w:rsidR="00251F8C" w:rsidRPr="00E8656C" w:rsidRDefault="00251F8C" w:rsidP="005E574C">
      <w:pPr>
        <w:pStyle w:val="Body"/>
        <w:rPr>
          <w:rFonts w:cs="Arial"/>
        </w:rPr>
      </w:pPr>
    </w:p>
    <w:p w14:paraId="75247977" w14:textId="4EDD59CB" w:rsidR="005A5905" w:rsidRPr="00E8656C" w:rsidRDefault="005A5905" w:rsidP="00695177">
      <w:pPr>
        <w:pStyle w:val="Caption"/>
      </w:pPr>
      <w:bookmarkStart w:id="14" w:name="_Ref133572148"/>
      <w:bookmarkStart w:id="15" w:name="_Ref166145987"/>
      <w:bookmarkStart w:id="16" w:name="_Toc201065551"/>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1</w:t>
      </w:r>
      <w:r w:rsidR="00EA0581" w:rsidRPr="00E8656C">
        <w:rPr>
          <w:noProof/>
        </w:rPr>
        <w:fldChar w:fldCharType="end"/>
      </w:r>
      <w:bookmarkEnd w:id="14"/>
      <w:bookmarkEnd w:id="15"/>
      <w:r w:rsidR="004D7A82" w:rsidRPr="00E8656C">
        <w:tab/>
      </w:r>
      <w:r w:rsidRPr="00E8656C">
        <w:t>The undergraduate student experience, 2017</w:t>
      </w:r>
      <w:r w:rsidR="00F5491B" w:rsidRPr="00E8656C">
        <w:t>–24</w:t>
      </w:r>
      <w:r w:rsidRPr="00E8656C">
        <w:t xml:space="preserve"> (% positive rating)</w:t>
      </w:r>
      <w:bookmarkEnd w:id="16"/>
    </w:p>
    <w:p w14:paraId="51D00762" w14:textId="685ECC93" w:rsidR="008E3E72" w:rsidRPr="00E8656C" w:rsidRDefault="00A07933" w:rsidP="00EF2182">
      <w:pPr>
        <w:pStyle w:val="Body"/>
        <w:rPr>
          <w:rFonts w:cs="Arial"/>
          <w:noProof/>
        </w:rPr>
      </w:pPr>
      <w:r w:rsidRPr="00E8656C">
        <w:rPr>
          <w:rFonts w:cs="Arial"/>
          <w:noProof/>
        </w:rPr>
        <w:drawing>
          <wp:inline distT="0" distB="0" distL="0" distR="0" wp14:anchorId="17DB1D04" wp14:editId="27E94FC4">
            <wp:extent cx="6734175" cy="4932045"/>
            <wp:effectExtent l="0" t="0" r="0" b="1905"/>
            <wp:docPr id="1170954039" name="Chart 1">
              <a:extLst xmlns:a="http://schemas.openxmlformats.org/drawingml/2006/main">
                <a:ext uri="{FF2B5EF4-FFF2-40B4-BE49-F238E27FC236}">
                  <a16:creationId xmlns:a16="http://schemas.microsoft.com/office/drawing/2014/main" id="{A75DE1FC-0AAF-4DF5-890A-C14C05B394B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F837AAA" w14:textId="6F69D925" w:rsidR="005851EC" w:rsidRPr="00E8656C" w:rsidRDefault="005851EC" w:rsidP="001141C7">
      <w:pPr>
        <w:pStyle w:val="FigureNote"/>
        <w:rPr>
          <w:rFonts w:cs="Arial"/>
          <w:sz w:val="18"/>
          <w:szCs w:val="24"/>
        </w:rPr>
      </w:pPr>
      <w:r w:rsidRPr="00E8656C">
        <w:rPr>
          <w:rFonts w:cs="Arial"/>
          <w:sz w:val="18"/>
          <w:szCs w:val="24"/>
        </w:rPr>
        <w:t xml:space="preserve">Note that the dotted lines between 2022 and 2023 indicate the change in underlying items of the Peer Engagement and Student Support and Services focus areas. </w:t>
      </w:r>
      <w:r w:rsidRPr="00E8656C">
        <w:rPr>
          <w:rStyle w:val="ui-provider"/>
          <w:rFonts w:cs="Arial"/>
          <w:sz w:val="18"/>
          <w:szCs w:val="24"/>
        </w:rPr>
        <w:t>When comparing year-on-year changes, it is recommended that modifications to underlying questionnaire items be taken into consideration when interpreting results.</w:t>
      </w:r>
      <w:r w:rsidRPr="00E8656C">
        <w:rPr>
          <w:rFonts w:cs="Arial"/>
          <w:sz w:val="18"/>
          <w:szCs w:val="24"/>
        </w:rPr>
        <w:t xml:space="preserve"> </w:t>
      </w:r>
      <w:bookmarkStart w:id="17" w:name="_Hlk180510295"/>
      <w:r w:rsidRPr="00E8656C">
        <w:rPr>
          <w:rFonts w:cs="Arial"/>
          <w:sz w:val="18"/>
          <w:szCs w:val="24"/>
        </w:rPr>
        <w:t xml:space="preserve">For more information about these changes, refer to </w:t>
      </w:r>
      <w:r w:rsidR="008E3E72" w:rsidRPr="00E8656C">
        <w:rPr>
          <w:rFonts w:cs="Arial"/>
          <w:sz w:val="18"/>
          <w:szCs w:val="24"/>
        </w:rPr>
        <w:t>the 2023 SES National Report</w:t>
      </w:r>
      <w:bookmarkStart w:id="18" w:name="_Ref164685101"/>
      <w:bookmarkEnd w:id="17"/>
      <w:r w:rsidR="00AE7222" w:rsidRPr="00E8656C">
        <w:rPr>
          <w:rFonts w:cs="Arial"/>
          <w:sz w:val="18"/>
          <w:szCs w:val="24"/>
        </w:rPr>
        <w:t>.</w:t>
      </w:r>
    </w:p>
    <w:p w14:paraId="7EDCAC2A" w14:textId="77777777" w:rsidR="00A926D0" w:rsidRPr="00E8656C" w:rsidRDefault="00A926D0" w:rsidP="001141C7">
      <w:pPr>
        <w:pStyle w:val="FigureNote"/>
        <w:rPr>
          <w:rFonts w:cs="Arial"/>
        </w:rPr>
      </w:pPr>
    </w:p>
    <w:p w14:paraId="2DEF7D3D" w14:textId="77777777" w:rsidR="00A83B34" w:rsidRPr="00E8656C" w:rsidRDefault="00A83B34" w:rsidP="005B1E02">
      <w:pPr>
        <w:pStyle w:val="Body"/>
        <w:rPr>
          <w:rFonts w:cs="Arial"/>
        </w:rPr>
      </w:pPr>
    </w:p>
    <w:p w14:paraId="01B0F3C8" w14:textId="677DA73B" w:rsidR="005A5905" w:rsidRPr="00E8656C" w:rsidRDefault="005A5905" w:rsidP="00695177">
      <w:pPr>
        <w:pStyle w:val="Caption"/>
      </w:pPr>
      <w:bookmarkStart w:id="19" w:name="_Ref195573428"/>
      <w:bookmarkStart w:id="20" w:name="_Toc201065552"/>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2</w:t>
      </w:r>
      <w:r w:rsidR="00EA0581" w:rsidRPr="00E8656C">
        <w:rPr>
          <w:noProof/>
        </w:rPr>
        <w:fldChar w:fldCharType="end"/>
      </w:r>
      <w:bookmarkEnd w:id="18"/>
      <w:bookmarkEnd w:id="19"/>
      <w:r w:rsidR="004D7A82" w:rsidRPr="00E8656C">
        <w:tab/>
      </w:r>
      <w:r w:rsidRPr="00E8656C">
        <w:t>The postgraduate coursework student experience, 2017</w:t>
      </w:r>
      <w:r w:rsidR="0059773B" w:rsidRPr="00E8656C">
        <w:t>–24</w:t>
      </w:r>
      <w:r w:rsidRPr="00E8656C">
        <w:t xml:space="preserve"> (% positive rating)</w:t>
      </w:r>
      <w:bookmarkEnd w:id="20"/>
    </w:p>
    <w:p w14:paraId="3F77C3C0" w14:textId="2A26A025" w:rsidR="00445CF6" w:rsidRPr="00E8656C" w:rsidRDefault="00E13715" w:rsidP="00606543">
      <w:pPr>
        <w:rPr>
          <w:rFonts w:cs="Arial"/>
        </w:rPr>
      </w:pPr>
      <w:r w:rsidRPr="00E8656C">
        <w:rPr>
          <w:rFonts w:cs="Arial"/>
          <w:noProof/>
        </w:rPr>
        <w:drawing>
          <wp:inline distT="0" distB="0" distL="0" distR="0" wp14:anchorId="26DA81E9" wp14:editId="3CA5D9D6">
            <wp:extent cx="6735600" cy="4932000"/>
            <wp:effectExtent l="0" t="0" r="8255" b="2540"/>
            <wp:docPr id="238341459" name="Chart 1">
              <a:extLst xmlns:a="http://schemas.openxmlformats.org/drawingml/2006/main">
                <a:ext uri="{FF2B5EF4-FFF2-40B4-BE49-F238E27FC236}">
                  <a16:creationId xmlns:a16="http://schemas.microsoft.com/office/drawing/2014/main" id="{A97B42BF-E6E3-4D3D-A4CB-31B65C4238D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0D03A2C" w14:textId="348A31A8" w:rsidR="0003687C" w:rsidRPr="00E8656C" w:rsidRDefault="0003687C" w:rsidP="003C776D">
      <w:pPr>
        <w:pStyle w:val="FigureNote"/>
        <w:rPr>
          <w:rFonts w:cs="Arial"/>
          <w:sz w:val="18"/>
          <w:szCs w:val="24"/>
        </w:rPr>
        <w:sectPr w:rsidR="0003687C" w:rsidRPr="00E8656C" w:rsidSect="00695177">
          <w:headerReference w:type="default" r:id="rId21"/>
          <w:footerReference w:type="default" r:id="rId22"/>
          <w:pgSz w:w="11900" w:h="16840"/>
          <w:pgMar w:top="1440" w:right="1080" w:bottom="1440" w:left="1080" w:header="227" w:footer="170" w:gutter="0"/>
          <w:pgNumType w:start="1"/>
          <w:cols w:space="708"/>
          <w:docGrid w:linePitch="360"/>
        </w:sectPr>
      </w:pPr>
      <w:r w:rsidRPr="00E8656C">
        <w:rPr>
          <w:rFonts w:cs="Arial"/>
          <w:sz w:val="18"/>
          <w:szCs w:val="24"/>
        </w:rPr>
        <w:t xml:space="preserve">Note that the dotted lines between 2022 and 2023 indicate the change in underlying items of the Peer Engagement and Student Support and Services focus areas. </w:t>
      </w:r>
      <w:r w:rsidR="005851EC" w:rsidRPr="00E8656C">
        <w:rPr>
          <w:rStyle w:val="ui-provider"/>
          <w:rFonts w:cs="Arial"/>
          <w:sz w:val="18"/>
          <w:szCs w:val="24"/>
        </w:rPr>
        <w:t>When comparing year-on-year changes, it is recommended that modifications to underlying questionnaire items be taken into consideration when interpreting results.</w:t>
      </w:r>
      <w:r w:rsidRPr="00E8656C">
        <w:rPr>
          <w:rFonts w:cs="Arial"/>
          <w:sz w:val="18"/>
          <w:szCs w:val="24"/>
        </w:rPr>
        <w:t xml:space="preserve"> For more information about these changes, refer to </w:t>
      </w:r>
      <w:r w:rsidR="008E3E72" w:rsidRPr="00E8656C">
        <w:rPr>
          <w:rFonts w:cs="Arial"/>
          <w:sz w:val="18"/>
          <w:szCs w:val="24"/>
        </w:rPr>
        <w:t>the 2023 SES National Report</w:t>
      </w:r>
      <w:r w:rsidR="00093D52" w:rsidRPr="00E8656C">
        <w:rPr>
          <w:rFonts w:cs="Arial"/>
          <w:sz w:val="18"/>
          <w:szCs w:val="24"/>
        </w:rPr>
        <w:t>.</w:t>
      </w:r>
    </w:p>
    <w:p w14:paraId="38D14016" w14:textId="77777777" w:rsidR="00CE01B1" w:rsidRPr="00E8656C" w:rsidRDefault="00CE01B1" w:rsidP="005C7DBF">
      <w:pPr>
        <w:pStyle w:val="Body"/>
        <w:rPr>
          <w:rFonts w:cs="Arial"/>
        </w:rPr>
      </w:pPr>
      <w:bookmarkStart w:id="21" w:name="_Ref193707919"/>
      <w:bookmarkStart w:id="22" w:name="_Ref126233077"/>
      <w:bookmarkStart w:id="23" w:name="_Ref164332703"/>
    </w:p>
    <w:p w14:paraId="6923DE37" w14:textId="7AD27461" w:rsidR="005C7DBF" w:rsidRPr="00E8656C" w:rsidRDefault="00B239B8" w:rsidP="005C7DBF">
      <w:pPr>
        <w:pStyle w:val="Body"/>
        <w:rPr>
          <w:rFonts w:cs="Arial"/>
        </w:rPr>
      </w:pPr>
      <w:r w:rsidRPr="00E8656C">
        <w:rPr>
          <w:rFonts w:cs="Arial"/>
        </w:rPr>
        <w:t>I</w:t>
      </w:r>
      <w:r w:rsidR="005C7DBF" w:rsidRPr="00E8656C">
        <w:rPr>
          <w:rFonts w:cs="Arial"/>
        </w:rPr>
        <w:t>ncreases in</w:t>
      </w:r>
      <w:r w:rsidR="00596887" w:rsidRPr="00E8656C">
        <w:rPr>
          <w:rFonts w:cs="Arial"/>
        </w:rPr>
        <w:t xml:space="preserve"> 2024</w:t>
      </w:r>
      <w:r w:rsidR="0084394D" w:rsidRPr="00E8656C">
        <w:rPr>
          <w:rFonts w:cs="Arial"/>
        </w:rPr>
        <w:t xml:space="preserve"> </w:t>
      </w:r>
      <w:r w:rsidR="00811A74" w:rsidRPr="00E8656C">
        <w:rPr>
          <w:rFonts w:cs="Arial"/>
        </w:rPr>
        <w:t xml:space="preserve">in </w:t>
      </w:r>
      <w:r w:rsidRPr="00E8656C">
        <w:rPr>
          <w:rFonts w:cs="Arial"/>
        </w:rPr>
        <w:t>p</w:t>
      </w:r>
      <w:r w:rsidR="00811A74" w:rsidRPr="00E8656C">
        <w:rPr>
          <w:rFonts w:cs="Arial"/>
        </w:rPr>
        <w:t xml:space="preserve">ostgraduate coursework ratings </w:t>
      </w:r>
      <w:r w:rsidR="005C7DBF" w:rsidRPr="00E8656C">
        <w:rPr>
          <w:rFonts w:cs="Arial"/>
        </w:rPr>
        <w:t xml:space="preserve">were </w:t>
      </w:r>
      <w:r w:rsidR="0017409E" w:rsidRPr="00E8656C">
        <w:rPr>
          <w:rFonts w:cs="Arial"/>
        </w:rPr>
        <w:t xml:space="preserve">generally </w:t>
      </w:r>
      <w:r w:rsidR="005C7DBF" w:rsidRPr="00E8656C">
        <w:rPr>
          <w:rFonts w:cs="Arial"/>
        </w:rPr>
        <w:t>modest, ranging from 0.3 to 1 percentage point</w:t>
      </w:r>
      <w:r w:rsidRPr="00E8656C">
        <w:rPr>
          <w:rFonts w:cs="Arial"/>
        </w:rPr>
        <w:t xml:space="preserve">. The rating for Overall Educational Experience decreased by 0.4 percentage points to 76.7 per cent compared to 2023. The only exception was </w:t>
      </w:r>
      <w:r w:rsidR="005C7DBF" w:rsidRPr="00E8656C">
        <w:rPr>
          <w:rFonts w:cs="Arial"/>
        </w:rPr>
        <w:t>Peer Engagement, which reached its highest rating since 2017 at 62.1</w:t>
      </w:r>
      <w:r w:rsidR="000339EA" w:rsidRPr="00E8656C">
        <w:rPr>
          <w:rFonts w:cs="Arial"/>
        </w:rPr>
        <w:t xml:space="preserve"> </w:t>
      </w:r>
      <w:r w:rsidR="005C7DBF" w:rsidRPr="00E8656C">
        <w:rPr>
          <w:rFonts w:cs="Arial"/>
        </w:rPr>
        <w:t xml:space="preserve">per cent, up 6.1 percentage points from the 2023 rating of 56.0 per cent. </w:t>
      </w:r>
    </w:p>
    <w:p w14:paraId="0AAAD659" w14:textId="68D7DE39" w:rsidR="00596887" w:rsidRPr="00E8656C" w:rsidRDefault="00F10E57" w:rsidP="00596887">
      <w:pPr>
        <w:pStyle w:val="Body"/>
        <w:rPr>
          <w:rFonts w:cs="Arial"/>
        </w:rPr>
      </w:pPr>
      <w:r w:rsidRPr="00E8656C">
        <w:rPr>
          <w:rFonts w:cs="Arial"/>
        </w:rPr>
        <w:t>When compar</w:t>
      </w:r>
      <w:r w:rsidR="002510DA" w:rsidRPr="00E8656C">
        <w:rPr>
          <w:rFonts w:cs="Arial"/>
        </w:rPr>
        <w:t xml:space="preserve">ing </w:t>
      </w:r>
      <w:r w:rsidR="00FF3319" w:rsidRPr="00E8656C">
        <w:rPr>
          <w:rFonts w:cs="Arial"/>
        </w:rPr>
        <w:t>the ratings between</w:t>
      </w:r>
      <w:r w:rsidR="002510DA" w:rsidRPr="00E8656C">
        <w:rPr>
          <w:rFonts w:cs="Arial"/>
        </w:rPr>
        <w:t xml:space="preserve"> study levels</w:t>
      </w:r>
      <w:r w:rsidR="00596887" w:rsidRPr="00E8656C">
        <w:rPr>
          <w:rFonts w:cs="Arial"/>
        </w:rPr>
        <w:t>,</w:t>
      </w:r>
      <w:r w:rsidR="00BC1E83" w:rsidRPr="00E8656C">
        <w:rPr>
          <w:rFonts w:cs="Arial"/>
        </w:rPr>
        <w:t xml:space="preserve"> in 2024</w:t>
      </w:r>
      <w:r w:rsidR="00596887" w:rsidRPr="00E8656C">
        <w:rPr>
          <w:rFonts w:cs="Arial"/>
        </w:rPr>
        <w:t xml:space="preserve"> postgraduate coursework students rated all five focus areas higher than undergraduate students</w:t>
      </w:r>
      <w:r w:rsidR="003C3B13" w:rsidRPr="00E8656C">
        <w:rPr>
          <w:rFonts w:cs="Arial"/>
        </w:rPr>
        <w:t>. The</w:t>
      </w:r>
      <w:r w:rsidR="00596887" w:rsidRPr="00E8656C">
        <w:rPr>
          <w:rFonts w:cs="Arial"/>
        </w:rPr>
        <w:t xml:space="preserve"> differences rang</w:t>
      </w:r>
      <w:r w:rsidR="003C3B13" w:rsidRPr="00E8656C">
        <w:rPr>
          <w:rFonts w:cs="Arial"/>
        </w:rPr>
        <w:t>e</w:t>
      </w:r>
      <w:r w:rsidR="00596887" w:rsidRPr="00E8656C">
        <w:rPr>
          <w:rFonts w:cs="Arial"/>
        </w:rPr>
        <w:t xml:space="preserve"> from 1.9 percentage points for Peer Engagement to 5.4 percentage points for Student Support and Services. Ratings of Overall Educational Experience were similar across both course levels, differing by around 0.2 percentage points </w:t>
      </w:r>
      <w:r w:rsidR="00924065" w:rsidRPr="00E8656C">
        <w:rPr>
          <w:rFonts w:cs="Arial"/>
        </w:rPr>
        <w:t>(</w:t>
      </w:r>
      <w:r w:rsidR="00EA0581" w:rsidRPr="00E8656C">
        <w:rPr>
          <w:rFonts w:cs="Arial"/>
          <w:b/>
          <w:bCs/>
        </w:rPr>
        <w:fldChar w:fldCharType="begin"/>
      </w:r>
      <w:r w:rsidR="00EA0581" w:rsidRPr="00E8656C">
        <w:rPr>
          <w:rFonts w:cs="Arial"/>
          <w:b/>
          <w:bCs/>
        </w:rPr>
        <w:instrText xml:space="preserve"> REF _Ref197075325 \h  \* MERGEFORMAT </w:instrText>
      </w:r>
      <w:r w:rsidR="00EA0581" w:rsidRPr="00E8656C">
        <w:rPr>
          <w:rFonts w:cs="Arial"/>
          <w:b/>
          <w:bCs/>
        </w:rPr>
      </w:r>
      <w:r w:rsidR="00EA0581" w:rsidRPr="00E8656C">
        <w:rPr>
          <w:rFonts w:cs="Arial"/>
          <w:b/>
          <w:bCs/>
        </w:rPr>
        <w:fldChar w:fldCharType="separate"/>
      </w:r>
      <w:r w:rsidR="00EA0581" w:rsidRPr="00E8656C">
        <w:rPr>
          <w:rFonts w:cs="Arial"/>
          <w:b/>
          <w:bCs/>
        </w:rPr>
        <w:t xml:space="preserve">Figure </w:t>
      </w:r>
      <w:r w:rsidR="00EA0581" w:rsidRPr="00E8656C">
        <w:rPr>
          <w:rFonts w:cs="Arial"/>
          <w:b/>
          <w:bCs/>
          <w:noProof/>
        </w:rPr>
        <w:t>3</w:t>
      </w:r>
      <w:r w:rsidR="00EA0581" w:rsidRPr="00E8656C">
        <w:rPr>
          <w:rFonts w:cs="Arial"/>
          <w:b/>
          <w:bCs/>
        </w:rPr>
        <w:fldChar w:fldCharType="end"/>
      </w:r>
      <w:r w:rsidR="00653CA1" w:rsidRPr="00E8656C">
        <w:rPr>
          <w:rFonts w:cs="Arial"/>
        </w:rPr>
        <w:t>)</w:t>
      </w:r>
      <w:r w:rsidR="00596887" w:rsidRPr="00E8656C">
        <w:rPr>
          <w:rFonts w:cs="Arial"/>
        </w:rPr>
        <w:t>.</w:t>
      </w:r>
    </w:p>
    <w:p w14:paraId="166D7A36" w14:textId="50006FF5" w:rsidR="005A79B7" w:rsidRPr="00E8656C" w:rsidRDefault="00D23B6D" w:rsidP="005A79B7">
      <w:pPr>
        <w:pStyle w:val="Body"/>
        <w:rPr>
          <w:rFonts w:cs="Arial"/>
        </w:rPr>
      </w:pPr>
      <w:r w:rsidRPr="00E8656C">
        <w:rPr>
          <w:rFonts w:cs="Arial"/>
        </w:rPr>
        <w:t xml:space="preserve">In 2024, </w:t>
      </w:r>
      <w:proofErr w:type="gramStart"/>
      <w:r w:rsidRPr="00E8656C">
        <w:rPr>
          <w:rFonts w:cs="Arial"/>
        </w:rPr>
        <w:t>s</w:t>
      </w:r>
      <w:r w:rsidR="005A79B7" w:rsidRPr="00E8656C">
        <w:rPr>
          <w:rFonts w:cs="Arial"/>
        </w:rPr>
        <w:t>imilar to</w:t>
      </w:r>
      <w:proofErr w:type="gramEnd"/>
      <w:r w:rsidR="005A79B7" w:rsidRPr="00E8656C">
        <w:rPr>
          <w:rFonts w:cs="Arial"/>
        </w:rPr>
        <w:t xml:space="preserve"> 2023, the main differentiation between the study levels was in Student Support and Services</w:t>
      </w:r>
      <w:r w:rsidR="009274B8" w:rsidRPr="00E8656C">
        <w:rPr>
          <w:rFonts w:cs="Arial"/>
        </w:rPr>
        <w:t>. Po</w:t>
      </w:r>
      <w:r w:rsidR="005A79B7" w:rsidRPr="00E8656C">
        <w:rPr>
          <w:rFonts w:cs="Arial"/>
        </w:rPr>
        <w:t>stgraduate coursework students rated this aspect at 76.6 per cent, compared to 71.2 per cent for undergraduates. This reflects the influence of the higher proportion of international students in the postgraduate cohort</w:t>
      </w:r>
      <w:r w:rsidR="00314586" w:rsidRPr="00E8656C">
        <w:rPr>
          <w:rFonts w:cs="Arial"/>
        </w:rPr>
        <w:t xml:space="preserve">, </w:t>
      </w:r>
      <w:r w:rsidR="005A79B7" w:rsidRPr="00E8656C">
        <w:rPr>
          <w:rFonts w:cs="Arial"/>
        </w:rPr>
        <w:t xml:space="preserve">who have rated their Student Support and Services much more positively than domestic </w:t>
      </w:r>
      <w:r w:rsidR="00A344B2" w:rsidRPr="00E8656C">
        <w:rPr>
          <w:rFonts w:cs="Arial"/>
        </w:rPr>
        <w:t>students</w:t>
      </w:r>
      <w:r w:rsidR="005A79B7" w:rsidRPr="00E8656C">
        <w:rPr>
          <w:rFonts w:cs="Arial"/>
        </w:rPr>
        <w:t xml:space="preserve">. International student ratings were significantly higher at both undergraduate (77.5 per cent) and </w:t>
      </w:r>
      <w:r w:rsidR="005A79B7" w:rsidRPr="00E8656C">
        <w:rPr>
          <w:rFonts w:cs="Arial"/>
        </w:rPr>
        <w:lastRenderedPageBreak/>
        <w:t>postgraduate (80.3 per cent) levels</w:t>
      </w:r>
      <w:r w:rsidR="00F909CB" w:rsidRPr="00E8656C">
        <w:rPr>
          <w:rFonts w:cs="Arial"/>
        </w:rPr>
        <w:t xml:space="preserve">, while </w:t>
      </w:r>
      <w:r w:rsidR="005A79B7" w:rsidRPr="00E8656C">
        <w:rPr>
          <w:rFonts w:cs="Arial"/>
        </w:rPr>
        <w:t>domestic students rated this aspect at 69.2 per cent (undergraduate) and 67.5 per cent (postgraduate).</w:t>
      </w:r>
    </w:p>
    <w:p w14:paraId="7DFA858D" w14:textId="1A15822C" w:rsidR="005A79B7" w:rsidRPr="00E8656C" w:rsidRDefault="005A79B7" w:rsidP="005A79B7">
      <w:pPr>
        <w:pStyle w:val="Body"/>
        <w:rPr>
          <w:rFonts w:cs="Arial"/>
        </w:rPr>
      </w:pPr>
      <w:r w:rsidRPr="00E8656C">
        <w:rPr>
          <w:rFonts w:cs="Arial"/>
        </w:rPr>
        <w:t>Both undergraduate and postgraduate coursework students provided higher ratings for Peer Engagement in 2024 compared to 2023. Undergraduate ratings increased by 1.4 percentage points</w:t>
      </w:r>
      <w:r w:rsidR="00CF36FF" w:rsidRPr="00E8656C">
        <w:rPr>
          <w:rFonts w:cs="Arial"/>
        </w:rPr>
        <w:t>,</w:t>
      </w:r>
      <w:r w:rsidRPr="00E8656C">
        <w:rPr>
          <w:rFonts w:cs="Arial"/>
        </w:rPr>
        <w:t>. For the first time in</w:t>
      </w:r>
      <w:r w:rsidR="00937950" w:rsidRPr="00E8656C">
        <w:rPr>
          <w:rFonts w:cs="Arial"/>
        </w:rPr>
        <w:t xml:space="preserve"> the</w:t>
      </w:r>
      <w:r w:rsidRPr="00E8656C">
        <w:rPr>
          <w:rFonts w:cs="Arial"/>
        </w:rPr>
        <w:t xml:space="preserve"> </w:t>
      </w:r>
      <w:r w:rsidR="00E52B3E" w:rsidRPr="00E8656C">
        <w:rPr>
          <w:rFonts w:cs="Arial"/>
        </w:rPr>
        <w:t xml:space="preserve">eight </w:t>
      </w:r>
      <w:r w:rsidRPr="00E8656C">
        <w:rPr>
          <w:rFonts w:cs="Arial"/>
        </w:rPr>
        <w:t>years</w:t>
      </w:r>
      <w:r w:rsidR="00937950" w:rsidRPr="00E8656C">
        <w:rPr>
          <w:rFonts w:cs="Arial"/>
        </w:rPr>
        <w:t xml:space="preserve"> that they have been included in the SES</w:t>
      </w:r>
      <w:r w:rsidRPr="00E8656C">
        <w:rPr>
          <w:rFonts w:cs="Arial"/>
        </w:rPr>
        <w:t>, postgraduate coursework students rated their Peer Engagement higher than undergraduates, with a notable increase of 6.1 percentage points in 2024 compared to 2023. This</w:t>
      </w:r>
      <w:r w:rsidR="00234550" w:rsidRPr="00E8656C">
        <w:rPr>
          <w:rFonts w:cs="Arial"/>
        </w:rPr>
        <w:t xml:space="preserve"> </w:t>
      </w:r>
      <w:r w:rsidRPr="00E8656C">
        <w:rPr>
          <w:rFonts w:cs="Arial"/>
        </w:rPr>
        <w:t xml:space="preserve">increase </w:t>
      </w:r>
      <w:r w:rsidR="00ED17D9" w:rsidRPr="00E8656C">
        <w:rPr>
          <w:rFonts w:cs="Arial"/>
        </w:rPr>
        <w:t>coincide</w:t>
      </w:r>
      <w:r w:rsidR="008C72AA" w:rsidRPr="00E8656C">
        <w:rPr>
          <w:rFonts w:cs="Arial"/>
        </w:rPr>
        <w:t>d</w:t>
      </w:r>
      <w:r w:rsidR="00ED17D9" w:rsidRPr="00E8656C">
        <w:rPr>
          <w:rFonts w:cs="Arial"/>
        </w:rPr>
        <w:t xml:space="preserve"> with</w:t>
      </w:r>
      <w:r w:rsidR="00384F14" w:rsidRPr="00E8656C">
        <w:rPr>
          <w:rFonts w:cs="Arial"/>
        </w:rPr>
        <w:t xml:space="preserve"> </w:t>
      </w:r>
      <w:r w:rsidR="00ED17D9" w:rsidRPr="00E8656C">
        <w:rPr>
          <w:rFonts w:cs="Arial"/>
        </w:rPr>
        <w:t>a</w:t>
      </w:r>
      <w:r w:rsidRPr="00E8656C">
        <w:rPr>
          <w:rFonts w:cs="Arial"/>
        </w:rPr>
        <w:t xml:space="preserve"> rise in the number of international students at the postgraduate coursework level, who </w:t>
      </w:r>
      <w:r w:rsidR="00862C7A" w:rsidRPr="00E8656C">
        <w:rPr>
          <w:rFonts w:cs="Arial"/>
        </w:rPr>
        <w:t xml:space="preserve">have higher </w:t>
      </w:r>
      <w:r w:rsidR="00D717F1" w:rsidRPr="00E8656C">
        <w:rPr>
          <w:rFonts w:cs="Arial"/>
        </w:rPr>
        <w:t>enrolment in an</w:t>
      </w:r>
      <w:r w:rsidRPr="00E8656C">
        <w:rPr>
          <w:rFonts w:cs="Arial"/>
        </w:rPr>
        <w:t xml:space="preserve"> internal/multi</w:t>
      </w:r>
      <w:r w:rsidR="00D44EFC" w:rsidRPr="00E8656C">
        <w:rPr>
          <w:rFonts w:cs="Arial"/>
        </w:rPr>
        <w:t>-</w:t>
      </w:r>
      <w:r w:rsidRPr="00E8656C">
        <w:rPr>
          <w:rFonts w:cs="Arial"/>
        </w:rPr>
        <w:t>mode</w:t>
      </w:r>
      <w:r w:rsidR="00F73B4F" w:rsidRPr="00E8656C">
        <w:rPr>
          <w:rFonts w:cs="Arial"/>
        </w:rPr>
        <w:t xml:space="preserve"> of study</w:t>
      </w:r>
      <w:r w:rsidRPr="00E8656C">
        <w:rPr>
          <w:rFonts w:cs="Arial"/>
        </w:rPr>
        <w:t xml:space="preserve"> than their domestic counterparts. </w:t>
      </w:r>
      <w:r w:rsidR="00F5156F" w:rsidRPr="00E8656C">
        <w:rPr>
          <w:rFonts w:cs="Arial"/>
        </w:rPr>
        <w:t xml:space="preserve">As </w:t>
      </w:r>
      <w:r w:rsidRPr="00E8656C">
        <w:rPr>
          <w:rFonts w:cs="Arial"/>
        </w:rPr>
        <w:t xml:space="preserve">external students are much less likely to engage in activities outlined in this focus area, this difference contributes to the </w:t>
      </w:r>
      <w:r w:rsidR="004C4C27" w:rsidRPr="00E8656C">
        <w:rPr>
          <w:rFonts w:cs="Arial"/>
        </w:rPr>
        <w:t>variations</w:t>
      </w:r>
      <w:r w:rsidRPr="00E8656C">
        <w:rPr>
          <w:rFonts w:cs="Arial"/>
        </w:rPr>
        <w:t xml:space="preserve"> in Peer Engagement. The relationship between Peer Engagement rating and study mode is further explained below under</w:t>
      </w:r>
      <w:r w:rsidRPr="00E8656C" w:rsidDel="00CD1587">
        <w:rPr>
          <w:rFonts w:cs="Arial"/>
        </w:rPr>
        <w:t xml:space="preserve"> </w:t>
      </w:r>
      <w:hyperlink w:anchor="_Study_mode" w:history="1">
        <w:r w:rsidR="006E3B32" w:rsidRPr="00E8656C">
          <w:rPr>
            <w:rStyle w:val="Hyperlink"/>
            <w:rFonts w:cs="Arial"/>
            <w:color w:val="auto"/>
          </w:rPr>
          <w:t>Study mode</w:t>
        </w:r>
      </w:hyperlink>
      <w:r w:rsidRPr="00E8656C">
        <w:rPr>
          <w:rFonts w:cs="Arial"/>
        </w:rPr>
        <w:t>.</w:t>
      </w:r>
    </w:p>
    <w:p w14:paraId="20679DB4" w14:textId="37E27273" w:rsidR="00127838" w:rsidRPr="00E8656C" w:rsidRDefault="00EA0581" w:rsidP="00695177">
      <w:pPr>
        <w:pStyle w:val="Caption"/>
      </w:pPr>
      <w:bookmarkStart w:id="24" w:name="_Ref197075325"/>
      <w:bookmarkStart w:id="25" w:name="_Toc201065553"/>
      <w:r w:rsidRPr="00E8656C">
        <w:t xml:space="preserve">Figure </w:t>
      </w:r>
      <w:r w:rsidRPr="00E8656C">
        <w:fldChar w:fldCharType="begin"/>
      </w:r>
      <w:r w:rsidRPr="00E8656C">
        <w:instrText xml:space="preserve"> SEQ Figure \* ARABIC </w:instrText>
      </w:r>
      <w:r w:rsidRPr="00E8656C">
        <w:fldChar w:fldCharType="separate"/>
      </w:r>
      <w:r w:rsidRPr="00E8656C">
        <w:rPr>
          <w:noProof/>
        </w:rPr>
        <w:t>3</w:t>
      </w:r>
      <w:r w:rsidRPr="00E8656C">
        <w:rPr>
          <w:noProof/>
        </w:rPr>
        <w:fldChar w:fldCharType="end"/>
      </w:r>
      <w:bookmarkEnd w:id="24"/>
      <w:r w:rsidR="004D7A82" w:rsidRPr="00E8656C">
        <w:rPr>
          <w:noProof/>
        </w:rPr>
        <w:tab/>
      </w:r>
      <w:r w:rsidRPr="00E8656C">
        <w:t>The student experience by course level, 2024 (% positive rating)</w:t>
      </w:r>
      <w:bookmarkEnd w:id="25"/>
    </w:p>
    <w:p w14:paraId="4219C1EE" w14:textId="77777777" w:rsidR="00127838" w:rsidRPr="00E8656C" w:rsidRDefault="00127838" w:rsidP="00127838">
      <w:pPr>
        <w:pStyle w:val="Body"/>
        <w:rPr>
          <w:rFonts w:cs="Arial"/>
          <w:sz w:val="18"/>
          <w:szCs w:val="18"/>
        </w:rPr>
      </w:pPr>
      <w:r w:rsidRPr="00E8656C">
        <w:rPr>
          <w:rFonts w:cs="Arial"/>
          <w:sz w:val="18"/>
          <w:szCs w:val="18"/>
          <w:lang w:eastAsia="en-AU"/>
        </w:rPr>
        <w:t>(Source: FOCUS_UG_ALL_12-YY_YEAR, FOCUS_PGC_ALL_17-YY_YEAR)</w:t>
      </w:r>
    </w:p>
    <w:p w14:paraId="7131A27F" w14:textId="57DDE125" w:rsidR="00127838" w:rsidRPr="00E8656C" w:rsidRDefault="00551215" w:rsidP="00127838">
      <w:pPr>
        <w:spacing w:line="360" w:lineRule="auto"/>
        <w:rPr>
          <w:rFonts w:cs="Arial"/>
        </w:rPr>
      </w:pPr>
      <w:r w:rsidRPr="00E8656C">
        <w:rPr>
          <w:rFonts w:cs="Arial"/>
          <w:noProof/>
        </w:rPr>
        <w:drawing>
          <wp:inline distT="0" distB="0" distL="0" distR="0" wp14:anchorId="76133FF3" wp14:editId="13367F8E">
            <wp:extent cx="6184900" cy="1913255"/>
            <wp:effectExtent l="0" t="0" r="6350" b="0"/>
            <wp:docPr id="816843132" name="Chart 1">
              <a:extLst xmlns:a="http://schemas.openxmlformats.org/drawingml/2006/main">
                <a:ext uri="{FF2B5EF4-FFF2-40B4-BE49-F238E27FC236}">
                  <a16:creationId xmlns:a16="http://schemas.microsoft.com/office/drawing/2014/main" id="{6D7065D9-B43A-4641-8472-403BA3EFCBF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833D694" w14:textId="77777777" w:rsidR="00127838" w:rsidRPr="00E8656C" w:rsidRDefault="00127838" w:rsidP="00127838">
      <w:pPr>
        <w:spacing w:line="360" w:lineRule="auto"/>
        <w:rPr>
          <w:rFonts w:cs="Arial"/>
        </w:rPr>
        <w:sectPr w:rsidR="00127838" w:rsidRPr="00E8656C" w:rsidSect="004D7A82">
          <w:headerReference w:type="default" r:id="rId24"/>
          <w:type w:val="continuous"/>
          <w:pgSz w:w="11900" w:h="16840"/>
          <w:pgMar w:top="1440" w:right="1080" w:bottom="1440" w:left="1080" w:header="170" w:footer="170" w:gutter="0"/>
          <w:cols w:space="708"/>
          <w:docGrid w:linePitch="360"/>
        </w:sectPr>
      </w:pPr>
    </w:p>
    <w:p w14:paraId="206CFE49" w14:textId="77777777" w:rsidR="00127838" w:rsidRPr="00E8656C" w:rsidRDefault="00127838" w:rsidP="005A79B7">
      <w:pPr>
        <w:pStyle w:val="Body"/>
        <w:rPr>
          <w:rFonts w:cs="Arial"/>
        </w:rPr>
      </w:pPr>
    </w:p>
    <w:p w14:paraId="31DAEA54" w14:textId="4077411B" w:rsidR="005329B0" w:rsidRPr="00E8656C" w:rsidRDefault="0098214A" w:rsidP="005329B0">
      <w:pPr>
        <w:pStyle w:val="Body"/>
        <w:rPr>
          <w:rFonts w:cs="Arial"/>
        </w:rPr>
      </w:pPr>
      <w:r w:rsidRPr="00E8656C">
        <w:rPr>
          <w:rFonts w:cs="Arial"/>
        </w:rPr>
        <w:t>The difference in ratings between undergraduate and postgraduate coursework students, compared to pre-2020</w:t>
      </w:r>
      <w:r w:rsidR="00FF1A77" w:rsidRPr="00E8656C">
        <w:rPr>
          <w:rFonts w:cs="Arial"/>
        </w:rPr>
        <w:t xml:space="preserve"> (</w:t>
      </w:r>
      <w:r w:rsidR="00FF1A77" w:rsidRPr="00E8656C">
        <w:rPr>
          <w:rFonts w:cs="Arial"/>
          <w:b/>
          <w:bCs/>
        </w:rPr>
        <w:fldChar w:fldCharType="begin"/>
      </w:r>
      <w:r w:rsidR="00FF1A77" w:rsidRPr="00E8656C">
        <w:rPr>
          <w:rFonts w:cs="Arial"/>
          <w:b/>
          <w:bCs/>
        </w:rPr>
        <w:instrText xml:space="preserve"> REF _Ref133572148 \h  \* MERGEFORMAT </w:instrText>
      </w:r>
      <w:r w:rsidR="00FF1A77" w:rsidRPr="00E8656C">
        <w:rPr>
          <w:rFonts w:cs="Arial"/>
          <w:b/>
          <w:bCs/>
        </w:rPr>
      </w:r>
      <w:r w:rsidR="00FF1A77" w:rsidRPr="00E8656C">
        <w:rPr>
          <w:rFonts w:cs="Arial"/>
          <w:b/>
          <w:bCs/>
        </w:rPr>
        <w:fldChar w:fldCharType="separate"/>
      </w:r>
      <w:r w:rsidR="00FF1A77" w:rsidRPr="00E8656C">
        <w:rPr>
          <w:rFonts w:cs="Arial"/>
          <w:b/>
          <w:bCs/>
        </w:rPr>
        <w:t xml:space="preserve">Figure </w:t>
      </w:r>
      <w:r w:rsidR="00FF1A77" w:rsidRPr="00E8656C">
        <w:rPr>
          <w:rFonts w:cs="Arial"/>
          <w:b/>
          <w:bCs/>
          <w:noProof/>
        </w:rPr>
        <w:t>1</w:t>
      </w:r>
      <w:r w:rsidR="00FF1A77" w:rsidRPr="00E8656C">
        <w:rPr>
          <w:rFonts w:cs="Arial"/>
          <w:b/>
          <w:bCs/>
        </w:rPr>
        <w:fldChar w:fldCharType="end"/>
      </w:r>
      <w:r w:rsidR="00FF1A77" w:rsidRPr="00E8656C">
        <w:rPr>
          <w:rFonts w:cs="Arial"/>
          <w:b/>
          <w:bCs/>
        </w:rPr>
        <w:t xml:space="preserve"> </w:t>
      </w:r>
      <w:r w:rsidR="00FF1A77" w:rsidRPr="00E8656C">
        <w:rPr>
          <w:rFonts w:cs="Arial"/>
        </w:rPr>
        <w:t>and</w:t>
      </w:r>
      <w:r w:rsidR="00FF1A77" w:rsidRPr="00E8656C">
        <w:rPr>
          <w:rFonts w:cs="Arial"/>
          <w:b/>
          <w:bCs/>
        </w:rPr>
        <w:t xml:space="preserve"> </w:t>
      </w:r>
      <w:r w:rsidR="00FF1A77" w:rsidRPr="00E8656C">
        <w:rPr>
          <w:rFonts w:cs="Arial"/>
          <w:b/>
          <w:bCs/>
        </w:rPr>
        <w:fldChar w:fldCharType="begin"/>
      </w:r>
      <w:r w:rsidR="00FF1A77" w:rsidRPr="00E8656C">
        <w:rPr>
          <w:rFonts w:cs="Arial"/>
          <w:b/>
          <w:bCs/>
        </w:rPr>
        <w:instrText xml:space="preserve"> REF _Ref195573428 \h  \* MERGEFORMAT </w:instrText>
      </w:r>
      <w:r w:rsidR="00FF1A77" w:rsidRPr="00E8656C">
        <w:rPr>
          <w:rFonts w:cs="Arial"/>
          <w:b/>
          <w:bCs/>
        </w:rPr>
      </w:r>
      <w:r w:rsidR="00FF1A77" w:rsidRPr="00E8656C">
        <w:rPr>
          <w:rFonts w:cs="Arial"/>
          <w:b/>
          <w:bCs/>
        </w:rPr>
        <w:fldChar w:fldCharType="separate"/>
      </w:r>
      <w:r w:rsidR="00FF1A77" w:rsidRPr="00E8656C">
        <w:rPr>
          <w:rFonts w:cs="Arial"/>
          <w:b/>
          <w:bCs/>
        </w:rPr>
        <w:t xml:space="preserve">Figure </w:t>
      </w:r>
      <w:r w:rsidR="00FF1A77" w:rsidRPr="00E8656C">
        <w:rPr>
          <w:rFonts w:cs="Arial"/>
          <w:b/>
          <w:bCs/>
          <w:noProof/>
        </w:rPr>
        <w:t>2</w:t>
      </w:r>
      <w:r w:rsidR="00FF1A77" w:rsidRPr="00E8656C">
        <w:rPr>
          <w:rFonts w:cs="Arial"/>
          <w:b/>
          <w:bCs/>
        </w:rPr>
        <w:fldChar w:fldCharType="end"/>
      </w:r>
      <w:r w:rsidR="00FF1A77" w:rsidRPr="00E8656C">
        <w:rPr>
          <w:rFonts w:cs="Arial"/>
        </w:rPr>
        <w:t>)</w:t>
      </w:r>
      <w:r w:rsidRPr="00E8656C">
        <w:rPr>
          <w:rFonts w:cs="Arial"/>
        </w:rPr>
        <w:t xml:space="preserve">, </w:t>
      </w:r>
      <w:r w:rsidR="00081A85" w:rsidRPr="00E8656C">
        <w:rPr>
          <w:rFonts w:cs="Arial"/>
        </w:rPr>
        <w:t>are</w:t>
      </w:r>
      <w:r w:rsidRPr="00E8656C">
        <w:rPr>
          <w:rFonts w:cs="Arial"/>
        </w:rPr>
        <w:t xml:space="preserve"> influenced by the relative proportions of domestic and international students at each level</w:t>
      </w:r>
      <w:r w:rsidR="00FF1A77" w:rsidRPr="00E8656C">
        <w:rPr>
          <w:rFonts w:cs="Arial"/>
        </w:rPr>
        <w:t xml:space="preserve"> </w:t>
      </w:r>
      <w:r w:rsidR="00EA0581" w:rsidRPr="00E8656C">
        <w:rPr>
          <w:rFonts w:cs="Arial"/>
        </w:rPr>
        <w:t>(</w:t>
      </w:r>
      <w:r w:rsidR="00EA0581" w:rsidRPr="00E8656C">
        <w:rPr>
          <w:rFonts w:cs="Arial"/>
          <w:b/>
          <w:bCs/>
        </w:rPr>
        <w:fldChar w:fldCharType="begin"/>
      </w:r>
      <w:r w:rsidR="00EA0581" w:rsidRPr="00E8656C">
        <w:rPr>
          <w:rFonts w:cs="Arial"/>
          <w:b/>
          <w:bCs/>
        </w:rPr>
        <w:instrText xml:space="preserve"> REF _Ref197075412 \h  \* MERGEFORMAT </w:instrText>
      </w:r>
      <w:r w:rsidR="00EA0581" w:rsidRPr="00E8656C">
        <w:rPr>
          <w:rFonts w:cs="Arial"/>
          <w:b/>
          <w:bCs/>
        </w:rPr>
      </w:r>
      <w:r w:rsidR="00EA0581" w:rsidRPr="00E8656C">
        <w:rPr>
          <w:rFonts w:cs="Arial"/>
          <w:b/>
          <w:bCs/>
        </w:rPr>
        <w:fldChar w:fldCharType="separate"/>
      </w:r>
      <w:r w:rsidR="00EA0581" w:rsidRPr="00E8656C">
        <w:rPr>
          <w:rFonts w:cs="Arial"/>
          <w:b/>
          <w:bCs/>
        </w:rPr>
        <w:t xml:space="preserve">Figure </w:t>
      </w:r>
      <w:r w:rsidR="00EA0581" w:rsidRPr="00E8656C">
        <w:rPr>
          <w:rFonts w:cs="Arial"/>
          <w:b/>
          <w:bCs/>
          <w:noProof/>
        </w:rPr>
        <w:t>4</w:t>
      </w:r>
      <w:r w:rsidR="00EA0581" w:rsidRPr="00E8656C">
        <w:rPr>
          <w:rFonts w:cs="Arial"/>
          <w:b/>
          <w:bCs/>
        </w:rPr>
        <w:fldChar w:fldCharType="end"/>
      </w:r>
      <w:r w:rsidR="00FF1A77" w:rsidRPr="00E8656C">
        <w:rPr>
          <w:rFonts w:cs="Arial"/>
        </w:rPr>
        <w:t>)</w:t>
      </w:r>
      <w:r w:rsidR="000939AF" w:rsidRPr="00E8656C">
        <w:rPr>
          <w:rFonts w:cs="Arial"/>
        </w:rPr>
        <w:t xml:space="preserve">. This was </w:t>
      </w:r>
      <w:r w:rsidR="00FF64A0" w:rsidRPr="00E8656C">
        <w:rPr>
          <w:rFonts w:cs="Arial"/>
        </w:rPr>
        <w:t>observed</w:t>
      </w:r>
      <w:r w:rsidR="000939AF" w:rsidRPr="00E8656C">
        <w:rPr>
          <w:rFonts w:cs="Arial"/>
        </w:rPr>
        <w:t xml:space="preserve"> in 2023 and the trend continued in 2024. </w:t>
      </w:r>
    </w:p>
    <w:p w14:paraId="53503DBA" w14:textId="77777777" w:rsidR="00DB665D" w:rsidRPr="00E8656C" w:rsidRDefault="00DB665D" w:rsidP="00DB665D">
      <w:pPr>
        <w:pStyle w:val="Body"/>
        <w:rPr>
          <w:rFonts w:cs="Arial"/>
        </w:rPr>
      </w:pPr>
      <w:r w:rsidRPr="00E8656C">
        <w:rPr>
          <w:rFonts w:cs="Arial"/>
        </w:rPr>
        <w:t xml:space="preserve">In 2024, international student ratings across focus areas were generally higher than before 2020. Conversely, domestic student ratings were either below or close to pre-2020 levels. The larger proportion of international students in the postgraduate coursework population explains the greater improvement in aggregated postgraduate results compared to undergraduate results. </w:t>
      </w:r>
    </w:p>
    <w:p w14:paraId="2C66545A" w14:textId="12FC4B1C" w:rsidR="00782313" w:rsidRPr="00E8656C" w:rsidRDefault="00782313" w:rsidP="00DB665D">
      <w:pPr>
        <w:pStyle w:val="Body"/>
        <w:rPr>
          <w:rFonts w:cs="Arial"/>
        </w:rPr>
      </w:pPr>
      <w:r w:rsidRPr="00E8656C">
        <w:rPr>
          <w:rFonts w:cs="Arial"/>
        </w:rPr>
        <w:t xml:space="preserve">It should be noted that </w:t>
      </w:r>
      <w:r w:rsidR="00BE68A6" w:rsidRPr="00E8656C">
        <w:rPr>
          <w:rFonts w:cs="Arial"/>
        </w:rPr>
        <w:t xml:space="preserve">the </w:t>
      </w:r>
      <w:r w:rsidR="00847598" w:rsidRPr="00E8656C">
        <w:rPr>
          <w:rFonts w:cs="Arial"/>
        </w:rPr>
        <w:t>proportion</w:t>
      </w:r>
      <w:r w:rsidR="00BE68A6" w:rsidRPr="00E8656C">
        <w:rPr>
          <w:rFonts w:cs="Arial"/>
        </w:rPr>
        <w:t xml:space="preserve"> of international to domestic student</w:t>
      </w:r>
      <w:r w:rsidR="00DA3D47" w:rsidRPr="00E8656C">
        <w:rPr>
          <w:rFonts w:cs="Arial"/>
        </w:rPr>
        <w:t xml:space="preserve"> responses</w:t>
      </w:r>
      <w:r w:rsidR="00BE68A6" w:rsidRPr="00E8656C">
        <w:rPr>
          <w:rFonts w:cs="Arial"/>
        </w:rPr>
        <w:t xml:space="preserve"> </w:t>
      </w:r>
      <w:r w:rsidR="00847598" w:rsidRPr="00E8656C">
        <w:rPr>
          <w:rFonts w:cs="Arial"/>
        </w:rPr>
        <w:t>has</w:t>
      </w:r>
      <w:r w:rsidR="00783E98" w:rsidRPr="00E8656C">
        <w:rPr>
          <w:rFonts w:cs="Arial"/>
        </w:rPr>
        <w:t xml:space="preserve"> changed over time</w:t>
      </w:r>
      <w:r w:rsidR="00DA3D47" w:rsidRPr="00E8656C">
        <w:rPr>
          <w:rFonts w:cs="Arial"/>
        </w:rPr>
        <w:t xml:space="preserve"> (</w:t>
      </w:r>
      <w:r w:rsidR="00EA0581" w:rsidRPr="00E8656C">
        <w:rPr>
          <w:rFonts w:cs="Arial"/>
          <w:b/>
          <w:bCs/>
        </w:rPr>
        <w:fldChar w:fldCharType="begin"/>
      </w:r>
      <w:r w:rsidR="00EA0581" w:rsidRPr="00E8656C">
        <w:rPr>
          <w:rFonts w:cs="Arial"/>
          <w:b/>
          <w:bCs/>
        </w:rPr>
        <w:instrText xml:space="preserve"> REF _Ref197075412 \h  \* MERGEFORMAT </w:instrText>
      </w:r>
      <w:r w:rsidR="00EA0581" w:rsidRPr="00E8656C">
        <w:rPr>
          <w:rFonts w:cs="Arial"/>
          <w:b/>
          <w:bCs/>
        </w:rPr>
      </w:r>
      <w:r w:rsidR="00EA0581" w:rsidRPr="00E8656C">
        <w:rPr>
          <w:rFonts w:cs="Arial"/>
          <w:b/>
          <w:bCs/>
        </w:rPr>
        <w:fldChar w:fldCharType="separate"/>
      </w:r>
      <w:r w:rsidR="00EA0581" w:rsidRPr="00E8656C">
        <w:rPr>
          <w:rFonts w:cs="Arial"/>
          <w:b/>
          <w:bCs/>
        </w:rPr>
        <w:t xml:space="preserve">Figure </w:t>
      </w:r>
      <w:r w:rsidR="00EA0581" w:rsidRPr="00E8656C">
        <w:rPr>
          <w:rFonts w:cs="Arial"/>
          <w:b/>
          <w:bCs/>
          <w:noProof/>
        </w:rPr>
        <w:t>4</w:t>
      </w:r>
      <w:r w:rsidR="00EA0581" w:rsidRPr="00E8656C">
        <w:rPr>
          <w:rFonts w:cs="Arial"/>
          <w:b/>
          <w:bCs/>
        </w:rPr>
        <w:fldChar w:fldCharType="end"/>
      </w:r>
      <w:r w:rsidR="00DA3D47" w:rsidRPr="00E8656C">
        <w:rPr>
          <w:rFonts w:cs="Arial"/>
        </w:rPr>
        <w:t>) in line with changes to the relative population</w:t>
      </w:r>
      <w:r w:rsidR="00222C59" w:rsidRPr="00E8656C">
        <w:rPr>
          <w:rFonts w:cs="Arial"/>
        </w:rPr>
        <w:t xml:space="preserve">. </w:t>
      </w:r>
      <w:r w:rsidR="00EA6047" w:rsidRPr="00E8656C">
        <w:rPr>
          <w:rFonts w:cs="Arial"/>
        </w:rPr>
        <w:t>Postgraduate</w:t>
      </w:r>
      <w:r w:rsidR="00C05B8E" w:rsidRPr="00E8656C">
        <w:rPr>
          <w:rFonts w:cs="Arial"/>
        </w:rPr>
        <w:t xml:space="preserve"> coursework</w:t>
      </w:r>
      <w:r w:rsidR="00847598" w:rsidRPr="00E8656C">
        <w:rPr>
          <w:rFonts w:cs="Arial"/>
        </w:rPr>
        <w:t xml:space="preserve"> international</w:t>
      </w:r>
      <w:r w:rsidR="00C05B8E" w:rsidRPr="00E8656C">
        <w:rPr>
          <w:rFonts w:cs="Arial"/>
        </w:rPr>
        <w:t xml:space="preserve"> </w:t>
      </w:r>
      <w:r w:rsidR="000E6442" w:rsidRPr="00E8656C">
        <w:rPr>
          <w:rFonts w:cs="Arial"/>
        </w:rPr>
        <w:t>responses</w:t>
      </w:r>
      <w:r w:rsidR="003169ED" w:rsidRPr="00E8656C">
        <w:rPr>
          <w:rFonts w:cs="Arial"/>
        </w:rPr>
        <w:t xml:space="preserve"> </w:t>
      </w:r>
      <w:r w:rsidR="00A546AE" w:rsidRPr="00E8656C">
        <w:rPr>
          <w:rFonts w:cs="Arial"/>
        </w:rPr>
        <w:t>increased</w:t>
      </w:r>
      <w:r w:rsidR="00BC141E" w:rsidRPr="00E8656C">
        <w:rPr>
          <w:rFonts w:cs="Arial"/>
        </w:rPr>
        <w:t xml:space="preserve"> markedly</w:t>
      </w:r>
      <w:r w:rsidR="00A546AE" w:rsidRPr="00E8656C">
        <w:rPr>
          <w:rFonts w:cs="Arial"/>
        </w:rPr>
        <w:t xml:space="preserve"> from a </w:t>
      </w:r>
      <w:r w:rsidR="00BB1389" w:rsidRPr="00E8656C">
        <w:rPr>
          <w:rFonts w:cs="Arial"/>
        </w:rPr>
        <w:t>six</w:t>
      </w:r>
      <w:r w:rsidR="00222C59" w:rsidRPr="00E8656C">
        <w:rPr>
          <w:rFonts w:cs="Arial"/>
        </w:rPr>
        <w:t>-</w:t>
      </w:r>
      <w:r w:rsidR="00BB1389" w:rsidRPr="00E8656C">
        <w:rPr>
          <w:rFonts w:cs="Arial"/>
        </w:rPr>
        <w:t>year low</w:t>
      </w:r>
      <w:r w:rsidR="000D75C5" w:rsidRPr="00E8656C">
        <w:rPr>
          <w:rFonts w:cs="Arial"/>
        </w:rPr>
        <w:t xml:space="preserve"> of </w:t>
      </w:r>
      <w:r w:rsidR="00D51C1E" w:rsidRPr="00E8656C">
        <w:rPr>
          <w:rFonts w:cs="Arial"/>
        </w:rPr>
        <w:t>35.7</w:t>
      </w:r>
      <w:r w:rsidR="00A077CB" w:rsidRPr="00E8656C">
        <w:rPr>
          <w:rFonts w:cs="Arial"/>
        </w:rPr>
        <w:t xml:space="preserve"> per cent</w:t>
      </w:r>
      <w:r w:rsidR="00BB1389" w:rsidRPr="00E8656C">
        <w:rPr>
          <w:rFonts w:cs="Arial"/>
        </w:rPr>
        <w:t xml:space="preserve"> in </w:t>
      </w:r>
      <w:r w:rsidR="00D51C1E" w:rsidRPr="00E8656C">
        <w:rPr>
          <w:rFonts w:cs="Arial"/>
        </w:rPr>
        <w:t>2022 to</w:t>
      </w:r>
      <w:r w:rsidR="00403ECD" w:rsidRPr="00E8656C">
        <w:rPr>
          <w:rFonts w:cs="Arial"/>
        </w:rPr>
        <w:t xml:space="preserve"> </w:t>
      </w:r>
      <w:r w:rsidR="00FC41A0" w:rsidRPr="00E8656C">
        <w:rPr>
          <w:rFonts w:cs="Arial"/>
        </w:rPr>
        <w:t>58.0</w:t>
      </w:r>
      <w:r w:rsidR="00A077CB" w:rsidRPr="00E8656C">
        <w:rPr>
          <w:rFonts w:cs="Arial"/>
        </w:rPr>
        <w:t xml:space="preserve"> per cent</w:t>
      </w:r>
      <w:r w:rsidR="00FC41A0" w:rsidRPr="00E8656C">
        <w:rPr>
          <w:rFonts w:cs="Arial"/>
        </w:rPr>
        <w:t xml:space="preserve"> in 2024</w:t>
      </w:r>
      <w:r w:rsidR="00222C59" w:rsidRPr="00E8656C">
        <w:rPr>
          <w:rFonts w:cs="Arial"/>
        </w:rPr>
        <w:t>, representing</w:t>
      </w:r>
      <w:r w:rsidR="007D5B82" w:rsidRPr="00E8656C">
        <w:rPr>
          <w:rFonts w:cs="Arial"/>
        </w:rPr>
        <w:t xml:space="preserve"> the highest proportion </w:t>
      </w:r>
      <w:r w:rsidR="005A062D" w:rsidRPr="00E8656C">
        <w:rPr>
          <w:rFonts w:cs="Arial"/>
        </w:rPr>
        <w:t>since</w:t>
      </w:r>
      <w:r w:rsidR="00222C59" w:rsidRPr="00E8656C">
        <w:rPr>
          <w:rFonts w:cs="Arial"/>
        </w:rPr>
        <w:t xml:space="preserve"> 2017</w:t>
      </w:r>
      <w:r w:rsidR="00685736" w:rsidRPr="00E8656C">
        <w:rPr>
          <w:rFonts w:cs="Arial"/>
        </w:rPr>
        <w:t xml:space="preserve"> and </w:t>
      </w:r>
      <w:r w:rsidR="00222C59" w:rsidRPr="00E8656C">
        <w:rPr>
          <w:rFonts w:cs="Arial"/>
        </w:rPr>
        <w:t>comprising</w:t>
      </w:r>
      <w:r w:rsidR="00685736" w:rsidRPr="00E8656C">
        <w:rPr>
          <w:rFonts w:cs="Arial"/>
        </w:rPr>
        <w:t xml:space="preserve"> </w:t>
      </w:r>
      <w:r w:rsidR="000D111F" w:rsidRPr="00E8656C">
        <w:rPr>
          <w:rFonts w:cs="Arial"/>
        </w:rPr>
        <w:t>57,823 students</w:t>
      </w:r>
      <w:r w:rsidR="00397D65" w:rsidRPr="00E8656C">
        <w:rPr>
          <w:rFonts w:cs="Arial"/>
        </w:rPr>
        <w:t>.</w:t>
      </w:r>
      <w:r w:rsidR="00927DC9" w:rsidRPr="00E8656C">
        <w:rPr>
          <w:rFonts w:cs="Arial"/>
        </w:rPr>
        <w:t xml:space="preserve"> </w:t>
      </w:r>
      <w:r w:rsidR="00971A91" w:rsidRPr="00E8656C">
        <w:rPr>
          <w:rFonts w:cs="Arial"/>
        </w:rPr>
        <w:t>The proport</w:t>
      </w:r>
      <w:r w:rsidR="00237B2E" w:rsidRPr="00E8656C">
        <w:rPr>
          <w:rFonts w:cs="Arial"/>
        </w:rPr>
        <w:t xml:space="preserve">ion of undergraduate international student responses is much lower and has remained relatively </w:t>
      </w:r>
      <w:r w:rsidR="00EF428F" w:rsidRPr="00E8656C">
        <w:rPr>
          <w:rFonts w:cs="Arial"/>
        </w:rPr>
        <w:t>stable</w:t>
      </w:r>
      <w:r w:rsidR="00222C59" w:rsidRPr="00E8656C">
        <w:rPr>
          <w:rFonts w:cs="Arial"/>
        </w:rPr>
        <w:t>, ranging from</w:t>
      </w:r>
      <w:r w:rsidR="00EF428F" w:rsidRPr="00E8656C">
        <w:rPr>
          <w:rFonts w:cs="Arial"/>
        </w:rPr>
        <w:t xml:space="preserve"> a low </w:t>
      </w:r>
      <w:r w:rsidR="00683B9B" w:rsidRPr="00E8656C">
        <w:rPr>
          <w:rFonts w:cs="Arial"/>
        </w:rPr>
        <w:t>o</w:t>
      </w:r>
      <w:r w:rsidR="00EF428F" w:rsidRPr="00E8656C">
        <w:rPr>
          <w:rFonts w:cs="Arial"/>
        </w:rPr>
        <w:t xml:space="preserve">f </w:t>
      </w:r>
      <w:r w:rsidR="000F32FC" w:rsidRPr="00E8656C">
        <w:rPr>
          <w:rFonts w:cs="Arial"/>
        </w:rPr>
        <w:t>15.2</w:t>
      </w:r>
      <w:r w:rsidR="00A077CB" w:rsidRPr="00E8656C">
        <w:rPr>
          <w:rFonts w:cs="Arial"/>
        </w:rPr>
        <w:t xml:space="preserve"> per cent</w:t>
      </w:r>
      <w:r w:rsidR="000F32FC" w:rsidRPr="00E8656C">
        <w:rPr>
          <w:rFonts w:cs="Arial"/>
        </w:rPr>
        <w:t xml:space="preserve"> in 2017 to a high of 20.1</w:t>
      </w:r>
      <w:r w:rsidR="00A077CB" w:rsidRPr="00E8656C">
        <w:rPr>
          <w:rFonts w:cs="Arial"/>
        </w:rPr>
        <w:t xml:space="preserve"> per cent</w:t>
      </w:r>
      <w:r w:rsidR="000F32FC" w:rsidRPr="00E8656C">
        <w:rPr>
          <w:rFonts w:cs="Arial"/>
        </w:rPr>
        <w:t xml:space="preserve"> in 2024</w:t>
      </w:r>
      <w:r w:rsidR="00222C59" w:rsidRPr="00E8656C">
        <w:rPr>
          <w:rFonts w:cs="Arial"/>
        </w:rPr>
        <w:t>,</w:t>
      </w:r>
      <w:r w:rsidR="00C474B2" w:rsidRPr="00E8656C">
        <w:rPr>
          <w:rFonts w:cs="Arial"/>
        </w:rPr>
        <w:t xml:space="preserve"> which represents 31,</w:t>
      </w:r>
      <w:r w:rsidR="00685736" w:rsidRPr="00E8656C">
        <w:rPr>
          <w:rFonts w:cs="Arial"/>
        </w:rPr>
        <w:t>845 international undergraduates</w:t>
      </w:r>
      <w:r w:rsidR="000F32FC" w:rsidRPr="00E8656C">
        <w:rPr>
          <w:rFonts w:cs="Arial"/>
        </w:rPr>
        <w:t>.</w:t>
      </w:r>
      <w:r w:rsidR="00397D65" w:rsidRPr="00E8656C">
        <w:rPr>
          <w:rFonts w:cs="Arial"/>
        </w:rPr>
        <w:t xml:space="preserve"> </w:t>
      </w:r>
    </w:p>
    <w:p w14:paraId="5D90CF38" w14:textId="77777777" w:rsidR="008044BF" w:rsidRPr="00E8656C" w:rsidRDefault="008044BF" w:rsidP="008044BF">
      <w:pPr>
        <w:pStyle w:val="Body"/>
        <w:rPr>
          <w:rFonts w:cs="Arial"/>
        </w:rPr>
      </w:pPr>
      <w:r w:rsidRPr="00E8656C">
        <w:rPr>
          <w:rFonts w:cs="Arial"/>
        </w:rPr>
        <w:t xml:space="preserve">The forthcoming 2024 SES International Report will explore the results of international students further. </w:t>
      </w:r>
    </w:p>
    <w:p w14:paraId="7C943A62" w14:textId="12883481" w:rsidR="00067401" w:rsidRPr="00E8656C" w:rsidRDefault="00067401">
      <w:pPr>
        <w:spacing w:after="160" w:line="259" w:lineRule="auto"/>
        <w:rPr>
          <w:rFonts w:eastAsia="Times New Roman" w:cs="Arial"/>
          <w:szCs w:val="20"/>
        </w:rPr>
      </w:pPr>
      <w:r w:rsidRPr="00E8656C">
        <w:rPr>
          <w:rFonts w:cs="Arial"/>
        </w:rPr>
        <w:br w:type="page"/>
      </w:r>
    </w:p>
    <w:p w14:paraId="704466A7" w14:textId="08200DD8" w:rsidR="00EA0581" w:rsidRPr="00E8656C" w:rsidRDefault="00EA0581" w:rsidP="00695177">
      <w:pPr>
        <w:pStyle w:val="Caption"/>
      </w:pPr>
      <w:bookmarkStart w:id="26" w:name="_Ref197075412"/>
      <w:bookmarkStart w:id="27" w:name="_Toc201065554"/>
      <w:bookmarkStart w:id="28" w:name="_Ref195569825"/>
      <w:r w:rsidRPr="00E8656C">
        <w:lastRenderedPageBreak/>
        <w:t xml:space="preserve">Figure </w:t>
      </w:r>
      <w:r w:rsidRPr="00E8656C">
        <w:fldChar w:fldCharType="begin"/>
      </w:r>
      <w:r w:rsidRPr="00E8656C">
        <w:instrText xml:space="preserve"> SEQ Figure \* ARABIC </w:instrText>
      </w:r>
      <w:r w:rsidRPr="00E8656C">
        <w:fldChar w:fldCharType="separate"/>
      </w:r>
      <w:r w:rsidRPr="00E8656C">
        <w:rPr>
          <w:noProof/>
        </w:rPr>
        <w:t>4</w:t>
      </w:r>
      <w:r w:rsidRPr="00E8656C">
        <w:rPr>
          <w:noProof/>
        </w:rPr>
        <w:fldChar w:fldCharType="end"/>
      </w:r>
      <w:bookmarkEnd w:id="26"/>
      <w:r w:rsidR="004D7A82" w:rsidRPr="00E8656C">
        <w:tab/>
      </w:r>
      <w:r w:rsidRPr="00E8656C">
        <w:t>Proportion of responses to the SES from international students by course level, 2017–24 SES</w:t>
      </w:r>
      <w:bookmarkEnd w:id="27"/>
    </w:p>
    <w:bookmarkEnd w:id="28"/>
    <w:p w14:paraId="64C0B7FD" w14:textId="3D91FFE1" w:rsidR="00933424" w:rsidRPr="00E8656C" w:rsidRDefault="00933424" w:rsidP="00933424">
      <w:pPr>
        <w:pStyle w:val="Body"/>
        <w:rPr>
          <w:rFonts w:cs="Arial"/>
          <w:sz w:val="18"/>
          <w:szCs w:val="18"/>
        </w:rPr>
      </w:pPr>
      <w:r w:rsidRPr="00E8656C">
        <w:rPr>
          <w:rFonts w:cs="Arial"/>
          <w:sz w:val="18"/>
          <w:szCs w:val="18"/>
          <w:lang w:eastAsia="en-AU"/>
        </w:rPr>
        <w:t xml:space="preserve">(Source: </w:t>
      </w:r>
      <w:r w:rsidR="009C1D02" w:rsidRPr="00E8656C">
        <w:rPr>
          <w:rFonts w:cs="Arial"/>
          <w:sz w:val="18"/>
          <w:szCs w:val="18"/>
          <w:lang w:eastAsia="en-AU"/>
        </w:rPr>
        <w:t>CHAR_UG_ALL_1Y_SG</w:t>
      </w:r>
      <w:r w:rsidR="009C1D02" w:rsidRPr="00E8656C">
        <w:rPr>
          <w:rFonts w:cs="Arial"/>
          <w:sz w:val="18"/>
          <w:szCs w:val="18"/>
          <w:lang w:eastAsia="en-AU"/>
        </w:rPr>
        <w:tab/>
        <w:t>CHAR_PGC_ALL_1Y_SG</w:t>
      </w:r>
      <w:r w:rsidRPr="00E8656C">
        <w:rPr>
          <w:rFonts w:cs="Arial"/>
          <w:sz w:val="18"/>
          <w:szCs w:val="18"/>
          <w:lang w:eastAsia="en-AU"/>
        </w:rPr>
        <w:t>)</w:t>
      </w:r>
    </w:p>
    <w:p w14:paraId="5F72C937" w14:textId="472BDA3A" w:rsidR="003124A2" w:rsidRPr="00E8656C" w:rsidRDefault="0039044C" w:rsidP="00CE3DC4">
      <w:pPr>
        <w:pStyle w:val="Body"/>
        <w:rPr>
          <w:rFonts w:cs="Arial"/>
        </w:rPr>
      </w:pPr>
      <w:r w:rsidRPr="00E8656C">
        <w:rPr>
          <w:rFonts w:cs="Arial"/>
          <w:noProof/>
        </w:rPr>
        <w:drawing>
          <wp:inline distT="0" distB="0" distL="0" distR="0" wp14:anchorId="785FBC3B" wp14:editId="15E829F6">
            <wp:extent cx="6642100" cy="2685415"/>
            <wp:effectExtent l="0" t="0" r="6350" b="635"/>
            <wp:docPr id="1402936350" name="Chart 1">
              <a:extLst xmlns:a="http://schemas.openxmlformats.org/drawingml/2006/main">
                <a:ext uri="{FF2B5EF4-FFF2-40B4-BE49-F238E27FC236}">
                  <a16:creationId xmlns:a16="http://schemas.microsoft.com/office/drawing/2014/main" id="{2C83B5CF-71F1-E90D-712E-640C282945E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850090C" w14:textId="509A47BB" w:rsidR="005A5905" w:rsidRPr="00E8656C" w:rsidRDefault="00724412" w:rsidP="00AA7E2D">
      <w:pPr>
        <w:pStyle w:val="Heading2"/>
        <w:rPr>
          <w:color w:val="auto"/>
        </w:rPr>
      </w:pPr>
      <w:bookmarkStart w:id="29" w:name="_Toc207802600"/>
      <w:bookmarkEnd w:id="21"/>
      <w:bookmarkEnd w:id="22"/>
      <w:bookmarkEnd w:id="23"/>
      <w:r w:rsidRPr="00E8656C">
        <w:rPr>
          <w:color w:val="auto"/>
        </w:rPr>
        <w:t>Results by d</w:t>
      </w:r>
      <w:r w:rsidR="005A5905" w:rsidRPr="00E8656C">
        <w:rPr>
          <w:color w:val="auto"/>
        </w:rPr>
        <w:t>emographic</w:t>
      </w:r>
      <w:r w:rsidR="001D6F7B" w:rsidRPr="00E8656C">
        <w:rPr>
          <w:color w:val="auto"/>
        </w:rPr>
        <w:t xml:space="preserve"> and equity</w:t>
      </w:r>
      <w:r w:rsidR="005A5905" w:rsidRPr="00E8656C">
        <w:rPr>
          <w:color w:val="auto"/>
        </w:rPr>
        <w:t xml:space="preserve"> groups</w:t>
      </w:r>
      <w:bookmarkEnd w:id="29"/>
    </w:p>
    <w:p w14:paraId="3B3BE00F" w14:textId="6AFF0CEF" w:rsidR="00FF6E93" w:rsidRPr="00E8656C" w:rsidRDefault="00965D92" w:rsidP="002B1FC1">
      <w:pPr>
        <w:pStyle w:val="Body"/>
        <w:rPr>
          <w:rFonts w:cs="Arial"/>
        </w:rPr>
      </w:pPr>
      <w:r w:rsidRPr="00E8656C">
        <w:rPr>
          <w:rFonts w:cs="Arial"/>
        </w:rPr>
        <w:t xml:space="preserve">Student ratings of their educational experience vary across different demographic </w:t>
      </w:r>
      <w:r w:rsidR="00164D35" w:rsidRPr="00E8656C">
        <w:rPr>
          <w:rFonts w:cs="Arial"/>
        </w:rPr>
        <w:t>sub-</w:t>
      </w:r>
      <w:r w:rsidRPr="00E8656C">
        <w:rPr>
          <w:rFonts w:cs="Arial"/>
        </w:rPr>
        <w:t>groups.</w:t>
      </w:r>
      <w:r w:rsidR="00507924" w:rsidRPr="00E8656C">
        <w:rPr>
          <w:rFonts w:cs="Arial"/>
        </w:rPr>
        <w:t xml:space="preserve"> This section examine</w:t>
      </w:r>
      <w:r w:rsidR="00065B21" w:rsidRPr="00E8656C">
        <w:rPr>
          <w:rFonts w:cs="Arial"/>
        </w:rPr>
        <w:t>s</w:t>
      </w:r>
      <w:r w:rsidR="00507924" w:rsidRPr="00E8656C">
        <w:rPr>
          <w:rFonts w:cs="Arial"/>
        </w:rPr>
        <w:t xml:space="preserve"> the </w:t>
      </w:r>
      <w:r w:rsidR="00832E78" w:rsidRPr="00E8656C">
        <w:rPr>
          <w:rFonts w:cs="Arial"/>
        </w:rPr>
        <w:t>high-level</w:t>
      </w:r>
      <w:r w:rsidR="00507924" w:rsidRPr="00E8656C">
        <w:rPr>
          <w:rFonts w:cs="Arial"/>
        </w:rPr>
        <w:t xml:space="preserve"> results </w:t>
      </w:r>
      <w:r w:rsidR="004B62D7" w:rsidRPr="00E8656C">
        <w:rPr>
          <w:rFonts w:cs="Arial"/>
        </w:rPr>
        <w:t>for each group</w:t>
      </w:r>
      <w:r w:rsidR="00ED76DB" w:rsidRPr="00E8656C">
        <w:rPr>
          <w:rFonts w:cs="Arial"/>
        </w:rPr>
        <w:t xml:space="preserve">. </w:t>
      </w:r>
    </w:p>
    <w:p w14:paraId="669DDF9B" w14:textId="0EF1EA73" w:rsidR="008E272B" w:rsidRPr="00E8656C" w:rsidRDefault="008E272B" w:rsidP="008E272B">
      <w:pPr>
        <w:pStyle w:val="FigureNote"/>
        <w:jc w:val="left"/>
        <w:rPr>
          <w:rFonts w:eastAsia="Times New Roman" w:cs="Arial"/>
          <w:sz w:val="20"/>
          <w:szCs w:val="20"/>
          <w:lang w:val="en-AU"/>
        </w:rPr>
      </w:pPr>
      <w:r w:rsidRPr="00E8656C">
        <w:rPr>
          <w:rFonts w:eastAsia="Times New Roman" w:cs="Arial"/>
          <w:sz w:val="20"/>
          <w:szCs w:val="20"/>
          <w:lang w:val="en-AU"/>
        </w:rPr>
        <w:t xml:space="preserve">Note that First Nations, socio-economic, and locality data reflect comparison values for domestic students only, excluding international students. The remaining </w:t>
      </w:r>
      <w:r w:rsidR="005F4C17" w:rsidRPr="00E8656C">
        <w:rPr>
          <w:rFonts w:eastAsia="Times New Roman" w:cs="Arial"/>
          <w:sz w:val="20"/>
          <w:szCs w:val="20"/>
          <w:lang w:val="en-AU"/>
        </w:rPr>
        <w:t>demographic and equity</w:t>
      </w:r>
      <w:r w:rsidRPr="00E8656C">
        <w:rPr>
          <w:rFonts w:eastAsia="Times New Roman" w:cs="Arial"/>
          <w:sz w:val="20"/>
          <w:szCs w:val="20"/>
          <w:lang w:val="en-AU"/>
        </w:rPr>
        <w:t xml:space="preserve"> groups include all students, both domestic and international.</w:t>
      </w:r>
    </w:p>
    <w:p w14:paraId="30EBEC67" w14:textId="5C7B4036" w:rsidR="00FE03D0" w:rsidRPr="00E8656C" w:rsidRDefault="00FE03D0" w:rsidP="001F0224">
      <w:pPr>
        <w:pStyle w:val="Heading4"/>
        <w:rPr>
          <w:rFonts w:cs="Arial"/>
          <w:color w:val="auto"/>
        </w:rPr>
      </w:pPr>
      <w:r w:rsidRPr="00E8656C">
        <w:rPr>
          <w:rFonts w:cs="Arial"/>
          <w:color w:val="auto"/>
        </w:rPr>
        <w:t>Age</w:t>
      </w:r>
    </w:p>
    <w:p w14:paraId="5C6687DC" w14:textId="1AA542BB" w:rsidR="00AD7CE8" w:rsidRPr="00E8656C" w:rsidRDefault="00E95519" w:rsidP="65A3E729">
      <w:pPr>
        <w:pStyle w:val="Body"/>
        <w:rPr>
          <w:rFonts w:cs="Arial"/>
        </w:rPr>
      </w:pPr>
      <w:r w:rsidRPr="00E8656C">
        <w:rPr>
          <w:rFonts w:cs="Arial"/>
        </w:rPr>
        <w:t>In 2024,</w:t>
      </w:r>
      <w:r w:rsidR="008869B7" w:rsidRPr="00E8656C">
        <w:rPr>
          <w:rFonts w:cs="Arial"/>
        </w:rPr>
        <w:t xml:space="preserve"> regardless of study mode</w:t>
      </w:r>
      <w:r w:rsidR="009A69CD" w:rsidRPr="00E8656C">
        <w:rPr>
          <w:rFonts w:cs="Arial"/>
        </w:rPr>
        <w:t>,</w:t>
      </w:r>
      <w:r w:rsidRPr="00E8656C">
        <w:rPr>
          <w:rFonts w:cs="Arial"/>
        </w:rPr>
        <w:t xml:space="preserve"> students aged 30 years and over </w:t>
      </w:r>
      <w:r w:rsidR="00B70979" w:rsidRPr="00E8656C">
        <w:rPr>
          <w:rFonts w:cs="Arial"/>
        </w:rPr>
        <w:t xml:space="preserve">continued to </w:t>
      </w:r>
      <w:r w:rsidRPr="00E8656C">
        <w:rPr>
          <w:rFonts w:cs="Arial"/>
        </w:rPr>
        <w:t xml:space="preserve">rate their Overall Educational Experience more highly than those aged </w:t>
      </w:r>
      <w:r w:rsidR="00BC1E83" w:rsidRPr="00E8656C">
        <w:rPr>
          <w:rFonts w:cs="Arial"/>
        </w:rPr>
        <w:t>29 years and under</w:t>
      </w:r>
      <w:r w:rsidRPr="00E8656C">
        <w:rPr>
          <w:rFonts w:cs="Arial"/>
        </w:rPr>
        <w:t xml:space="preserve"> at both undergraduate and postgraduate coursework levels</w:t>
      </w:r>
      <w:r w:rsidR="005568B6" w:rsidRPr="00E8656C">
        <w:rPr>
          <w:rFonts w:cs="Arial"/>
        </w:rPr>
        <w:t xml:space="preserve"> (</w:t>
      </w:r>
      <w:r w:rsidR="00EA0581" w:rsidRPr="00E8656C">
        <w:rPr>
          <w:rFonts w:cs="Arial"/>
          <w:b/>
          <w:bCs/>
        </w:rPr>
        <w:fldChar w:fldCharType="begin"/>
      </w:r>
      <w:r w:rsidR="00EA0581" w:rsidRPr="00E8656C">
        <w:rPr>
          <w:rFonts w:cs="Arial"/>
          <w:b/>
          <w:bCs/>
        </w:rPr>
        <w:instrText xml:space="preserve"> REF _Ref197073191 \h  \* MERGEFORMAT </w:instrText>
      </w:r>
      <w:r w:rsidR="00EA0581" w:rsidRPr="00E8656C">
        <w:rPr>
          <w:rFonts w:cs="Arial"/>
          <w:b/>
          <w:bCs/>
        </w:rPr>
      </w:r>
      <w:r w:rsidR="00EA0581" w:rsidRPr="00E8656C">
        <w:rPr>
          <w:rFonts w:cs="Arial"/>
          <w:b/>
          <w:bCs/>
        </w:rPr>
        <w:fldChar w:fldCharType="separate"/>
      </w:r>
      <w:r w:rsidR="00EA0581" w:rsidRPr="00E8656C">
        <w:rPr>
          <w:rFonts w:cs="Arial"/>
          <w:b/>
          <w:bCs/>
        </w:rPr>
        <w:t xml:space="preserve">Figure </w:t>
      </w:r>
      <w:r w:rsidR="00EA0581" w:rsidRPr="00E8656C">
        <w:rPr>
          <w:rFonts w:cs="Arial"/>
          <w:b/>
          <w:bCs/>
          <w:noProof/>
        </w:rPr>
        <w:t>5</w:t>
      </w:r>
      <w:r w:rsidR="00EA0581" w:rsidRPr="00E8656C">
        <w:rPr>
          <w:rFonts w:cs="Arial"/>
          <w:b/>
          <w:bCs/>
        </w:rPr>
        <w:fldChar w:fldCharType="end"/>
      </w:r>
      <w:r w:rsidR="005568B6" w:rsidRPr="00E8656C">
        <w:rPr>
          <w:rFonts w:cs="Arial"/>
        </w:rPr>
        <w:t>).</w:t>
      </w:r>
      <w:r w:rsidR="00B70979" w:rsidRPr="00E8656C">
        <w:rPr>
          <w:rFonts w:cs="Arial"/>
        </w:rPr>
        <w:t xml:space="preserve"> </w:t>
      </w:r>
      <w:r w:rsidR="00F52FE5" w:rsidRPr="00E8656C">
        <w:rPr>
          <w:rFonts w:cs="Arial"/>
        </w:rPr>
        <w:t xml:space="preserve">This trend has been consistent for undergraduates since </w:t>
      </w:r>
      <w:r w:rsidR="00091B4D" w:rsidRPr="00E8656C">
        <w:rPr>
          <w:rFonts w:cs="Arial"/>
        </w:rPr>
        <w:t xml:space="preserve">2020 </w:t>
      </w:r>
      <w:r w:rsidR="00F52FE5" w:rsidRPr="00E8656C">
        <w:rPr>
          <w:rFonts w:cs="Arial"/>
        </w:rPr>
        <w:t>and for postgraduate coursework students since 2017.</w:t>
      </w:r>
      <w:r w:rsidR="0021787A" w:rsidRPr="00E8656C">
        <w:rPr>
          <w:rFonts w:cs="Arial"/>
        </w:rPr>
        <w:t xml:space="preserve"> </w:t>
      </w:r>
    </w:p>
    <w:p w14:paraId="54CD8935" w14:textId="747E3A14" w:rsidR="000723D2" w:rsidRPr="00E8656C" w:rsidRDefault="35926EEF" w:rsidP="65A3E729">
      <w:pPr>
        <w:pStyle w:val="Body"/>
        <w:rPr>
          <w:rFonts w:cs="Arial"/>
        </w:rPr>
      </w:pPr>
      <w:r w:rsidRPr="00E8656C">
        <w:rPr>
          <w:rFonts w:cs="Arial"/>
        </w:rPr>
        <w:t xml:space="preserve">Changes in teaching and learning arrangements </w:t>
      </w:r>
      <w:r w:rsidR="2D0AAE34" w:rsidRPr="00E8656C">
        <w:rPr>
          <w:rFonts w:cs="Arial"/>
        </w:rPr>
        <w:t>impact</w:t>
      </w:r>
      <w:r w:rsidRPr="00E8656C">
        <w:rPr>
          <w:rFonts w:cs="Arial"/>
        </w:rPr>
        <w:t xml:space="preserve"> some student groups more than others. For instance, the ratings for Overall Educational Experience </w:t>
      </w:r>
      <w:r w:rsidR="4E0B6891" w:rsidRPr="00E8656C">
        <w:rPr>
          <w:rFonts w:cs="Arial"/>
        </w:rPr>
        <w:t>fell</w:t>
      </w:r>
      <w:r w:rsidRPr="00E8656C">
        <w:rPr>
          <w:rFonts w:cs="Arial"/>
        </w:rPr>
        <w:t xml:space="preserve"> more notably for students </w:t>
      </w:r>
      <w:r w:rsidR="00BC1E83" w:rsidRPr="00E8656C">
        <w:rPr>
          <w:rFonts w:cs="Arial"/>
        </w:rPr>
        <w:t>aged 29 years and under</w:t>
      </w:r>
      <w:r w:rsidRPr="00E8656C">
        <w:rPr>
          <w:rFonts w:cs="Arial"/>
        </w:rPr>
        <w:t xml:space="preserve"> compared to their older peers in 2020</w:t>
      </w:r>
      <w:r w:rsidR="004B43E2" w:rsidRPr="00E8656C">
        <w:rPr>
          <w:rFonts w:cs="Arial"/>
        </w:rPr>
        <w:t xml:space="preserve"> (</w:t>
      </w:r>
      <w:r w:rsidR="00EA0581" w:rsidRPr="00E8656C">
        <w:rPr>
          <w:rFonts w:cs="Arial"/>
          <w:b/>
          <w:bCs/>
        </w:rPr>
        <w:fldChar w:fldCharType="begin"/>
      </w:r>
      <w:r w:rsidR="00EA0581" w:rsidRPr="00E8656C">
        <w:rPr>
          <w:rFonts w:cs="Arial"/>
          <w:b/>
          <w:bCs/>
        </w:rPr>
        <w:instrText xml:space="preserve"> REF _Ref197073191 \h  \* MERGEFORMAT </w:instrText>
      </w:r>
      <w:r w:rsidR="00EA0581" w:rsidRPr="00E8656C">
        <w:rPr>
          <w:rFonts w:cs="Arial"/>
          <w:b/>
          <w:bCs/>
        </w:rPr>
      </w:r>
      <w:r w:rsidR="00EA0581" w:rsidRPr="00E8656C">
        <w:rPr>
          <w:rFonts w:cs="Arial"/>
          <w:b/>
          <w:bCs/>
        </w:rPr>
        <w:fldChar w:fldCharType="separate"/>
      </w:r>
      <w:r w:rsidR="00EA0581" w:rsidRPr="00E8656C">
        <w:rPr>
          <w:rFonts w:cs="Arial"/>
          <w:b/>
          <w:bCs/>
        </w:rPr>
        <w:t xml:space="preserve">Figure </w:t>
      </w:r>
      <w:r w:rsidR="00EA0581" w:rsidRPr="00E8656C">
        <w:rPr>
          <w:rFonts w:cs="Arial"/>
          <w:b/>
          <w:bCs/>
          <w:noProof/>
        </w:rPr>
        <w:t>5</w:t>
      </w:r>
      <w:r w:rsidR="00EA0581" w:rsidRPr="00E8656C">
        <w:rPr>
          <w:rFonts w:cs="Arial"/>
          <w:b/>
          <w:bCs/>
        </w:rPr>
        <w:fldChar w:fldCharType="end"/>
      </w:r>
      <w:r w:rsidR="004B43E2" w:rsidRPr="00E8656C">
        <w:rPr>
          <w:rFonts w:cs="Arial"/>
        </w:rPr>
        <w:t>)</w:t>
      </w:r>
      <w:r w:rsidRPr="00E8656C">
        <w:rPr>
          <w:rFonts w:cs="Arial"/>
        </w:rPr>
        <w:t xml:space="preserve">. </w:t>
      </w:r>
    </w:p>
    <w:p w14:paraId="4E113435" w14:textId="77777777" w:rsidR="003234DD" w:rsidRPr="00E8656C" w:rsidRDefault="003234DD" w:rsidP="00695177">
      <w:pPr>
        <w:pStyle w:val="Caption"/>
      </w:pPr>
      <w:bookmarkStart w:id="30" w:name="_Ref126698163"/>
      <w:bookmarkStart w:id="31" w:name="_Ref126240691"/>
      <w:r w:rsidRPr="00E8656C">
        <w:br w:type="page"/>
      </w:r>
    </w:p>
    <w:p w14:paraId="6279353C" w14:textId="1CCA909F" w:rsidR="005A5905" w:rsidRPr="00E8656C" w:rsidRDefault="005A5905" w:rsidP="00695177">
      <w:pPr>
        <w:pStyle w:val="Caption"/>
      </w:pPr>
      <w:bookmarkStart w:id="32" w:name="_Ref197073191"/>
      <w:bookmarkStart w:id="33" w:name="_Toc201065555"/>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5</w:t>
      </w:r>
      <w:r w:rsidR="00EA0581" w:rsidRPr="00E8656C">
        <w:rPr>
          <w:noProof/>
        </w:rPr>
        <w:fldChar w:fldCharType="end"/>
      </w:r>
      <w:bookmarkEnd w:id="30"/>
      <w:bookmarkEnd w:id="31"/>
      <w:bookmarkEnd w:id="32"/>
      <w:r w:rsidRPr="00E8656C">
        <w:t xml:space="preserve"> </w:t>
      </w:r>
      <w:bookmarkStart w:id="34" w:name="_Hlk195622776"/>
      <w:r w:rsidR="004D7A82" w:rsidRPr="00E8656C">
        <w:tab/>
      </w:r>
      <w:r w:rsidR="0099096C" w:rsidRPr="00E8656C">
        <w:t>Overall Educational Experience</w:t>
      </w:r>
      <w:r w:rsidRPr="00E8656C">
        <w:t xml:space="preserve"> by </w:t>
      </w:r>
      <w:r w:rsidR="008B4AAB" w:rsidRPr="00E8656C">
        <w:t xml:space="preserve">course level and </w:t>
      </w:r>
      <w:r w:rsidRPr="00E8656C">
        <w:t>age, 2017</w:t>
      </w:r>
      <w:r w:rsidR="0059773B" w:rsidRPr="00E8656C">
        <w:t>–</w:t>
      </w:r>
      <w:r w:rsidR="00BA2C02" w:rsidRPr="00E8656C">
        <w:t>24</w:t>
      </w:r>
      <w:r w:rsidRPr="00E8656C">
        <w:t xml:space="preserve"> (% positive rating)</w:t>
      </w:r>
      <w:bookmarkEnd w:id="34"/>
      <w:bookmarkEnd w:id="33"/>
    </w:p>
    <w:p w14:paraId="0CBE90F0" w14:textId="6E9B5371" w:rsidR="00B566E4" w:rsidRPr="00E8656C" w:rsidRDefault="00B566E4" w:rsidP="0069684A">
      <w:pPr>
        <w:pStyle w:val="Body"/>
        <w:rPr>
          <w:rFonts w:cs="Arial"/>
          <w:sz w:val="18"/>
          <w:szCs w:val="18"/>
          <w:lang w:eastAsia="en-AU"/>
        </w:rPr>
      </w:pPr>
      <w:r w:rsidRPr="00E8656C">
        <w:rPr>
          <w:rFonts w:cs="Arial"/>
          <w:sz w:val="18"/>
          <w:szCs w:val="18"/>
          <w:lang w:eastAsia="en-AU"/>
        </w:rPr>
        <w:t xml:space="preserve">(Source: </w:t>
      </w:r>
      <w:r w:rsidR="00B65D1B" w:rsidRPr="00E8656C">
        <w:rPr>
          <w:rFonts w:cs="Arial"/>
          <w:sz w:val="18"/>
          <w:szCs w:val="18"/>
          <w:lang w:eastAsia="en-AU"/>
        </w:rPr>
        <w:t>FOCUS_UG_ALL_17-YY_SG</w:t>
      </w:r>
      <w:r w:rsidR="00253F4A" w:rsidRPr="00E8656C">
        <w:rPr>
          <w:rFonts w:cs="Arial"/>
          <w:sz w:val="18"/>
          <w:szCs w:val="18"/>
          <w:lang w:eastAsia="en-AU"/>
        </w:rPr>
        <w:t xml:space="preserve">, </w:t>
      </w:r>
      <w:r w:rsidR="00B65D1B" w:rsidRPr="00E8656C">
        <w:rPr>
          <w:rFonts w:cs="Arial"/>
          <w:sz w:val="18"/>
          <w:szCs w:val="18"/>
          <w:lang w:eastAsia="en-AU"/>
        </w:rPr>
        <w:t>FOCUS_PGC_ALL_17-YY_SG</w:t>
      </w:r>
      <w:r w:rsidRPr="00E8656C">
        <w:rPr>
          <w:rFonts w:cs="Arial"/>
          <w:sz w:val="18"/>
          <w:szCs w:val="18"/>
          <w:lang w:eastAsia="en-AU"/>
        </w:rPr>
        <w:t>)</w:t>
      </w:r>
    </w:p>
    <w:p w14:paraId="1DC45C40" w14:textId="028C6097" w:rsidR="0092099B" w:rsidRPr="00E8656C" w:rsidRDefault="004A1901" w:rsidP="0069684A">
      <w:pPr>
        <w:pStyle w:val="Body"/>
        <w:rPr>
          <w:rFonts w:cs="Arial"/>
        </w:rPr>
      </w:pPr>
      <w:r w:rsidRPr="00E8656C">
        <w:rPr>
          <w:rFonts w:cs="Arial"/>
          <w:noProof/>
        </w:rPr>
        <w:t xml:space="preserve"> </w:t>
      </w:r>
      <w:r w:rsidR="00F36E39" w:rsidRPr="00E8656C">
        <w:rPr>
          <w:rFonts w:cs="Arial"/>
          <w:noProof/>
        </w:rPr>
        <w:drawing>
          <wp:inline distT="0" distB="0" distL="0" distR="0" wp14:anchorId="5E6243FD" wp14:editId="221AEF5E">
            <wp:extent cx="5925600" cy="3555933"/>
            <wp:effectExtent l="0" t="0" r="0" b="6985"/>
            <wp:docPr id="1299433024" name="Chart 1">
              <a:extLst xmlns:a="http://schemas.openxmlformats.org/drawingml/2006/main">
                <a:ext uri="{FF2B5EF4-FFF2-40B4-BE49-F238E27FC236}">
                  <a16:creationId xmlns:a16="http://schemas.microsoft.com/office/drawing/2014/main" id="{0711A72C-BB7B-4776-AFF9-464366DD795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DDDC5F7" w14:textId="484B0B56" w:rsidR="00E967C2" w:rsidRPr="00E8656C" w:rsidRDefault="00D85912" w:rsidP="0069684A">
      <w:pPr>
        <w:pStyle w:val="Body"/>
        <w:rPr>
          <w:rFonts w:cs="Arial"/>
          <w:sz w:val="18"/>
          <w:szCs w:val="18"/>
        </w:rPr>
      </w:pPr>
      <w:r w:rsidRPr="00E8656C">
        <w:rPr>
          <w:rFonts w:cs="Arial"/>
          <w:noProof/>
        </w:rPr>
        <w:drawing>
          <wp:inline distT="0" distB="0" distL="0" distR="0" wp14:anchorId="3192A62F" wp14:editId="7E5DA730">
            <wp:extent cx="5917917" cy="3574838"/>
            <wp:effectExtent l="0" t="0" r="6985" b="6985"/>
            <wp:docPr id="1909416357" name="Chart 1">
              <a:extLst xmlns:a="http://schemas.openxmlformats.org/drawingml/2006/main">
                <a:ext uri="{FF2B5EF4-FFF2-40B4-BE49-F238E27FC236}">
                  <a16:creationId xmlns:a16="http://schemas.microsoft.com/office/drawing/2014/main" id="{5C308EE0-7164-4DD1-BF67-D7E9471E826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1FEBCE9" w14:textId="77777777" w:rsidR="00E967C2" w:rsidRPr="00E8656C" w:rsidRDefault="00E967C2">
      <w:pPr>
        <w:spacing w:after="160" w:line="259" w:lineRule="auto"/>
        <w:rPr>
          <w:rFonts w:eastAsia="Times New Roman" w:cs="Arial"/>
          <w:sz w:val="18"/>
        </w:rPr>
      </w:pPr>
      <w:r w:rsidRPr="00E8656C">
        <w:rPr>
          <w:rFonts w:cs="Arial"/>
          <w:sz w:val="18"/>
        </w:rPr>
        <w:br w:type="page"/>
      </w:r>
    </w:p>
    <w:p w14:paraId="7D8E5F04" w14:textId="0DA57F12" w:rsidR="00330268" w:rsidRPr="00E8656C" w:rsidRDefault="00330268" w:rsidP="001F0224">
      <w:pPr>
        <w:pStyle w:val="Heading4"/>
        <w:rPr>
          <w:rFonts w:cs="Arial"/>
          <w:color w:val="auto"/>
        </w:rPr>
      </w:pPr>
      <w:bookmarkStart w:id="35" w:name="_Study_mode"/>
      <w:bookmarkEnd w:id="35"/>
      <w:r w:rsidRPr="00E8656C">
        <w:rPr>
          <w:rFonts w:cs="Arial"/>
          <w:color w:val="auto"/>
        </w:rPr>
        <w:lastRenderedPageBreak/>
        <w:t>S</w:t>
      </w:r>
      <w:bookmarkStart w:id="36" w:name="_Ref195530020"/>
      <w:r w:rsidRPr="00E8656C">
        <w:rPr>
          <w:rFonts w:cs="Arial"/>
          <w:color w:val="auto"/>
        </w:rPr>
        <w:t>tudy mode</w:t>
      </w:r>
      <w:bookmarkEnd w:id="36"/>
    </w:p>
    <w:p w14:paraId="28EC8835" w14:textId="5334C355" w:rsidR="00C93C1C" w:rsidRPr="00E8656C" w:rsidRDefault="00612CB2" w:rsidP="00A06CB3">
      <w:pPr>
        <w:pStyle w:val="Body"/>
        <w:rPr>
          <w:rFonts w:cs="Arial"/>
        </w:rPr>
      </w:pPr>
      <w:r w:rsidRPr="00E8656C">
        <w:rPr>
          <w:rFonts w:cs="Arial"/>
        </w:rPr>
        <w:t>A student’s mode of study</w:t>
      </w:r>
      <w:r w:rsidR="000C5C43" w:rsidRPr="00E8656C">
        <w:rPr>
          <w:rStyle w:val="FootnoteReference"/>
          <w:rFonts w:cs="Arial"/>
        </w:rPr>
        <w:footnoteReference w:id="3"/>
      </w:r>
      <w:r w:rsidRPr="00E8656C">
        <w:rPr>
          <w:rFonts w:cs="Arial"/>
        </w:rPr>
        <w:t xml:space="preserve"> impacts their ratings for </w:t>
      </w:r>
      <w:r w:rsidR="00492594" w:rsidRPr="00E8656C">
        <w:rPr>
          <w:rFonts w:cs="Arial"/>
        </w:rPr>
        <w:t xml:space="preserve">the </w:t>
      </w:r>
      <w:r w:rsidR="002A38BF" w:rsidRPr="00E8656C">
        <w:rPr>
          <w:rFonts w:cs="Arial"/>
        </w:rPr>
        <w:t xml:space="preserve">different </w:t>
      </w:r>
      <w:r w:rsidR="00DB47D3" w:rsidRPr="00E8656C">
        <w:rPr>
          <w:rFonts w:cs="Arial"/>
        </w:rPr>
        <w:t>focus area</w:t>
      </w:r>
      <w:r w:rsidR="00492594" w:rsidRPr="00E8656C">
        <w:rPr>
          <w:rFonts w:cs="Arial"/>
        </w:rPr>
        <w:t>s.</w:t>
      </w:r>
      <w:r w:rsidR="00BC1E83" w:rsidRPr="00E8656C">
        <w:rPr>
          <w:rFonts w:cs="Arial"/>
        </w:rPr>
        <w:t xml:space="preserve"> At both undergraduate and postgraduate coursework levels e</w:t>
      </w:r>
      <w:r w:rsidR="000345CC" w:rsidRPr="00E8656C">
        <w:rPr>
          <w:rFonts w:cs="Arial"/>
        </w:rPr>
        <w:t>xternal</w:t>
      </w:r>
      <w:r w:rsidR="00996AD4" w:rsidRPr="00E8656C">
        <w:rPr>
          <w:rFonts w:cs="Arial"/>
        </w:rPr>
        <w:t xml:space="preserve"> </w:t>
      </w:r>
      <w:r w:rsidR="007471FE" w:rsidRPr="00E8656C">
        <w:rPr>
          <w:rFonts w:cs="Arial"/>
        </w:rPr>
        <w:t xml:space="preserve">students </w:t>
      </w:r>
      <w:r w:rsidR="00996AD4" w:rsidRPr="00E8656C">
        <w:rPr>
          <w:rFonts w:cs="Arial"/>
        </w:rPr>
        <w:t>(</w:t>
      </w:r>
      <w:r w:rsidR="007471FE" w:rsidRPr="00E8656C">
        <w:rPr>
          <w:rFonts w:cs="Arial"/>
        </w:rPr>
        <w:t xml:space="preserve">those </w:t>
      </w:r>
      <w:r w:rsidR="00996AD4" w:rsidRPr="00E8656C">
        <w:rPr>
          <w:rFonts w:cs="Arial"/>
        </w:rPr>
        <w:t>studying</w:t>
      </w:r>
      <w:r w:rsidR="007471FE" w:rsidRPr="00E8656C">
        <w:rPr>
          <w:rFonts w:cs="Arial"/>
        </w:rPr>
        <w:t xml:space="preserve"> fully</w:t>
      </w:r>
      <w:r w:rsidR="00996AD4" w:rsidRPr="00E8656C">
        <w:rPr>
          <w:rFonts w:cs="Arial"/>
        </w:rPr>
        <w:t xml:space="preserve"> off-campus</w:t>
      </w:r>
      <w:r w:rsidR="00120CC8" w:rsidRPr="00E8656C">
        <w:rPr>
          <w:rFonts w:cs="Arial"/>
        </w:rPr>
        <w:t xml:space="preserve"> </w:t>
      </w:r>
      <w:r w:rsidR="00BE2616" w:rsidRPr="00E8656C">
        <w:rPr>
          <w:rFonts w:cs="Arial"/>
        </w:rPr>
        <w:t>including</w:t>
      </w:r>
      <w:r w:rsidR="00120CC8" w:rsidRPr="00E8656C">
        <w:rPr>
          <w:rFonts w:cs="Arial"/>
        </w:rPr>
        <w:t xml:space="preserve"> online</w:t>
      </w:r>
      <w:r w:rsidR="00996AD4" w:rsidRPr="00E8656C">
        <w:rPr>
          <w:rFonts w:cs="Arial"/>
        </w:rPr>
        <w:t>)</w:t>
      </w:r>
      <w:r w:rsidR="000345CC" w:rsidRPr="00E8656C">
        <w:rPr>
          <w:rFonts w:cs="Arial"/>
        </w:rPr>
        <w:t xml:space="preserve"> </w:t>
      </w:r>
      <w:r w:rsidR="007C4338" w:rsidRPr="00E8656C">
        <w:rPr>
          <w:rFonts w:cs="Arial"/>
        </w:rPr>
        <w:t xml:space="preserve">have </w:t>
      </w:r>
      <w:r w:rsidR="00241CF5" w:rsidRPr="00E8656C">
        <w:rPr>
          <w:rFonts w:cs="Arial"/>
        </w:rPr>
        <w:t xml:space="preserve">tended to rate </w:t>
      </w:r>
      <w:r w:rsidR="00031236" w:rsidRPr="00E8656C">
        <w:rPr>
          <w:rFonts w:cs="Arial"/>
        </w:rPr>
        <w:t xml:space="preserve">their </w:t>
      </w:r>
      <w:r w:rsidR="000345CC" w:rsidRPr="00E8656C">
        <w:rPr>
          <w:rFonts w:cs="Arial"/>
        </w:rPr>
        <w:t>Overall Educational Experience more positively than internal</w:t>
      </w:r>
      <w:r w:rsidR="00D805DE" w:rsidRPr="00E8656C">
        <w:rPr>
          <w:rFonts w:cs="Arial"/>
        </w:rPr>
        <w:t xml:space="preserve"> </w:t>
      </w:r>
      <w:r w:rsidR="000345CC" w:rsidRPr="00E8656C">
        <w:rPr>
          <w:rFonts w:cs="Arial"/>
        </w:rPr>
        <w:t>/</w:t>
      </w:r>
      <w:r w:rsidR="00E4098D" w:rsidRPr="00E8656C">
        <w:rPr>
          <w:rFonts w:cs="Arial"/>
        </w:rPr>
        <w:t>multi-mode</w:t>
      </w:r>
      <w:r w:rsidR="00EF0D8B" w:rsidRPr="00E8656C">
        <w:rPr>
          <w:rFonts w:cs="Arial"/>
        </w:rPr>
        <w:t xml:space="preserve"> </w:t>
      </w:r>
      <w:r w:rsidR="00031236" w:rsidRPr="00E8656C">
        <w:rPr>
          <w:rFonts w:cs="Arial"/>
        </w:rPr>
        <w:t xml:space="preserve">students </w:t>
      </w:r>
      <w:r w:rsidR="00EF0D8B" w:rsidRPr="00E8656C">
        <w:rPr>
          <w:rFonts w:cs="Arial"/>
        </w:rPr>
        <w:t>(</w:t>
      </w:r>
      <w:r w:rsidR="00031236" w:rsidRPr="00E8656C">
        <w:rPr>
          <w:rFonts w:cs="Arial"/>
        </w:rPr>
        <w:t xml:space="preserve">those studying </w:t>
      </w:r>
      <w:r w:rsidR="00EF0D8B" w:rsidRPr="00E8656C">
        <w:rPr>
          <w:rFonts w:cs="Arial"/>
        </w:rPr>
        <w:t xml:space="preserve">fully on-campus or a mix of </w:t>
      </w:r>
      <w:r w:rsidR="00E4098D" w:rsidRPr="00E8656C">
        <w:rPr>
          <w:rFonts w:cs="Arial"/>
        </w:rPr>
        <w:t>internal and external modes</w:t>
      </w:r>
      <w:r w:rsidR="00EF0D8B" w:rsidRPr="00E8656C">
        <w:rPr>
          <w:rFonts w:cs="Arial"/>
        </w:rPr>
        <w:t>)</w:t>
      </w:r>
      <w:r w:rsidR="000345CC" w:rsidRPr="00E8656C">
        <w:rPr>
          <w:rFonts w:cs="Arial"/>
        </w:rPr>
        <w:t xml:space="preserve"> </w:t>
      </w:r>
      <w:r w:rsidR="00F343D5" w:rsidRPr="00E8656C">
        <w:rPr>
          <w:rFonts w:cs="Arial"/>
        </w:rPr>
        <w:t>(</w:t>
      </w:r>
      <w:r w:rsidR="00BB04F1" w:rsidRPr="00E8656C">
        <w:rPr>
          <w:rFonts w:cs="Arial"/>
          <w:b/>
          <w:bCs/>
        </w:rPr>
        <w:fldChar w:fldCharType="begin"/>
      </w:r>
      <w:r w:rsidR="00BB04F1" w:rsidRPr="00E8656C">
        <w:rPr>
          <w:rFonts w:cs="Arial"/>
          <w:b/>
          <w:bCs/>
        </w:rPr>
        <w:instrText xml:space="preserve"> REF _Ref195570658 \h  \* MERGEFORMAT </w:instrText>
      </w:r>
      <w:r w:rsidR="00BB04F1" w:rsidRPr="00E8656C">
        <w:rPr>
          <w:rFonts w:cs="Arial"/>
          <w:b/>
          <w:bCs/>
        </w:rPr>
      </w:r>
      <w:r w:rsidR="00BB04F1" w:rsidRPr="00E8656C">
        <w:rPr>
          <w:rFonts w:cs="Arial"/>
          <w:b/>
          <w:bCs/>
        </w:rPr>
        <w:fldChar w:fldCharType="separate"/>
      </w:r>
      <w:r w:rsidR="00BA0CC0" w:rsidRPr="00E8656C">
        <w:rPr>
          <w:rFonts w:cs="Arial"/>
          <w:b/>
          <w:bCs/>
        </w:rPr>
        <w:t xml:space="preserve">Figure </w:t>
      </w:r>
      <w:r w:rsidR="00BA0CC0" w:rsidRPr="00E8656C">
        <w:rPr>
          <w:rFonts w:cs="Arial"/>
          <w:b/>
          <w:bCs/>
          <w:noProof/>
        </w:rPr>
        <w:t>6</w:t>
      </w:r>
      <w:r w:rsidR="00BB04F1" w:rsidRPr="00E8656C">
        <w:rPr>
          <w:rFonts w:cs="Arial"/>
          <w:b/>
          <w:bCs/>
        </w:rPr>
        <w:fldChar w:fldCharType="end"/>
      </w:r>
      <w:r w:rsidR="00F343D5" w:rsidRPr="00E8656C">
        <w:rPr>
          <w:rFonts w:cs="Arial"/>
        </w:rPr>
        <w:t>)</w:t>
      </w:r>
      <w:r w:rsidR="000345CC" w:rsidRPr="00E8656C">
        <w:rPr>
          <w:rFonts w:cs="Arial"/>
        </w:rPr>
        <w:t xml:space="preserve">. </w:t>
      </w:r>
    </w:p>
    <w:p w14:paraId="52DF7ACE" w14:textId="35D2C162" w:rsidR="003234DD" w:rsidRPr="00E8656C" w:rsidRDefault="009A7040" w:rsidP="00E66535">
      <w:pPr>
        <w:pStyle w:val="Body"/>
        <w:rPr>
          <w:rFonts w:cs="Arial"/>
        </w:rPr>
      </w:pPr>
      <w:r w:rsidRPr="00E8656C">
        <w:rPr>
          <w:rFonts w:cs="Arial"/>
        </w:rPr>
        <w:t>In 2024, undergraduate external students rated their Overall Educational Experience 3.7 percentage points higher than internal/</w:t>
      </w:r>
      <w:r w:rsidR="00E4098D" w:rsidRPr="00E8656C">
        <w:rPr>
          <w:rFonts w:cs="Arial"/>
        </w:rPr>
        <w:t>multi-mode</w:t>
      </w:r>
      <w:r w:rsidRPr="00E8656C">
        <w:rPr>
          <w:rFonts w:cs="Arial"/>
        </w:rPr>
        <w:t xml:space="preserve"> students (79.8 per cent </w:t>
      </w:r>
      <w:r w:rsidR="00BC1E83" w:rsidRPr="00E8656C">
        <w:rPr>
          <w:rFonts w:cs="Arial"/>
        </w:rPr>
        <w:t>and</w:t>
      </w:r>
      <w:r w:rsidR="0048309E" w:rsidRPr="00E8656C">
        <w:rPr>
          <w:rFonts w:cs="Arial"/>
        </w:rPr>
        <w:t xml:space="preserve"> </w:t>
      </w:r>
      <w:r w:rsidRPr="00E8656C">
        <w:rPr>
          <w:rFonts w:cs="Arial"/>
        </w:rPr>
        <w:t>76.1 per cent</w:t>
      </w:r>
      <w:r w:rsidR="00BC1E83" w:rsidRPr="00E8656C">
        <w:rPr>
          <w:rFonts w:cs="Arial"/>
        </w:rPr>
        <w:t xml:space="preserve"> respectively</w:t>
      </w:r>
      <w:r w:rsidRPr="00E8656C">
        <w:rPr>
          <w:rFonts w:cs="Arial"/>
        </w:rPr>
        <w:t>)</w:t>
      </w:r>
      <w:r w:rsidR="00576D6C" w:rsidRPr="00E8656C">
        <w:rPr>
          <w:rFonts w:cs="Arial"/>
        </w:rPr>
        <w:t xml:space="preserve">. Similarly, </w:t>
      </w:r>
      <w:r w:rsidRPr="00E8656C">
        <w:rPr>
          <w:rFonts w:cs="Arial"/>
        </w:rPr>
        <w:t xml:space="preserve">postgraduate coursework students rated it 2.4 percentage points higher (78.5 per cent </w:t>
      </w:r>
      <w:r w:rsidR="00BC1E83" w:rsidRPr="00E8656C">
        <w:rPr>
          <w:rFonts w:cs="Arial"/>
        </w:rPr>
        <w:t>and</w:t>
      </w:r>
      <w:r w:rsidR="00B52770" w:rsidRPr="00E8656C">
        <w:rPr>
          <w:rFonts w:cs="Arial"/>
        </w:rPr>
        <w:t xml:space="preserve"> </w:t>
      </w:r>
      <w:r w:rsidRPr="00E8656C">
        <w:rPr>
          <w:rFonts w:cs="Arial"/>
        </w:rPr>
        <w:t>76.1 per cent</w:t>
      </w:r>
      <w:r w:rsidR="00BC1E83" w:rsidRPr="00E8656C">
        <w:rPr>
          <w:rFonts w:cs="Arial"/>
        </w:rPr>
        <w:t xml:space="preserve"> respectively</w:t>
      </w:r>
      <w:r w:rsidRPr="00E8656C">
        <w:rPr>
          <w:rFonts w:cs="Arial"/>
        </w:rPr>
        <w:t>) (</w:t>
      </w:r>
      <w:r w:rsidR="003B11E2" w:rsidRPr="00E8656C">
        <w:rPr>
          <w:rFonts w:cs="Arial"/>
          <w:b/>
          <w:bCs/>
        </w:rPr>
        <w:fldChar w:fldCharType="begin"/>
      </w:r>
      <w:r w:rsidR="003B11E2" w:rsidRPr="00E8656C">
        <w:rPr>
          <w:rFonts w:cs="Arial"/>
          <w:b/>
          <w:bCs/>
        </w:rPr>
        <w:instrText xml:space="preserve"> REF _Ref195570658 \h  \* MERGEFORMAT </w:instrText>
      </w:r>
      <w:r w:rsidR="003B11E2" w:rsidRPr="00E8656C">
        <w:rPr>
          <w:rFonts w:cs="Arial"/>
          <w:b/>
          <w:bCs/>
        </w:rPr>
      </w:r>
      <w:r w:rsidR="003B11E2" w:rsidRPr="00E8656C">
        <w:rPr>
          <w:rFonts w:cs="Arial"/>
          <w:b/>
          <w:bCs/>
        </w:rPr>
        <w:fldChar w:fldCharType="separate"/>
      </w:r>
      <w:r w:rsidR="00BA0CC0" w:rsidRPr="00E8656C">
        <w:rPr>
          <w:rFonts w:cs="Arial"/>
          <w:b/>
          <w:bCs/>
        </w:rPr>
        <w:t xml:space="preserve">Figure </w:t>
      </w:r>
      <w:r w:rsidR="00BA0CC0" w:rsidRPr="00E8656C">
        <w:rPr>
          <w:rFonts w:cs="Arial"/>
          <w:b/>
          <w:bCs/>
          <w:noProof/>
        </w:rPr>
        <w:t>6</w:t>
      </w:r>
      <w:r w:rsidR="003B11E2" w:rsidRPr="00E8656C">
        <w:rPr>
          <w:rFonts w:cs="Arial"/>
          <w:b/>
          <w:bCs/>
        </w:rPr>
        <w:fldChar w:fldCharType="end"/>
      </w:r>
      <w:r w:rsidRPr="00E8656C">
        <w:rPr>
          <w:rFonts w:cs="Arial"/>
        </w:rPr>
        <w:t>)</w:t>
      </w:r>
      <w:r w:rsidR="00576D6C" w:rsidRPr="00E8656C">
        <w:rPr>
          <w:rFonts w:cs="Arial"/>
        </w:rPr>
        <w:t xml:space="preserve">. This </w:t>
      </w:r>
      <w:r w:rsidR="00656B51" w:rsidRPr="00E8656C">
        <w:rPr>
          <w:rFonts w:cs="Arial"/>
        </w:rPr>
        <w:t>suggests</w:t>
      </w:r>
      <w:r w:rsidRPr="00E8656C">
        <w:rPr>
          <w:rFonts w:cs="Arial"/>
        </w:rPr>
        <w:t xml:space="preserve"> that externally delivered programs are more likely to meet student expectations </w:t>
      </w:r>
      <w:r w:rsidR="003E3625" w:rsidRPr="00E8656C">
        <w:rPr>
          <w:rFonts w:cs="Arial"/>
        </w:rPr>
        <w:t>regarding</w:t>
      </w:r>
      <w:r w:rsidRPr="00E8656C">
        <w:rPr>
          <w:rFonts w:cs="Arial"/>
        </w:rPr>
        <w:t xml:space="preserve"> their overall educational experience </w:t>
      </w:r>
      <w:r w:rsidR="003E3625" w:rsidRPr="00E8656C">
        <w:rPr>
          <w:rFonts w:cs="Arial"/>
        </w:rPr>
        <w:t>compared to</w:t>
      </w:r>
      <w:r w:rsidRPr="00E8656C">
        <w:rPr>
          <w:rFonts w:cs="Arial"/>
        </w:rPr>
        <w:t xml:space="preserve"> internal/</w:t>
      </w:r>
      <w:r w:rsidR="001F0DFA" w:rsidRPr="00E8656C">
        <w:rPr>
          <w:rFonts w:cs="Arial"/>
        </w:rPr>
        <w:t>multi</w:t>
      </w:r>
      <w:r w:rsidR="00E4098D" w:rsidRPr="00E8656C">
        <w:rPr>
          <w:rFonts w:cs="Arial"/>
        </w:rPr>
        <w:t>-mode</w:t>
      </w:r>
      <w:r w:rsidRPr="00E8656C">
        <w:rPr>
          <w:rFonts w:cs="Arial"/>
        </w:rPr>
        <w:t xml:space="preserve">s </w:t>
      </w:r>
      <w:r w:rsidR="003E3625" w:rsidRPr="00E8656C">
        <w:rPr>
          <w:rFonts w:cs="Arial"/>
        </w:rPr>
        <w:t xml:space="preserve">programs, </w:t>
      </w:r>
      <w:r w:rsidRPr="00E8656C">
        <w:rPr>
          <w:rFonts w:cs="Arial"/>
        </w:rPr>
        <w:t xml:space="preserve">which can </w:t>
      </w:r>
      <w:r w:rsidR="003E3625" w:rsidRPr="00E8656C">
        <w:rPr>
          <w:rFonts w:cs="Arial"/>
        </w:rPr>
        <w:t>range from</w:t>
      </w:r>
      <w:r w:rsidRPr="00E8656C">
        <w:rPr>
          <w:rFonts w:cs="Arial"/>
        </w:rPr>
        <w:t xml:space="preserve"> fully on-campus to mostly online.</w:t>
      </w:r>
      <w:r w:rsidR="00927DC9" w:rsidRPr="00E8656C">
        <w:rPr>
          <w:rFonts w:cs="Arial"/>
        </w:rPr>
        <w:t xml:space="preserve"> </w:t>
      </w:r>
    </w:p>
    <w:p w14:paraId="0698C45E" w14:textId="081D3C79" w:rsidR="009A7040" w:rsidRPr="00E8656C" w:rsidRDefault="009A7040" w:rsidP="00695177">
      <w:pPr>
        <w:pStyle w:val="Caption"/>
        <w:rPr>
          <w:sz w:val="18"/>
          <w:szCs w:val="18"/>
        </w:rPr>
      </w:pPr>
      <w:bookmarkStart w:id="37" w:name="_Ref195570658"/>
      <w:bookmarkStart w:id="38" w:name="_Toc201065556"/>
      <w:r w:rsidRPr="00E8656C">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6</w:t>
      </w:r>
      <w:r w:rsidR="00EA0581" w:rsidRPr="00E8656C">
        <w:rPr>
          <w:noProof/>
        </w:rPr>
        <w:fldChar w:fldCharType="end"/>
      </w:r>
      <w:bookmarkEnd w:id="37"/>
      <w:r w:rsidR="00695177" w:rsidRPr="00E8656C">
        <w:tab/>
      </w:r>
      <w:r w:rsidRPr="00E8656C">
        <w:t>Overall Educational Experience by course level and mode of study, 2017–24 (% positive rating)</w:t>
      </w:r>
      <w:bookmarkEnd w:id="38"/>
      <w:r w:rsidRPr="00E8656C">
        <w:rPr>
          <w:sz w:val="18"/>
          <w:szCs w:val="18"/>
        </w:rPr>
        <w:t xml:space="preserve"> </w:t>
      </w:r>
    </w:p>
    <w:p w14:paraId="2DB20591" w14:textId="77777777" w:rsidR="009A7040" w:rsidRPr="00E8656C" w:rsidRDefault="009A7040" w:rsidP="009A7040">
      <w:pPr>
        <w:pStyle w:val="Body"/>
        <w:rPr>
          <w:rFonts w:cs="Arial"/>
          <w:sz w:val="18"/>
          <w:szCs w:val="18"/>
        </w:rPr>
      </w:pPr>
      <w:r w:rsidRPr="00E8656C">
        <w:rPr>
          <w:rFonts w:cs="Arial"/>
          <w:sz w:val="18"/>
          <w:szCs w:val="18"/>
          <w:lang w:eastAsia="en-AU"/>
        </w:rPr>
        <w:t>(Source: FOCUS_UG_ALL_17-YY_SG, FOCUS_PGC_ALL_17-YY_SG)</w:t>
      </w:r>
    </w:p>
    <w:p w14:paraId="218C6717" w14:textId="2FE03936" w:rsidR="009A7040" w:rsidRPr="00E8656C" w:rsidRDefault="00DC3DCA" w:rsidP="009A7040">
      <w:pPr>
        <w:rPr>
          <w:rFonts w:cs="Arial"/>
        </w:rPr>
      </w:pPr>
      <w:r w:rsidRPr="00E8656C">
        <w:rPr>
          <w:rFonts w:cs="Arial"/>
          <w:noProof/>
        </w:rPr>
        <w:drawing>
          <wp:inline distT="0" distB="0" distL="0" distR="0" wp14:anchorId="47FFAC13" wp14:editId="69E3C58F">
            <wp:extent cx="6642100" cy="2165985"/>
            <wp:effectExtent l="0" t="0" r="6350" b="5715"/>
            <wp:docPr id="126059283" name="Chart 1">
              <a:extLst xmlns:a="http://schemas.openxmlformats.org/drawingml/2006/main">
                <a:ext uri="{FF2B5EF4-FFF2-40B4-BE49-F238E27FC236}">
                  <a16:creationId xmlns:a16="http://schemas.microsoft.com/office/drawing/2014/main" id="{71F8DDC6-2D65-D2B2-71B4-6C614EAE691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25BA7E9" w14:textId="4F260570" w:rsidR="009A7040" w:rsidRPr="00E8656C" w:rsidRDefault="00F03840" w:rsidP="009A7040">
      <w:pPr>
        <w:rPr>
          <w:rFonts w:cs="Arial"/>
        </w:rPr>
      </w:pPr>
      <w:r w:rsidRPr="00E8656C">
        <w:rPr>
          <w:rFonts w:cs="Arial"/>
          <w:noProof/>
        </w:rPr>
        <w:drawing>
          <wp:inline distT="0" distB="0" distL="0" distR="0" wp14:anchorId="00AB86CA" wp14:editId="621EF928">
            <wp:extent cx="6642100" cy="2161540"/>
            <wp:effectExtent l="0" t="0" r="6350" b="0"/>
            <wp:docPr id="745627406" name="Chart 1">
              <a:extLst xmlns:a="http://schemas.openxmlformats.org/drawingml/2006/main">
                <a:ext uri="{FF2B5EF4-FFF2-40B4-BE49-F238E27FC236}">
                  <a16:creationId xmlns:a16="http://schemas.microsoft.com/office/drawing/2014/main" id="{FE0DAEA2-80A2-4D1B-98C6-B0C7D9D38BC9}"/>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7CE9429" w14:textId="0AA4621B" w:rsidR="00E967C2" w:rsidRPr="00E8656C" w:rsidRDefault="006810DA" w:rsidP="00A06CB3">
      <w:pPr>
        <w:pStyle w:val="Body"/>
        <w:rPr>
          <w:rFonts w:cs="Arial"/>
        </w:rPr>
      </w:pPr>
      <w:r w:rsidRPr="00E8656C">
        <w:rPr>
          <w:rFonts w:cs="Arial"/>
        </w:rPr>
        <w:t xml:space="preserve">In contrast, </w:t>
      </w:r>
      <w:r w:rsidR="00346387" w:rsidRPr="00E8656C">
        <w:rPr>
          <w:rFonts w:cs="Arial"/>
        </w:rPr>
        <w:t>external</w:t>
      </w:r>
      <w:r w:rsidRPr="00E8656C">
        <w:rPr>
          <w:rFonts w:cs="Arial"/>
        </w:rPr>
        <w:t xml:space="preserve"> mode students report lower levels of </w:t>
      </w:r>
      <w:r w:rsidR="00BC1E83" w:rsidRPr="00E8656C">
        <w:rPr>
          <w:rFonts w:cs="Arial"/>
        </w:rPr>
        <w:t>S</w:t>
      </w:r>
      <w:r w:rsidRPr="00E8656C">
        <w:rPr>
          <w:rFonts w:cs="Arial"/>
        </w:rPr>
        <w:t xml:space="preserve">kills </w:t>
      </w:r>
      <w:r w:rsidR="00BC1E83" w:rsidRPr="00E8656C">
        <w:rPr>
          <w:rFonts w:cs="Arial"/>
        </w:rPr>
        <w:t>D</w:t>
      </w:r>
      <w:r w:rsidRPr="00E8656C">
        <w:rPr>
          <w:rFonts w:cs="Arial"/>
        </w:rPr>
        <w:t xml:space="preserve">evelopment than their </w:t>
      </w:r>
      <w:r w:rsidR="00346387" w:rsidRPr="00E8656C">
        <w:rPr>
          <w:rFonts w:cs="Arial"/>
        </w:rPr>
        <w:t>internal/</w:t>
      </w:r>
      <w:r w:rsidR="001F0DFA" w:rsidRPr="00E8656C">
        <w:rPr>
          <w:rFonts w:cs="Arial"/>
        </w:rPr>
        <w:t>multi</w:t>
      </w:r>
      <w:r w:rsidR="00E4098D" w:rsidRPr="00E8656C">
        <w:rPr>
          <w:rFonts w:cs="Arial"/>
        </w:rPr>
        <w:t>-mode</w:t>
      </w:r>
      <w:r w:rsidR="00346387" w:rsidRPr="00E8656C">
        <w:rPr>
          <w:rFonts w:cs="Arial"/>
        </w:rPr>
        <w:t xml:space="preserve"> counterparts at both the undergraduate and postgraduate coursework levels</w:t>
      </w:r>
      <w:r w:rsidR="002542E3" w:rsidRPr="00E8656C">
        <w:rPr>
          <w:rFonts w:cs="Arial"/>
        </w:rPr>
        <w:t>. The gap</w:t>
      </w:r>
      <w:r w:rsidR="000B3F5F" w:rsidRPr="00E8656C">
        <w:rPr>
          <w:rFonts w:cs="Arial"/>
        </w:rPr>
        <w:t>s</w:t>
      </w:r>
      <w:r w:rsidR="002542E3" w:rsidRPr="00E8656C">
        <w:rPr>
          <w:rFonts w:cs="Arial"/>
        </w:rPr>
        <w:t xml:space="preserve"> between the </w:t>
      </w:r>
      <w:r w:rsidR="00D43B5F" w:rsidRPr="00E8656C">
        <w:rPr>
          <w:rFonts w:cs="Arial"/>
        </w:rPr>
        <w:t>two groups are larger for</w:t>
      </w:r>
      <w:r w:rsidR="005B6798" w:rsidRPr="00E8656C">
        <w:rPr>
          <w:rFonts w:cs="Arial"/>
        </w:rPr>
        <w:t xml:space="preserve"> postgraduate coursework student</w:t>
      </w:r>
      <w:r w:rsidR="00C62A52" w:rsidRPr="00E8656C">
        <w:rPr>
          <w:rFonts w:cs="Arial"/>
        </w:rPr>
        <w:t>s</w:t>
      </w:r>
      <w:r w:rsidR="005B6798" w:rsidRPr="00E8656C">
        <w:rPr>
          <w:rFonts w:cs="Arial"/>
        </w:rPr>
        <w:t xml:space="preserve"> </w:t>
      </w:r>
      <w:r w:rsidR="00BD4A17" w:rsidRPr="00E8656C">
        <w:rPr>
          <w:rFonts w:cs="Arial"/>
        </w:rPr>
        <w:t>(</w:t>
      </w:r>
      <w:r w:rsidR="00BD4A17" w:rsidRPr="00E8656C">
        <w:rPr>
          <w:rFonts w:cs="Arial"/>
          <w:b/>
          <w:bCs/>
        </w:rPr>
        <w:fldChar w:fldCharType="begin"/>
      </w:r>
      <w:r w:rsidR="00BD4A17" w:rsidRPr="00E8656C">
        <w:rPr>
          <w:rFonts w:cs="Arial"/>
          <w:b/>
          <w:bCs/>
        </w:rPr>
        <w:instrText xml:space="preserve"> REF _Ref192759650 \h </w:instrText>
      </w:r>
      <w:r w:rsidR="006A588D" w:rsidRPr="00E8656C">
        <w:rPr>
          <w:rFonts w:cs="Arial"/>
          <w:b/>
          <w:bCs/>
        </w:rPr>
        <w:instrText xml:space="preserve"> \* MERGEFORMAT </w:instrText>
      </w:r>
      <w:r w:rsidR="00BD4A17" w:rsidRPr="00E8656C">
        <w:rPr>
          <w:rFonts w:cs="Arial"/>
          <w:b/>
          <w:bCs/>
        </w:rPr>
      </w:r>
      <w:r w:rsidR="00BD4A17" w:rsidRPr="00E8656C">
        <w:rPr>
          <w:rFonts w:cs="Arial"/>
          <w:b/>
          <w:bCs/>
        </w:rPr>
        <w:fldChar w:fldCharType="separate"/>
      </w:r>
      <w:r w:rsidR="00BA0CC0" w:rsidRPr="00E8656C">
        <w:rPr>
          <w:rFonts w:cs="Arial"/>
          <w:b/>
          <w:bCs/>
        </w:rPr>
        <w:t xml:space="preserve">Figure </w:t>
      </w:r>
      <w:r w:rsidR="00BA0CC0" w:rsidRPr="00E8656C">
        <w:rPr>
          <w:rFonts w:cs="Arial"/>
          <w:b/>
        </w:rPr>
        <w:t>7</w:t>
      </w:r>
      <w:r w:rsidR="00BD4A17" w:rsidRPr="00E8656C">
        <w:rPr>
          <w:rFonts w:cs="Arial"/>
          <w:b/>
          <w:bCs/>
        </w:rPr>
        <w:fldChar w:fldCharType="end"/>
      </w:r>
      <w:r w:rsidR="006A588D" w:rsidRPr="00E8656C">
        <w:rPr>
          <w:rFonts w:cs="Arial"/>
        </w:rPr>
        <w:t>)</w:t>
      </w:r>
      <w:r w:rsidR="00CA0EF7" w:rsidRPr="00E8656C">
        <w:rPr>
          <w:rFonts w:cs="Arial"/>
        </w:rPr>
        <w:t>. This is</w:t>
      </w:r>
      <w:r w:rsidR="00CA0EF7" w:rsidRPr="00E8656C">
        <w:rPr>
          <w:rFonts w:cs="Arial"/>
          <w:b/>
          <w:bCs/>
        </w:rPr>
        <w:t xml:space="preserve"> </w:t>
      </w:r>
      <w:r w:rsidR="004256D6" w:rsidRPr="00E8656C">
        <w:rPr>
          <w:rFonts w:cs="Arial"/>
        </w:rPr>
        <w:t xml:space="preserve">particularly </w:t>
      </w:r>
      <w:r w:rsidR="009C027E" w:rsidRPr="00E8656C">
        <w:rPr>
          <w:rFonts w:cs="Arial"/>
        </w:rPr>
        <w:t xml:space="preserve">evident </w:t>
      </w:r>
      <w:r w:rsidR="004256D6" w:rsidRPr="00E8656C">
        <w:rPr>
          <w:rFonts w:cs="Arial"/>
        </w:rPr>
        <w:t xml:space="preserve">in </w:t>
      </w:r>
      <w:r w:rsidR="00047E9D" w:rsidRPr="00E8656C">
        <w:rPr>
          <w:rFonts w:cs="Arial"/>
        </w:rPr>
        <w:t>their skills in working with others and the development of their spoken communication skills</w:t>
      </w:r>
      <w:r w:rsidR="00591E10" w:rsidRPr="00E8656C">
        <w:rPr>
          <w:rFonts w:cs="Arial"/>
        </w:rPr>
        <w:t>. These difference</w:t>
      </w:r>
      <w:r w:rsidR="00E22EBF" w:rsidRPr="00E8656C">
        <w:rPr>
          <w:rFonts w:cs="Arial"/>
        </w:rPr>
        <w:t>s</w:t>
      </w:r>
      <w:r w:rsidR="00591E10" w:rsidRPr="00E8656C">
        <w:rPr>
          <w:rFonts w:cs="Arial"/>
        </w:rPr>
        <w:t xml:space="preserve"> </w:t>
      </w:r>
      <w:r w:rsidR="009F157F" w:rsidRPr="00E8656C">
        <w:rPr>
          <w:rFonts w:cs="Arial"/>
        </w:rPr>
        <w:t xml:space="preserve">may be related to </w:t>
      </w:r>
      <w:r w:rsidR="00815E86" w:rsidRPr="00E8656C">
        <w:rPr>
          <w:rFonts w:cs="Arial"/>
        </w:rPr>
        <w:t xml:space="preserve">the </w:t>
      </w:r>
      <w:r w:rsidR="009F157F" w:rsidRPr="00E8656C">
        <w:rPr>
          <w:rFonts w:cs="Arial"/>
        </w:rPr>
        <w:t xml:space="preserve">opportunities </w:t>
      </w:r>
      <w:r w:rsidR="00E2311F" w:rsidRPr="00E8656C">
        <w:rPr>
          <w:rFonts w:cs="Arial"/>
        </w:rPr>
        <w:t xml:space="preserve">students have </w:t>
      </w:r>
      <w:r w:rsidR="009F157F" w:rsidRPr="00E8656C">
        <w:rPr>
          <w:rFonts w:cs="Arial"/>
        </w:rPr>
        <w:t xml:space="preserve">to engage with their peers and academic staff as part of their </w:t>
      </w:r>
      <w:r w:rsidR="00953E53" w:rsidRPr="00E8656C">
        <w:rPr>
          <w:rFonts w:cs="Arial"/>
        </w:rPr>
        <w:t>higher education experience</w:t>
      </w:r>
      <w:r w:rsidR="00346387" w:rsidRPr="00E8656C">
        <w:rPr>
          <w:rFonts w:cs="Arial"/>
        </w:rPr>
        <w:t>.</w:t>
      </w:r>
      <w:r w:rsidR="009F157F" w:rsidRPr="00E8656C">
        <w:rPr>
          <w:rFonts w:cs="Arial"/>
        </w:rPr>
        <w:t xml:space="preserve"> </w:t>
      </w:r>
    </w:p>
    <w:p w14:paraId="6462BA06" w14:textId="77777777" w:rsidR="00E967C2" w:rsidRPr="00E8656C" w:rsidRDefault="00E967C2">
      <w:pPr>
        <w:spacing w:after="160" w:line="259" w:lineRule="auto"/>
        <w:rPr>
          <w:rFonts w:eastAsia="Times New Roman" w:cs="Arial"/>
          <w:szCs w:val="20"/>
        </w:rPr>
      </w:pPr>
      <w:r w:rsidRPr="00E8656C">
        <w:rPr>
          <w:rFonts w:cs="Arial"/>
        </w:rPr>
        <w:br w:type="page"/>
      </w:r>
    </w:p>
    <w:p w14:paraId="09A6EB4C" w14:textId="4557D84C" w:rsidR="006935B4" w:rsidRPr="00E8656C" w:rsidRDefault="006935B4" w:rsidP="00695177">
      <w:pPr>
        <w:pStyle w:val="Caption"/>
      </w:pPr>
      <w:bookmarkStart w:id="39" w:name="_Ref192759650"/>
      <w:bookmarkStart w:id="40" w:name="_Ref193217229"/>
      <w:bookmarkStart w:id="41" w:name="_Toc201065557"/>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7</w:t>
      </w:r>
      <w:r w:rsidR="00EA0581" w:rsidRPr="00E8656C">
        <w:rPr>
          <w:noProof/>
        </w:rPr>
        <w:fldChar w:fldCharType="end"/>
      </w:r>
      <w:bookmarkEnd w:id="39"/>
      <w:r w:rsidR="00695177" w:rsidRPr="00E8656C">
        <w:tab/>
      </w:r>
      <w:r w:rsidRPr="00E8656C">
        <w:t xml:space="preserve">Skills Development by </w:t>
      </w:r>
      <w:r w:rsidR="00FB044F" w:rsidRPr="00E8656C">
        <w:t xml:space="preserve">course level and </w:t>
      </w:r>
      <w:r w:rsidRPr="00E8656C">
        <w:t>study mode</w:t>
      </w:r>
      <w:r w:rsidR="00E5642F" w:rsidRPr="00E8656C">
        <w:t>,</w:t>
      </w:r>
      <w:r w:rsidRPr="00E8656C">
        <w:t xml:space="preserve"> 2017</w:t>
      </w:r>
      <w:r w:rsidR="0059773B" w:rsidRPr="00E8656C">
        <w:t>–</w:t>
      </w:r>
      <w:r w:rsidR="00293CD6" w:rsidRPr="00E8656C">
        <w:t>24</w:t>
      </w:r>
      <w:r w:rsidRPr="00E8656C">
        <w:t xml:space="preserve"> (% positive rating)</w:t>
      </w:r>
      <w:bookmarkEnd w:id="40"/>
      <w:bookmarkEnd w:id="41"/>
    </w:p>
    <w:p w14:paraId="6A8E79EB" w14:textId="77777777" w:rsidR="00B65D1B" w:rsidRPr="00E8656C" w:rsidRDefault="00B65D1B" w:rsidP="00B65D1B">
      <w:pPr>
        <w:pStyle w:val="Body"/>
        <w:rPr>
          <w:rFonts w:cs="Arial"/>
          <w:sz w:val="18"/>
          <w:szCs w:val="18"/>
        </w:rPr>
      </w:pPr>
      <w:r w:rsidRPr="00E8656C">
        <w:rPr>
          <w:rFonts w:cs="Arial"/>
          <w:sz w:val="18"/>
          <w:szCs w:val="18"/>
          <w:lang w:eastAsia="en-AU"/>
        </w:rPr>
        <w:t>(Source: FOCUS_UG_ALL_17-YY_SG, FOCUS_PGC_ALL_17-YY_SG)</w:t>
      </w:r>
    </w:p>
    <w:p w14:paraId="639D7256" w14:textId="183F3406" w:rsidR="006935B4" w:rsidRPr="00E8656C" w:rsidRDefault="001F06A7" w:rsidP="006935B4">
      <w:pPr>
        <w:pStyle w:val="Body"/>
        <w:rPr>
          <w:rFonts w:cs="Arial"/>
        </w:rPr>
      </w:pPr>
      <w:r w:rsidRPr="00E8656C">
        <w:rPr>
          <w:rFonts w:cs="Arial"/>
          <w:noProof/>
        </w:rPr>
        <w:drawing>
          <wp:inline distT="0" distB="0" distL="0" distR="0" wp14:anchorId="4BBB87D8" wp14:editId="5949572F">
            <wp:extent cx="6642100" cy="2165985"/>
            <wp:effectExtent l="0" t="0" r="6350" b="5715"/>
            <wp:docPr id="602361030" name="Chart 1">
              <a:extLst xmlns:a="http://schemas.openxmlformats.org/drawingml/2006/main">
                <a:ext uri="{FF2B5EF4-FFF2-40B4-BE49-F238E27FC236}">
                  <a16:creationId xmlns:a16="http://schemas.microsoft.com/office/drawing/2014/main" id="{789AEC9C-FAB7-4F5D-9FD8-B7788750D56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CBB7C4B" w14:textId="2839D715" w:rsidR="00D85645" w:rsidRPr="00E8656C" w:rsidRDefault="002A3569" w:rsidP="006935B4">
      <w:pPr>
        <w:pStyle w:val="Body"/>
        <w:rPr>
          <w:rFonts w:cs="Arial"/>
        </w:rPr>
      </w:pPr>
      <w:r w:rsidRPr="00E8656C">
        <w:rPr>
          <w:rFonts w:cs="Arial"/>
          <w:noProof/>
        </w:rPr>
        <w:drawing>
          <wp:inline distT="0" distB="0" distL="0" distR="0" wp14:anchorId="4DFD0770" wp14:editId="42680105">
            <wp:extent cx="6642100" cy="2161540"/>
            <wp:effectExtent l="0" t="0" r="6350" b="0"/>
            <wp:docPr id="1008778807" name="Chart 1">
              <a:extLst xmlns:a="http://schemas.openxmlformats.org/drawingml/2006/main">
                <a:ext uri="{FF2B5EF4-FFF2-40B4-BE49-F238E27FC236}">
                  <a16:creationId xmlns:a16="http://schemas.microsoft.com/office/drawing/2014/main" id="{186EBC15-5250-40A2-A0F4-8B76AB19B91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73EA40B" w14:textId="2923483D" w:rsidR="009E65DC" w:rsidRPr="00E8656C" w:rsidRDefault="00AF7115" w:rsidP="005A5905">
      <w:pPr>
        <w:pStyle w:val="Body"/>
        <w:rPr>
          <w:rFonts w:cs="Arial"/>
        </w:rPr>
      </w:pPr>
      <w:r w:rsidRPr="00E8656C">
        <w:rPr>
          <w:rFonts w:cs="Arial"/>
        </w:rPr>
        <w:t>Peer Engagement</w:t>
      </w:r>
      <w:r w:rsidR="007A0297" w:rsidRPr="00E8656C">
        <w:rPr>
          <w:rFonts w:cs="Arial"/>
        </w:rPr>
        <w:t xml:space="preserve"> </w:t>
      </w:r>
      <w:r w:rsidR="00580E49" w:rsidRPr="00E8656C">
        <w:rPr>
          <w:rFonts w:cs="Arial"/>
        </w:rPr>
        <w:t xml:space="preserve">in the SES </w:t>
      </w:r>
      <w:r w:rsidR="00646E6F" w:rsidRPr="00E8656C">
        <w:rPr>
          <w:rFonts w:cs="Arial"/>
        </w:rPr>
        <w:t>measures students’</w:t>
      </w:r>
      <w:r w:rsidRPr="00E8656C">
        <w:rPr>
          <w:rFonts w:cs="Arial"/>
        </w:rPr>
        <w:t xml:space="preserve"> interactions with other students </w:t>
      </w:r>
      <w:r w:rsidR="00F50872" w:rsidRPr="00E8656C">
        <w:rPr>
          <w:rFonts w:cs="Arial"/>
        </w:rPr>
        <w:t>academically</w:t>
      </w:r>
      <w:r w:rsidRPr="00E8656C">
        <w:rPr>
          <w:rFonts w:cs="Arial"/>
        </w:rPr>
        <w:t xml:space="preserve"> or socially. </w:t>
      </w:r>
      <w:r w:rsidR="00726EBB" w:rsidRPr="00E8656C">
        <w:rPr>
          <w:rFonts w:cs="Arial"/>
        </w:rPr>
        <w:t>Students who study predominantly on-campus</w:t>
      </w:r>
      <w:r w:rsidR="008830B8" w:rsidRPr="00E8656C">
        <w:rPr>
          <w:rFonts w:cs="Arial"/>
        </w:rPr>
        <w:t xml:space="preserve"> (</w:t>
      </w:r>
      <w:r w:rsidR="008B781D" w:rsidRPr="00E8656C">
        <w:rPr>
          <w:rFonts w:cs="Arial"/>
        </w:rPr>
        <w:t xml:space="preserve">e.g. </w:t>
      </w:r>
      <w:r w:rsidR="008830B8" w:rsidRPr="00E8656C">
        <w:rPr>
          <w:rFonts w:cs="Arial"/>
        </w:rPr>
        <w:t>internal/</w:t>
      </w:r>
      <w:r w:rsidR="00E4098D" w:rsidRPr="00E8656C">
        <w:rPr>
          <w:rFonts w:cs="Arial"/>
        </w:rPr>
        <w:t>multi-mode</w:t>
      </w:r>
      <w:r w:rsidR="008B781D" w:rsidRPr="00E8656C">
        <w:rPr>
          <w:rFonts w:cs="Arial"/>
        </w:rPr>
        <w:t xml:space="preserve"> students</w:t>
      </w:r>
      <w:r w:rsidR="008830B8" w:rsidRPr="00E8656C">
        <w:rPr>
          <w:rFonts w:cs="Arial"/>
        </w:rPr>
        <w:t>)</w:t>
      </w:r>
      <w:r w:rsidR="00726EBB" w:rsidRPr="00E8656C">
        <w:rPr>
          <w:rFonts w:cs="Arial"/>
        </w:rPr>
        <w:t xml:space="preserve"> tend </w:t>
      </w:r>
      <w:r w:rsidR="003A7605" w:rsidRPr="00E8656C">
        <w:rPr>
          <w:rFonts w:cs="Arial"/>
        </w:rPr>
        <w:t xml:space="preserve">to engage in these activities </w:t>
      </w:r>
      <w:r w:rsidR="006577C0" w:rsidRPr="00E8656C">
        <w:rPr>
          <w:rFonts w:cs="Arial"/>
        </w:rPr>
        <w:t xml:space="preserve">more </w:t>
      </w:r>
      <w:r w:rsidR="00812313" w:rsidRPr="00E8656C">
        <w:rPr>
          <w:rFonts w:cs="Arial"/>
        </w:rPr>
        <w:t>often</w:t>
      </w:r>
      <w:r w:rsidR="006577C0" w:rsidRPr="00E8656C">
        <w:rPr>
          <w:rFonts w:cs="Arial"/>
        </w:rPr>
        <w:t xml:space="preserve"> than </w:t>
      </w:r>
      <w:r w:rsidR="00121499" w:rsidRPr="00E8656C">
        <w:rPr>
          <w:rFonts w:cs="Arial"/>
        </w:rPr>
        <w:t xml:space="preserve">external </w:t>
      </w:r>
      <w:r w:rsidR="008830B8" w:rsidRPr="00E8656C">
        <w:rPr>
          <w:rFonts w:cs="Arial"/>
        </w:rPr>
        <w:t>students</w:t>
      </w:r>
      <w:r w:rsidR="00394FAE" w:rsidRPr="00E8656C">
        <w:rPr>
          <w:rFonts w:cs="Arial"/>
        </w:rPr>
        <w:t xml:space="preserve">, </w:t>
      </w:r>
      <w:r w:rsidR="006E4D29" w:rsidRPr="00E8656C">
        <w:rPr>
          <w:rFonts w:cs="Arial"/>
        </w:rPr>
        <w:t xml:space="preserve">leading to </w:t>
      </w:r>
      <w:r w:rsidR="004D2737" w:rsidRPr="00E8656C">
        <w:rPr>
          <w:rFonts w:cs="Arial"/>
        </w:rPr>
        <w:t xml:space="preserve">discrepancies in their ratings. </w:t>
      </w:r>
      <w:r w:rsidR="001C0C9E" w:rsidRPr="00E8656C">
        <w:rPr>
          <w:rFonts w:cs="Arial"/>
        </w:rPr>
        <w:t xml:space="preserve">See </w:t>
      </w:r>
      <w:r w:rsidR="001F3A7C" w:rsidRPr="00E8656C">
        <w:rPr>
          <w:rFonts w:cs="Arial"/>
        </w:rPr>
        <w:t>Appendix 1</w:t>
      </w:r>
      <w:r w:rsidR="001C0C9E" w:rsidRPr="00E8656C">
        <w:rPr>
          <w:rFonts w:cs="Arial"/>
        </w:rPr>
        <w:t xml:space="preserve"> for </w:t>
      </w:r>
      <w:r w:rsidR="001F3A7C" w:rsidRPr="00E8656C">
        <w:rPr>
          <w:rFonts w:cs="Arial"/>
        </w:rPr>
        <w:t xml:space="preserve">the items under </w:t>
      </w:r>
      <w:r w:rsidR="001C0C9E" w:rsidRPr="00E8656C">
        <w:rPr>
          <w:rFonts w:cs="Arial"/>
        </w:rPr>
        <w:t>Peer Engagement</w:t>
      </w:r>
      <w:r w:rsidR="00AF41B4" w:rsidRPr="00E8656C">
        <w:rPr>
          <w:rFonts w:cs="Arial"/>
        </w:rPr>
        <w:t>.</w:t>
      </w:r>
    </w:p>
    <w:p w14:paraId="00F364BD" w14:textId="3A58752A" w:rsidR="00E7525C" w:rsidRPr="00E8656C" w:rsidRDefault="00E7525C" w:rsidP="00E7525C">
      <w:pPr>
        <w:pStyle w:val="Body"/>
        <w:rPr>
          <w:rFonts w:cs="Arial"/>
        </w:rPr>
      </w:pPr>
      <w:r w:rsidRPr="00E8656C">
        <w:rPr>
          <w:rFonts w:cs="Arial"/>
        </w:rPr>
        <w:t>In 2020, ratings for internal/multi-mode students dropped sharply</w:t>
      </w:r>
      <w:r w:rsidR="00A618BF" w:rsidRPr="00E8656C">
        <w:rPr>
          <w:rFonts w:cs="Arial"/>
        </w:rPr>
        <w:t xml:space="preserve"> (</w:t>
      </w:r>
      <w:r w:rsidR="00A618BF" w:rsidRPr="00E8656C">
        <w:rPr>
          <w:rFonts w:cs="Arial"/>
          <w:b/>
          <w:bCs/>
        </w:rPr>
        <w:fldChar w:fldCharType="begin"/>
      </w:r>
      <w:r w:rsidR="00A618BF" w:rsidRPr="00E8656C">
        <w:rPr>
          <w:rFonts w:cs="Arial"/>
          <w:b/>
          <w:bCs/>
        </w:rPr>
        <w:instrText xml:space="preserve"> REF _Ref121483539 \h  \* MERGEFORMAT </w:instrText>
      </w:r>
      <w:r w:rsidR="00A618BF" w:rsidRPr="00E8656C">
        <w:rPr>
          <w:rFonts w:cs="Arial"/>
          <w:b/>
          <w:bCs/>
        </w:rPr>
      </w:r>
      <w:r w:rsidR="00A618BF" w:rsidRPr="00E8656C">
        <w:rPr>
          <w:rFonts w:cs="Arial"/>
          <w:b/>
          <w:bCs/>
        </w:rPr>
        <w:fldChar w:fldCharType="separate"/>
      </w:r>
      <w:r w:rsidR="00BA0CC0" w:rsidRPr="00E8656C">
        <w:rPr>
          <w:rFonts w:cs="Arial"/>
          <w:b/>
          <w:bCs/>
        </w:rPr>
        <w:t xml:space="preserve">Figure </w:t>
      </w:r>
      <w:r w:rsidR="00BA0CC0" w:rsidRPr="00E8656C">
        <w:rPr>
          <w:rFonts w:cs="Arial"/>
          <w:b/>
        </w:rPr>
        <w:t>8</w:t>
      </w:r>
      <w:r w:rsidR="00A618BF" w:rsidRPr="00E8656C">
        <w:rPr>
          <w:rFonts w:cs="Arial"/>
          <w:b/>
          <w:bCs/>
        </w:rPr>
        <w:fldChar w:fldCharType="end"/>
      </w:r>
      <w:r w:rsidR="00A618BF" w:rsidRPr="00E8656C">
        <w:rPr>
          <w:rFonts w:cs="Arial"/>
        </w:rPr>
        <w:t xml:space="preserve">) </w:t>
      </w:r>
      <w:r w:rsidRPr="00E8656C">
        <w:rPr>
          <w:rFonts w:cs="Arial"/>
        </w:rPr>
        <w:t>because many had to switch to online studies due to COVID-19</w:t>
      </w:r>
      <w:r w:rsidR="00A618BF" w:rsidRPr="00E8656C">
        <w:rPr>
          <w:rFonts w:cs="Arial"/>
        </w:rPr>
        <w:t xml:space="preserve"> restrictions</w:t>
      </w:r>
      <w:r w:rsidRPr="00E8656C">
        <w:rPr>
          <w:rFonts w:cs="Arial"/>
        </w:rPr>
        <w:t xml:space="preserve">. Since then, their </w:t>
      </w:r>
      <w:r w:rsidR="00AB7CF7" w:rsidRPr="00E8656C">
        <w:rPr>
          <w:rFonts w:cs="Arial"/>
        </w:rPr>
        <w:t>P</w:t>
      </w:r>
      <w:r w:rsidRPr="00E8656C">
        <w:rPr>
          <w:rFonts w:cs="Arial"/>
        </w:rPr>
        <w:t xml:space="preserve">eer </w:t>
      </w:r>
      <w:r w:rsidR="00AB7CF7" w:rsidRPr="00E8656C">
        <w:rPr>
          <w:rFonts w:cs="Arial"/>
        </w:rPr>
        <w:t>E</w:t>
      </w:r>
      <w:r w:rsidRPr="00E8656C">
        <w:rPr>
          <w:rFonts w:cs="Arial"/>
        </w:rPr>
        <w:t xml:space="preserve">ngagement </w:t>
      </w:r>
      <w:r w:rsidR="00AB7CF7" w:rsidRPr="00E8656C">
        <w:rPr>
          <w:rFonts w:cs="Arial"/>
        </w:rPr>
        <w:t>ratings have</w:t>
      </w:r>
      <w:r w:rsidRPr="00E8656C">
        <w:rPr>
          <w:rFonts w:cs="Arial"/>
        </w:rPr>
        <w:t xml:space="preserve"> </w:t>
      </w:r>
      <w:r w:rsidR="00AB7CF7" w:rsidRPr="00E8656C">
        <w:rPr>
          <w:rFonts w:cs="Arial"/>
        </w:rPr>
        <w:t>improved</w:t>
      </w:r>
      <w:r w:rsidRPr="00E8656C">
        <w:rPr>
          <w:rFonts w:cs="Arial"/>
        </w:rPr>
        <w:t xml:space="preserve"> annually, while external students' ratings have </w:t>
      </w:r>
      <w:r w:rsidR="005B2A43" w:rsidRPr="00E8656C">
        <w:rPr>
          <w:rFonts w:cs="Arial"/>
        </w:rPr>
        <w:t>remained</w:t>
      </w:r>
      <w:r w:rsidRPr="00E8656C">
        <w:rPr>
          <w:rFonts w:cs="Arial"/>
        </w:rPr>
        <w:t xml:space="preserve"> </w:t>
      </w:r>
      <w:r w:rsidR="0091258E" w:rsidRPr="00E8656C">
        <w:rPr>
          <w:rFonts w:cs="Arial"/>
        </w:rPr>
        <w:t>much</w:t>
      </w:r>
      <w:r w:rsidRPr="00E8656C">
        <w:rPr>
          <w:rFonts w:cs="Arial"/>
        </w:rPr>
        <w:t xml:space="preserve"> lower</w:t>
      </w:r>
      <w:r w:rsidR="00C544E5" w:rsidRPr="00E8656C">
        <w:rPr>
          <w:rFonts w:cs="Arial"/>
        </w:rPr>
        <w:t>.</w:t>
      </w:r>
    </w:p>
    <w:p w14:paraId="146C4A41" w14:textId="6CCB6139" w:rsidR="00E967C2" w:rsidRPr="00E8656C" w:rsidRDefault="000A525F" w:rsidP="00E7525C">
      <w:pPr>
        <w:pStyle w:val="Body"/>
        <w:rPr>
          <w:rFonts w:cs="Arial"/>
        </w:rPr>
      </w:pPr>
      <w:r w:rsidRPr="00E8656C">
        <w:rPr>
          <w:rFonts w:cs="Arial"/>
        </w:rPr>
        <w:t>In 2024, Peer Engagement ratings for internal/multi-mode students increased by 1.4 percentage points for undergraduate students and 4.5 percentage points for postgraduate coursework students compared to 2023. In contrast, ratings for external students at both study levels further decreased in 2024, widening the gap between internal/multi-mode and external students.</w:t>
      </w:r>
      <w:r w:rsidR="0093212B" w:rsidRPr="00E8656C">
        <w:rPr>
          <w:rFonts w:cs="Arial"/>
        </w:rPr>
        <w:t xml:space="preserve"> </w:t>
      </w:r>
    </w:p>
    <w:p w14:paraId="6A9811AA" w14:textId="229098C7" w:rsidR="005A5905" w:rsidRPr="00E8656C" w:rsidRDefault="00E967C2" w:rsidP="00695177">
      <w:pPr>
        <w:pStyle w:val="Caption"/>
      </w:pPr>
      <w:r w:rsidRPr="00E8656C">
        <w:br w:type="page"/>
      </w:r>
      <w:bookmarkStart w:id="42" w:name="_Ref121483539"/>
      <w:bookmarkStart w:id="43" w:name="_Toc201065558"/>
      <w:r w:rsidR="005A5905"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8</w:t>
      </w:r>
      <w:r w:rsidR="00EA0581" w:rsidRPr="00E8656C">
        <w:rPr>
          <w:noProof/>
        </w:rPr>
        <w:fldChar w:fldCharType="end"/>
      </w:r>
      <w:bookmarkStart w:id="44" w:name="_Hlk164352571"/>
      <w:bookmarkEnd w:id="42"/>
      <w:r w:rsidR="00695177" w:rsidRPr="00E8656C">
        <w:tab/>
      </w:r>
      <w:r w:rsidR="005A5905" w:rsidRPr="00E8656C">
        <w:t xml:space="preserve">Peer Engagement by </w:t>
      </w:r>
      <w:r w:rsidR="001B0969" w:rsidRPr="00E8656C">
        <w:t>course level and mode of study</w:t>
      </w:r>
      <w:r w:rsidR="005A5905" w:rsidRPr="00E8656C">
        <w:t>, 2017</w:t>
      </w:r>
      <w:r w:rsidR="0059773B" w:rsidRPr="00E8656C">
        <w:t>–</w:t>
      </w:r>
      <w:r w:rsidR="00293CD6" w:rsidRPr="00E8656C">
        <w:t>24</w:t>
      </w:r>
      <w:r w:rsidR="005A5905" w:rsidRPr="00E8656C">
        <w:t xml:space="preserve"> (% positive rating)</w:t>
      </w:r>
      <w:bookmarkEnd w:id="44"/>
      <w:bookmarkEnd w:id="43"/>
    </w:p>
    <w:p w14:paraId="32AD3AD7" w14:textId="77777777" w:rsidR="00B65D1B" w:rsidRPr="00E8656C" w:rsidRDefault="00B65D1B" w:rsidP="00B65D1B">
      <w:pPr>
        <w:pStyle w:val="Body"/>
        <w:rPr>
          <w:rFonts w:cs="Arial"/>
          <w:sz w:val="18"/>
          <w:szCs w:val="18"/>
        </w:rPr>
      </w:pPr>
      <w:r w:rsidRPr="00E8656C">
        <w:rPr>
          <w:rFonts w:cs="Arial"/>
          <w:sz w:val="18"/>
          <w:szCs w:val="18"/>
          <w:lang w:eastAsia="en-AU"/>
        </w:rPr>
        <w:t>(Source: FOCUS_UG_ALL_17-YY_SG, FOCUS_PGC_ALL_17-YY_SG)</w:t>
      </w:r>
    </w:p>
    <w:p w14:paraId="66EA9054" w14:textId="492F4F8F" w:rsidR="005A5905" w:rsidRPr="00E8656C" w:rsidRDefault="00EE2053" w:rsidP="005A5905">
      <w:pPr>
        <w:rPr>
          <w:rFonts w:cs="Arial"/>
        </w:rPr>
      </w:pPr>
      <w:r w:rsidRPr="00E8656C">
        <w:rPr>
          <w:rFonts w:cs="Arial"/>
          <w:noProof/>
        </w:rPr>
        <w:drawing>
          <wp:inline distT="0" distB="0" distL="0" distR="0" wp14:anchorId="370C0FB2" wp14:editId="6DA2963D">
            <wp:extent cx="6642100" cy="2165985"/>
            <wp:effectExtent l="0" t="0" r="6350" b="5715"/>
            <wp:docPr id="1735998261" name="Chart 1">
              <a:extLst xmlns:a="http://schemas.openxmlformats.org/drawingml/2006/main">
                <a:ext uri="{FF2B5EF4-FFF2-40B4-BE49-F238E27FC236}">
                  <a16:creationId xmlns:a16="http://schemas.microsoft.com/office/drawing/2014/main" id="{C9D7F49E-5EB2-46F9-B2CB-DD0D0E63F14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B18A8ED" w14:textId="3055809F" w:rsidR="00EE2053" w:rsidRPr="00E8656C" w:rsidRDefault="00546DF5" w:rsidP="005A5905">
      <w:pPr>
        <w:rPr>
          <w:rFonts w:cs="Arial"/>
        </w:rPr>
      </w:pPr>
      <w:r w:rsidRPr="00E8656C">
        <w:rPr>
          <w:rFonts w:cs="Arial"/>
          <w:noProof/>
        </w:rPr>
        <w:drawing>
          <wp:inline distT="0" distB="0" distL="0" distR="0" wp14:anchorId="5B341805" wp14:editId="116A9F25">
            <wp:extent cx="6642100" cy="2161540"/>
            <wp:effectExtent l="0" t="0" r="6350" b="0"/>
            <wp:docPr id="1908830828" name="Chart 1">
              <a:extLst xmlns:a="http://schemas.openxmlformats.org/drawingml/2006/main">
                <a:ext uri="{FF2B5EF4-FFF2-40B4-BE49-F238E27FC236}">
                  <a16:creationId xmlns:a16="http://schemas.microsoft.com/office/drawing/2014/main" id="{7D1DA369-7F57-4523-8D63-AF517EE1CED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1C0748F" w14:textId="77777777" w:rsidR="007D733B" w:rsidRPr="00E8656C" w:rsidRDefault="007D733B" w:rsidP="005A5905">
      <w:pPr>
        <w:rPr>
          <w:rFonts w:cs="Arial"/>
        </w:rPr>
      </w:pPr>
    </w:p>
    <w:p w14:paraId="218C6D2D" w14:textId="236E829A" w:rsidR="005851EC" w:rsidRPr="00E8656C" w:rsidRDefault="005851EC" w:rsidP="001141C7">
      <w:pPr>
        <w:pStyle w:val="FigureNote"/>
        <w:jc w:val="left"/>
        <w:rPr>
          <w:rFonts w:cs="Arial"/>
          <w:sz w:val="18"/>
          <w:szCs w:val="24"/>
        </w:rPr>
      </w:pPr>
      <w:r w:rsidRPr="00E8656C">
        <w:rPr>
          <w:rFonts w:cs="Arial"/>
          <w:sz w:val="18"/>
          <w:szCs w:val="24"/>
        </w:rPr>
        <w:t xml:space="preserve">Note that the dotted lines between 2022 and 2023 indicate the change in underlying items of the Peer Engagement focus area. </w:t>
      </w:r>
      <w:r w:rsidRPr="00E8656C">
        <w:rPr>
          <w:rStyle w:val="ui-provider"/>
          <w:rFonts w:cs="Arial"/>
          <w:sz w:val="18"/>
          <w:szCs w:val="24"/>
        </w:rPr>
        <w:t>When comparing year-on-year changes, it is recommended that modifications to underlying questionnaire items be taken into consideration when interpreting results.</w:t>
      </w:r>
      <w:r w:rsidRPr="00E8656C">
        <w:rPr>
          <w:rFonts w:cs="Arial"/>
          <w:sz w:val="18"/>
          <w:szCs w:val="24"/>
        </w:rPr>
        <w:t xml:space="preserve"> For more information about these changes, refer to</w:t>
      </w:r>
      <w:r w:rsidR="007D733B" w:rsidRPr="00E8656C">
        <w:rPr>
          <w:rFonts w:cs="Arial"/>
          <w:sz w:val="18"/>
          <w:szCs w:val="24"/>
        </w:rPr>
        <w:t xml:space="preserve"> the 2023 SES National Report</w:t>
      </w:r>
      <w:r w:rsidR="00BF4746" w:rsidRPr="00E8656C">
        <w:rPr>
          <w:rFonts w:cs="Arial"/>
          <w:sz w:val="18"/>
          <w:szCs w:val="24"/>
        </w:rPr>
        <w:t>.</w:t>
      </w:r>
    </w:p>
    <w:p w14:paraId="1A9B62B7" w14:textId="32975619" w:rsidR="009366A2" w:rsidRPr="00E8656C" w:rsidRDefault="00FC6762" w:rsidP="00FC6762">
      <w:pPr>
        <w:pStyle w:val="Heading4"/>
        <w:rPr>
          <w:rFonts w:cs="Arial"/>
          <w:color w:val="auto"/>
        </w:rPr>
      </w:pPr>
      <w:r w:rsidRPr="00E8656C">
        <w:rPr>
          <w:rFonts w:cs="Arial"/>
          <w:color w:val="auto"/>
        </w:rPr>
        <w:t>Stage of study</w:t>
      </w:r>
    </w:p>
    <w:p w14:paraId="127B2BCB" w14:textId="43BC4A4B" w:rsidR="00473C2B" w:rsidRPr="00E8656C" w:rsidRDefault="0038553D" w:rsidP="00473C2B">
      <w:pPr>
        <w:pStyle w:val="Body"/>
        <w:rPr>
          <w:rFonts w:cs="Arial"/>
        </w:rPr>
      </w:pPr>
      <w:r w:rsidRPr="00E8656C">
        <w:rPr>
          <w:rFonts w:cs="Arial"/>
        </w:rPr>
        <w:t>Historically, c</w:t>
      </w:r>
      <w:r w:rsidR="00473C2B" w:rsidRPr="00E8656C">
        <w:rPr>
          <w:rFonts w:cs="Arial"/>
        </w:rPr>
        <w:t xml:space="preserve">ommencing students have rated their Overall Educational Experience more positively than </w:t>
      </w:r>
      <w:r w:rsidR="00416203" w:rsidRPr="00E8656C">
        <w:rPr>
          <w:rFonts w:cs="Arial"/>
        </w:rPr>
        <w:t>later-year</w:t>
      </w:r>
      <w:r w:rsidR="003974BB" w:rsidRPr="00E8656C">
        <w:rPr>
          <w:rFonts w:cs="Arial"/>
        </w:rPr>
        <w:t xml:space="preserve"> students</w:t>
      </w:r>
      <w:r w:rsidR="003974BB" w:rsidRPr="00E8656C">
        <w:rPr>
          <w:rStyle w:val="FootnoteReference"/>
          <w:rFonts w:cs="Arial"/>
        </w:rPr>
        <w:footnoteReference w:id="4"/>
      </w:r>
      <w:r w:rsidR="00473C2B" w:rsidRPr="00E8656C">
        <w:rPr>
          <w:rFonts w:cs="Arial"/>
        </w:rPr>
        <w:t xml:space="preserve"> at both undergraduate and </w:t>
      </w:r>
      <w:r w:rsidR="000148EE" w:rsidRPr="00E8656C">
        <w:rPr>
          <w:rFonts w:cs="Arial"/>
        </w:rPr>
        <w:t>postgraduate coursework level</w:t>
      </w:r>
      <w:r w:rsidR="00473C2B" w:rsidRPr="00E8656C">
        <w:rPr>
          <w:rFonts w:cs="Arial"/>
        </w:rPr>
        <w:t xml:space="preserve">s. </w:t>
      </w:r>
      <w:r w:rsidR="00810F7A" w:rsidRPr="00E8656C">
        <w:rPr>
          <w:rFonts w:cs="Arial"/>
        </w:rPr>
        <w:t xml:space="preserve">In contrast, </w:t>
      </w:r>
      <w:r w:rsidR="00416203" w:rsidRPr="00E8656C">
        <w:rPr>
          <w:rFonts w:cs="Arial"/>
        </w:rPr>
        <w:t>later-year</w:t>
      </w:r>
      <w:r w:rsidR="00473C2B" w:rsidRPr="00E8656C">
        <w:rPr>
          <w:rFonts w:cs="Arial"/>
        </w:rPr>
        <w:t xml:space="preserve"> students have </w:t>
      </w:r>
      <w:r w:rsidR="00404A8B" w:rsidRPr="00E8656C">
        <w:rPr>
          <w:rFonts w:cs="Arial"/>
        </w:rPr>
        <w:t>r</w:t>
      </w:r>
      <w:r w:rsidR="00473C2B" w:rsidRPr="00E8656C">
        <w:rPr>
          <w:rFonts w:cs="Arial"/>
        </w:rPr>
        <w:t>ated Skills Development more positively than commencing students at both levels.</w:t>
      </w:r>
    </w:p>
    <w:p w14:paraId="593DE9B4" w14:textId="60E3EE27" w:rsidR="002C02E7" w:rsidRPr="00E8656C" w:rsidRDefault="002C02E7" w:rsidP="002C02E7">
      <w:pPr>
        <w:pStyle w:val="Body"/>
        <w:rPr>
          <w:rFonts w:cs="Arial"/>
        </w:rPr>
      </w:pPr>
      <w:r w:rsidRPr="00E8656C">
        <w:rPr>
          <w:rFonts w:cs="Arial"/>
        </w:rPr>
        <w:t>In 202</w:t>
      </w:r>
      <w:r w:rsidR="00E35DB0" w:rsidRPr="00E8656C">
        <w:rPr>
          <w:rFonts w:cs="Arial"/>
        </w:rPr>
        <w:t>4</w:t>
      </w:r>
      <w:r w:rsidRPr="00E8656C">
        <w:rPr>
          <w:rFonts w:cs="Arial"/>
        </w:rPr>
        <w:t xml:space="preserve">, undergraduate commencing students continued to rate their experience </w:t>
      </w:r>
      <w:r w:rsidR="00E573C6" w:rsidRPr="00E8656C">
        <w:rPr>
          <w:rFonts w:cs="Arial"/>
        </w:rPr>
        <w:t xml:space="preserve">across the focus areas </w:t>
      </w:r>
      <w:r w:rsidRPr="00E8656C">
        <w:rPr>
          <w:rFonts w:cs="Arial"/>
        </w:rPr>
        <w:t xml:space="preserve">more positively than </w:t>
      </w:r>
      <w:r w:rsidR="00416203" w:rsidRPr="00E8656C">
        <w:rPr>
          <w:rFonts w:cs="Arial"/>
        </w:rPr>
        <w:t>later-year</w:t>
      </w:r>
      <w:r w:rsidRPr="00E8656C">
        <w:rPr>
          <w:rFonts w:cs="Arial"/>
        </w:rPr>
        <w:t xml:space="preserve"> students, except </w:t>
      </w:r>
      <w:r w:rsidR="00841D25" w:rsidRPr="00E8656C">
        <w:rPr>
          <w:rFonts w:cs="Arial"/>
        </w:rPr>
        <w:t xml:space="preserve">in </w:t>
      </w:r>
      <w:r w:rsidRPr="00E8656C">
        <w:rPr>
          <w:rFonts w:cs="Arial"/>
        </w:rPr>
        <w:t>Skills Development</w:t>
      </w:r>
      <w:r w:rsidR="00BD4FAE" w:rsidRPr="00E8656C">
        <w:rPr>
          <w:rFonts w:cs="Arial"/>
        </w:rPr>
        <w:t xml:space="preserve"> (</w:t>
      </w:r>
      <w:r w:rsidR="00210ED9" w:rsidRPr="00E8656C">
        <w:rPr>
          <w:rFonts w:cs="Arial"/>
          <w:b/>
          <w:bCs/>
        </w:rPr>
        <w:fldChar w:fldCharType="begin"/>
      </w:r>
      <w:r w:rsidR="00210ED9" w:rsidRPr="00E8656C">
        <w:rPr>
          <w:rFonts w:cs="Arial"/>
          <w:b/>
          <w:bCs/>
        </w:rPr>
        <w:instrText xml:space="preserve"> REF _Ref193712781 \h  \* MERGEFORMAT </w:instrText>
      </w:r>
      <w:r w:rsidR="00210ED9" w:rsidRPr="00E8656C">
        <w:rPr>
          <w:rFonts w:cs="Arial"/>
          <w:b/>
          <w:bCs/>
        </w:rPr>
      </w:r>
      <w:r w:rsidR="00210ED9" w:rsidRPr="00E8656C">
        <w:rPr>
          <w:rFonts w:cs="Arial"/>
          <w:b/>
          <w:bCs/>
        </w:rPr>
        <w:fldChar w:fldCharType="separate"/>
      </w:r>
      <w:r w:rsidR="00BA0CC0" w:rsidRPr="00E8656C">
        <w:rPr>
          <w:rFonts w:cs="Arial"/>
          <w:b/>
          <w:bCs/>
        </w:rPr>
        <w:t xml:space="preserve">Figure </w:t>
      </w:r>
      <w:r w:rsidR="00BA0CC0" w:rsidRPr="00E8656C">
        <w:rPr>
          <w:rFonts w:cs="Arial"/>
          <w:b/>
          <w:bCs/>
          <w:noProof/>
        </w:rPr>
        <w:t>9</w:t>
      </w:r>
      <w:r w:rsidR="00210ED9" w:rsidRPr="00E8656C">
        <w:rPr>
          <w:rFonts w:cs="Arial"/>
          <w:b/>
          <w:bCs/>
        </w:rPr>
        <w:fldChar w:fldCharType="end"/>
      </w:r>
      <w:r w:rsidR="00BD4FAE" w:rsidRPr="00E8656C">
        <w:rPr>
          <w:rFonts w:cs="Arial"/>
        </w:rPr>
        <w:t>)</w:t>
      </w:r>
      <w:r w:rsidRPr="00E8656C">
        <w:rPr>
          <w:rFonts w:cs="Arial"/>
        </w:rPr>
        <w:t xml:space="preserve">. </w:t>
      </w:r>
      <w:r w:rsidR="00225009" w:rsidRPr="00E8656C">
        <w:rPr>
          <w:rFonts w:cs="Arial"/>
        </w:rPr>
        <w:t xml:space="preserve">The largest differences between undergraduate commencing and </w:t>
      </w:r>
      <w:r w:rsidR="00416203" w:rsidRPr="00E8656C">
        <w:rPr>
          <w:rFonts w:cs="Arial"/>
        </w:rPr>
        <w:t>later-year</w:t>
      </w:r>
      <w:r w:rsidR="00225009" w:rsidRPr="00E8656C">
        <w:rPr>
          <w:rFonts w:cs="Arial"/>
        </w:rPr>
        <w:t xml:space="preserve"> student ratings in 2024 were in Learning Resources</w:t>
      </w:r>
      <w:r w:rsidR="006425FD" w:rsidRPr="00E8656C">
        <w:rPr>
          <w:rFonts w:cs="Arial"/>
        </w:rPr>
        <w:t>,</w:t>
      </w:r>
      <w:r w:rsidR="00225009" w:rsidRPr="00E8656C">
        <w:rPr>
          <w:rFonts w:cs="Arial"/>
        </w:rPr>
        <w:t xml:space="preserve"> Student Support and Services</w:t>
      </w:r>
      <w:r w:rsidR="0051743F" w:rsidRPr="00E8656C">
        <w:rPr>
          <w:rFonts w:cs="Arial"/>
        </w:rPr>
        <w:t xml:space="preserve"> </w:t>
      </w:r>
      <w:r w:rsidR="006425FD" w:rsidRPr="00E8656C">
        <w:rPr>
          <w:rFonts w:cs="Arial"/>
        </w:rPr>
        <w:t xml:space="preserve">and Overall Educational Experience </w:t>
      </w:r>
      <w:r w:rsidR="0051743F" w:rsidRPr="00E8656C">
        <w:rPr>
          <w:rFonts w:cs="Arial"/>
        </w:rPr>
        <w:t xml:space="preserve">which were </w:t>
      </w:r>
      <w:r w:rsidR="00766593" w:rsidRPr="00E8656C">
        <w:rPr>
          <w:rFonts w:cs="Arial"/>
        </w:rPr>
        <w:t xml:space="preserve">respectively </w:t>
      </w:r>
      <w:r w:rsidR="0051743F" w:rsidRPr="00E8656C">
        <w:rPr>
          <w:rFonts w:cs="Arial"/>
        </w:rPr>
        <w:t>8.1</w:t>
      </w:r>
      <w:r w:rsidR="006425FD" w:rsidRPr="00E8656C">
        <w:rPr>
          <w:rFonts w:cs="Arial"/>
        </w:rPr>
        <w:t>,</w:t>
      </w:r>
      <w:r w:rsidR="00927DC9" w:rsidRPr="00E8656C">
        <w:rPr>
          <w:rFonts w:cs="Arial"/>
        </w:rPr>
        <w:t xml:space="preserve"> </w:t>
      </w:r>
      <w:r w:rsidR="00225009" w:rsidRPr="00E8656C">
        <w:rPr>
          <w:rFonts w:cs="Arial"/>
        </w:rPr>
        <w:t xml:space="preserve">7.0 </w:t>
      </w:r>
      <w:r w:rsidR="00766593" w:rsidRPr="00E8656C">
        <w:rPr>
          <w:rFonts w:cs="Arial"/>
        </w:rPr>
        <w:t xml:space="preserve">and 6.6 </w:t>
      </w:r>
      <w:r w:rsidR="00225009" w:rsidRPr="00E8656C">
        <w:rPr>
          <w:rFonts w:cs="Arial"/>
        </w:rPr>
        <w:t>percentage points</w:t>
      </w:r>
      <w:r w:rsidR="0051743F" w:rsidRPr="00E8656C">
        <w:rPr>
          <w:rFonts w:cs="Arial"/>
        </w:rPr>
        <w:t xml:space="preserve"> higher for </w:t>
      </w:r>
      <w:r w:rsidR="00E91E83" w:rsidRPr="00E8656C">
        <w:rPr>
          <w:rFonts w:cs="Arial"/>
        </w:rPr>
        <w:t>commencing</w:t>
      </w:r>
      <w:r w:rsidR="0051743F" w:rsidRPr="00E8656C">
        <w:rPr>
          <w:rFonts w:cs="Arial"/>
        </w:rPr>
        <w:t xml:space="preserve"> students</w:t>
      </w:r>
      <w:r w:rsidR="003C24B7" w:rsidRPr="00E8656C">
        <w:rPr>
          <w:rFonts w:cs="Arial"/>
        </w:rPr>
        <w:t xml:space="preserve"> than </w:t>
      </w:r>
      <w:r w:rsidR="00416203" w:rsidRPr="00E8656C">
        <w:rPr>
          <w:rFonts w:cs="Arial"/>
        </w:rPr>
        <w:t>later-year</w:t>
      </w:r>
      <w:r w:rsidR="003C24B7" w:rsidRPr="00E8656C">
        <w:rPr>
          <w:rFonts w:cs="Arial"/>
        </w:rPr>
        <w:t xml:space="preserve"> students.</w:t>
      </w:r>
    </w:p>
    <w:p w14:paraId="7CC23B55" w14:textId="3C51F5D7" w:rsidR="005D635F" w:rsidRPr="00E8656C" w:rsidRDefault="005851EC" w:rsidP="005851EC">
      <w:pPr>
        <w:pStyle w:val="Body"/>
        <w:rPr>
          <w:rFonts w:cs="Arial"/>
        </w:rPr>
      </w:pPr>
      <w:r w:rsidRPr="00E8656C">
        <w:rPr>
          <w:rFonts w:cs="Arial"/>
        </w:rPr>
        <w:t>For postgraduate coursework students in 202</w:t>
      </w:r>
      <w:r w:rsidR="00E35DB0" w:rsidRPr="00E8656C">
        <w:rPr>
          <w:rFonts w:cs="Arial"/>
        </w:rPr>
        <w:t>4</w:t>
      </w:r>
      <w:r w:rsidR="00BD7B41" w:rsidRPr="00E8656C">
        <w:rPr>
          <w:rFonts w:cs="Arial"/>
        </w:rPr>
        <w:t>,</w:t>
      </w:r>
      <w:r w:rsidRPr="00E8656C">
        <w:rPr>
          <w:rFonts w:cs="Arial"/>
        </w:rPr>
        <w:t xml:space="preserve"> differences in ratings between commencing and </w:t>
      </w:r>
      <w:r w:rsidR="00416203" w:rsidRPr="00E8656C">
        <w:rPr>
          <w:rFonts w:cs="Arial"/>
        </w:rPr>
        <w:t>later-year</w:t>
      </w:r>
      <w:r w:rsidRPr="00E8656C">
        <w:rPr>
          <w:rFonts w:cs="Arial"/>
        </w:rPr>
        <w:t xml:space="preserve"> students were less </w:t>
      </w:r>
      <w:r w:rsidR="00137D46" w:rsidRPr="00E8656C">
        <w:rPr>
          <w:rFonts w:cs="Arial"/>
        </w:rPr>
        <w:t>pronounced</w:t>
      </w:r>
      <w:r w:rsidR="00EE66E1" w:rsidRPr="00E8656C">
        <w:rPr>
          <w:rFonts w:cs="Arial"/>
        </w:rPr>
        <w:t>,</w:t>
      </w:r>
      <w:r w:rsidR="00137D46" w:rsidRPr="00E8656C">
        <w:rPr>
          <w:rFonts w:cs="Arial"/>
        </w:rPr>
        <w:t xml:space="preserve"> </w:t>
      </w:r>
      <w:r w:rsidR="006C7540" w:rsidRPr="00E8656C">
        <w:rPr>
          <w:rFonts w:cs="Arial"/>
        </w:rPr>
        <w:t>likely due to their previous higher education experience. </w:t>
      </w:r>
      <w:r w:rsidR="000918EF" w:rsidRPr="00E8656C">
        <w:rPr>
          <w:rFonts w:cs="Arial"/>
        </w:rPr>
        <w:t xml:space="preserve">However, </w:t>
      </w:r>
      <w:r w:rsidR="00416203" w:rsidRPr="00E8656C">
        <w:rPr>
          <w:rFonts w:cs="Arial"/>
        </w:rPr>
        <w:t>later-year</w:t>
      </w:r>
      <w:r w:rsidR="000918EF" w:rsidRPr="00E8656C">
        <w:rPr>
          <w:rFonts w:cs="Arial"/>
        </w:rPr>
        <w:t xml:space="preserve"> students rated their Skills Development and Peer Engagement more highly than commencing students.</w:t>
      </w:r>
    </w:p>
    <w:p w14:paraId="2F51133F" w14:textId="77777777" w:rsidR="005D635F" w:rsidRPr="00E8656C" w:rsidRDefault="005D635F">
      <w:pPr>
        <w:spacing w:after="160" w:line="259" w:lineRule="auto"/>
        <w:rPr>
          <w:rFonts w:eastAsia="Times New Roman" w:cs="Arial"/>
          <w:szCs w:val="20"/>
        </w:rPr>
      </w:pPr>
      <w:r w:rsidRPr="00E8656C">
        <w:rPr>
          <w:rFonts w:cs="Arial"/>
        </w:rPr>
        <w:br w:type="page"/>
      </w:r>
    </w:p>
    <w:p w14:paraId="373B82F2" w14:textId="1CF096B3" w:rsidR="002824AF" w:rsidRPr="00E8656C" w:rsidRDefault="002824AF" w:rsidP="00695177">
      <w:pPr>
        <w:pStyle w:val="Caption"/>
      </w:pPr>
      <w:bookmarkStart w:id="45" w:name="_Ref196826549"/>
      <w:bookmarkStart w:id="46" w:name="_Ref193712781"/>
      <w:bookmarkStart w:id="47" w:name="_Ref196826521"/>
      <w:bookmarkStart w:id="48" w:name="_Toc201065559"/>
      <w:r w:rsidRPr="00E8656C">
        <w:lastRenderedPageBreak/>
        <w:t>Figure</w:t>
      </w:r>
      <w:bookmarkEnd w:id="45"/>
      <w:r w:rsidRPr="00E8656C">
        <w:t xml:space="preserv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9</w:t>
      </w:r>
      <w:r w:rsidR="00EA0581" w:rsidRPr="00E8656C">
        <w:rPr>
          <w:noProof/>
        </w:rPr>
        <w:fldChar w:fldCharType="end"/>
      </w:r>
      <w:bookmarkEnd w:id="46"/>
      <w:r w:rsidR="004D7A82" w:rsidRPr="00E8656C">
        <w:tab/>
      </w:r>
      <w:r w:rsidRPr="00E8656C">
        <w:t>The student experience by course level and stage of study, 2024 (% positive rating)</w:t>
      </w:r>
      <w:bookmarkEnd w:id="47"/>
      <w:bookmarkEnd w:id="48"/>
    </w:p>
    <w:p w14:paraId="7FDAAF1C" w14:textId="245AA5A0" w:rsidR="002824AF" w:rsidRPr="00E8656C" w:rsidRDefault="002824AF" w:rsidP="002824AF">
      <w:pPr>
        <w:pStyle w:val="Body"/>
        <w:rPr>
          <w:rFonts w:cs="Arial"/>
        </w:rPr>
      </w:pPr>
      <w:r w:rsidRPr="00E8656C">
        <w:rPr>
          <w:rFonts w:cs="Arial"/>
          <w:sz w:val="18"/>
          <w:szCs w:val="18"/>
          <w:lang w:eastAsia="en-AU"/>
        </w:rPr>
        <w:t>(Source: FOCUS_UG_ALL_1Y_SG, FOCUS_PGC_ALL_1Y_SG)</w:t>
      </w:r>
    </w:p>
    <w:p w14:paraId="011B4E9E" w14:textId="7475F3C3" w:rsidR="002C02E7" w:rsidRPr="00E8656C" w:rsidRDefault="005851EC" w:rsidP="002C02E7">
      <w:pPr>
        <w:rPr>
          <w:rFonts w:cs="Arial"/>
          <w:noProof/>
        </w:rPr>
      </w:pPr>
      <w:r w:rsidRPr="00E8656C">
        <w:rPr>
          <w:rFonts w:cs="Arial"/>
          <w:noProof/>
        </w:rPr>
        <w:t xml:space="preserve"> </w:t>
      </w:r>
      <w:r w:rsidR="00AC5418" w:rsidRPr="00E8656C">
        <w:rPr>
          <w:rFonts w:cs="Arial"/>
          <w:noProof/>
        </w:rPr>
        <w:drawing>
          <wp:inline distT="0" distB="0" distL="0" distR="0" wp14:anchorId="6C158177" wp14:editId="78D3BF9A">
            <wp:extent cx="6642100" cy="2286635"/>
            <wp:effectExtent l="0" t="0" r="6350" b="0"/>
            <wp:docPr id="1225702073" name="Chart 1">
              <a:extLst xmlns:a="http://schemas.openxmlformats.org/drawingml/2006/main">
                <a:ext uri="{FF2B5EF4-FFF2-40B4-BE49-F238E27FC236}">
                  <a16:creationId xmlns:a16="http://schemas.microsoft.com/office/drawing/2014/main" id="{FFDEA75F-67EC-86DB-7582-1F675747611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1874945" w14:textId="09E1A20B" w:rsidR="00AC5418" w:rsidRPr="00E8656C" w:rsidRDefault="00AC5418" w:rsidP="002C02E7">
      <w:pPr>
        <w:rPr>
          <w:rFonts w:cs="Arial"/>
          <w:noProof/>
        </w:rPr>
      </w:pPr>
      <w:r w:rsidRPr="00E8656C">
        <w:rPr>
          <w:rFonts w:cs="Arial"/>
          <w:noProof/>
        </w:rPr>
        <w:drawing>
          <wp:inline distT="0" distB="0" distL="0" distR="0" wp14:anchorId="301229A8" wp14:editId="6E6A7BA4">
            <wp:extent cx="6642100" cy="2331720"/>
            <wp:effectExtent l="0" t="0" r="6350" b="0"/>
            <wp:docPr id="1393176030" name="Chart 1">
              <a:extLst xmlns:a="http://schemas.openxmlformats.org/drawingml/2006/main">
                <a:ext uri="{FF2B5EF4-FFF2-40B4-BE49-F238E27FC236}">
                  <a16:creationId xmlns:a16="http://schemas.microsoft.com/office/drawing/2014/main" id="{B56A2B20-4843-4682-BB90-3FB95167CD5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159CC71" w14:textId="0B459BAF" w:rsidR="0041062A" w:rsidRPr="00E8656C" w:rsidRDefault="00B80267" w:rsidP="00B80267">
      <w:pPr>
        <w:pStyle w:val="Heading4"/>
        <w:rPr>
          <w:rFonts w:cs="Arial"/>
          <w:color w:val="auto"/>
        </w:rPr>
      </w:pPr>
      <w:r w:rsidRPr="00E8656C">
        <w:rPr>
          <w:rFonts w:cs="Arial"/>
          <w:color w:val="auto"/>
        </w:rPr>
        <w:t>Citizenship</w:t>
      </w:r>
    </w:p>
    <w:p w14:paraId="339DF751" w14:textId="7E0C56E1" w:rsidR="00B56F7A" w:rsidRPr="00E8656C" w:rsidRDefault="00B56F7A" w:rsidP="00B56F7A">
      <w:pPr>
        <w:pStyle w:val="Body"/>
        <w:rPr>
          <w:rFonts w:cs="Arial"/>
        </w:rPr>
      </w:pPr>
      <w:r w:rsidRPr="00E8656C">
        <w:rPr>
          <w:rFonts w:cs="Arial"/>
        </w:rPr>
        <w:t xml:space="preserve">In 2020, international students reported a sharper fall in </w:t>
      </w:r>
      <w:r w:rsidR="00371936" w:rsidRPr="00E8656C">
        <w:rPr>
          <w:rFonts w:cs="Arial"/>
        </w:rPr>
        <w:t>f</w:t>
      </w:r>
      <w:r w:rsidRPr="00E8656C">
        <w:rPr>
          <w:rFonts w:cs="Arial"/>
        </w:rPr>
        <w:t xml:space="preserve">ocus </w:t>
      </w:r>
      <w:r w:rsidR="00371936" w:rsidRPr="00E8656C">
        <w:rPr>
          <w:rFonts w:cs="Arial"/>
        </w:rPr>
        <w:t>a</w:t>
      </w:r>
      <w:r w:rsidRPr="00E8656C">
        <w:rPr>
          <w:rFonts w:cs="Arial"/>
        </w:rPr>
        <w:t>rea ratings compared to domestic students, and these ratings remained relatively low in 2021. This was particularly evident in Peer Engagement, likely due to the high proportion of international students who were overseas</w:t>
      </w:r>
      <w:r w:rsidR="00166831" w:rsidRPr="00E8656C">
        <w:rPr>
          <w:rFonts w:cs="Arial"/>
        </w:rPr>
        <w:t xml:space="preserve"> in 2021</w:t>
      </w:r>
      <w:r w:rsidRPr="00E8656C">
        <w:rPr>
          <w:rFonts w:cs="Arial"/>
        </w:rPr>
        <w:t>.</w:t>
      </w:r>
    </w:p>
    <w:p w14:paraId="4E259E90" w14:textId="4D0B414B" w:rsidR="00B56F7A" w:rsidRPr="00E8656C" w:rsidRDefault="00B56F7A" w:rsidP="00B56F7A">
      <w:pPr>
        <w:pStyle w:val="Body"/>
        <w:rPr>
          <w:rFonts w:cs="Arial"/>
        </w:rPr>
      </w:pPr>
      <w:r w:rsidRPr="00E8656C">
        <w:rPr>
          <w:rFonts w:cs="Arial"/>
        </w:rPr>
        <w:t xml:space="preserve">From 2021 to 2023, ratings from international undergraduate and </w:t>
      </w:r>
      <w:r w:rsidR="000148EE" w:rsidRPr="00E8656C">
        <w:rPr>
          <w:rFonts w:cs="Arial"/>
        </w:rPr>
        <w:t>postgraduate coursework students</w:t>
      </w:r>
      <w:r w:rsidRPr="00E8656C">
        <w:rPr>
          <w:rFonts w:cs="Arial"/>
        </w:rPr>
        <w:t xml:space="preserve"> improved significantly across all focus areas compared to pre-2020 levels. </w:t>
      </w:r>
      <w:proofErr w:type="gramStart"/>
      <w:r w:rsidR="004F1383" w:rsidRPr="00E8656C">
        <w:rPr>
          <w:rFonts w:cs="Arial"/>
        </w:rPr>
        <w:t>Similar to</w:t>
      </w:r>
      <w:proofErr w:type="gramEnd"/>
      <w:r w:rsidR="004F1383" w:rsidRPr="00E8656C">
        <w:rPr>
          <w:rFonts w:cs="Arial"/>
        </w:rPr>
        <w:t xml:space="preserve"> the pattern observed in 2023</w:t>
      </w:r>
      <w:r w:rsidRPr="00E8656C">
        <w:rPr>
          <w:rFonts w:cs="Arial"/>
        </w:rPr>
        <w:t>, all ratings from international students were higher</w:t>
      </w:r>
      <w:r w:rsidR="004F1383" w:rsidRPr="00E8656C">
        <w:rPr>
          <w:rFonts w:cs="Arial"/>
        </w:rPr>
        <w:t xml:space="preserve"> in 2024</w:t>
      </w:r>
      <w:r w:rsidRPr="00E8656C">
        <w:rPr>
          <w:rFonts w:cs="Arial"/>
        </w:rPr>
        <w:t xml:space="preserve"> than before 2020, except for </w:t>
      </w:r>
      <w:r w:rsidR="00332A8B" w:rsidRPr="00E8656C">
        <w:rPr>
          <w:rFonts w:cs="Arial"/>
        </w:rPr>
        <w:t xml:space="preserve">the </w:t>
      </w:r>
      <w:r w:rsidRPr="00E8656C">
        <w:rPr>
          <w:rFonts w:cs="Arial"/>
        </w:rPr>
        <w:t xml:space="preserve">Learning Resources rating among undergraduate international students, which </w:t>
      </w:r>
      <w:r w:rsidR="00332A8B" w:rsidRPr="00E8656C">
        <w:rPr>
          <w:rFonts w:cs="Arial"/>
        </w:rPr>
        <w:t>was</w:t>
      </w:r>
      <w:r w:rsidRPr="00E8656C">
        <w:rPr>
          <w:rFonts w:cs="Arial"/>
        </w:rPr>
        <w:t xml:space="preserve"> 83.5</w:t>
      </w:r>
      <w:r w:rsidR="00641925" w:rsidRPr="00E8656C">
        <w:rPr>
          <w:rFonts w:cs="Arial"/>
        </w:rPr>
        <w:t xml:space="preserve"> per cent</w:t>
      </w:r>
      <w:r w:rsidRPr="00E8656C">
        <w:rPr>
          <w:rFonts w:cs="Arial"/>
        </w:rPr>
        <w:t xml:space="preserve"> in 2018 and 83.0</w:t>
      </w:r>
      <w:r w:rsidR="00641925" w:rsidRPr="00E8656C">
        <w:rPr>
          <w:rFonts w:cs="Arial"/>
        </w:rPr>
        <w:t xml:space="preserve"> per cent</w:t>
      </w:r>
      <w:r w:rsidR="00332A8B" w:rsidRPr="00E8656C">
        <w:rPr>
          <w:rFonts w:cs="Arial"/>
        </w:rPr>
        <w:t xml:space="preserve"> in 2024</w:t>
      </w:r>
      <w:r w:rsidRPr="00E8656C">
        <w:rPr>
          <w:rFonts w:cs="Arial"/>
        </w:rPr>
        <w:t xml:space="preserve">. However, for the first time since 2020, the Overall Educational Experience rating by international students decreased slightly </w:t>
      </w:r>
      <w:r w:rsidR="00696B5C" w:rsidRPr="00E8656C">
        <w:rPr>
          <w:rFonts w:cs="Arial"/>
        </w:rPr>
        <w:t>between 2023 and</w:t>
      </w:r>
      <w:r w:rsidRPr="00E8656C">
        <w:rPr>
          <w:rFonts w:cs="Arial"/>
        </w:rPr>
        <w:t xml:space="preserve"> 2024</w:t>
      </w:r>
      <w:r w:rsidR="00696B5C" w:rsidRPr="00E8656C">
        <w:rPr>
          <w:rFonts w:cs="Arial"/>
        </w:rPr>
        <w:t xml:space="preserve"> </w:t>
      </w:r>
      <w:r w:rsidRPr="00E8656C">
        <w:rPr>
          <w:rFonts w:cs="Arial"/>
        </w:rPr>
        <w:t xml:space="preserve">for both undergraduate </w:t>
      </w:r>
      <w:r w:rsidR="00B26835" w:rsidRPr="00E8656C">
        <w:rPr>
          <w:rFonts w:cs="Arial"/>
        </w:rPr>
        <w:t xml:space="preserve">(from </w:t>
      </w:r>
      <w:r w:rsidR="008B415F" w:rsidRPr="00E8656C">
        <w:rPr>
          <w:rFonts w:cs="Arial"/>
        </w:rPr>
        <w:t>75.8</w:t>
      </w:r>
      <w:r w:rsidR="00B26835" w:rsidRPr="00E8656C">
        <w:rPr>
          <w:rFonts w:cs="Arial"/>
        </w:rPr>
        <w:t xml:space="preserve"> per cent to </w:t>
      </w:r>
      <w:r w:rsidR="008B415F" w:rsidRPr="00E8656C">
        <w:rPr>
          <w:rFonts w:cs="Arial"/>
        </w:rPr>
        <w:t>74.9</w:t>
      </w:r>
      <w:r w:rsidR="00B26835" w:rsidRPr="00E8656C">
        <w:rPr>
          <w:rFonts w:cs="Arial"/>
        </w:rPr>
        <w:t xml:space="preserve"> per cent)</w:t>
      </w:r>
      <w:r w:rsidR="00B26835" w:rsidRPr="00E8656C">
        <w:rPr>
          <w:rFonts w:cs="Arial"/>
          <w:i/>
          <w:iCs/>
        </w:rPr>
        <w:t xml:space="preserve"> </w:t>
      </w:r>
      <w:r w:rsidRPr="00E8656C">
        <w:rPr>
          <w:rFonts w:cs="Arial"/>
        </w:rPr>
        <w:t>and postgraduate coursework students</w:t>
      </w:r>
      <w:r w:rsidR="007A2ECC" w:rsidRPr="00E8656C">
        <w:rPr>
          <w:rFonts w:cs="Arial"/>
        </w:rPr>
        <w:t xml:space="preserve"> </w:t>
      </w:r>
      <w:r w:rsidR="00B26835" w:rsidRPr="00E8656C">
        <w:rPr>
          <w:rFonts w:cs="Arial"/>
        </w:rPr>
        <w:t xml:space="preserve">(from </w:t>
      </w:r>
      <w:r w:rsidR="008B415F" w:rsidRPr="00E8656C">
        <w:rPr>
          <w:rFonts w:cs="Arial"/>
        </w:rPr>
        <w:t>77.0</w:t>
      </w:r>
      <w:r w:rsidR="00B26835" w:rsidRPr="00E8656C">
        <w:rPr>
          <w:rFonts w:cs="Arial"/>
        </w:rPr>
        <w:t xml:space="preserve"> per cent to </w:t>
      </w:r>
      <w:r w:rsidR="00CB1ED6" w:rsidRPr="00E8656C">
        <w:rPr>
          <w:rFonts w:cs="Arial"/>
        </w:rPr>
        <w:t>76.3</w:t>
      </w:r>
      <w:r w:rsidR="00B26835" w:rsidRPr="00E8656C">
        <w:rPr>
          <w:rFonts w:cs="Arial"/>
        </w:rPr>
        <w:t xml:space="preserve"> per cent) </w:t>
      </w:r>
      <w:r w:rsidR="007A2ECC" w:rsidRPr="00E8656C">
        <w:rPr>
          <w:rFonts w:cs="Arial"/>
        </w:rPr>
        <w:t>(</w:t>
      </w:r>
      <w:r w:rsidR="007A2ECC" w:rsidRPr="00E8656C">
        <w:rPr>
          <w:rFonts w:cs="Arial"/>
          <w:b/>
          <w:bCs/>
        </w:rPr>
        <w:fldChar w:fldCharType="begin"/>
      </w:r>
      <w:r w:rsidR="007A2ECC" w:rsidRPr="00E8656C">
        <w:rPr>
          <w:rFonts w:cs="Arial"/>
          <w:b/>
          <w:bCs/>
        </w:rPr>
        <w:instrText xml:space="preserve"> REF _Ref193715131 \h  \* MERGEFORMAT </w:instrText>
      </w:r>
      <w:r w:rsidR="007A2ECC" w:rsidRPr="00E8656C">
        <w:rPr>
          <w:rFonts w:cs="Arial"/>
          <w:b/>
          <w:bCs/>
        </w:rPr>
      </w:r>
      <w:r w:rsidR="007A2ECC" w:rsidRPr="00E8656C">
        <w:rPr>
          <w:rFonts w:cs="Arial"/>
          <w:b/>
          <w:bCs/>
        </w:rPr>
        <w:fldChar w:fldCharType="separate"/>
      </w:r>
      <w:r w:rsidR="00BA0CC0" w:rsidRPr="00E8656C">
        <w:rPr>
          <w:rFonts w:cs="Arial"/>
          <w:b/>
          <w:bCs/>
        </w:rPr>
        <w:t xml:space="preserve">Figure </w:t>
      </w:r>
      <w:r w:rsidR="00BA0CC0" w:rsidRPr="00E8656C">
        <w:rPr>
          <w:rFonts w:cs="Arial"/>
          <w:b/>
          <w:bCs/>
          <w:noProof/>
        </w:rPr>
        <w:t>10</w:t>
      </w:r>
      <w:r w:rsidR="007A2ECC" w:rsidRPr="00E8656C">
        <w:rPr>
          <w:rFonts w:cs="Arial"/>
          <w:b/>
          <w:bCs/>
        </w:rPr>
        <w:fldChar w:fldCharType="end"/>
      </w:r>
      <w:r w:rsidR="007A2ECC" w:rsidRPr="00E8656C">
        <w:rPr>
          <w:rFonts w:cs="Arial"/>
        </w:rPr>
        <w:t>)</w:t>
      </w:r>
      <w:r w:rsidRPr="00E8656C">
        <w:rPr>
          <w:rFonts w:cs="Arial"/>
        </w:rPr>
        <w:t>.</w:t>
      </w:r>
    </w:p>
    <w:p w14:paraId="5DD14672" w14:textId="77777777" w:rsidR="00B65D1B" w:rsidRPr="00E8656C" w:rsidRDefault="00B65D1B" w:rsidP="00695177">
      <w:pPr>
        <w:pStyle w:val="Caption"/>
      </w:pPr>
      <w:r w:rsidRPr="00E8656C">
        <w:br w:type="page"/>
      </w:r>
    </w:p>
    <w:p w14:paraId="6CAE3BAE" w14:textId="1B595421" w:rsidR="009854EC" w:rsidRPr="00E8656C" w:rsidRDefault="009854EC" w:rsidP="00695177">
      <w:pPr>
        <w:pStyle w:val="Caption"/>
      </w:pPr>
      <w:bookmarkStart w:id="49" w:name="_Ref193715131"/>
      <w:bookmarkStart w:id="50" w:name="_Toc201065560"/>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10</w:t>
      </w:r>
      <w:r w:rsidR="00EA0581" w:rsidRPr="00E8656C">
        <w:rPr>
          <w:noProof/>
        </w:rPr>
        <w:fldChar w:fldCharType="end"/>
      </w:r>
      <w:bookmarkEnd w:id="49"/>
      <w:r w:rsidR="004D7A82" w:rsidRPr="00E8656C">
        <w:tab/>
      </w:r>
      <w:r w:rsidRPr="00E8656C">
        <w:t>Overall Educational Experience by course level and citizenship, 2017</w:t>
      </w:r>
      <w:r w:rsidR="0059773B" w:rsidRPr="00E8656C">
        <w:t>–</w:t>
      </w:r>
      <w:r w:rsidR="00293CD6" w:rsidRPr="00E8656C">
        <w:t>24</w:t>
      </w:r>
      <w:r w:rsidRPr="00E8656C">
        <w:t xml:space="preserve"> (% positive rating)</w:t>
      </w:r>
      <w:bookmarkEnd w:id="50"/>
    </w:p>
    <w:p w14:paraId="7E89D6D8" w14:textId="77777777" w:rsidR="00B65D1B" w:rsidRPr="00E8656C" w:rsidRDefault="00B65D1B" w:rsidP="00B65D1B">
      <w:pPr>
        <w:pStyle w:val="Body"/>
        <w:rPr>
          <w:rFonts w:cs="Arial"/>
          <w:sz w:val="18"/>
          <w:szCs w:val="18"/>
        </w:rPr>
      </w:pPr>
      <w:r w:rsidRPr="00E8656C">
        <w:rPr>
          <w:rFonts w:cs="Arial"/>
          <w:sz w:val="18"/>
          <w:szCs w:val="18"/>
          <w:lang w:eastAsia="en-AU"/>
        </w:rPr>
        <w:t>(Source: FOCUS_UG_ALL_17-YY_SG, FOCUS_PGC_ALL_17-YY_SG)</w:t>
      </w:r>
    </w:p>
    <w:p w14:paraId="79BC37D7" w14:textId="77C3A2CE" w:rsidR="00625FE8" w:rsidRPr="00E8656C" w:rsidRDefault="00625FE8" w:rsidP="00B56F7A">
      <w:pPr>
        <w:pStyle w:val="Body"/>
        <w:rPr>
          <w:rFonts w:cs="Arial"/>
        </w:rPr>
      </w:pPr>
      <w:r w:rsidRPr="00E8656C">
        <w:rPr>
          <w:rFonts w:cs="Arial"/>
          <w:noProof/>
        </w:rPr>
        <w:drawing>
          <wp:inline distT="0" distB="0" distL="0" distR="0" wp14:anchorId="2749AF13" wp14:editId="4CFD2CAF">
            <wp:extent cx="5379871" cy="2623135"/>
            <wp:effectExtent l="0" t="0" r="0" b="6350"/>
            <wp:docPr id="850912931" name="Chart 1">
              <a:extLst xmlns:a="http://schemas.openxmlformats.org/drawingml/2006/main">
                <a:ext uri="{FF2B5EF4-FFF2-40B4-BE49-F238E27FC236}">
                  <a16:creationId xmlns:a16="http://schemas.microsoft.com/office/drawing/2014/main" id="{4518D23B-D0A0-4451-B773-4B1ED08066E9}"/>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7048779" w14:textId="290E5C63" w:rsidR="00625FE8" w:rsidRPr="00E8656C" w:rsidRDefault="009854EC" w:rsidP="00B56F7A">
      <w:pPr>
        <w:pStyle w:val="Body"/>
        <w:rPr>
          <w:rFonts w:cs="Arial"/>
        </w:rPr>
      </w:pPr>
      <w:r w:rsidRPr="00E8656C">
        <w:rPr>
          <w:rFonts w:cs="Arial"/>
          <w:noProof/>
        </w:rPr>
        <w:drawing>
          <wp:inline distT="0" distB="0" distL="0" distR="0" wp14:anchorId="26FB0900" wp14:editId="27A82658">
            <wp:extent cx="5379871" cy="2623135"/>
            <wp:effectExtent l="0" t="0" r="0" b="6350"/>
            <wp:docPr id="687975791" name="Chart 1">
              <a:extLst xmlns:a="http://schemas.openxmlformats.org/drawingml/2006/main">
                <a:ext uri="{FF2B5EF4-FFF2-40B4-BE49-F238E27FC236}">
                  <a16:creationId xmlns:a16="http://schemas.microsoft.com/office/drawing/2014/main" id="{E8F4C7F8-B7F2-4AD1-ADD6-75B50D6B2F5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FD14A1F" w14:textId="72CFA5D9" w:rsidR="00214F5C" w:rsidRPr="00E8656C" w:rsidRDefault="00B56F7A" w:rsidP="005A5905">
      <w:pPr>
        <w:pStyle w:val="Body"/>
        <w:rPr>
          <w:rFonts w:cs="Arial"/>
        </w:rPr>
      </w:pPr>
      <w:r w:rsidRPr="00E8656C">
        <w:rPr>
          <w:rFonts w:cs="Arial"/>
        </w:rPr>
        <w:t>Generally,</w:t>
      </w:r>
      <w:r w:rsidR="00A51212" w:rsidRPr="00E8656C">
        <w:rPr>
          <w:rFonts w:cs="Arial"/>
        </w:rPr>
        <w:t xml:space="preserve"> in 2024</w:t>
      </w:r>
      <w:r w:rsidRPr="00E8656C">
        <w:rPr>
          <w:rFonts w:cs="Arial"/>
        </w:rPr>
        <w:t xml:space="preserve"> international student ratings </w:t>
      </w:r>
      <w:r w:rsidR="00C06DEE" w:rsidRPr="00E8656C">
        <w:rPr>
          <w:rFonts w:cs="Arial"/>
        </w:rPr>
        <w:t>were</w:t>
      </w:r>
      <w:r w:rsidRPr="00E8656C">
        <w:rPr>
          <w:rFonts w:cs="Arial"/>
        </w:rPr>
        <w:t xml:space="preserve"> higher than domestic student ratings for most focus areas, except for Learning Resources, where ratings </w:t>
      </w:r>
      <w:r w:rsidR="009A3C09" w:rsidRPr="00E8656C">
        <w:rPr>
          <w:rFonts w:cs="Arial"/>
        </w:rPr>
        <w:t>were</w:t>
      </w:r>
      <w:r w:rsidRPr="00E8656C">
        <w:rPr>
          <w:rFonts w:cs="Arial"/>
        </w:rPr>
        <w:t xml:space="preserve"> broadly similar</w:t>
      </w:r>
      <w:r w:rsidR="006D2EFB" w:rsidRPr="00E8656C">
        <w:rPr>
          <w:rFonts w:cs="Arial"/>
        </w:rPr>
        <w:t xml:space="preserve"> between international and domestic students</w:t>
      </w:r>
      <w:r w:rsidRPr="00E8656C">
        <w:rPr>
          <w:rFonts w:cs="Arial"/>
        </w:rPr>
        <w:t>. In 2024, the most pronounced difference was in Peer Engagement. International undergraduate students rated Peer Engagement 14.8 percentage points higher than domestic students, and postgraduate coursework students rated it 37.2 percentage points higher</w:t>
      </w:r>
      <w:r w:rsidR="00B65D1B" w:rsidRPr="00E8656C">
        <w:rPr>
          <w:rFonts w:cs="Arial"/>
        </w:rPr>
        <w:t xml:space="preserve"> (</w:t>
      </w:r>
      <w:r w:rsidR="00B65D1B" w:rsidRPr="00E8656C">
        <w:rPr>
          <w:rFonts w:cs="Arial"/>
          <w:b/>
          <w:bCs/>
        </w:rPr>
        <w:fldChar w:fldCharType="begin"/>
      </w:r>
      <w:r w:rsidR="00B65D1B" w:rsidRPr="00E8656C">
        <w:rPr>
          <w:rFonts w:cs="Arial"/>
          <w:b/>
          <w:bCs/>
        </w:rPr>
        <w:instrText xml:space="preserve"> REF _Ref193714050 \h  \* MERGEFORMAT </w:instrText>
      </w:r>
      <w:r w:rsidR="00B65D1B" w:rsidRPr="00E8656C">
        <w:rPr>
          <w:rFonts w:cs="Arial"/>
          <w:b/>
          <w:bCs/>
        </w:rPr>
      </w:r>
      <w:r w:rsidR="00B65D1B" w:rsidRPr="00E8656C">
        <w:rPr>
          <w:rFonts w:cs="Arial"/>
          <w:b/>
          <w:bCs/>
        </w:rPr>
        <w:fldChar w:fldCharType="separate"/>
      </w:r>
      <w:r w:rsidR="00BA0CC0" w:rsidRPr="00E8656C">
        <w:rPr>
          <w:rFonts w:cs="Arial"/>
          <w:b/>
          <w:bCs/>
        </w:rPr>
        <w:t xml:space="preserve">Figure </w:t>
      </w:r>
      <w:r w:rsidR="00BA0CC0" w:rsidRPr="00E8656C">
        <w:rPr>
          <w:rFonts w:cs="Arial"/>
          <w:b/>
          <w:bCs/>
          <w:noProof/>
        </w:rPr>
        <w:t>11</w:t>
      </w:r>
      <w:r w:rsidR="00B65D1B" w:rsidRPr="00E8656C">
        <w:rPr>
          <w:rFonts w:cs="Arial"/>
          <w:b/>
          <w:bCs/>
        </w:rPr>
        <w:fldChar w:fldCharType="end"/>
      </w:r>
      <w:r w:rsidR="00B65D1B" w:rsidRPr="00E8656C">
        <w:rPr>
          <w:rFonts w:cs="Arial"/>
        </w:rPr>
        <w:t>)</w:t>
      </w:r>
      <w:r w:rsidRPr="00E8656C">
        <w:rPr>
          <w:rFonts w:cs="Arial"/>
        </w:rPr>
        <w:t xml:space="preserve">. </w:t>
      </w:r>
      <w:r w:rsidR="003A03D0" w:rsidRPr="00E8656C">
        <w:rPr>
          <w:rFonts w:cs="Arial"/>
        </w:rPr>
        <w:t xml:space="preserve">This higher rating by international students might be partly explained by the fact that they are more likely than domestic students to undertake their studies internally or in </w:t>
      </w:r>
      <w:r w:rsidR="00E4098D" w:rsidRPr="00E8656C">
        <w:rPr>
          <w:rFonts w:cs="Arial"/>
        </w:rPr>
        <w:t>multi-mode</w:t>
      </w:r>
      <w:r w:rsidR="003A03D0" w:rsidRPr="00E8656C">
        <w:rPr>
          <w:rFonts w:cs="Arial"/>
        </w:rPr>
        <w:t xml:space="preserve">. </w:t>
      </w:r>
      <w:r w:rsidR="002916FD" w:rsidRPr="00E8656C">
        <w:rPr>
          <w:rFonts w:cs="Arial"/>
        </w:rPr>
        <w:t xml:space="preserve">As mentioned previously, the </w:t>
      </w:r>
      <w:r w:rsidR="003A03D0" w:rsidRPr="00E8656C">
        <w:rPr>
          <w:rFonts w:cs="Arial"/>
        </w:rPr>
        <w:t xml:space="preserve">Peer Engagement </w:t>
      </w:r>
      <w:r w:rsidR="00DC17BF" w:rsidRPr="00E8656C">
        <w:rPr>
          <w:rFonts w:cs="Arial"/>
        </w:rPr>
        <w:t xml:space="preserve">focus area measures </w:t>
      </w:r>
      <w:r w:rsidR="001E40B1" w:rsidRPr="00E8656C">
        <w:rPr>
          <w:rFonts w:cs="Arial"/>
        </w:rPr>
        <w:t>students’ interactions with</w:t>
      </w:r>
      <w:r w:rsidR="00214F5C" w:rsidRPr="00E8656C">
        <w:rPr>
          <w:rFonts w:cs="Arial"/>
        </w:rPr>
        <w:t xml:space="preserve"> their peers in and outside of class</w:t>
      </w:r>
      <w:r w:rsidR="008D3817" w:rsidRPr="00E8656C">
        <w:rPr>
          <w:rFonts w:cs="Arial"/>
        </w:rPr>
        <w:t xml:space="preserve"> an</w:t>
      </w:r>
      <w:r w:rsidR="004358A5" w:rsidRPr="00E8656C">
        <w:rPr>
          <w:rFonts w:cs="Arial"/>
        </w:rPr>
        <w:t xml:space="preserve">d international students are </w:t>
      </w:r>
      <w:r w:rsidR="00E365D0" w:rsidRPr="00E8656C">
        <w:rPr>
          <w:rFonts w:cs="Arial"/>
        </w:rPr>
        <w:t>more likely to be studying on-campus than their domestic counterparts</w:t>
      </w:r>
      <w:r w:rsidR="00214F5C" w:rsidRPr="00E8656C">
        <w:rPr>
          <w:rFonts w:cs="Arial"/>
        </w:rPr>
        <w:t>.</w:t>
      </w:r>
    </w:p>
    <w:p w14:paraId="1F67FB23" w14:textId="49ACA8B7" w:rsidR="00603510" w:rsidRPr="00E8656C" w:rsidRDefault="00603510" w:rsidP="005A5905">
      <w:pPr>
        <w:pStyle w:val="Body"/>
        <w:rPr>
          <w:rFonts w:cs="Arial"/>
        </w:rPr>
      </w:pPr>
      <w:r w:rsidRPr="00E8656C">
        <w:rPr>
          <w:rFonts w:cs="Arial"/>
        </w:rPr>
        <w:t>Further information about the international student experience</w:t>
      </w:r>
      <w:r w:rsidR="00001091" w:rsidRPr="00E8656C">
        <w:rPr>
          <w:rFonts w:cs="Arial"/>
        </w:rPr>
        <w:t xml:space="preserve"> will be presented in the forthcoming </w:t>
      </w:r>
      <w:r w:rsidRPr="00E8656C">
        <w:rPr>
          <w:rFonts w:cs="Arial"/>
        </w:rPr>
        <w:t>202</w:t>
      </w:r>
      <w:r w:rsidR="00134459" w:rsidRPr="00E8656C">
        <w:rPr>
          <w:rFonts w:cs="Arial"/>
        </w:rPr>
        <w:t>4</w:t>
      </w:r>
      <w:r w:rsidRPr="00E8656C">
        <w:rPr>
          <w:rFonts w:cs="Arial"/>
        </w:rPr>
        <w:t xml:space="preserve"> SES International Report.</w:t>
      </w:r>
    </w:p>
    <w:p w14:paraId="0E6BC05D" w14:textId="77777777" w:rsidR="00FC73A8" w:rsidRPr="00E8656C" w:rsidRDefault="00FC73A8" w:rsidP="00695177">
      <w:pPr>
        <w:pStyle w:val="Caption"/>
      </w:pPr>
      <w:r w:rsidRPr="00E8656C">
        <w:br w:type="page"/>
      </w:r>
    </w:p>
    <w:p w14:paraId="60C21284" w14:textId="35A80C45" w:rsidR="00FC73A8" w:rsidRPr="00E8656C" w:rsidRDefault="00FC73A8" w:rsidP="00695177">
      <w:pPr>
        <w:pStyle w:val="Caption"/>
      </w:pPr>
      <w:bookmarkStart w:id="51" w:name="_Ref193714050"/>
      <w:bookmarkStart w:id="52" w:name="_Toc201065561"/>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11</w:t>
      </w:r>
      <w:r w:rsidR="00EA0581" w:rsidRPr="00E8656C">
        <w:rPr>
          <w:noProof/>
        </w:rPr>
        <w:fldChar w:fldCharType="end"/>
      </w:r>
      <w:bookmarkEnd w:id="51"/>
      <w:r w:rsidR="004D7A82" w:rsidRPr="00E8656C">
        <w:tab/>
      </w:r>
      <w:r w:rsidRPr="00E8656C">
        <w:t>Peer Engagement by course level and citizenship, 2017</w:t>
      </w:r>
      <w:r w:rsidR="0059773B" w:rsidRPr="00E8656C">
        <w:t>–</w:t>
      </w:r>
      <w:r w:rsidR="00293CD6" w:rsidRPr="00E8656C">
        <w:t>24</w:t>
      </w:r>
      <w:r w:rsidRPr="00E8656C">
        <w:t xml:space="preserve"> (% positive rating)</w:t>
      </w:r>
      <w:bookmarkEnd w:id="52"/>
    </w:p>
    <w:p w14:paraId="1EB77640" w14:textId="77777777" w:rsidR="00DC1443" w:rsidRPr="00E8656C" w:rsidRDefault="00DC1443" w:rsidP="00DC1443">
      <w:pPr>
        <w:pStyle w:val="Body"/>
        <w:rPr>
          <w:rFonts w:cs="Arial"/>
          <w:sz w:val="18"/>
          <w:szCs w:val="18"/>
        </w:rPr>
      </w:pPr>
      <w:r w:rsidRPr="00E8656C">
        <w:rPr>
          <w:rFonts w:cs="Arial"/>
          <w:sz w:val="18"/>
          <w:szCs w:val="18"/>
          <w:lang w:eastAsia="en-AU"/>
        </w:rPr>
        <w:t>(Source: FOCUS_UG_ALL_17-YY_SG, FOCUS_PGC_ALL_17-YY_SG)</w:t>
      </w:r>
    </w:p>
    <w:p w14:paraId="75CFC300" w14:textId="68B2A2CC" w:rsidR="00350720" w:rsidRPr="00E8656C" w:rsidRDefault="005D7AD7" w:rsidP="005A5905">
      <w:pPr>
        <w:pStyle w:val="Body"/>
        <w:rPr>
          <w:rFonts w:cs="Arial"/>
          <w:noProof/>
        </w:rPr>
      </w:pPr>
      <w:r w:rsidRPr="00E8656C">
        <w:rPr>
          <w:rFonts w:cs="Arial"/>
          <w:noProof/>
        </w:rPr>
        <w:drawing>
          <wp:inline distT="0" distB="0" distL="0" distR="0" wp14:anchorId="281C4E7E" wp14:editId="5BD55545">
            <wp:extent cx="5379871" cy="2623134"/>
            <wp:effectExtent l="0" t="0" r="0" b="6350"/>
            <wp:docPr id="1707729041" name="Chart 1">
              <a:extLst xmlns:a="http://schemas.openxmlformats.org/drawingml/2006/main">
                <a:ext uri="{FF2B5EF4-FFF2-40B4-BE49-F238E27FC236}">
                  <a16:creationId xmlns:a16="http://schemas.microsoft.com/office/drawing/2014/main" id="{BD79F342-E984-116C-F208-01A62263A5E6}"/>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708D074" w14:textId="3B98F738" w:rsidR="005D7AD7" w:rsidRPr="00E8656C" w:rsidRDefault="0024774E" w:rsidP="005A5905">
      <w:pPr>
        <w:pStyle w:val="Body"/>
        <w:rPr>
          <w:rFonts w:cs="Arial"/>
          <w:noProof/>
        </w:rPr>
      </w:pPr>
      <w:r w:rsidRPr="00E8656C">
        <w:rPr>
          <w:rFonts w:cs="Arial"/>
          <w:noProof/>
        </w:rPr>
        <w:drawing>
          <wp:inline distT="0" distB="0" distL="0" distR="0" wp14:anchorId="7650EA0B" wp14:editId="223512F5">
            <wp:extent cx="5379871" cy="2623134"/>
            <wp:effectExtent l="0" t="0" r="0" b="6350"/>
            <wp:docPr id="1012302413" name="Chart 1">
              <a:extLst xmlns:a="http://schemas.openxmlformats.org/drawingml/2006/main">
                <a:ext uri="{FF2B5EF4-FFF2-40B4-BE49-F238E27FC236}">
                  <a16:creationId xmlns:a16="http://schemas.microsoft.com/office/drawing/2014/main" id="{0912CDB0-468E-4FE6-B17A-01D58B94717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F5A6FB8" w14:textId="1D1B6471" w:rsidR="008B4AAB" w:rsidRPr="00E8656C" w:rsidRDefault="008B4AAB" w:rsidP="001141C7">
      <w:pPr>
        <w:pStyle w:val="FigureNote"/>
        <w:jc w:val="left"/>
        <w:rPr>
          <w:rFonts w:cs="Arial"/>
          <w:sz w:val="18"/>
          <w:szCs w:val="24"/>
        </w:rPr>
      </w:pPr>
      <w:r w:rsidRPr="00E8656C">
        <w:rPr>
          <w:rFonts w:cs="Arial"/>
          <w:sz w:val="18"/>
          <w:szCs w:val="24"/>
        </w:rPr>
        <w:t xml:space="preserve">Note that the dotted lines between 2022 and 2023 indicate the change in underlying items of the Peer Engagement focus area. </w:t>
      </w:r>
      <w:r w:rsidRPr="00E8656C">
        <w:rPr>
          <w:rStyle w:val="ui-provider"/>
          <w:rFonts w:cs="Arial"/>
          <w:sz w:val="18"/>
          <w:szCs w:val="24"/>
        </w:rPr>
        <w:t>When comparing year-on-year changes, it is recommended that modifications to underlying questionnaire items be taken into consideration when interpreting results.</w:t>
      </w:r>
      <w:r w:rsidRPr="00E8656C">
        <w:rPr>
          <w:rFonts w:cs="Arial"/>
          <w:sz w:val="18"/>
          <w:szCs w:val="24"/>
        </w:rPr>
        <w:t xml:space="preserve"> For more information about these changes, refer to</w:t>
      </w:r>
      <w:r w:rsidR="00350720" w:rsidRPr="00E8656C">
        <w:rPr>
          <w:rFonts w:cs="Arial"/>
          <w:sz w:val="18"/>
          <w:szCs w:val="24"/>
        </w:rPr>
        <w:t xml:space="preserve"> the 202</w:t>
      </w:r>
      <w:r w:rsidR="007B0DE3" w:rsidRPr="00E8656C">
        <w:rPr>
          <w:rFonts w:cs="Arial"/>
          <w:sz w:val="18"/>
          <w:szCs w:val="24"/>
        </w:rPr>
        <w:t>3</w:t>
      </w:r>
      <w:r w:rsidR="00350720" w:rsidRPr="00E8656C">
        <w:rPr>
          <w:rFonts w:cs="Arial"/>
          <w:sz w:val="18"/>
          <w:szCs w:val="24"/>
        </w:rPr>
        <w:t xml:space="preserve"> SES National Report</w:t>
      </w:r>
      <w:r w:rsidR="009A766F" w:rsidRPr="00E8656C">
        <w:rPr>
          <w:rFonts w:cs="Arial"/>
          <w:sz w:val="18"/>
          <w:szCs w:val="24"/>
        </w:rPr>
        <w:t>.</w:t>
      </w:r>
    </w:p>
    <w:p w14:paraId="6EB2C2F8" w14:textId="36946500" w:rsidR="00FC7638" w:rsidRPr="00E8656C" w:rsidRDefault="00FC7638" w:rsidP="00FC7638">
      <w:pPr>
        <w:pStyle w:val="Heading4"/>
        <w:rPr>
          <w:rFonts w:cs="Arial"/>
          <w:color w:val="auto"/>
        </w:rPr>
      </w:pPr>
      <w:r w:rsidRPr="00E8656C">
        <w:rPr>
          <w:rFonts w:cs="Arial"/>
          <w:color w:val="auto"/>
        </w:rPr>
        <w:t>Disability</w:t>
      </w:r>
      <w:r w:rsidR="00467452" w:rsidRPr="00E8656C">
        <w:rPr>
          <w:rFonts w:cs="Arial"/>
          <w:color w:val="auto"/>
        </w:rPr>
        <w:t xml:space="preserve"> </w:t>
      </w:r>
    </w:p>
    <w:p w14:paraId="2EA6A804" w14:textId="006D834D" w:rsidR="00B51AC2" w:rsidRPr="00E8656C" w:rsidRDefault="00DE1ADE" w:rsidP="005A5905">
      <w:pPr>
        <w:pStyle w:val="Body"/>
        <w:rPr>
          <w:rFonts w:cs="Arial"/>
        </w:rPr>
      </w:pPr>
      <w:r w:rsidRPr="00E8656C">
        <w:rPr>
          <w:rFonts w:cs="Arial"/>
        </w:rPr>
        <w:t>S</w:t>
      </w:r>
      <w:r w:rsidR="005203EA" w:rsidRPr="00E8656C">
        <w:rPr>
          <w:rFonts w:cs="Arial"/>
        </w:rPr>
        <w:t xml:space="preserve">tudents with a reported disability have consistently rated </w:t>
      </w:r>
      <w:r w:rsidR="008A1F4F" w:rsidRPr="00E8656C">
        <w:rPr>
          <w:rFonts w:cs="Arial"/>
        </w:rPr>
        <w:t xml:space="preserve">their </w:t>
      </w:r>
      <w:r w:rsidR="005203EA" w:rsidRPr="00E8656C">
        <w:rPr>
          <w:rFonts w:cs="Arial"/>
        </w:rPr>
        <w:t>Overall Educational Experience lower than those without a disability at both undergraduate and postgraduate coursework levels</w:t>
      </w:r>
      <w:r w:rsidR="005A5905" w:rsidRPr="00E8656C">
        <w:rPr>
          <w:rFonts w:cs="Arial"/>
        </w:rPr>
        <w:t>.</w:t>
      </w:r>
      <w:r w:rsidR="006C702B" w:rsidRPr="00E8656C">
        <w:rPr>
          <w:rFonts w:cs="Arial"/>
        </w:rPr>
        <w:t xml:space="preserve"> This </w:t>
      </w:r>
      <w:r w:rsidR="00AC7B1F" w:rsidRPr="00E8656C">
        <w:rPr>
          <w:rFonts w:cs="Arial"/>
        </w:rPr>
        <w:t>trend</w:t>
      </w:r>
      <w:r w:rsidR="006C702B" w:rsidRPr="00E8656C">
        <w:rPr>
          <w:rFonts w:cs="Arial"/>
        </w:rPr>
        <w:t xml:space="preserve"> persisted in 2024, </w:t>
      </w:r>
      <w:r w:rsidR="00803E82" w:rsidRPr="00E8656C">
        <w:rPr>
          <w:rFonts w:cs="Arial"/>
        </w:rPr>
        <w:t xml:space="preserve">with 74.1 per cent of </w:t>
      </w:r>
      <w:r w:rsidR="00E06E7B" w:rsidRPr="00E8656C">
        <w:rPr>
          <w:rFonts w:cs="Arial"/>
        </w:rPr>
        <w:t xml:space="preserve">undergraduate </w:t>
      </w:r>
      <w:r w:rsidR="00803E82" w:rsidRPr="00E8656C">
        <w:rPr>
          <w:rFonts w:cs="Arial"/>
        </w:rPr>
        <w:t xml:space="preserve">students </w:t>
      </w:r>
      <w:r w:rsidR="00943070" w:rsidRPr="00E8656C">
        <w:rPr>
          <w:rFonts w:cs="Arial"/>
        </w:rPr>
        <w:t xml:space="preserve">and </w:t>
      </w:r>
      <w:r w:rsidR="004E0AED" w:rsidRPr="00E8656C">
        <w:rPr>
          <w:rFonts w:cs="Arial"/>
        </w:rPr>
        <w:t>75.4</w:t>
      </w:r>
      <w:r w:rsidR="00943070" w:rsidRPr="00E8656C">
        <w:rPr>
          <w:rFonts w:cs="Arial"/>
        </w:rPr>
        <w:t xml:space="preserve"> per cent of postgraduate coursework students </w:t>
      </w:r>
      <w:r w:rsidR="00803E82" w:rsidRPr="00E8656C">
        <w:rPr>
          <w:rFonts w:cs="Arial"/>
        </w:rPr>
        <w:t xml:space="preserve">with a </w:t>
      </w:r>
      <w:r w:rsidR="002F54D0" w:rsidRPr="00E8656C">
        <w:rPr>
          <w:rFonts w:cs="Arial"/>
        </w:rPr>
        <w:t>reported</w:t>
      </w:r>
      <w:r w:rsidR="00803E82" w:rsidRPr="00E8656C">
        <w:rPr>
          <w:rFonts w:cs="Arial"/>
        </w:rPr>
        <w:t xml:space="preserve"> disability </w:t>
      </w:r>
      <w:r w:rsidR="00F45F0F" w:rsidRPr="00E8656C">
        <w:rPr>
          <w:rFonts w:cs="Arial"/>
        </w:rPr>
        <w:t xml:space="preserve">rating </w:t>
      </w:r>
      <w:r w:rsidR="00C52FF7" w:rsidRPr="00E8656C">
        <w:rPr>
          <w:rFonts w:cs="Arial"/>
        </w:rPr>
        <w:t>Overall Educational Experience</w:t>
      </w:r>
      <w:r w:rsidR="00F56605" w:rsidRPr="00E8656C">
        <w:rPr>
          <w:rFonts w:cs="Arial"/>
        </w:rPr>
        <w:t xml:space="preserve"> positively</w:t>
      </w:r>
      <w:r w:rsidR="003F3418" w:rsidRPr="00E8656C">
        <w:rPr>
          <w:rFonts w:cs="Arial"/>
        </w:rPr>
        <w:t xml:space="preserve"> (</w:t>
      </w:r>
      <w:r w:rsidR="003F3418" w:rsidRPr="00E8656C">
        <w:rPr>
          <w:rFonts w:cs="Arial"/>
          <w:b/>
          <w:bCs/>
        </w:rPr>
        <w:fldChar w:fldCharType="begin"/>
      </w:r>
      <w:r w:rsidR="003F3418" w:rsidRPr="00E8656C">
        <w:rPr>
          <w:rFonts w:cs="Arial"/>
          <w:b/>
          <w:bCs/>
        </w:rPr>
        <w:instrText xml:space="preserve"> REF _Ref193716545 \h  \* MERGEFORMAT </w:instrText>
      </w:r>
      <w:r w:rsidR="003F3418" w:rsidRPr="00E8656C">
        <w:rPr>
          <w:rFonts w:cs="Arial"/>
          <w:b/>
          <w:bCs/>
        </w:rPr>
      </w:r>
      <w:r w:rsidR="003F3418" w:rsidRPr="00E8656C">
        <w:rPr>
          <w:rFonts w:cs="Arial"/>
          <w:b/>
          <w:bCs/>
        </w:rPr>
        <w:fldChar w:fldCharType="separate"/>
      </w:r>
      <w:r w:rsidR="00BA0CC0" w:rsidRPr="00E8656C">
        <w:rPr>
          <w:rFonts w:cs="Arial"/>
          <w:b/>
          <w:bCs/>
        </w:rPr>
        <w:t xml:space="preserve">Figure </w:t>
      </w:r>
      <w:r w:rsidR="00BA0CC0" w:rsidRPr="00E8656C">
        <w:rPr>
          <w:rFonts w:cs="Arial"/>
          <w:b/>
          <w:bCs/>
          <w:noProof/>
        </w:rPr>
        <w:t>12</w:t>
      </w:r>
      <w:r w:rsidR="003F3418" w:rsidRPr="00E8656C">
        <w:rPr>
          <w:rFonts w:cs="Arial"/>
          <w:b/>
          <w:bCs/>
        </w:rPr>
        <w:fldChar w:fldCharType="end"/>
      </w:r>
      <w:r w:rsidR="003F3418" w:rsidRPr="00E8656C">
        <w:rPr>
          <w:rFonts w:cs="Arial"/>
        </w:rPr>
        <w:t>)</w:t>
      </w:r>
      <w:r w:rsidR="002C32D2" w:rsidRPr="00E8656C">
        <w:rPr>
          <w:rFonts w:cs="Arial"/>
        </w:rPr>
        <w:t xml:space="preserve">. In comparison, </w:t>
      </w:r>
      <w:r w:rsidR="00961497" w:rsidRPr="00E8656C">
        <w:rPr>
          <w:rFonts w:cs="Arial"/>
        </w:rPr>
        <w:t xml:space="preserve">76.9 per cent of </w:t>
      </w:r>
      <w:r w:rsidR="004E0AED" w:rsidRPr="00E8656C">
        <w:rPr>
          <w:rFonts w:cs="Arial"/>
        </w:rPr>
        <w:t>undergraduate</w:t>
      </w:r>
      <w:r w:rsidR="000B0EFE" w:rsidRPr="00E8656C">
        <w:rPr>
          <w:rFonts w:cs="Arial"/>
        </w:rPr>
        <w:t xml:space="preserve"> students</w:t>
      </w:r>
      <w:r w:rsidR="004E0AED" w:rsidRPr="00E8656C">
        <w:rPr>
          <w:rFonts w:cs="Arial"/>
        </w:rPr>
        <w:t xml:space="preserve"> and </w:t>
      </w:r>
      <w:r w:rsidR="00ED4B28" w:rsidRPr="00E8656C">
        <w:rPr>
          <w:rFonts w:cs="Arial"/>
        </w:rPr>
        <w:t xml:space="preserve">76.8 per cent of postgraduate coursework </w:t>
      </w:r>
      <w:r w:rsidR="00961497" w:rsidRPr="00E8656C">
        <w:rPr>
          <w:rFonts w:cs="Arial"/>
        </w:rPr>
        <w:t xml:space="preserve">students </w:t>
      </w:r>
      <w:r w:rsidR="00D0631C" w:rsidRPr="00E8656C">
        <w:rPr>
          <w:rFonts w:cs="Arial"/>
        </w:rPr>
        <w:t>without a</w:t>
      </w:r>
      <w:r w:rsidR="00961497" w:rsidRPr="00E8656C">
        <w:rPr>
          <w:rFonts w:cs="Arial"/>
        </w:rPr>
        <w:t xml:space="preserve"> </w:t>
      </w:r>
      <w:r w:rsidR="00986768" w:rsidRPr="00E8656C">
        <w:rPr>
          <w:rFonts w:cs="Arial"/>
        </w:rPr>
        <w:t xml:space="preserve">reported </w:t>
      </w:r>
      <w:r w:rsidR="00961497" w:rsidRPr="00E8656C">
        <w:rPr>
          <w:rFonts w:cs="Arial"/>
        </w:rPr>
        <w:t>disability</w:t>
      </w:r>
      <w:r w:rsidR="004248FE" w:rsidRPr="00E8656C">
        <w:rPr>
          <w:rFonts w:cs="Arial"/>
        </w:rPr>
        <w:t xml:space="preserve"> rated their </w:t>
      </w:r>
      <w:r w:rsidR="003D4826" w:rsidRPr="00E8656C">
        <w:rPr>
          <w:rFonts w:cs="Arial"/>
        </w:rPr>
        <w:t xml:space="preserve">Overall Educational </w:t>
      </w:r>
      <w:r w:rsidR="00E671D1" w:rsidRPr="00E8656C">
        <w:rPr>
          <w:rFonts w:cs="Arial"/>
        </w:rPr>
        <w:t>Experience positively</w:t>
      </w:r>
      <w:r w:rsidR="00961497" w:rsidRPr="00E8656C">
        <w:rPr>
          <w:rFonts w:cs="Arial"/>
        </w:rPr>
        <w:t>.</w:t>
      </w:r>
      <w:r w:rsidR="003D0B87" w:rsidRPr="00E8656C">
        <w:rPr>
          <w:rFonts w:cs="Arial"/>
        </w:rPr>
        <w:t xml:space="preserve"> </w:t>
      </w:r>
    </w:p>
    <w:p w14:paraId="360A93DC" w14:textId="39317C23" w:rsidR="008F142E" w:rsidRPr="00E8656C" w:rsidRDefault="00685001" w:rsidP="005A5905">
      <w:pPr>
        <w:pStyle w:val="Body"/>
        <w:rPr>
          <w:rFonts w:cs="Arial"/>
        </w:rPr>
      </w:pPr>
      <w:r w:rsidRPr="00E8656C">
        <w:rPr>
          <w:rFonts w:cs="Arial"/>
        </w:rPr>
        <w:t xml:space="preserve">Additionally, </w:t>
      </w:r>
      <w:r w:rsidR="00F01B62" w:rsidRPr="00E8656C">
        <w:rPr>
          <w:rFonts w:cs="Arial"/>
        </w:rPr>
        <w:t xml:space="preserve">in 2024, </w:t>
      </w:r>
      <w:r w:rsidR="00ED4B28" w:rsidRPr="00E8656C">
        <w:rPr>
          <w:rFonts w:cs="Arial"/>
        </w:rPr>
        <w:t xml:space="preserve">students </w:t>
      </w:r>
      <w:r w:rsidR="009377A5" w:rsidRPr="00E8656C">
        <w:rPr>
          <w:rFonts w:cs="Arial"/>
        </w:rPr>
        <w:t xml:space="preserve">with </w:t>
      </w:r>
      <w:r w:rsidR="00B2730D" w:rsidRPr="00E8656C">
        <w:rPr>
          <w:rFonts w:cs="Arial"/>
        </w:rPr>
        <w:t xml:space="preserve">a reported disability rated all focus </w:t>
      </w:r>
      <w:r w:rsidR="00C93829" w:rsidRPr="00E8656C">
        <w:rPr>
          <w:rFonts w:cs="Arial"/>
        </w:rPr>
        <w:t>areas</w:t>
      </w:r>
      <w:r w:rsidR="00B2730D" w:rsidRPr="00E8656C">
        <w:rPr>
          <w:rFonts w:cs="Arial"/>
        </w:rPr>
        <w:t xml:space="preserve"> lower than their peers without a </w:t>
      </w:r>
      <w:r w:rsidR="006A61AB" w:rsidRPr="00E8656C">
        <w:rPr>
          <w:rFonts w:cs="Arial"/>
        </w:rPr>
        <w:t>reported disability</w:t>
      </w:r>
      <w:r w:rsidR="00986768" w:rsidRPr="00E8656C">
        <w:rPr>
          <w:rFonts w:cs="Arial"/>
        </w:rPr>
        <w:t xml:space="preserve">, </w:t>
      </w:r>
      <w:r w:rsidR="00E11D5B" w:rsidRPr="00E8656C">
        <w:rPr>
          <w:rFonts w:cs="Arial"/>
        </w:rPr>
        <w:t>continuing the trend observed since 20</w:t>
      </w:r>
      <w:r w:rsidR="008C6ED4" w:rsidRPr="00E8656C">
        <w:rPr>
          <w:rFonts w:cs="Arial"/>
        </w:rPr>
        <w:t>21</w:t>
      </w:r>
      <w:r w:rsidR="00E11D5B" w:rsidRPr="00E8656C">
        <w:rPr>
          <w:rFonts w:cs="Arial"/>
        </w:rPr>
        <w:t>.</w:t>
      </w:r>
      <w:r w:rsidR="00E210B4" w:rsidRPr="00E8656C">
        <w:rPr>
          <w:rStyle w:val="FootnoteReference"/>
          <w:rFonts w:cs="Arial"/>
        </w:rPr>
        <w:footnoteReference w:id="5"/>
      </w:r>
      <w:r w:rsidR="00986768" w:rsidRPr="00E8656C">
        <w:rPr>
          <w:rFonts w:cs="Arial"/>
        </w:rPr>
        <w:t xml:space="preserve"> </w:t>
      </w:r>
    </w:p>
    <w:p w14:paraId="35324606" w14:textId="77777777" w:rsidR="003F3418" w:rsidRPr="00E8656C" w:rsidRDefault="003F3418" w:rsidP="00695177">
      <w:pPr>
        <w:pStyle w:val="Caption"/>
      </w:pPr>
      <w:r w:rsidRPr="00E8656C">
        <w:br w:type="page"/>
      </w:r>
    </w:p>
    <w:p w14:paraId="2FA2875D" w14:textId="4BA9AE80" w:rsidR="003F3418" w:rsidRPr="00E8656C" w:rsidRDefault="003F3418" w:rsidP="00695177">
      <w:pPr>
        <w:pStyle w:val="Caption"/>
      </w:pPr>
      <w:bookmarkStart w:id="54" w:name="_Ref193716545"/>
      <w:bookmarkStart w:id="55" w:name="_Toc201065562"/>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12</w:t>
      </w:r>
      <w:r w:rsidR="00EA0581" w:rsidRPr="00E8656C">
        <w:rPr>
          <w:noProof/>
        </w:rPr>
        <w:fldChar w:fldCharType="end"/>
      </w:r>
      <w:bookmarkEnd w:id="54"/>
      <w:r w:rsidR="004D7A82" w:rsidRPr="00E8656C">
        <w:tab/>
      </w:r>
      <w:r w:rsidRPr="00E8656C">
        <w:t>Overall Educational Experience by course level and disability status, 2017</w:t>
      </w:r>
      <w:r w:rsidR="0059773B" w:rsidRPr="00E8656C">
        <w:t>–</w:t>
      </w:r>
      <w:r w:rsidR="00293CD6" w:rsidRPr="00E8656C">
        <w:t>24</w:t>
      </w:r>
      <w:r w:rsidRPr="00E8656C">
        <w:t xml:space="preserve"> (% positive rating)</w:t>
      </w:r>
      <w:r w:rsidR="002D181C" w:rsidRPr="00E8656C">
        <w:t>*</w:t>
      </w:r>
      <w:bookmarkEnd w:id="55"/>
    </w:p>
    <w:p w14:paraId="5080B6C7" w14:textId="77777777" w:rsidR="003F3418" w:rsidRPr="00E8656C" w:rsidRDefault="003F3418" w:rsidP="003F3418">
      <w:pPr>
        <w:pStyle w:val="Body"/>
        <w:rPr>
          <w:rFonts w:cs="Arial"/>
          <w:sz w:val="18"/>
          <w:szCs w:val="18"/>
        </w:rPr>
      </w:pPr>
      <w:r w:rsidRPr="00E8656C">
        <w:rPr>
          <w:rFonts w:cs="Arial"/>
          <w:sz w:val="18"/>
          <w:szCs w:val="18"/>
          <w:lang w:eastAsia="en-AU"/>
        </w:rPr>
        <w:t>(Source: FOCUS_UG_ALL_17-YY_SG, FOCUS_PGC_ALL_17-YY_SG)</w:t>
      </w:r>
    </w:p>
    <w:p w14:paraId="480F2E40" w14:textId="083EB7F9" w:rsidR="009624BC" w:rsidRPr="00E8656C" w:rsidRDefault="009A6F61" w:rsidP="009624BC">
      <w:pPr>
        <w:pStyle w:val="Body"/>
        <w:rPr>
          <w:rFonts w:cs="Arial"/>
        </w:rPr>
      </w:pPr>
      <w:r w:rsidRPr="00E8656C">
        <w:rPr>
          <w:rFonts w:cs="Arial"/>
          <w:noProof/>
        </w:rPr>
        <w:drawing>
          <wp:inline distT="0" distB="0" distL="0" distR="0" wp14:anchorId="6924835A" wp14:editId="061636CC">
            <wp:extent cx="6642100" cy="2182495"/>
            <wp:effectExtent l="0" t="0" r="6350" b="8255"/>
            <wp:docPr id="893058043" name="Chart 1">
              <a:extLst xmlns:a="http://schemas.openxmlformats.org/drawingml/2006/main">
                <a:ext uri="{FF2B5EF4-FFF2-40B4-BE49-F238E27FC236}">
                  <a16:creationId xmlns:a16="http://schemas.microsoft.com/office/drawing/2014/main" id="{9848F635-1333-4829-A5E8-2AFEDE2AC6E6}"/>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789D9FB" w14:textId="48029FCE" w:rsidR="007679BD" w:rsidRPr="00E8656C" w:rsidRDefault="009A6F61" w:rsidP="009624BC">
      <w:pPr>
        <w:pStyle w:val="Body"/>
        <w:rPr>
          <w:rFonts w:cs="Arial"/>
        </w:rPr>
      </w:pPr>
      <w:r w:rsidRPr="00E8656C">
        <w:rPr>
          <w:rFonts w:cs="Arial"/>
          <w:noProof/>
        </w:rPr>
        <w:drawing>
          <wp:inline distT="0" distB="0" distL="0" distR="0" wp14:anchorId="27B96BA4" wp14:editId="1D40D919">
            <wp:extent cx="6642100" cy="2181225"/>
            <wp:effectExtent l="0" t="0" r="6350" b="0"/>
            <wp:docPr id="51950404" name="Chart 1">
              <a:extLst xmlns:a="http://schemas.openxmlformats.org/drawingml/2006/main">
                <a:ext uri="{FF2B5EF4-FFF2-40B4-BE49-F238E27FC236}">
                  <a16:creationId xmlns:a16="http://schemas.microsoft.com/office/drawing/2014/main" id="{4120E818-5863-44D6-A0F4-955E53F9554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19ABA6D" w14:textId="4EBE53C2" w:rsidR="002D181C" w:rsidRPr="00E8656C" w:rsidRDefault="002D181C" w:rsidP="002D181C">
      <w:pPr>
        <w:pStyle w:val="Body"/>
        <w:rPr>
          <w:rFonts w:eastAsia="Calibri" w:cs="Arial"/>
          <w:sz w:val="18"/>
          <w:szCs w:val="24"/>
          <w:lang w:val="en-GB"/>
        </w:rPr>
      </w:pPr>
      <w:r w:rsidRPr="00E8656C">
        <w:rPr>
          <w:rFonts w:eastAsia="Calibri" w:cs="Arial"/>
          <w:sz w:val="18"/>
          <w:szCs w:val="24"/>
          <w:lang w:val="en-GB"/>
        </w:rPr>
        <w:t>* Disability status comparisons include both domestic and international student responses</w:t>
      </w:r>
    </w:p>
    <w:p w14:paraId="55E064D4" w14:textId="096E2C0A" w:rsidR="00EE1DBF" w:rsidRPr="00E8656C" w:rsidRDefault="000C0128" w:rsidP="000C0128">
      <w:pPr>
        <w:pStyle w:val="Heading4"/>
        <w:rPr>
          <w:rFonts w:cs="Arial"/>
          <w:color w:val="auto"/>
        </w:rPr>
      </w:pPr>
      <w:r w:rsidRPr="00E8656C">
        <w:rPr>
          <w:rFonts w:cs="Arial"/>
          <w:color w:val="auto"/>
        </w:rPr>
        <w:t>Home language</w:t>
      </w:r>
    </w:p>
    <w:p w14:paraId="11A35D78" w14:textId="50FDD307" w:rsidR="00E64D04" w:rsidRPr="00E8656C" w:rsidRDefault="00846294" w:rsidP="005A5905">
      <w:pPr>
        <w:pStyle w:val="Body"/>
        <w:rPr>
          <w:rFonts w:cs="Arial"/>
        </w:rPr>
      </w:pPr>
      <w:r w:rsidRPr="00E8656C">
        <w:rPr>
          <w:rFonts w:cs="Arial"/>
        </w:rPr>
        <w:t xml:space="preserve">Student ratings of their </w:t>
      </w:r>
      <w:r w:rsidR="00864042" w:rsidRPr="00E8656C">
        <w:rPr>
          <w:rFonts w:cs="Arial"/>
        </w:rPr>
        <w:t>educational experience</w:t>
      </w:r>
      <w:r w:rsidRPr="00E8656C">
        <w:rPr>
          <w:rFonts w:cs="Arial"/>
        </w:rPr>
        <w:t xml:space="preserve"> vary depending on whether their home language is English</w:t>
      </w:r>
      <w:r w:rsidR="00685295" w:rsidRPr="00E8656C">
        <w:rPr>
          <w:rFonts w:cs="Arial"/>
        </w:rPr>
        <w:t xml:space="preserve"> or not</w:t>
      </w:r>
      <w:r w:rsidR="00365FA4" w:rsidRPr="00E8656C">
        <w:rPr>
          <w:rFonts w:cs="Arial"/>
        </w:rPr>
        <w:t>.</w:t>
      </w:r>
      <w:r w:rsidR="00041B06" w:rsidRPr="00E8656C">
        <w:rPr>
          <w:rStyle w:val="FootnoteReference"/>
          <w:rFonts w:cs="Arial"/>
        </w:rPr>
        <w:footnoteReference w:id="6"/>
      </w:r>
      <w:r w:rsidRPr="00E8656C">
        <w:rPr>
          <w:rFonts w:cs="Arial"/>
        </w:rPr>
        <w:t xml:space="preserve"> </w:t>
      </w:r>
      <w:r w:rsidR="00B6266C" w:rsidRPr="00E8656C">
        <w:rPr>
          <w:rFonts w:cs="Arial"/>
        </w:rPr>
        <w:t xml:space="preserve">In this instance, this includes </w:t>
      </w:r>
      <w:r w:rsidR="00B6266C" w:rsidRPr="00E8656C" w:rsidDel="00452E0D">
        <w:rPr>
          <w:rFonts w:cs="Arial"/>
        </w:rPr>
        <w:t xml:space="preserve">both international and </w:t>
      </w:r>
      <w:r w:rsidR="00B6266C" w:rsidRPr="00E8656C">
        <w:rPr>
          <w:rFonts w:cs="Arial"/>
        </w:rPr>
        <w:t>domestic students</w:t>
      </w:r>
      <w:r w:rsidR="005C7B69" w:rsidRPr="00E8656C">
        <w:rPr>
          <w:rFonts w:cs="Arial"/>
        </w:rPr>
        <w:t>.</w:t>
      </w:r>
      <w:r w:rsidR="00E64D04" w:rsidRPr="00E8656C" w:rsidDel="008549F0">
        <w:rPr>
          <w:rFonts w:cs="Arial"/>
        </w:rPr>
        <w:t xml:space="preserve"> </w:t>
      </w:r>
    </w:p>
    <w:p w14:paraId="5BB15869" w14:textId="66DE2FFA" w:rsidR="00846294" w:rsidRPr="00E8656C" w:rsidRDefault="00C54000" w:rsidP="005A5905">
      <w:pPr>
        <w:pStyle w:val="Body"/>
        <w:rPr>
          <w:rFonts w:cs="Arial"/>
        </w:rPr>
      </w:pPr>
      <w:r w:rsidRPr="00E8656C">
        <w:rPr>
          <w:rFonts w:cs="Arial"/>
        </w:rPr>
        <w:t>U</w:t>
      </w:r>
      <w:r w:rsidR="00846294" w:rsidRPr="00E8656C">
        <w:rPr>
          <w:rFonts w:cs="Arial"/>
        </w:rPr>
        <w:t>ndergraduate</w:t>
      </w:r>
      <w:r w:rsidR="00B130BC" w:rsidRPr="00E8656C">
        <w:rPr>
          <w:rFonts w:cs="Arial"/>
        </w:rPr>
        <w:t xml:space="preserve"> </w:t>
      </w:r>
      <w:r w:rsidR="00846294" w:rsidRPr="00E8656C">
        <w:rPr>
          <w:rFonts w:cs="Arial"/>
        </w:rPr>
        <w:t>students whose home language is not English have tended to rate Overall Educational Experience less positively than those whose home language is English. In 2024, the gap between the two groups was 2.</w:t>
      </w:r>
      <w:r w:rsidR="00846294" w:rsidRPr="00E8656C" w:rsidDel="00D104D4">
        <w:rPr>
          <w:rFonts w:cs="Arial"/>
        </w:rPr>
        <w:t>6</w:t>
      </w:r>
      <w:r w:rsidR="00846294" w:rsidRPr="00E8656C">
        <w:rPr>
          <w:rFonts w:cs="Arial"/>
        </w:rPr>
        <w:t xml:space="preserve"> percentage points</w:t>
      </w:r>
      <w:r w:rsidR="00B73B79" w:rsidRPr="00E8656C">
        <w:rPr>
          <w:rFonts w:cs="Arial"/>
        </w:rPr>
        <w:t xml:space="preserve"> (</w:t>
      </w:r>
      <w:r w:rsidR="00B73B79" w:rsidRPr="00E8656C">
        <w:rPr>
          <w:rFonts w:cs="Arial"/>
          <w:b/>
          <w:bCs/>
        </w:rPr>
        <w:fldChar w:fldCharType="begin"/>
      </w:r>
      <w:r w:rsidR="00B73B79" w:rsidRPr="00E8656C">
        <w:rPr>
          <w:rFonts w:cs="Arial"/>
          <w:b/>
          <w:bCs/>
        </w:rPr>
        <w:instrText xml:space="preserve"> REF _Ref195571011 \h  \* MERGEFORMAT </w:instrText>
      </w:r>
      <w:r w:rsidR="00B73B79" w:rsidRPr="00E8656C">
        <w:rPr>
          <w:rFonts w:cs="Arial"/>
          <w:b/>
          <w:bCs/>
        </w:rPr>
      </w:r>
      <w:r w:rsidR="00B73B79" w:rsidRPr="00E8656C">
        <w:rPr>
          <w:rFonts w:cs="Arial"/>
          <w:b/>
          <w:bCs/>
        </w:rPr>
        <w:fldChar w:fldCharType="separate"/>
      </w:r>
      <w:r w:rsidR="00BA0CC0" w:rsidRPr="00E8656C">
        <w:rPr>
          <w:rFonts w:cs="Arial"/>
          <w:b/>
          <w:bCs/>
        </w:rPr>
        <w:t xml:space="preserve">Figure </w:t>
      </w:r>
      <w:r w:rsidR="00BA0CC0" w:rsidRPr="00E8656C">
        <w:rPr>
          <w:rFonts w:cs="Arial"/>
          <w:b/>
          <w:bCs/>
          <w:noProof/>
        </w:rPr>
        <w:t>13</w:t>
      </w:r>
      <w:r w:rsidR="00B73B79" w:rsidRPr="00E8656C">
        <w:rPr>
          <w:rFonts w:cs="Arial"/>
          <w:b/>
          <w:bCs/>
        </w:rPr>
        <w:fldChar w:fldCharType="end"/>
      </w:r>
      <w:r w:rsidR="00B73B79" w:rsidRPr="00E8656C">
        <w:rPr>
          <w:rFonts w:cs="Arial"/>
        </w:rPr>
        <w:t>)</w:t>
      </w:r>
      <w:r w:rsidR="00846294" w:rsidRPr="00E8656C">
        <w:rPr>
          <w:rFonts w:cs="Arial"/>
        </w:rPr>
        <w:t>.</w:t>
      </w:r>
    </w:p>
    <w:p w14:paraId="2B75C983" w14:textId="532B13CA" w:rsidR="00DD32E2" w:rsidRPr="00E8656C" w:rsidRDefault="008528BD" w:rsidP="005A5905">
      <w:pPr>
        <w:pStyle w:val="Body"/>
        <w:rPr>
          <w:rFonts w:cs="Arial"/>
        </w:rPr>
      </w:pPr>
      <w:r w:rsidRPr="00E8656C">
        <w:rPr>
          <w:rFonts w:cs="Arial"/>
        </w:rPr>
        <w:t>A</w:t>
      </w:r>
      <w:r w:rsidR="00DA1E15" w:rsidRPr="00E8656C">
        <w:rPr>
          <w:rFonts w:cs="Arial"/>
        </w:rPr>
        <w:t xml:space="preserve">mong </w:t>
      </w:r>
      <w:r w:rsidR="005A5905" w:rsidRPr="00E8656C">
        <w:rPr>
          <w:rFonts w:cs="Arial"/>
        </w:rPr>
        <w:t>postgraduate coursework students</w:t>
      </w:r>
      <w:r w:rsidR="000A1F7B" w:rsidRPr="00E8656C">
        <w:rPr>
          <w:rFonts w:cs="Arial"/>
        </w:rPr>
        <w:t>,</w:t>
      </w:r>
      <w:r w:rsidRPr="00E8656C">
        <w:rPr>
          <w:rFonts w:cs="Arial"/>
        </w:rPr>
        <w:t xml:space="preserve"> there </w:t>
      </w:r>
      <w:r w:rsidR="009F57E3" w:rsidRPr="00E8656C">
        <w:rPr>
          <w:rFonts w:cs="Arial"/>
        </w:rPr>
        <w:t>wa</w:t>
      </w:r>
      <w:r w:rsidRPr="00E8656C">
        <w:rPr>
          <w:rFonts w:cs="Arial"/>
        </w:rPr>
        <w:t>s</w:t>
      </w:r>
      <w:r w:rsidR="001C5B3A" w:rsidRPr="00E8656C">
        <w:rPr>
          <w:rFonts w:cs="Arial"/>
        </w:rPr>
        <w:t xml:space="preserve"> a 1.5 percentage point di</w:t>
      </w:r>
      <w:r w:rsidR="0054065C" w:rsidRPr="00E8656C">
        <w:rPr>
          <w:rFonts w:cs="Arial"/>
        </w:rPr>
        <w:t>fference</w:t>
      </w:r>
      <w:r w:rsidR="005C4542" w:rsidRPr="00E8656C">
        <w:rPr>
          <w:rFonts w:cs="Arial"/>
        </w:rPr>
        <w:t xml:space="preserve"> in 2024</w:t>
      </w:r>
      <w:r w:rsidR="00E81E5F" w:rsidRPr="00E8656C">
        <w:rPr>
          <w:rFonts w:cs="Arial"/>
        </w:rPr>
        <w:t xml:space="preserve"> Overall Educational Experience ratings</w:t>
      </w:r>
      <w:r w:rsidR="0054065C" w:rsidRPr="00E8656C">
        <w:rPr>
          <w:rFonts w:cs="Arial"/>
        </w:rPr>
        <w:t xml:space="preserve"> between those who</w:t>
      </w:r>
      <w:r w:rsidR="00BE4FAD" w:rsidRPr="00E8656C">
        <w:rPr>
          <w:rFonts w:cs="Arial"/>
        </w:rPr>
        <w:t xml:space="preserve">se home </w:t>
      </w:r>
      <w:r w:rsidR="00D22801" w:rsidRPr="00E8656C">
        <w:rPr>
          <w:rFonts w:cs="Arial"/>
        </w:rPr>
        <w:t>language</w:t>
      </w:r>
      <w:r w:rsidR="00BE4FAD" w:rsidRPr="00E8656C">
        <w:rPr>
          <w:rFonts w:cs="Arial"/>
        </w:rPr>
        <w:t xml:space="preserve"> </w:t>
      </w:r>
      <w:r w:rsidR="00900E62" w:rsidRPr="00E8656C">
        <w:rPr>
          <w:rFonts w:cs="Arial"/>
        </w:rPr>
        <w:t>was</w:t>
      </w:r>
      <w:r w:rsidR="00BE4FAD" w:rsidRPr="00E8656C">
        <w:rPr>
          <w:rFonts w:cs="Arial"/>
        </w:rPr>
        <w:t xml:space="preserve"> English (</w:t>
      </w:r>
      <w:r w:rsidR="00B847D1" w:rsidRPr="00E8656C">
        <w:rPr>
          <w:rFonts w:cs="Arial"/>
        </w:rPr>
        <w:t>77.</w:t>
      </w:r>
      <w:r w:rsidR="00B847D1" w:rsidRPr="00E8656C" w:rsidDel="00975295">
        <w:rPr>
          <w:rFonts w:cs="Arial"/>
        </w:rPr>
        <w:t>4</w:t>
      </w:r>
      <w:r w:rsidR="00B847D1" w:rsidRPr="00E8656C">
        <w:rPr>
          <w:rFonts w:cs="Arial"/>
        </w:rPr>
        <w:t xml:space="preserve"> per cent) and those whose home language </w:t>
      </w:r>
      <w:r w:rsidR="0001752C" w:rsidRPr="00E8656C">
        <w:rPr>
          <w:rFonts w:cs="Arial"/>
        </w:rPr>
        <w:t>was</w:t>
      </w:r>
      <w:r w:rsidR="00B847D1" w:rsidRPr="00E8656C">
        <w:rPr>
          <w:rFonts w:cs="Arial"/>
        </w:rPr>
        <w:t xml:space="preserve"> not English (</w:t>
      </w:r>
      <w:r w:rsidR="00D22801" w:rsidRPr="00E8656C">
        <w:rPr>
          <w:rFonts w:cs="Arial"/>
        </w:rPr>
        <w:t>75.</w:t>
      </w:r>
      <w:r w:rsidR="00D22801" w:rsidRPr="00E8656C" w:rsidDel="00975295">
        <w:rPr>
          <w:rFonts w:cs="Arial"/>
        </w:rPr>
        <w:t>9</w:t>
      </w:r>
      <w:r w:rsidR="00D22801" w:rsidRPr="00E8656C">
        <w:rPr>
          <w:rFonts w:cs="Arial"/>
        </w:rPr>
        <w:t xml:space="preserve"> per cent)</w:t>
      </w:r>
      <w:r w:rsidR="005A5905" w:rsidRPr="00E8656C">
        <w:rPr>
          <w:rFonts w:cs="Arial"/>
        </w:rPr>
        <w:t xml:space="preserve">. </w:t>
      </w:r>
    </w:p>
    <w:p w14:paraId="0452E5F9" w14:textId="77777777" w:rsidR="00DC350D" w:rsidRPr="00E8656C" w:rsidRDefault="00DC350D" w:rsidP="00695177">
      <w:pPr>
        <w:pStyle w:val="Caption"/>
      </w:pPr>
      <w:r w:rsidRPr="00E8656C">
        <w:br w:type="page"/>
      </w:r>
    </w:p>
    <w:p w14:paraId="6C03F541" w14:textId="0A38CA11" w:rsidR="00EF068F" w:rsidRPr="00E8656C" w:rsidRDefault="00EF068F" w:rsidP="00695177">
      <w:pPr>
        <w:pStyle w:val="Caption"/>
      </w:pPr>
      <w:bookmarkStart w:id="56" w:name="_Ref195571011"/>
      <w:bookmarkStart w:id="57" w:name="_Toc201065563"/>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13</w:t>
      </w:r>
      <w:r w:rsidR="00EA0581" w:rsidRPr="00E8656C">
        <w:rPr>
          <w:noProof/>
        </w:rPr>
        <w:fldChar w:fldCharType="end"/>
      </w:r>
      <w:bookmarkEnd w:id="56"/>
      <w:r w:rsidR="004D7A82" w:rsidRPr="00E8656C">
        <w:tab/>
      </w:r>
      <w:r w:rsidRPr="00E8656C">
        <w:t>Overall Educational Experience by course level and home language, 2017</w:t>
      </w:r>
      <w:r w:rsidR="0059773B" w:rsidRPr="00E8656C">
        <w:t>–</w:t>
      </w:r>
      <w:r w:rsidR="00293CD6" w:rsidRPr="00E8656C">
        <w:t>24</w:t>
      </w:r>
      <w:r w:rsidRPr="00E8656C">
        <w:t xml:space="preserve"> (% positive rating)</w:t>
      </w:r>
      <w:r w:rsidR="002D181C" w:rsidRPr="00E8656C">
        <w:t>*</w:t>
      </w:r>
      <w:bookmarkEnd w:id="57"/>
    </w:p>
    <w:p w14:paraId="22748248" w14:textId="30584D88" w:rsidR="006D7700" w:rsidRPr="00E8656C" w:rsidRDefault="00695177" w:rsidP="006D7700">
      <w:pPr>
        <w:pStyle w:val="Body"/>
        <w:rPr>
          <w:rFonts w:cs="Arial"/>
          <w:sz w:val="18"/>
          <w:szCs w:val="18"/>
        </w:rPr>
      </w:pPr>
      <w:r w:rsidRPr="00E8656C">
        <w:rPr>
          <w:rFonts w:cs="Arial"/>
          <w:noProof/>
        </w:rPr>
        <w:drawing>
          <wp:anchor distT="0" distB="0" distL="114300" distR="114300" simplePos="0" relativeHeight="251658240" behindDoc="0" locked="0" layoutInCell="1" allowOverlap="1" wp14:anchorId="32ED08F6" wp14:editId="5E921292">
            <wp:simplePos x="0" y="0"/>
            <wp:positionH relativeFrom="column">
              <wp:posOffset>-439420</wp:posOffset>
            </wp:positionH>
            <wp:positionV relativeFrom="paragraph">
              <wp:posOffset>2901950</wp:posOffset>
            </wp:positionV>
            <wp:extent cx="5379720" cy="2622550"/>
            <wp:effectExtent l="0" t="0" r="0" b="6350"/>
            <wp:wrapTopAndBottom/>
            <wp:docPr id="392220477" name="Chart 1">
              <a:extLst xmlns:a="http://schemas.openxmlformats.org/drawingml/2006/main">
                <a:ext uri="{FF2B5EF4-FFF2-40B4-BE49-F238E27FC236}">
                  <a16:creationId xmlns:a16="http://schemas.microsoft.com/office/drawing/2014/main" id="{BD926F5B-7CD6-4F05-912F-081F43F5403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r w:rsidR="006D7700" w:rsidRPr="00E8656C">
        <w:rPr>
          <w:rFonts w:cs="Arial"/>
          <w:sz w:val="18"/>
          <w:szCs w:val="18"/>
          <w:lang w:eastAsia="en-AU"/>
        </w:rPr>
        <w:t>(Source: FOCUS_UG_ALL_17-YY_SG, FOCUS_PGC_ALL_17-YY_SG)</w:t>
      </w:r>
    </w:p>
    <w:p w14:paraId="612B69B8" w14:textId="724DDE5B" w:rsidR="00F4563F" w:rsidRPr="00E8656C" w:rsidRDefault="00E36B8C" w:rsidP="00F4563F">
      <w:pPr>
        <w:pStyle w:val="Body"/>
        <w:rPr>
          <w:rFonts w:eastAsia="Calibri" w:cs="Arial"/>
          <w:szCs w:val="28"/>
          <w:lang w:val="en-GB"/>
        </w:rPr>
      </w:pPr>
      <w:r w:rsidRPr="00E8656C">
        <w:rPr>
          <w:rFonts w:cs="Arial"/>
          <w:noProof/>
          <w:sz w:val="22"/>
          <w:szCs w:val="22"/>
        </w:rPr>
        <w:drawing>
          <wp:anchor distT="0" distB="0" distL="114300" distR="114300" simplePos="0" relativeHeight="251658241" behindDoc="0" locked="0" layoutInCell="1" allowOverlap="1" wp14:anchorId="3A2252E0" wp14:editId="6B041E46">
            <wp:simplePos x="0" y="0"/>
            <wp:positionH relativeFrom="column">
              <wp:posOffset>0</wp:posOffset>
            </wp:positionH>
            <wp:positionV relativeFrom="paragraph">
              <wp:posOffset>3810</wp:posOffset>
            </wp:positionV>
            <wp:extent cx="5379871" cy="2623134"/>
            <wp:effectExtent l="0" t="0" r="0" b="6350"/>
            <wp:wrapTopAndBottom/>
            <wp:docPr id="2006372845" name="Chart 1">
              <a:extLst xmlns:a="http://schemas.openxmlformats.org/drawingml/2006/main">
                <a:ext uri="{FF2B5EF4-FFF2-40B4-BE49-F238E27FC236}">
                  <a16:creationId xmlns:a16="http://schemas.microsoft.com/office/drawing/2014/main" id="{8596D3B2-322F-4BD8-87BB-0FD3580A76F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r w:rsidR="00F4563F" w:rsidRPr="00E8656C">
        <w:rPr>
          <w:rFonts w:eastAsia="Calibri" w:cs="Arial"/>
          <w:sz w:val="18"/>
          <w:szCs w:val="24"/>
          <w:lang w:val="en-GB"/>
        </w:rPr>
        <w:t>* Home language comparisons include both domestic and international student responses</w:t>
      </w:r>
    </w:p>
    <w:p w14:paraId="0BB645E3" w14:textId="6BE087EF" w:rsidR="009A6162" w:rsidRPr="00E8656C" w:rsidRDefault="009A6162" w:rsidP="005A5905">
      <w:pPr>
        <w:pStyle w:val="Body"/>
        <w:rPr>
          <w:rFonts w:eastAsia="Calibri" w:cs="Arial"/>
          <w:sz w:val="16"/>
          <w:szCs w:val="22"/>
          <w:lang w:val="en-GB"/>
        </w:rPr>
      </w:pPr>
    </w:p>
    <w:p w14:paraId="61B5C388" w14:textId="472B1347" w:rsidR="00692BC6" w:rsidRPr="00E8656C" w:rsidRDefault="00692BC6" w:rsidP="00692BC6">
      <w:pPr>
        <w:pStyle w:val="Heading4"/>
        <w:rPr>
          <w:rFonts w:cs="Arial"/>
          <w:color w:val="auto"/>
        </w:rPr>
      </w:pPr>
      <w:r w:rsidRPr="00E8656C">
        <w:rPr>
          <w:rFonts w:cs="Arial"/>
          <w:color w:val="auto"/>
        </w:rPr>
        <w:t>First Nations</w:t>
      </w:r>
    </w:p>
    <w:p w14:paraId="50559353" w14:textId="0A4B61F6" w:rsidR="00794E78" w:rsidRPr="00E8656C" w:rsidRDefault="00992B3A" w:rsidP="0038010E">
      <w:pPr>
        <w:pStyle w:val="Body"/>
        <w:rPr>
          <w:rFonts w:cs="Arial"/>
        </w:rPr>
      </w:pPr>
      <w:r w:rsidRPr="00E8656C">
        <w:rPr>
          <w:rFonts w:cs="Arial"/>
        </w:rPr>
        <w:t>First Nations</w:t>
      </w:r>
      <w:r w:rsidR="005A5905" w:rsidRPr="00E8656C">
        <w:rPr>
          <w:rFonts w:cs="Arial"/>
        </w:rPr>
        <w:t xml:space="preserve"> students rate</w:t>
      </w:r>
      <w:r w:rsidR="00242D6E" w:rsidRPr="00E8656C">
        <w:rPr>
          <w:rFonts w:cs="Arial"/>
        </w:rPr>
        <w:t xml:space="preserve"> their</w:t>
      </w:r>
      <w:r w:rsidR="005A5905" w:rsidRPr="00E8656C">
        <w:rPr>
          <w:rFonts w:cs="Arial"/>
        </w:rPr>
        <w:t xml:space="preserve"> </w:t>
      </w:r>
      <w:r w:rsidR="00E167A8" w:rsidRPr="00E8656C">
        <w:rPr>
          <w:rFonts w:cs="Arial"/>
        </w:rPr>
        <w:t>O</w:t>
      </w:r>
      <w:r w:rsidR="005A5905" w:rsidRPr="00E8656C">
        <w:rPr>
          <w:rFonts w:cs="Arial"/>
        </w:rPr>
        <w:t xml:space="preserve">verall </w:t>
      </w:r>
      <w:r w:rsidR="00E167A8" w:rsidRPr="00E8656C">
        <w:rPr>
          <w:rFonts w:cs="Arial"/>
        </w:rPr>
        <w:t>E</w:t>
      </w:r>
      <w:r w:rsidR="005A5905" w:rsidRPr="00E8656C">
        <w:rPr>
          <w:rFonts w:cs="Arial"/>
        </w:rPr>
        <w:t xml:space="preserve">ducational </w:t>
      </w:r>
      <w:r w:rsidR="00E167A8" w:rsidRPr="00E8656C">
        <w:rPr>
          <w:rFonts w:cs="Arial"/>
        </w:rPr>
        <w:t>E</w:t>
      </w:r>
      <w:r w:rsidR="005A5905" w:rsidRPr="00E8656C">
        <w:rPr>
          <w:rFonts w:cs="Arial"/>
        </w:rPr>
        <w:t xml:space="preserve">xperience </w:t>
      </w:r>
      <w:r w:rsidR="004B0180" w:rsidRPr="00E8656C">
        <w:rPr>
          <w:rFonts w:cs="Arial"/>
        </w:rPr>
        <w:t xml:space="preserve">similarly to </w:t>
      </w:r>
      <w:r w:rsidR="00A16389" w:rsidRPr="00E8656C">
        <w:rPr>
          <w:rFonts w:cs="Arial"/>
        </w:rPr>
        <w:t xml:space="preserve">domestic </w:t>
      </w:r>
      <w:r w:rsidR="004B0180" w:rsidRPr="00E8656C">
        <w:rPr>
          <w:rFonts w:cs="Arial"/>
        </w:rPr>
        <w:t xml:space="preserve">non-Indigenous students at </w:t>
      </w:r>
      <w:r w:rsidR="0015670C" w:rsidRPr="00E8656C">
        <w:rPr>
          <w:rFonts w:cs="Arial"/>
        </w:rPr>
        <w:t>both</w:t>
      </w:r>
      <w:r w:rsidR="004B0180" w:rsidRPr="00E8656C">
        <w:rPr>
          <w:rFonts w:cs="Arial"/>
        </w:rPr>
        <w:t xml:space="preserve"> undergraduate </w:t>
      </w:r>
      <w:r w:rsidR="00A856F1" w:rsidRPr="00E8656C">
        <w:rPr>
          <w:rFonts w:cs="Arial"/>
        </w:rPr>
        <w:t>and</w:t>
      </w:r>
      <w:r w:rsidR="005A5905" w:rsidRPr="00E8656C">
        <w:rPr>
          <w:rFonts w:cs="Arial"/>
        </w:rPr>
        <w:t xml:space="preserve"> postgraduate coursework level</w:t>
      </w:r>
      <w:r w:rsidR="00A856F1" w:rsidRPr="00E8656C">
        <w:rPr>
          <w:rFonts w:cs="Arial"/>
        </w:rPr>
        <w:t>s</w:t>
      </w:r>
      <w:r w:rsidR="005A5905" w:rsidRPr="00E8656C">
        <w:rPr>
          <w:rFonts w:cs="Arial"/>
        </w:rPr>
        <w:t>.</w:t>
      </w:r>
      <w:r w:rsidR="009F07D2" w:rsidRPr="00E8656C">
        <w:rPr>
          <w:rStyle w:val="FootnoteReference"/>
          <w:rFonts w:cs="Arial"/>
        </w:rPr>
        <w:footnoteReference w:id="7"/>
      </w:r>
      <w:r w:rsidR="005A5905" w:rsidRPr="00E8656C">
        <w:rPr>
          <w:rFonts w:cs="Arial"/>
        </w:rPr>
        <w:t xml:space="preserve"> </w:t>
      </w:r>
      <w:r w:rsidR="00AB6AF9" w:rsidRPr="00E8656C">
        <w:rPr>
          <w:rFonts w:cs="Arial"/>
        </w:rPr>
        <w:t xml:space="preserve">In 2024, First Nations undergraduates rated </w:t>
      </w:r>
      <w:r w:rsidR="00101154" w:rsidRPr="00E8656C">
        <w:rPr>
          <w:rFonts w:cs="Arial"/>
        </w:rPr>
        <w:t>Student Support and Services 3.3 per cent higher than domestic non-Indigenous students</w:t>
      </w:r>
      <w:r w:rsidR="008F2A4D" w:rsidRPr="00E8656C">
        <w:rPr>
          <w:rFonts w:cs="Arial"/>
        </w:rPr>
        <w:t xml:space="preserve"> but the ratings for postgraduate coursework students was broadly similar.</w:t>
      </w:r>
      <w:r w:rsidR="00101154" w:rsidRPr="00E8656C">
        <w:rPr>
          <w:rFonts w:cs="Arial"/>
        </w:rPr>
        <w:t xml:space="preserve"> </w:t>
      </w:r>
    </w:p>
    <w:p w14:paraId="40157037" w14:textId="33464BA2" w:rsidR="0038010E" w:rsidRPr="00E8656C" w:rsidRDefault="00243FCE" w:rsidP="0038010E">
      <w:pPr>
        <w:pStyle w:val="Body"/>
        <w:rPr>
          <w:rFonts w:cs="Arial"/>
        </w:rPr>
      </w:pPr>
      <w:r w:rsidRPr="00E8656C">
        <w:rPr>
          <w:rFonts w:cs="Arial"/>
        </w:rPr>
        <w:t>However,</w:t>
      </w:r>
      <w:r w:rsidR="004C40C4" w:rsidRPr="00E8656C">
        <w:rPr>
          <w:rFonts w:cs="Arial"/>
        </w:rPr>
        <w:t xml:space="preserve"> since 2017, First Nations </w:t>
      </w:r>
      <w:r w:rsidR="00AF6140" w:rsidRPr="00E8656C">
        <w:rPr>
          <w:rFonts w:cs="Arial"/>
        </w:rPr>
        <w:t xml:space="preserve">undergraduate </w:t>
      </w:r>
      <w:r w:rsidR="004C40C4" w:rsidRPr="00E8656C">
        <w:rPr>
          <w:rFonts w:cs="Arial"/>
        </w:rPr>
        <w:t xml:space="preserve">students have consistently rated Peer Engagement lower than </w:t>
      </w:r>
      <w:r w:rsidR="007305CB" w:rsidRPr="00E8656C">
        <w:rPr>
          <w:rFonts w:cs="Arial"/>
        </w:rPr>
        <w:t xml:space="preserve">domestic </w:t>
      </w:r>
      <w:r w:rsidR="004C40C4" w:rsidRPr="00E8656C">
        <w:rPr>
          <w:rFonts w:cs="Arial"/>
        </w:rPr>
        <w:t>non-Indigenous student</w:t>
      </w:r>
      <w:r w:rsidR="00FF30BA" w:rsidRPr="00E8656C">
        <w:rPr>
          <w:rFonts w:cs="Arial"/>
        </w:rPr>
        <w:t>s</w:t>
      </w:r>
      <w:r w:rsidR="004C40C4" w:rsidRPr="00E8656C">
        <w:rPr>
          <w:rFonts w:cs="Arial"/>
        </w:rPr>
        <w:t>. This trend continued in 2024, with First Nations undergraduate</w:t>
      </w:r>
      <w:r w:rsidR="006F2038" w:rsidRPr="00E8656C">
        <w:rPr>
          <w:rFonts w:cs="Arial"/>
        </w:rPr>
        <w:t xml:space="preserve"> students </w:t>
      </w:r>
      <w:r w:rsidR="004C40C4" w:rsidRPr="00E8656C">
        <w:rPr>
          <w:rFonts w:cs="Arial"/>
        </w:rPr>
        <w:t xml:space="preserve">rating Peer Engagement </w:t>
      </w:r>
      <w:r w:rsidR="008C1507" w:rsidRPr="00E8656C">
        <w:rPr>
          <w:rFonts w:cs="Arial"/>
        </w:rPr>
        <w:t>6.9</w:t>
      </w:r>
      <w:r w:rsidR="004C40C4" w:rsidRPr="00E8656C">
        <w:rPr>
          <w:rFonts w:cs="Arial"/>
        </w:rPr>
        <w:t xml:space="preserve"> percentage points lower</w:t>
      </w:r>
      <w:r w:rsidR="00AC74AB" w:rsidRPr="00E8656C">
        <w:rPr>
          <w:rFonts w:cs="Arial"/>
        </w:rPr>
        <w:t xml:space="preserve"> which </w:t>
      </w:r>
      <w:r w:rsidR="00C65D38" w:rsidRPr="00E8656C">
        <w:rPr>
          <w:rFonts w:cs="Arial"/>
        </w:rPr>
        <w:t>coincide</w:t>
      </w:r>
      <w:r w:rsidR="004D76B9" w:rsidRPr="00E8656C">
        <w:rPr>
          <w:rFonts w:cs="Arial"/>
        </w:rPr>
        <w:t>d</w:t>
      </w:r>
      <w:r w:rsidR="00C65D38" w:rsidRPr="00E8656C">
        <w:rPr>
          <w:rFonts w:cs="Arial"/>
        </w:rPr>
        <w:t xml:space="preserve"> with</w:t>
      </w:r>
      <w:r w:rsidR="00AC74AB" w:rsidRPr="00E8656C">
        <w:rPr>
          <w:rFonts w:cs="Arial"/>
        </w:rPr>
        <w:t xml:space="preserve"> a larger proportion of First Nations undergraduates studying </w:t>
      </w:r>
      <w:r w:rsidRPr="00E8656C">
        <w:rPr>
          <w:rFonts w:cs="Arial"/>
        </w:rPr>
        <w:t>in an external mode</w:t>
      </w:r>
      <w:r w:rsidR="00280F8C" w:rsidRPr="00E8656C">
        <w:rPr>
          <w:rFonts w:cs="Arial"/>
        </w:rPr>
        <w:t xml:space="preserve">. However, </w:t>
      </w:r>
      <w:r w:rsidR="00381283" w:rsidRPr="00E8656C">
        <w:rPr>
          <w:rFonts w:cs="Arial"/>
        </w:rPr>
        <w:t xml:space="preserve">for </w:t>
      </w:r>
      <w:r w:rsidR="0004103F" w:rsidRPr="00E8656C">
        <w:rPr>
          <w:rFonts w:cs="Arial"/>
        </w:rPr>
        <w:t>postgraduate coursework students</w:t>
      </w:r>
      <w:r w:rsidR="00582CB8" w:rsidRPr="00E8656C">
        <w:rPr>
          <w:rFonts w:cs="Arial"/>
        </w:rPr>
        <w:t>,</w:t>
      </w:r>
      <w:r w:rsidR="004C40C4" w:rsidRPr="00E8656C">
        <w:rPr>
          <w:rFonts w:cs="Arial"/>
        </w:rPr>
        <w:t xml:space="preserve"> </w:t>
      </w:r>
      <w:r w:rsidR="0004103F" w:rsidRPr="00E8656C">
        <w:rPr>
          <w:rFonts w:cs="Arial"/>
        </w:rPr>
        <w:t>First Nations</w:t>
      </w:r>
      <w:r w:rsidR="004C40C4" w:rsidRPr="00E8656C">
        <w:rPr>
          <w:rFonts w:cs="Arial"/>
        </w:rPr>
        <w:t xml:space="preserve"> students </w:t>
      </w:r>
      <w:r w:rsidR="0004103F" w:rsidRPr="00E8656C">
        <w:rPr>
          <w:rFonts w:cs="Arial"/>
        </w:rPr>
        <w:t>rated their Peer Engagement 1.2</w:t>
      </w:r>
      <w:r w:rsidR="004C40C4" w:rsidRPr="00E8656C">
        <w:rPr>
          <w:rFonts w:cs="Arial"/>
        </w:rPr>
        <w:t xml:space="preserve"> percentage points </w:t>
      </w:r>
      <w:r w:rsidR="0004103F" w:rsidRPr="00E8656C">
        <w:rPr>
          <w:rFonts w:cs="Arial"/>
        </w:rPr>
        <w:t>higher</w:t>
      </w:r>
      <w:r w:rsidR="004C40C4" w:rsidRPr="00E8656C">
        <w:rPr>
          <w:rFonts w:cs="Arial"/>
        </w:rPr>
        <w:t xml:space="preserve"> than </w:t>
      </w:r>
      <w:r w:rsidR="009E6C88" w:rsidRPr="00E8656C">
        <w:rPr>
          <w:rFonts w:cs="Arial"/>
        </w:rPr>
        <w:t xml:space="preserve">their </w:t>
      </w:r>
      <w:r w:rsidR="00381283" w:rsidRPr="00E8656C">
        <w:rPr>
          <w:rFonts w:cs="Arial"/>
        </w:rPr>
        <w:t xml:space="preserve">domestic </w:t>
      </w:r>
      <w:r w:rsidR="004C40C4" w:rsidRPr="00E8656C">
        <w:rPr>
          <w:rFonts w:cs="Arial"/>
        </w:rPr>
        <w:t xml:space="preserve">non-Indigenous </w:t>
      </w:r>
      <w:r w:rsidR="009E6C88" w:rsidRPr="00E8656C">
        <w:rPr>
          <w:rFonts w:cs="Arial"/>
        </w:rPr>
        <w:t>peers</w:t>
      </w:r>
      <w:r w:rsidR="0038010E" w:rsidRPr="00E8656C">
        <w:rPr>
          <w:rFonts w:cs="Arial"/>
        </w:rPr>
        <w:t>.</w:t>
      </w:r>
      <w:r w:rsidR="007906B8" w:rsidRPr="00E8656C">
        <w:rPr>
          <w:rFonts w:cs="Arial"/>
        </w:rPr>
        <w:t xml:space="preserve"> </w:t>
      </w:r>
      <w:r w:rsidR="00897DDE" w:rsidRPr="00E8656C">
        <w:rPr>
          <w:rFonts w:cs="Arial"/>
        </w:rPr>
        <w:t xml:space="preserve">This </w:t>
      </w:r>
      <w:r w:rsidR="00D73F03" w:rsidRPr="00E8656C">
        <w:rPr>
          <w:rFonts w:cs="Arial"/>
        </w:rPr>
        <w:t xml:space="preserve">disparity </w:t>
      </w:r>
      <w:r w:rsidR="00AA48BD" w:rsidRPr="00E8656C">
        <w:rPr>
          <w:rFonts w:cs="Arial"/>
        </w:rPr>
        <w:t xml:space="preserve">between undergraduate and postgraduate coursework </w:t>
      </w:r>
      <w:r w:rsidR="008B5B77" w:rsidRPr="00E8656C">
        <w:rPr>
          <w:rFonts w:cs="Arial"/>
        </w:rPr>
        <w:t>comparisons</w:t>
      </w:r>
      <w:r w:rsidR="006F1506" w:rsidRPr="00E8656C">
        <w:rPr>
          <w:rFonts w:cs="Arial"/>
        </w:rPr>
        <w:t xml:space="preserve"> </w:t>
      </w:r>
      <w:r w:rsidR="00897DDE" w:rsidRPr="00E8656C">
        <w:rPr>
          <w:rFonts w:cs="Arial"/>
        </w:rPr>
        <w:t xml:space="preserve">may be </w:t>
      </w:r>
      <w:r w:rsidR="00AA5B0F" w:rsidRPr="00E8656C">
        <w:rPr>
          <w:rFonts w:cs="Arial"/>
        </w:rPr>
        <w:t>associated with</w:t>
      </w:r>
      <w:r w:rsidR="00667D5C" w:rsidRPr="00E8656C">
        <w:rPr>
          <w:rFonts w:cs="Arial"/>
        </w:rPr>
        <w:t xml:space="preserve"> a much larger proportion of both First Nations and domestic non-Indigenous students at the postgraduate coursework level undertaking their studies in an external study mode</w:t>
      </w:r>
      <w:r w:rsidR="00326B9F" w:rsidRPr="00E8656C">
        <w:rPr>
          <w:rFonts w:cs="Arial"/>
        </w:rPr>
        <w:t xml:space="preserve">, reducing opportunities </w:t>
      </w:r>
      <w:r w:rsidR="005B7F54" w:rsidRPr="00E8656C">
        <w:rPr>
          <w:rFonts w:cs="Arial"/>
        </w:rPr>
        <w:t xml:space="preserve">for both groups </w:t>
      </w:r>
      <w:r w:rsidR="008F0FE3" w:rsidRPr="00E8656C">
        <w:rPr>
          <w:rFonts w:cs="Arial"/>
        </w:rPr>
        <w:t>to</w:t>
      </w:r>
      <w:r w:rsidR="00326B9F" w:rsidRPr="00E8656C">
        <w:rPr>
          <w:rFonts w:cs="Arial"/>
        </w:rPr>
        <w:t xml:space="preserve"> </w:t>
      </w:r>
      <w:r w:rsidR="008F0FE3" w:rsidRPr="00E8656C">
        <w:rPr>
          <w:rFonts w:cs="Arial"/>
        </w:rPr>
        <w:t>interact</w:t>
      </w:r>
      <w:r w:rsidR="00326B9F" w:rsidRPr="00E8656C">
        <w:rPr>
          <w:rFonts w:cs="Arial"/>
        </w:rPr>
        <w:t xml:space="preserve"> with other students </w:t>
      </w:r>
      <w:r w:rsidR="005F0652" w:rsidRPr="00E8656C">
        <w:rPr>
          <w:rFonts w:cs="Arial"/>
        </w:rPr>
        <w:t xml:space="preserve">academically </w:t>
      </w:r>
      <w:r w:rsidR="005F0652" w:rsidRPr="00E8656C">
        <w:rPr>
          <w:rFonts w:cs="Arial"/>
        </w:rPr>
        <w:lastRenderedPageBreak/>
        <w:t>or socially</w:t>
      </w:r>
      <w:r w:rsidR="00E31A81" w:rsidRPr="00E8656C">
        <w:rPr>
          <w:rFonts w:cs="Arial"/>
        </w:rPr>
        <w:t xml:space="preserve"> when compared to undergraduates</w:t>
      </w:r>
      <w:r w:rsidR="00005A00" w:rsidRPr="00E8656C">
        <w:rPr>
          <w:rFonts w:cs="Arial"/>
        </w:rPr>
        <w:t>,</w:t>
      </w:r>
      <w:r w:rsidR="00E31A81" w:rsidRPr="00E8656C">
        <w:rPr>
          <w:rFonts w:cs="Arial"/>
        </w:rPr>
        <w:t xml:space="preserve"> where a higher proportion are studying in an internal/multi-mode</w:t>
      </w:r>
      <w:r w:rsidR="005F0652" w:rsidRPr="00E8656C">
        <w:rPr>
          <w:rFonts w:cs="Arial"/>
        </w:rPr>
        <w:t>.</w:t>
      </w:r>
      <w:r w:rsidR="00142219" w:rsidRPr="00E8656C">
        <w:rPr>
          <w:rFonts w:cs="Arial"/>
        </w:rPr>
        <w:t xml:space="preserve"> </w:t>
      </w:r>
      <w:r w:rsidR="00986936" w:rsidRPr="00E8656C">
        <w:rPr>
          <w:rFonts w:cs="Arial"/>
        </w:rPr>
        <w:t>(</w:t>
      </w:r>
      <w:r w:rsidR="00986936" w:rsidRPr="00E8656C">
        <w:rPr>
          <w:rFonts w:cs="Arial"/>
          <w:b/>
          <w:bCs/>
        </w:rPr>
        <w:fldChar w:fldCharType="begin"/>
      </w:r>
      <w:r w:rsidR="00986936" w:rsidRPr="00E8656C">
        <w:rPr>
          <w:rFonts w:cs="Arial"/>
          <w:b/>
          <w:bCs/>
        </w:rPr>
        <w:instrText xml:space="preserve"> REF _Ref195571113 \h  \* MERGEFORMAT </w:instrText>
      </w:r>
      <w:r w:rsidR="00986936" w:rsidRPr="00E8656C">
        <w:rPr>
          <w:rFonts w:cs="Arial"/>
          <w:b/>
          <w:bCs/>
        </w:rPr>
      </w:r>
      <w:r w:rsidR="00986936" w:rsidRPr="00E8656C">
        <w:rPr>
          <w:rFonts w:cs="Arial"/>
          <w:b/>
          <w:bCs/>
        </w:rPr>
        <w:fldChar w:fldCharType="separate"/>
      </w:r>
      <w:r w:rsidR="00BA0CC0" w:rsidRPr="00E8656C">
        <w:rPr>
          <w:rFonts w:cs="Arial"/>
          <w:b/>
          <w:bCs/>
        </w:rPr>
        <w:t xml:space="preserve">Figure </w:t>
      </w:r>
      <w:r w:rsidR="00BA0CC0" w:rsidRPr="00E8656C">
        <w:rPr>
          <w:rFonts w:cs="Arial"/>
          <w:b/>
          <w:bCs/>
          <w:noProof/>
        </w:rPr>
        <w:t>14</w:t>
      </w:r>
      <w:r w:rsidR="00986936" w:rsidRPr="00E8656C">
        <w:rPr>
          <w:rFonts w:cs="Arial"/>
          <w:b/>
          <w:bCs/>
        </w:rPr>
        <w:fldChar w:fldCharType="end"/>
      </w:r>
      <w:r w:rsidR="00986936" w:rsidRPr="00E8656C">
        <w:rPr>
          <w:rFonts w:cs="Arial"/>
        </w:rPr>
        <w:t>)</w:t>
      </w:r>
    </w:p>
    <w:p w14:paraId="23076119" w14:textId="4F52E68B" w:rsidR="001540ED" w:rsidRPr="00E8656C" w:rsidRDefault="009D78D0" w:rsidP="00D94023">
      <w:pPr>
        <w:pStyle w:val="Body"/>
        <w:rPr>
          <w:rFonts w:cs="Arial"/>
        </w:rPr>
      </w:pPr>
      <w:r w:rsidRPr="00E8656C">
        <w:rPr>
          <w:rFonts w:cs="Arial"/>
        </w:rPr>
        <w:t>It should</w:t>
      </w:r>
      <w:r w:rsidR="007F0076" w:rsidRPr="00E8656C">
        <w:rPr>
          <w:rFonts w:cs="Arial"/>
        </w:rPr>
        <w:t xml:space="preserve"> also</w:t>
      </w:r>
      <w:r w:rsidRPr="00E8656C">
        <w:rPr>
          <w:rFonts w:cs="Arial"/>
        </w:rPr>
        <w:t xml:space="preserve"> be noted that </w:t>
      </w:r>
      <w:r w:rsidR="00440187" w:rsidRPr="00E8656C">
        <w:rPr>
          <w:rFonts w:cs="Arial"/>
        </w:rPr>
        <w:t xml:space="preserve">First Nations students </w:t>
      </w:r>
      <w:r w:rsidR="00907048" w:rsidRPr="00E8656C">
        <w:rPr>
          <w:rFonts w:cs="Arial"/>
        </w:rPr>
        <w:t>make up</w:t>
      </w:r>
      <w:r w:rsidR="00440187" w:rsidRPr="00E8656C">
        <w:rPr>
          <w:rFonts w:cs="Arial"/>
        </w:rPr>
        <w:t xml:space="preserve"> a small proportion of the higher education population</w:t>
      </w:r>
      <w:r w:rsidR="007906B8" w:rsidRPr="00E8656C">
        <w:rPr>
          <w:rFonts w:cs="Arial"/>
        </w:rPr>
        <w:t xml:space="preserve">, so </w:t>
      </w:r>
      <w:r w:rsidR="0030343B" w:rsidRPr="00E8656C">
        <w:rPr>
          <w:rFonts w:cs="Arial"/>
        </w:rPr>
        <w:t xml:space="preserve">changes and differences in </w:t>
      </w:r>
      <w:r w:rsidR="00440187" w:rsidRPr="00E8656C">
        <w:rPr>
          <w:rFonts w:cs="Arial"/>
        </w:rPr>
        <w:t xml:space="preserve">results should be </w:t>
      </w:r>
      <w:r w:rsidR="004F6A99" w:rsidRPr="00E8656C">
        <w:rPr>
          <w:rFonts w:cs="Arial"/>
        </w:rPr>
        <w:t>interpreted</w:t>
      </w:r>
      <w:r w:rsidR="00440187" w:rsidRPr="00E8656C">
        <w:rPr>
          <w:rFonts w:cs="Arial"/>
        </w:rPr>
        <w:t xml:space="preserve"> with caution. </w:t>
      </w:r>
    </w:p>
    <w:p w14:paraId="7FA92517" w14:textId="5F435880" w:rsidR="00950BDA" w:rsidRPr="00E8656C" w:rsidRDefault="00950BDA" w:rsidP="00695177">
      <w:pPr>
        <w:pStyle w:val="Caption"/>
      </w:pPr>
      <w:bookmarkStart w:id="58" w:name="_Ref195571113"/>
      <w:bookmarkStart w:id="59" w:name="_Toc201065564"/>
      <w:r w:rsidRPr="00E8656C">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14</w:t>
      </w:r>
      <w:r w:rsidR="00EA0581" w:rsidRPr="00E8656C">
        <w:rPr>
          <w:noProof/>
        </w:rPr>
        <w:fldChar w:fldCharType="end"/>
      </w:r>
      <w:bookmarkEnd w:id="58"/>
      <w:r w:rsidR="004D7A82" w:rsidRPr="00E8656C">
        <w:rPr>
          <w:noProof/>
        </w:rPr>
        <w:tab/>
      </w:r>
      <w:r w:rsidRPr="00E8656C">
        <w:t xml:space="preserve">Peer Engagement by course level and </w:t>
      </w:r>
      <w:r w:rsidR="00B838A4" w:rsidRPr="00E8656C">
        <w:t>First Nations status</w:t>
      </w:r>
      <w:r w:rsidRPr="00E8656C">
        <w:t>, 2017</w:t>
      </w:r>
      <w:r w:rsidR="0059773B" w:rsidRPr="00E8656C">
        <w:t>–</w:t>
      </w:r>
      <w:r w:rsidR="00293CD6" w:rsidRPr="00E8656C">
        <w:t>24</w:t>
      </w:r>
      <w:r w:rsidRPr="00E8656C">
        <w:t xml:space="preserve"> (% positive rating)</w:t>
      </w:r>
      <w:r w:rsidR="005A7F65" w:rsidRPr="00E8656C">
        <w:t>*</w:t>
      </w:r>
      <w:bookmarkEnd w:id="59"/>
    </w:p>
    <w:p w14:paraId="2C6F035C" w14:textId="77777777" w:rsidR="001540ED" w:rsidRPr="00E8656C" w:rsidRDefault="001540ED" w:rsidP="001540ED">
      <w:pPr>
        <w:pStyle w:val="Body"/>
        <w:rPr>
          <w:rFonts w:cs="Arial"/>
          <w:sz w:val="18"/>
          <w:szCs w:val="18"/>
        </w:rPr>
      </w:pPr>
      <w:r w:rsidRPr="00E8656C">
        <w:rPr>
          <w:rFonts w:cs="Arial"/>
          <w:sz w:val="18"/>
          <w:szCs w:val="18"/>
          <w:lang w:eastAsia="en-AU"/>
        </w:rPr>
        <w:t>(Source: FOCUS_UG_ALL_17-YY_SG, FOCUS_PGC_ALL_17-YY_SG)</w:t>
      </w:r>
    </w:p>
    <w:p w14:paraId="59AD8316" w14:textId="7FE1913B" w:rsidR="004C40C4" w:rsidRPr="00E8656C" w:rsidRDefault="00CB7A56" w:rsidP="005A5905">
      <w:pPr>
        <w:pStyle w:val="Body"/>
        <w:rPr>
          <w:rFonts w:cs="Arial"/>
        </w:rPr>
      </w:pPr>
      <w:r w:rsidRPr="00E8656C">
        <w:rPr>
          <w:rFonts w:cs="Arial"/>
          <w:noProof/>
        </w:rPr>
        <w:drawing>
          <wp:inline distT="0" distB="0" distL="0" distR="0" wp14:anchorId="0B8D6F0F" wp14:editId="6E7A88BE">
            <wp:extent cx="6642100" cy="2182495"/>
            <wp:effectExtent l="0" t="0" r="6350" b="8255"/>
            <wp:docPr id="900112544" name="Chart 1">
              <a:extLst xmlns:a="http://schemas.openxmlformats.org/drawingml/2006/main">
                <a:ext uri="{FF2B5EF4-FFF2-40B4-BE49-F238E27FC236}">
                  <a16:creationId xmlns:a16="http://schemas.microsoft.com/office/drawing/2014/main" id="{44A00A21-EF61-4AE6-A5BE-4D4DD2677C8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D963717" w14:textId="464DF0AF" w:rsidR="00CB7A56" w:rsidRPr="00E8656C" w:rsidRDefault="00CB7A56" w:rsidP="005A5905">
      <w:pPr>
        <w:pStyle w:val="Body"/>
        <w:rPr>
          <w:rFonts w:cs="Arial"/>
        </w:rPr>
      </w:pPr>
      <w:r w:rsidRPr="00E8656C">
        <w:rPr>
          <w:rFonts w:cs="Arial"/>
          <w:noProof/>
        </w:rPr>
        <w:drawing>
          <wp:inline distT="0" distB="0" distL="0" distR="0" wp14:anchorId="371747C3" wp14:editId="6DDCE3FF">
            <wp:extent cx="6642100" cy="2181225"/>
            <wp:effectExtent l="0" t="0" r="6350" b="0"/>
            <wp:docPr id="2120738238" name="Chart 1">
              <a:extLst xmlns:a="http://schemas.openxmlformats.org/drawingml/2006/main">
                <a:ext uri="{FF2B5EF4-FFF2-40B4-BE49-F238E27FC236}">
                  <a16:creationId xmlns:a16="http://schemas.microsoft.com/office/drawing/2014/main" id="{B0848828-1E44-4D69-82BB-D0A843271AF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0C8B7B8" w14:textId="0BFC9795" w:rsidR="00F471BD" w:rsidRPr="00E8656C" w:rsidRDefault="005A7F65" w:rsidP="00F471BD">
      <w:pPr>
        <w:pStyle w:val="FigureNote"/>
        <w:jc w:val="left"/>
        <w:rPr>
          <w:rFonts w:cs="Arial"/>
          <w:sz w:val="18"/>
          <w:szCs w:val="24"/>
        </w:rPr>
      </w:pPr>
      <w:r w:rsidRPr="00E8656C">
        <w:rPr>
          <w:rFonts w:cs="Arial"/>
          <w:sz w:val="18"/>
          <w:szCs w:val="24"/>
        </w:rPr>
        <w:t>*</w:t>
      </w:r>
      <w:r w:rsidR="00F471BD" w:rsidRPr="00E8656C">
        <w:rPr>
          <w:rFonts w:cs="Arial"/>
          <w:sz w:val="18"/>
          <w:szCs w:val="24"/>
        </w:rPr>
        <w:t xml:space="preserve"> </w:t>
      </w:r>
      <w:r w:rsidR="00AC444A" w:rsidRPr="00E8656C">
        <w:rPr>
          <w:rFonts w:cs="Arial"/>
          <w:sz w:val="18"/>
          <w:szCs w:val="24"/>
        </w:rPr>
        <w:t>First Nations</w:t>
      </w:r>
      <w:r w:rsidR="00F471BD" w:rsidRPr="00E8656C">
        <w:rPr>
          <w:rFonts w:cs="Arial"/>
          <w:sz w:val="18"/>
          <w:szCs w:val="24"/>
        </w:rPr>
        <w:t xml:space="preserve">, socio-economic, and locality </w:t>
      </w:r>
      <w:r w:rsidR="007A1789" w:rsidRPr="00E8656C">
        <w:rPr>
          <w:rFonts w:cs="Arial"/>
          <w:sz w:val="18"/>
          <w:szCs w:val="24"/>
        </w:rPr>
        <w:t>figures</w:t>
      </w:r>
      <w:r w:rsidR="00F471BD" w:rsidRPr="00E8656C">
        <w:rPr>
          <w:rFonts w:cs="Arial"/>
          <w:sz w:val="18"/>
          <w:szCs w:val="24"/>
        </w:rPr>
        <w:t xml:space="preserve"> reflect values for domestic students only, excluding international students. The remaining equity groups include all students, both domestic and international.</w:t>
      </w:r>
    </w:p>
    <w:p w14:paraId="0747C753" w14:textId="4D145580" w:rsidR="006B5239" w:rsidRPr="00E8656C" w:rsidRDefault="006B5239" w:rsidP="007375DC">
      <w:pPr>
        <w:pStyle w:val="FigureNote"/>
        <w:jc w:val="left"/>
        <w:rPr>
          <w:rFonts w:cs="Arial"/>
          <w:sz w:val="18"/>
          <w:szCs w:val="24"/>
        </w:rPr>
        <w:sectPr w:rsidR="006B5239" w:rsidRPr="00E8656C" w:rsidSect="004D7A80">
          <w:headerReference w:type="default" r:id="rId46"/>
          <w:type w:val="continuous"/>
          <w:pgSz w:w="11900" w:h="16840"/>
          <w:pgMar w:top="720" w:right="720" w:bottom="720" w:left="720" w:header="567" w:footer="567" w:gutter="0"/>
          <w:cols w:space="708"/>
          <w:docGrid w:linePitch="360"/>
        </w:sectPr>
      </w:pPr>
      <w:bookmarkStart w:id="60" w:name="_Ref58423959"/>
      <w:r w:rsidRPr="00E8656C">
        <w:rPr>
          <w:rFonts w:cs="Arial"/>
          <w:sz w:val="18"/>
          <w:szCs w:val="24"/>
        </w:rPr>
        <w:t xml:space="preserve">Note that the dotted lines between 2022 and 2023 indicate the change in underlying items of the Peer Engagement focus area. </w:t>
      </w:r>
      <w:r w:rsidRPr="00E8656C">
        <w:rPr>
          <w:rStyle w:val="ui-provider"/>
          <w:rFonts w:cs="Arial"/>
          <w:sz w:val="18"/>
          <w:szCs w:val="24"/>
        </w:rPr>
        <w:t>When comparing year-on-year changes, it is recommended that modifications to underlying questionnaire items be taken into consideration when interpreting results.</w:t>
      </w:r>
      <w:r w:rsidRPr="00E8656C">
        <w:rPr>
          <w:rFonts w:cs="Arial"/>
          <w:sz w:val="18"/>
          <w:szCs w:val="24"/>
        </w:rPr>
        <w:t xml:space="preserve"> For more information about these changes, refer to the 2023 SES National Report</w:t>
      </w:r>
      <w:r w:rsidR="007375DC" w:rsidRPr="00E8656C">
        <w:rPr>
          <w:rFonts w:cs="Arial"/>
          <w:sz w:val="18"/>
          <w:szCs w:val="24"/>
        </w:rPr>
        <w:t>.</w:t>
      </w:r>
    </w:p>
    <w:bookmarkEnd w:id="60"/>
    <w:p w14:paraId="6D7F94D8" w14:textId="3AC8AE05" w:rsidR="005A5905" w:rsidRPr="00E8656C" w:rsidRDefault="005A5905" w:rsidP="005A5905">
      <w:pPr>
        <w:rPr>
          <w:rFonts w:eastAsia="Times New Roman" w:cs="Arial"/>
          <w:sz w:val="22"/>
          <w:szCs w:val="22"/>
          <w:lang w:eastAsia="en-AU"/>
        </w:rPr>
      </w:pPr>
      <w:r w:rsidRPr="00E8656C">
        <w:rPr>
          <w:rFonts w:cs="Arial"/>
          <w:b/>
          <w:bCs/>
          <w:lang w:val="en-GB"/>
        </w:rPr>
        <w:lastRenderedPageBreak/>
        <w:t>Callout:</w:t>
      </w:r>
      <w:r w:rsidRPr="00E8656C">
        <w:rPr>
          <w:rFonts w:cs="Arial"/>
          <w:lang w:val="en-GB"/>
        </w:rPr>
        <w:t xml:space="preserve"> </w:t>
      </w:r>
      <w:r w:rsidRPr="00E8656C">
        <w:rPr>
          <w:rFonts w:eastAsia="Times New Roman" w:cs="Arial"/>
          <w:sz w:val="22"/>
          <w:szCs w:val="22"/>
          <w:lang w:eastAsia="en-AU"/>
        </w:rPr>
        <w:t>Undergraduate study area profile (proportions based on responses to the 202</w:t>
      </w:r>
      <w:r w:rsidR="0076552D" w:rsidRPr="00E8656C">
        <w:rPr>
          <w:rFonts w:eastAsia="Times New Roman" w:cs="Arial"/>
          <w:sz w:val="22"/>
          <w:szCs w:val="22"/>
          <w:lang w:eastAsia="en-AU"/>
        </w:rPr>
        <w:t>4</w:t>
      </w:r>
      <w:r w:rsidRPr="00E8656C">
        <w:rPr>
          <w:rFonts w:eastAsia="Times New Roman" w:cs="Arial"/>
          <w:sz w:val="22"/>
          <w:szCs w:val="22"/>
          <w:lang w:eastAsia="en-AU"/>
        </w:rPr>
        <w:t xml:space="preserve"> SES)</w:t>
      </w:r>
    </w:p>
    <w:p w14:paraId="39EC5CF9" w14:textId="7FA89298" w:rsidR="007E7213" w:rsidRPr="00E8656C" w:rsidRDefault="007E7213" w:rsidP="00D2276F">
      <w:pPr>
        <w:pStyle w:val="Body"/>
        <w:rPr>
          <w:rFonts w:cs="Arial"/>
          <w:b/>
          <w:bCs/>
          <w:lang w:eastAsia="en-AU"/>
        </w:rPr>
      </w:pPr>
      <w:r w:rsidRPr="00E8656C">
        <w:rPr>
          <w:rFonts w:cs="Arial"/>
          <w:lang w:eastAsia="en-AU"/>
        </w:rPr>
        <w:t>(Source:</w:t>
      </w:r>
      <w:r w:rsidR="00D2276F" w:rsidRPr="00E8656C">
        <w:rPr>
          <w:rFonts w:cs="Arial"/>
        </w:rPr>
        <w:t xml:space="preserve"> </w:t>
      </w:r>
      <w:r w:rsidR="00D2276F" w:rsidRPr="00E8656C">
        <w:rPr>
          <w:rFonts w:cs="Arial"/>
          <w:lang w:eastAsia="en-AU"/>
        </w:rPr>
        <w:t>CHAR_UG_ALL_1Y_AREA</w:t>
      </w:r>
      <w:r w:rsidRPr="00E8656C">
        <w:rPr>
          <w:rFonts w:cs="Arial"/>
          <w:lang w:eastAsia="en-AU"/>
        </w:rPr>
        <w:t>)</w:t>
      </w:r>
    </w:p>
    <w:p w14:paraId="527E25AB" w14:textId="4EA1DC6C" w:rsidR="005A5905" w:rsidRPr="00E8656C" w:rsidRDefault="0076552D" w:rsidP="005A5905">
      <w:pPr>
        <w:pStyle w:val="Body"/>
        <w:rPr>
          <w:rFonts w:eastAsiaTheme="minorEastAsia" w:cs="Arial"/>
          <w:lang w:val="en-GB" w:eastAsia="en-GB"/>
        </w:rPr>
      </w:pPr>
      <w:r w:rsidRPr="00E8656C">
        <w:rPr>
          <w:rFonts w:cs="Arial"/>
          <w:noProof/>
        </w:rPr>
        <w:drawing>
          <wp:inline distT="0" distB="0" distL="0" distR="0" wp14:anchorId="32920B41" wp14:editId="3E59B2F4">
            <wp:extent cx="9779000" cy="2985770"/>
            <wp:effectExtent l="0" t="0" r="0" b="5080"/>
            <wp:docPr id="1016526288" name="Chart 1">
              <a:extLst xmlns:a="http://schemas.openxmlformats.org/drawingml/2006/main">
                <a:ext uri="{FF2B5EF4-FFF2-40B4-BE49-F238E27FC236}">
                  <a16:creationId xmlns:a16="http://schemas.microsoft.com/office/drawing/2014/main" id="{D5DC1E78-6115-84E1-F895-10896417B71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8465BB7" w14:textId="241F5A4B" w:rsidR="00C3360C" w:rsidRPr="00E8656C" w:rsidRDefault="00C237B1" w:rsidP="00C3360C">
      <w:pPr>
        <w:rPr>
          <w:rFonts w:cs="Arial"/>
        </w:rPr>
      </w:pPr>
      <w:r w:rsidRPr="00E8656C">
        <w:rPr>
          <w:rFonts w:cs="Arial"/>
        </w:rPr>
        <w:t>The largest study areas which have the highest influence on sector wide results are Business and management, Science and mathematics, Nursing, Humanities</w:t>
      </w:r>
      <w:r w:rsidR="00A56C6A" w:rsidRPr="00E8656C">
        <w:rPr>
          <w:rFonts w:cs="Arial"/>
        </w:rPr>
        <w:t>, culture</w:t>
      </w:r>
      <w:r w:rsidRPr="00E8656C">
        <w:rPr>
          <w:rFonts w:cs="Arial"/>
        </w:rPr>
        <w:t xml:space="preserve"> and social sciences and Teacher education. Smaller study areas such as Tourism, hospitality, personal services, sport and recreation, Veterinary science, Dentistry and Pharmacy have a smaller effect on sector </w:t>
      </w:r>
      <w:proofErr w:type="gramStart"/>
      <w:r w:rsidRPr="00E8656C">
        <w:rPr>
          <w:rFonts w:cs="Arial"/>
        </w:rPr>
        <w:t>results, but</w:t>
      </w:r>
      <w:proofErr w:type="gramEnd"/>
      <w:r w:rsidRPr="00E8656C">
        <w:rPr>
          <w:rFonts w:cs="Arial"/>
        </w:rPr>
        <w:t xml:space="preserve"> are still important study areas for targeted improvement activities by institutions where appropriate. </w:t>
      </w:r>
    </w:p>
    <w:p w14:paraId="18BD6DE2" w14:textId="77777777" w:rsidR="00C3360C" w:rsidRPr="00E8656C" w:rsidRDefault="00C3360C">
      <w:pPr>
        <w:spacing w:after="160" w:line="259" w:lineRule="auto"/>
        <w:rPr>
          <w:rFonts w:cs="Arial"/>
          <w:b/>
          <w:bCs/>
          <w:lang w:val="en-GB"/>
        </w:rPr>
      </w:pPr>
      <w:r w:rsidRPr="00E8656C">
        <w:rPr>
          <w:rFonts w:cs="Arial"/>
          <w:b/>
          <w:bCs/>
          <w:lang w:val="en-GB"/>
        </w:rPr>
        <w:br w:type="page"/>
      </w:r>
    </w:p>
    <w:p w14:paraId="3E396B80" w14:textId="1FB25D99" w:rsidR="00C3360C" w:rsidRPr="00E8656C" w:rsidRDefault="00C3360C" w:rsidP="00C3360C">
      <w:pPr>
        <w:rPr>
          <w:rFonts w:eastAsia="Times New Roman" w:cs="Arial"/>
          <w:sz w:val="22"/>
          <w:szCs w:val="22"/>
          <w:lang w:eastAsia="en-AU"/>
        </w:rPr>
      </w:pPr>
      <w:r w:rsidRPr="00E8656C">
        <w:rPr>
          <w:rFonts w:cs="Arial"/>
          <w:b/>
          <w:bCs/>
          <w:lang w:val="en-GB"/>
        </w:rPr>
        <w:lastRenderedPageBreak/>
        <w:t>Callout:</w:t>
      </w:r>
      <w:r w:rsidRPr="00E8656C">
        <w:rPr>
          <w:rFonts w:cs="Arial"/>
          <w:lang w:val="en-GB"/>
        </w:rPr>
        <w:t xml:space="preserve"> </w:t>
      </w:r>
      <w:r w:rsidRPr="00E8656C">
        <w:rPr>
          <w:rFonts w:eastAsia="Times New Roman" w:cs="Arial"/>
          <w:sz w:val="22"/>
          <w:szCs w:val="22"/>
          <w:lang w:eastAsia="en-AU"/>
        </w:rPr>
        <w:t>Postgraduate coursework study area profile (proportions based on responses to the 2024 SES)</w:t>
      </w:r>
    </w:p>
    <w:p w14:paraId="18D614B1" w14:textId="6FA0106F" w:rsidR="007E7213" w:rsidRPr="00E8656C" w:rsidRDefault="007E7213" w:rsidP="00FF7022">
      <w:pPr>
        <w:pStyle w:val="Body"/>
        <w:rPr>
          <w:rFonts w:cs="Arial"/>
          <w:b/>
          <w:bCs/>
          <w:lang w:eastAsia="en-AU"/>
        </w:rPr>
      </w:pPr>
      <w:r w:rsidRPr="00E8656C">
        <w:rPr>
          <w:rFonts w:cs="Arial"/>
          <w:lang w:eastAsia="en-AU"/>
        </w:rPr>
        <w:t>(</w:t>
      </w:r>
      <w:r w:rsidR="00A02DBE" w:rsidRPr="00E8656C">
        <w:rPr>
          <w:rFonts w:cs="Arial"/>
          <w:lang w:eastAsia="en-AU"/>
        </w:rPr>
        <w:t>Source:</w:t>
      </w:r>
      <w:r w:rsidR="00FF7022" w:rsidRPr="00E8656C">
        <w:rPr>
          <w:rFonts w:cs="Arial"/>
          <w:sz w:val="21"/>
          <w:szCs w:val="21"/>
          <w:lang w:eastAsia="en-AU"/>
        </w:rPr>
        <w:t xml:space="preserve"> </w:t>
      </w:r>
      <w:r w:rsidR="00FF7022" w:rsidRPr="00E8656C">
        <w:rPr>
          <w:rFonts w:cs="Arial"/>
        </w:rPr>
        <w:t>CHAR_PGC_ALL_1Y_AREA</w:t>
      </w:r>
      <w:r w:rsidR="00FF7022" w:rsidRPr="00E8656C">
        <w:rPr>
          <w:rFonts w:cs="Arial"/>
          <w:lang w:eastAsia="en-AU"/>
        </w:rPr>
        <w:t> </w:t>
      </w:r>
      <w:r w:rsidR="00A02DBE" w:rsidRPr="00E8656C">
        <w:rPr>
          <w:rFonts w:cs="Arial"/>
          <w:lang w:eastAsia="en-AU"/>
        </w:rPr>
        <w:t>)</w:t>
      </w:r>
    </w:p>
    <w:p w14:paraId="3BDDD642" w14:textId="77777777" w:rsidR="00C3360C" w:rsidRPr="00E8656C" w:rsidRDefault="00C3360C" w:rsidP="00C3360C">
      <w:pPr>
        <w:pStyle w:val="Tabletitle"/>
        <w:rPr>
          <w:rFonts w:ascii="Arial" w:hAnsi="Arial" w:cs="Arial"/>
          <w:b w:val="0"/>
        </w:rPr>
      </w:pPr>
      <w:r w:rsidRPr="00E8656C">
        <w:rPr>
          <w:rFonts w:ascii="Arial" w:hAnsi="Arial" w:cs="Arial"/>
          <w:noProof/>
        </w:rPr>
        <w:drawing>
          <wp:inline distT="0" distB="0" distL="0" distR="0" wp14:anchorId="410D1C1D" wp14:editId="38E74BD5">
            <wp:extent cx="9779000" cy="2901315"/>
            <wp:effectExtent l="0" t="0" r="0" b="0"/>
            <wp:docPr id="312264598" name="Chart 1">
              <a:extLst xmlns:a="http://schemas.openxmlformats.org/drawingml/2006/main">
                <a:ext uri="{FF2B5EF4-FFF2-40B4-BE49-F238E27FC236}">
                  <a16:creationId xmlns:a16="http://schemas.microsoft.com/office/drawing/2014/main" id="{DBFB1D3E-24D1-B5DE-39C6-57479F61EF0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87163C3" w14:textId="119C83AD" w:rsidR="00C3360C" w:rsidRPr="00E8656C" w:rsidRDefault="00C237B1" w:rsidP="00C3360C">
      <w:pPr>
        <w:rPr>
          <w:rFonts w:cs="Arial"/>
          <w:lang w:val="en-GB"/>
        </w:rPr>
      </w:pPr>
      <w:r w:rsidRPr="00E8656C">
        <w:rPr>
          <w:rFonts w:cs="Arial"/>
        </w:rPr>
        <w:t xml:space="preserve">The largest study areas which have the highest influence on sector wide results are Business and management, Computing and information systems and Teacher education. Smaller study areas such as Tourism, hospitality, personal services, sport and recreation, Veterinary science, Dentistry and Pharmacy have a smaller effect on sector </w:t>
      </w:r>
      <w:proofErr w:type="gramStart"/>
      <w:r w:rsidRPr="00E8656C">
        <w:rPr>
          <w:rFonts w:cs="Arial"/>
        </w:rPr>
        <w:t>results, but</w:t>
      </w:r>
      <w:proofErr w:type="gramEnd"/>
      <w:r w:rsidRPr="00E8656C">
        <w:rPr>
          <w:rFonts w:cs="Arial"/>
        </w:rPr>
        <w:t xml:space="preserve"> are still important study areas for targeted improvement activities by institutions where appropriate. </w:t>
      </w:r>
    </w:p>
    <w:p w14:paraId="14EDD0FE" w14:textId="77777777" w:rsidR="00C3360C" w:rsidRPr="00E8656C" w:rsidRDefault="00C3360C" w:rsidP="005A5905">
      <w:pPr>
        <w:pStyle w:val="Body"/>
        <w:rPr>
          <w:rFonts w:eastAsiaTheme="minorHAnsi" w:cs="Arial"/>
          <w:lang w:val="en-GB" w:eastAsia="en-GB"/>
        </w:rPr>
      </w:pPr>
    </w:p>
    <w:p w14:paraId="7DB2457A" w14:textId="77777777" w:rsidR="00C237B1" w:rsidRPr="00E8656C" w:rsidRDefault="00C237B1" w:rsidP="005A5905">
      <w:pPr>
        <w:pStyle w:val="Body"/>
        <w:rPr>
          <w:rFonts w:eastAsiaTheme="minorHAnsi" w:cs="Arial"/>
          <w:lang w:val="en-GB" w:eastAsia="en-GB"/>
        </w:rPr>
        <w:sectPr w:rsidR="00C237B1" w:rsidRPr="00E8656C" w:rsidSect="000E131D">
          <w:headerReference w:type="default" r:id="rId49"/>
          <w:footerReference w:type="default" r:id="rId50"/>
          <w:pgSz w:w="16840" w:h="11900" w:orient="landscape"/>
          <w:pgMar w:top="720" w:right="720" w:bottom="720" w:left="720" w:header="397" w:footer="170" w:gutter="0"/>
          <w:cols w:space="708"/>
          <w:docGrid w:linePitch="360"/>
        </w:sectPr>
      </w:pPr>
    </w:p>
    <w:p w14:paraId="6000BEEA" w14:textId="77777777" w:rsidR="00C3360C" w:rsidRPr="00E8656C" w:rsidRDefault="00C3360C" w:rsidP="00AA7E2D">
      <w:pPr>
        <w:pStyle w:val="Heading2"/>
        <w:rPr>
          <w:color w:val="auto"/>
        </w:rPr>
      </w:pPr>
      <w:bookmarkStart w:id="61" w:name="_Toc207802601"/>
      <w:r w:rsidRPr="00E8656C">
        <w:rPr>
          <w:color w:val="auto"/>
        </w:rPr>
        <w:lastRenderedPageBreak/>
        <w:t>Study area</w:t>
      </w:r>
      <w:bookmarkEnd w:id="61"/>
      <w:r w:rsidRPr="00E8656C">
        <w:rPr>
          <w:color w:val="auto"/>
        </w:rPr>
        <w:t xml:space="preserve"> </w:t>
      </w:r>
    </w:p>
    <w:p w14:paraId="274E32EB" w14:textId="77777777" w:rsidR="000B11BE" w:rsidRPr="00E8656C" w:rsidRDefault="00370E68" w:rsidP="0076412D">
      <w:pPr>
        <w:pStyle w:val="Mainbodytext"/>
        <w:rPr>
          <w:rFonts w:ascii="Arial" w:hAnsi="Arial" w:cs="Arial"/>
          <w:color w:val="auto"/>
          <w:sz w:val="20"/>
          <w:szCs w:val="20"/>
        </w:rPr>
      </w:pPr>
      <w:r w:rsidRPr="00E8656C">
        <w:rPr>
          <w:rFonts w:ascii="Arial" w:hAnsi="Arial" w:cs="Arial"/>
          <w:color w:val="auto"/>
          <w:sz w:val="20"/>
          <w:szCs w:val="20"/>
          <w:lang w:eastAsia="en-GB"/>
        </w:rPr>
        <w:t>Positive</w:t>
      </w:r>
      <w:r w:rsidR="001C22D6" w:rsidRPr="00E8656C">
        <w:rPr>
          <w:rFonts w:ascii="Arial" w:hAnsi="Arial" w:cs="Arial"/>
          <w:color w:val="auto"/>
          <w:sz w:val="20"/>
          <w:szCs w:val="20"/>
          <w:lang w:eastAsia="en-GB"/>
        </w:rPr>
        <w:t xml:space="preserve"> </w:t>
      </w:r>
      <w:r w:rsidR="008A2391" w:rsidRPr="00E8656C">
        <w:rPr>
          <w:rFonts w:ascii="Arial" w:hAnsi="Arial" w:cs="Arial"/>
          <w:color w:val="auto"/>
          <w:sz w:val="20"/>
          <w:szCs w:val="20"/>
          <w:lang w:eastAsia="en-GB"/>
        </w:rPr>
        <w:t xml:space="preserve">ratings of </w:t>
      </w:r>
      <w:r w:rsidR="001C22D6" w:rsidRPr="00E8656C">
        <w:rPr>
          <w:rFonts w:ascii="Arial" w:hAnsi="Arial" w:cs="Arial"/>
          <w:color w:val="auto"/>
          <w:sz w:val="20"/>
          <w:szCs w:val="20"/>
          <w:lang w:eastAsia="en-GB"/>
        </w:rPr>
        <w:t>O</w:t>
      </w:r>
      <w:r w:rsidR="008A2391" w:rsidRPr="00E8656C">
        <w:rPr>
          <w:rFonts w:ascii="Arial" w:hAnsi="Arial" w:cs="Arial"/>
          <w:color w:val="auto"/>
          <w:sz w:val="20"/>
          <w:szCs w:val="20"/>
          <w:lang w:eastAsia="en-GB"/>
        </w:rPr>
        <w:t xml:space="preserve">verall </w:t>
      </w:r>
      <w:r w:rsidR="001C22D6" w:rsidRPr="00E8656C">
        <w:rPr>
          <w:rFonts w:ascii="Arial" w:hAnsi="Arial" w:cs="Arial"/>
          <w:color w:val="auto"/>
          <w:sz w:val="20"/>
          <w:szCs w:val="20"/>
          <w:lang w:eastAsia="en-GB"/>
        </w:rPr>
        <w:t>E</w:t>
      </w:r>
      <w:r w:rsidR="008A2391" w:rsidRPr="00E8656C">
        <w:rPr>
          <w:rFonts w:ascii="Arial" w:hAnsi="Arial" w:cs="Arial"/>
          <w:color w:val="auto"/>
          <w:sz w:val="20"/>
          <w:szCs w:val="20"/>
          <w:lang w:eastAsia="en-GB"/>
        </w:rPr>
        <w:t xml:space="preserve">ducational </w:t>
      </w:r>
      <w:r w:rsidR="001C22D6" w:rsidRPr="00E8656C">
        <w:rPr>
          <w:rFonts w:ascii="Arial" w:hAnsi="Arial" w:cs="Arial"/>
          <w:color w:val="auto"/>
          <w:sz w:val="20"/>
          <w:szCs w:val="20"/>
          <w:lang w:eastAsia="en-GB"/>
        </w:rPr>
        <w:t>E</w:t>
      </w:r>
      <w:r w:rsidR="008A2391" w:rsidRPr="00E8656C">
        <w:rPr>
          <w:rFonts w:ascii="Arial" w:hAnsi="Arial" w:cs="Arial"/>
          <w:color w:val="auto"/>
          <w:sz w:val="20"/>
          <w:szCs w:val="20"/>
          <w:lang w:eastAsia="en-GB"/>
        </w:rPr>
        <w:t>xperience differed by study area</w:t>
      </w:r>
      <w:r w:rsidR="009C0AC9" w:rsidRPr="00E8656C">
        <w:rPr>
          <w:rFonts w:ascii="Arial" w:hAnsi="Arial" w:cs="Arial"/>
          <w:color w:val="auto"/>
          <w:sz w:val="20"/>
          <w:szCs w:val="20"/>
          <w:lang w:eastAsia="en-GB"/>
        </w:rPr>
        <w:t xml:space="preserve"> in 2024</w:t>
      </w:r>
      <w:r w:rsidR="007878F5" w:rsidRPr="00E8656C">
        <w:rPr>
          <w:rFonts w:ascii="Arial" w:hAnsi="Arial" w:cs="Arial"/>
          <w:color w:val="auto"/>
          <w:sz w:val="20"/>
          <w:szCs w:val="20"/>
          <w:lang w:eastAsia="en-GB"/>
        </w:rPr>
        <w:t xml:space="preserve"> (</w:t>
      </w:r>
      <w:r w:rsidR="007F708F" w:rsidRPr="00E8656C">
        <w:rPr>
          <w:rFonts w:ascii="Arial" w:hAnsi="Arial" w:cs="Arial"/>
          <w:b/>
          <w:color w:val="auto"/>
          <w:sz w:val="20"/>
          <w:szCs w:val="20"/>
          <w:lang w:eastAsia="en-GB"/>
        </w:rPr>
        <w:fldChar w:fldCharType="begin"/>
      </w:r>
      <w:r w:rsidR="007F708F" w:rsidRPr="00E8656C">
        <w:rPr>
          <w:rFonts w:ascii="Arial" w:hAnsi="Arial" w:cs="Arial"/>
          <w:b/>
          <w:color w:val="auto"/>
          <w:sz w:val="20"/>
          <w:szCs w:val="20"/>
          <w:lang w:eastAsia="en-GB"/>
        </w:rPr>
        <w:instrText xml:space="preserve"> REF _Ref193725729 \h </w:instrText>
      </w:r>
      <w:r w:rsidR="00042F37" w:rsidRPr="00E8656C">
        <w:rPr>
          <w:rFonts w:ascii="Arial" w:hAnsi="Arial" w:cs="Arial"/>
          <w:b/>
          <w:color w:val="auto"/>
          <w:sz w:val="20"/>
          <w:szCs w:val="20"/>
          <w:lang w:eastAsia="en-GB"/>
        </w:rPr>
        <w:instrText xml:space="preserve"> \* MERGEFORMAT </w:instrText>
      </w:r>
      <w:r w:rsidR="007F708F" w:rsidRPr="00E8656C">
        <w:rPr>
          <w:rFonts w:ascii="Arial" w:hAnsi="Arial" w:cs="Arial"/>
          <w:b/>
          <w:color w:val="auto"/>
          <w:sz w:val="20"/>
          <w:szCs w:val="20"/>
          <w:lang w:eastAsia="en-GB"/>
        </w:rPr>
      </w:r>
      <w:r w:rsidR="007F708F" w:rsidRPr="00E8656C">
        <w:rPr>
          <w:rFonts w:ascii="Arial" w:hAnsi="Arial" w:cs="Arial"/>
          <w:b/>
          <w:color w:val="auto"/>
          <w:sz w:val="20"/>
          <w:szCs w:val="20"/>
          <w:lang w:eastAsia="en-GB"/>
        </w:rPr>
        <w:fldChar w:fldCharType="separate"/>
      </w:r>
      <w:r w:rsidR="00986936" w:rsidRPr="00E8656C">
        <w:rPr>
          <w:rFonts w:ascii="Arial" w:hAnsi="Arial" w:cs="Arial"/>
          <w:b/>
          <w:bCs/>
          <w:color w:val="auto"/>
          <w:sz w:val="20"/>
          <w:szCs w:val="20"/>
        </w:rPr>
        <w:t xml:space="preserve">Figure </w:t>
      </w:r>
      <w:r w:rsidR="00165095" w:rsidRPr="00E8656C">
        <w:rPr>
          <w:rFonts w:ascii="Arial" w:hAnsi="Arial" w:cs="Arial"/>
          <w:b/>
          <w:bCs/>
          <w:noProof/>
          <w:color w:val="auto"/>
          <w:sz w:val="20"/>
          <w:szCs w:val="20"/>
        </w:rPr>
        <w:t>15</w:t>
      </w:r>
      <w:r w:rsidR="007F708F" w:rsidRPr="00E8656C">
        <w:rPr>
          <w:rFonts w:ascii="Arial" w:hAnsi="Arial" w:cs="Arial"/>
          <w:b/>
          <w:color w:val="auto"/>
          <w:sz w:val="20"/>
          <w:szCs w:val="20"/>
          <w:lang w:eastAsia="en-GB"/>
        </w:rPr>
        <w:fldChar w:fldCharType="end"/>
      </w:r>
      <w:r w:rsidR="00042F37" w:rsidRPr="00E8656C">
        <w:rPr>
          <w:rFonts w:ascii="Arial" w:hAnsi="Arial" w:cs="Arial"/>
          <w:color w:val="auto"/>
          <w:sz w:val="20"/>
          <w:szCs w:val="20"/>
          <w:lang w:eastAsia="en-GB"/>
        </w:rPr>
        <w:t xml:space="preserve"> and </w:t>
      </w:r>
      <w:r w:rsidR="00042F37" w:rsidRPr="00E8656C">
        <w:rPr>
          <w:rFonts w:ascii="Arial" w:hAnsi="Arial" w:cs="Arial"/>
          <w:b/>
          <w:color w:val="auto"/>
          <w:sz w:val="20"/>
          <w:szCs w:val="20"/>
          <w:lang w:eastAsia="en-GB"/>
        </w:rPr>
        <w:fldChar w:fldCharType="begin"/>
      </w:r>
      <w:r w:rsidR="00042F37" w:rsidRPr="00E8656C">
        <w:rPr>
          <w:rFonts w:ascii="Arial" w:hAnsi="Arial" w:cs="Arial"/>
          <w:b/>
          <w:color w:val="auto"/>
          <w:sz w:val="20"/>
          <w:szCs w:val="20"/>
          <w:lang w:eastAsia="en-GB"/>
        </w:rPr>
        <w:instrText xml:space="preserve"> REF _Ref193725734 \h  \* MERGEFORMAT </w:instrText>
      </w:r>
      <w:r w:rsidR="00042F37" w:rsidRPr="00E8656C">
        <w:rPr>
          <w:rFonts w:ascii="Arial" w:hAnsi="Arial" w:cs="Arial"/>
          <w:b/>
          <w:color w:val="auto"/>
          <w:sz w:val="20"/>
          <w:szCs w:val="20"/>
          <w:lang w:eastAsia="en-GB"/>
        </w:rPr>
      </w:r>
      <w:r w:rsidR="00042F37" w:rsidRPr="00E8656C">
        <w:rPr>
          <w:rFonts w:ascii="Arial" w:hAnsi="Arial" w:cs="Arial"/>
          <w:b/>
          <w:color w:val="auto"/>
          <w:sz w:val="20"/>
          <w:szCs w:val="20"/>
          <w:lang w:eastAsia="en-GB"/>
        </w:rPr>
        <w:fldChar w:fldCharType="separate"/>
      </w:r>
      <w:r w:rsidR="00986936" w:rsidRPr="00E8656C">
        <w:rPr>
          <w:rFonts w:ascii="Arial" w:hAnsi="Arial" w:cs="Arial"/>
          <w:b/>
          <w:bCs/>
          <w:noProof/>
          <w:color w:val="auto"/>
          <w:sz w:val="20"/>
          <w:szCs w:val="20"/>
        </w:rPr>
        <w:t>Figure</w:t>
      </w:r>
      <w:r w:rsidR="00986936" w:rsidRPr="00E8656C">
        <w:rPr>
          <w:rFonts w:ascii="Arial" w:hAnsi="Arial" w:cs="Arial"/>
          <w:b/>
          <w:color w:val="auto"/>
          <w:sz w:val="20"/>
          <w:szCs w:val="20"/>
        </w:rPr>
        <w:t xml:space="preserve"> </w:t>
      </w:r>
      <w:r w:rsidR="00165095" w:rsidRPr="00E8656C">
        <w:rPr>
          <w:rFonts w:ascii="Arial" w:hAnsi="Arial" w:cs="Arial"/>
          <w:b/>
          <w:bCs/>
          <w:noProof/>
          <w:color w:val="auto"/>
          <w:sz w:val="20"/>
          <w:szCs w:val="20"/>
        </w:rPr>
        <w:t>16</w:t>
      </w:r>
      <w:r w:rsidR="00042F37" w:rsidRPr="00E8656C">
        <w:rPr>
          <w:rFonts w:ascii="Arial" w:hAnsi="Arial" w:cs="Arial"/>
          <w:b/>
          <w:color w:val="auto"/>
          <w:sz w:val="20"/>
          <w:szCs w:val="20"/>
          <w:lang w:eastAsia="en-GB"/>
        </w:rPr>
        <w:fldChar w:fldCharType="end"/>
      </w:r>
      <w:r w:rsidR="00042F37" w:rsidRPr="00E8656C">
        <w:rPr>
          <w:rFonts w:ascii="Arial" w:hAnsi="Arial" w:cs="Arial"/>
          <w:color w:val="auto"/>
          <w:sz w:val="20"/>
          <w:szCs w:val="20"/>
          <w:lang w:eastAsia="en-GB"/>
        </w:rPr>
        <w:t>)</w:t>
      </w:r>
      <w:r w:rsidR="00BA6E7E" w:rsidRPr="00E8656C">
        <w:rPr>
          <w:rFonts w:ascii="Arial" w:hAnsi="Arial" w:cs="Arial"/>
          <w:color w:val="auto"/>
          <w:sz w:val="20"/>
          <w:szCs w:val="20"/>
          <w:lang w:eastAsia="en-GB"/>
        </w:rPr>
        <w:t>.</w:t>
      </w:r>
      <w:r w:rsidR="00BF5266" w:rsidRPr="00E8656C">
        <w:rPr>
          <w:rFonts w:ascii="Arial" w:hAnsi="Arial" w:cs="Arial"/>
          <w:color w:val="auto"/>
          <w:sz w:val="20"/>
          <w:szCs w:val="20"/>
          <w:lang w:eastAsia="en-GB"/>
        </w:rPr>
        <w:t xml:space="preserve"> </w:t>
      </w:r>
      <w:r w:rsidR="00D37C0E" w:rsidRPr="00E8656C">
        <w:rPr>
          <w:rFonts w:ascii="Arial" w:hAnsi="Arial" w:cs="Arial"/>
          <w:color w:val="auto"/>
          <w:sz w:val="20"/>
          <w:szCs w:val="20"/>
        </w:rPr>
        <w:t>Th</w:t>
      </w:r>
      <w:r w:rsidR="00294377" w:rsidRPr="00E8656C">
        <w:rPr>
          <w:rFonts w:ascii="Arial" w:hAnsi="Arial" w:cs="Arial"/>
          <w:color w:val="auto"/>
          <w:sz w:val="20"/>
          <w:szCs w:val="20"/>
        </w:rPr>
        <w:t>is</w:t>
      </w:r>
      <w:r w:rsidR="00D37C0E" w:rsidRPr="00E8656C">
        <w:rPr>
          <w:rFonts w:ascii="Arial" w:hAnsi="Arial" w:cs="Arial"/>
          <w:color w:val="auto"/>
          <w:sz w:val="20"/>
          <w:szCs w:val="20"/>
        </w:rPr>
        <w:t xml:space="preserve"> variation across study areas also h</w:t>
      </w:r>
      <w:r w:rsidR="00620E03" w:rsidRPr="00E8656C">
        <w:rPr>
          <w:rFonts w:ascii="Arial" w:hAnsi="Arial" w:cs="Arial"/>
          <w:color w:val="auto"/>
          <w:sz w:val="20"/>
          <w:szCs w:val="20"/>
        </w:rPr>
        <w:t>eld</w:t>
      </w:r>
      <w:r w:rsidR="00D37C0E" w:rsidRPr="00E8656C">
        <w:rPr>
          <w:rFonts w:ascii="Arial" w:hAnsi="Arial" w:cs="Arial"/>
          <w:color w:val="auto"/>
          <w:sz w:val="20"/>
          <w:szCs w:val="20"/>
        </w:rPr>
        <w:t xml:space="preserve"> true for the 5 </w:t>
      </w:r>
      <w:r w:rsidR="006C1D4D" w:rsidRPr="00E8656C">
        <w:rPr>
          <w:rFonts w:ascii="Arial" w:hAnsi="Arial" w:cs="Arial"/>
          <w:color w:val="auto"/>
          <w:sz w:val="20"/>
          <w:szCs w:val="20"/>
        </w:rPr>
        <w:t>f</w:t>
      </w:r>
      <w:r w:rsidR="00DB47D3" w:rsidRPr="00E8656C">
        <w:rPr>
          <w:rFonts w:ascii="Arial" w:hAnsi="Arial" w:cs="Arial"/>
          <w:color w:val="auto"/>
          <w:sz w:val="20"/>
          <w:szCs w:val="20"/>
        </w:rPr>
        <w:t xml:space="preserve">ocus </w:t>
      </w:r>
      <w:r w:rsidR="006C1D4D" w:rsidRPr="00E8656C">
        <w:rPr>
          <w:rFonts w:ascii="Arial" w:hAnsi="Arial" w:cs="Arial"/>
          <w:color w:val="auto"/>
          <w:sz w:val="20"/>
          <w:szCs w:val="20"/>
        </w:rPr>
        <w:t>a</w:t>
      </w:r>
      <w:r w:rsidR="0076412D" w:rsidRPr="00E8656C">
        <w:rPr>
          <w:rFonts w:ascii="Arial" w:hAnsi="Arial" w:cs="Arial"/>
          <w:color w:val="auto"/>
          <w:sz w:val="20"/>
          <w:szCs w:val="20"/>
        </w:rPr>
        <w:t>reas</w:t>
      </w:r>
      <w:r w:rsidR="007B1063" w:rsidRPr="00E8656C">
        <w:rPr>
          <w:rStyle w:val="FootnoteReference"/>
          <w:rFonts w:cs="Arial"/>
          <w:color w:val="auto"/>
          <w:sz w:val="20"/>
          <w:szCs w:val="20"/>
        </w:rPr>
        <w:footnoteReference w:id="8"/>
      </w:r>
      <w:r w:rsidR="0076412D" w:rsidRPr="00E8656C">
        <w:rPr>
          <w:rFonts w:ascii="Arial" w:hAnsi="Arial" w:cs="Arial"/>
          <w:color w:val="auto"/>
          <w:sz w:val="20"/>
          <w:szCs w:val="20"/>
        </w:rPr>
        <w:t xml:space="preserve">. </w:t>
      </w:r>
    </w:p>
    <w:p w14:paraId="111320EE" w14:textId="687D3B06" w:rsidR="0076412D" w:rsidRPr="00E8656C" w:rsidRDefault="0076412D" w:rsidP="0076412D">
      <w:pPr>
        <w:pStyle w:val="Mainbodytext"/>
        <w:rPr>
          <w:rFonts w:ascii="Arial" w:hAnsi="Arial" w:cs="Arial"/>
          <w:color w:val="auto"/>
          <w:sz w:val="20"/>
          <w:szCs w:val="20"/>
        </w:rPr>
      </w:pPr>
      <w:r w:rsidRPr="00E8656C">
        <w:rPr>
          <w:rFonts w:ascii="Arial" w:hAnsi="Arial" w:cs="Arial"/>
          <w:color w:val="auto"/>
          <w:sz w:val="20"/>
          <w:szCs w:val="20"/>
        </w:rPr>
        <w:br/>
      </w:r>
      <w:r w:rsidR="00CB5526" w:rsidRPr="00E8656C">
        <w:rPr>
          <w:rFonts w:ascii="Arial" w:hAnsi="Arial" w:cs="Arial"/>
          <w:color w:val="auto"/>
          <w:sz w:val="20"/>
          <w:szCs w:val="20"/>
        </w:rPr>
        <w:t>P</w:t>
      </w:r>
      <w:r w:rsidRPr="00E8656C">
        <w:rPr>
          <w:rFonts w:ascii="Arial" w:hAnsi="Arial" w:cs="Arial"/>
          <w:color w:val="auto"/>
          <w:sz w:val="20"/>
          <w:szCs w:val="20"/>
        </w:rPr>
        <w:t>lease note that when looking at study area results, where confidence intervals overlap, there is insufficient evidence to conclude that there is a statistically significant difference between study areas. However, where intervals do not overlap, there is 90 per cent confidence that there is a difference between them.</w:t>
      </w:r>
    </w:p>
    <w:p w14:paraId="33AA00BD" w14:textId="1EE9C960" w:rsidR="00A61F4F" w:rsidRPr="00E8656C" w:rsidRDefault="00A61F4F" w:rsidP="008A2391">
      <w:pPr>
        <w:pStyle w:val="Body"/>
        <w:rPr>
          <w:rFonts w:eastAsiaTheme="minorEastAsia" w:cs="Arial"/>
          <w:lang w:eastAsia="en-GB"/>
        </w:rPr>
      </w:pPr>
    </w:p>
    <w:p w14:paraId="2F8B424E" w14:textId="083CC54C" w:rsidR="00D7297A" w:rsidRPr="00E8656C" w:rsidRDefault="00D7297A" w:rsidP="00695177">
      <w:pPr>
        <w:pStyle w:val="Caption"/>
      </w:pPr>
      <w:bookmarkStart w:id="62" w:name="_Ref193725729"/>
      <w:bookmarkStart w:id="63" w:name="_Toc201065565"/>
      <w:r w:rsidRPr="00E8656C">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15</w:t>
      </w:r>
      <w:r w:rsidR="00EA0581" w:rsidRPr="00E8656C">
        <w:rPr>
          <w:noProof/>
        </w:rPr>
        <w:fldChar w:fldCharType="end"/>
      </w:r>
      <w:bookmarkEnd w:id="62"/>
      <w:r w:rsidR="000B11BE" w:rsidRPr="00E8656C">
        <w:tab/>
      </w:r>
      <w:r w:rsidRPr="00E8656C">
        <w:t>Overall Educational Experience, undergraduate, 2024 (% positive rating)</w:t>
      </w:r>
      <w:bookmarkEnd w:id="63"/>
    </w:p>
    <w:p w14:paraId="05C2F711" w14:textId="5E39C813" w:rsidR="00203175" w:rsidRPr="00E8656C" w:rsidRDefault="00203175" w:rsidP="00203175">
      <w:pPr>
        <w:pStyle w:val="Body"/>
        <w:rPr>
          <w:rFonts w:cs="Arial"/>
          <w:sz w:val="18"/>
          <w:szCs w:val="18"/>
        </w:rPr>
      </w:pPr>
      <w:r w:rsidRPr="00E8656C">
        <w:rPr>
          <w:rFonts w:cs="Arial"/>
          <w:sz w:val="18"/>
          <w:szCs w:val="18"/>
          <w:lang w:eastAsia="en-AU"/>
        </w:rPr>
        <w:t xml:space="preserve">(Source: </w:t>
      </w:r>
      <w:r w:rsidRPr="00E8656C">
        <w:rPr>
          <w:rFonts w:eastAsia="Calibri" w:cs="Arial"/>
          <w:sz w:val="18"/>
          <w:szCs w:val="18"/>
          <w:lang w:eastAsia="en-AU"/>
        </w:rPr>
        <w:t>FOCUS_UG_ALL_1Y_AREA</w:t>
      </w:r>
      <w:r w:rsidRPr="00E8656C">
        <w:rPr>
          <w:rFonts w:cs="Arial"/>
          <w:sz w:val="18"/>
          <w:szCs w:val="18"/>
          <w:lang w:eastAsia="en-AU"/>
        </w:rPr>
        <w:t>)</w:t>
      </w:r>
    </w:p>
    <w:p w14:paraId="0C7B7006" w14:textId="44048C5E" w:rsidR="00D7297A" w:rsidRPr="00E8656C" w:rsidRDefault="00957F53" w:rsidP="00D7297A">
      <w:pPr>
        <w:pStyle w:val="Body"/>
        <w:rPr>
          <w:rFonts w:eastAsiaTheme="minorEastAsia" w:cs="Arial"/>
          <w:lang w:val="en-GB" w:eastAsia="en-GB"/>
        </w:rPr>
      </w:pPr>
      <w:r w:rsidRPr="00E8656C">
        <w:rPr>
          <w:rFonts w:cs="Arial"/>
          <w:noProof/>
        </w:rPr>
        <w:drawing>
          <wp:inline distT="0" distB="0" distL="0" distR="0" wp14:anchorId="37E433DB" wp14:editId="65221B46">
            <wp:extent cx="9779000" cy="4217035"/>
            <wp:effectExtent l="0" t="0" r="0" b="0"/>
            <wp:docPr id="1262004839" name="Chart 1">
              <a:extLst xmlns:a="http://schemas.openxmlformats.org/drawingml/2006/main">
                <a:ext uri="{FF2B5EF4-FFF2-40B4-BE49-F238E27FC236}">
                  <a16:creationId xmlns:a16="http://schemas.microsoft.com/office/drawing/2014/main" id="{91766B24-7ABC-2A39-7921-7797DB7E78A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31C149E" w14:textId="77777777" w:rsidR="00233B6E" w:rsidRPr="00E8656C" w:rsidRDefault="00233B6E" w:rsidP="00695177">
      <w:pPr>
        <w:pStyle w:val="Caption"/>
        <w:sectPr w:rsidR="00233B6E" w:rsidRPr="00E8656C" w:rsidSect="002D1018">
          <w:headerReference w:type="default" r:id="rId52"/>
          <w:pgSz w:w="16840" w:h="11900" w:orient="landscape"/>
          <w:pgMar w:top="720" w:right="720" w:bottom="720" w:left="720" w:header="397" w:footer="170" w:gutter="0"/>
          <w:cols w:space="708"/>
          <w:docGrid w:linePitch="360"/>
        </w:sectPr>
      </w:pPr>
      <w:bookmarkStart w:id="64" w:name="_Ref193725734"/>
    </w:p>
    <w:p w14:paraId="53479C29" w14:textId="7EF6AB1C" w:rsidR="007878F5" w:rsidRPr="00E8656C" w:rsidRDefault="007878F5" w:rsidP="00695177">
      <w:pPr>
        <w:pStyle w:val="Caption"/>
      </w:pPr>
      <w:bookmarkStart w:id="65" w:name="_Toc201065566"/>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16</w:t>
      </w:r>
      <w:r w:rsidR="00EA0581" w:rsidRPr="00E8656C">
        <w:rPr>
          <w:noProof/>
        </w:rPr>
        <w:fldChar w:fldCharType="end"/>
      </w:r>
      <w:bookmarkEnd w:id="64"/>
      <w:r w:rsidR="000B11BE" w:rsidRPr="00E8656C">
        <w:tab/>
      </w:r>
      <w:r w:rsidRPr="00E8656C">
        <w:t>Overall Educational Experience, postgraduate coursework, 2024 (% positive rating)</w:t>
      </w:r>
      <w:bookmarkEnd w:id="65"/>
    </w:p>
    <w:p w14:paraId="1D101C19" w14:textId="0D0989FB" w:rsidR="003B7C7A" w:rsidRPr="00E8656C" w:rsidRDefault="003B7C7A" w:rsidP="003B7C7A">
      <w:pPr>
        <w:pStyle w:val="Body"/>
        <w:rPr>
          <w:rFonts w:cs="Arial"/>
          <w:sz w:val="18"/>
          <w:szCs w:val="18"/>
          <w:lang w:eastAsia="en-AU"/>
        </w:rPr>
      </w:pPr>
      <w:r w:rsidRPr="00E8656C">
        <w:rPr>
          <w:rFonts w:cs="Arial"/>
          <w:sz w:val="18"/>
          <w:szCs w:val="18"/>
          <w:lang w:eastAsia="en-AU"/>
        </w:rPr>
        <w:t>(Source: FOCUS_PGC_ALL_1Y_AREA)</w:t>
      </w:r>
    </w:p>
    <w:p w14:paraId="149EEB61" w14:textId="24B0DE3E" w:rsidR="003D33C8" w:rsidRPr="00E8656C" w:rsidRDefault="00684CB9" w:rsidP="003B7C7A">
      <w:pPr>
        <w:pStyle w:val="Body"/>
        <w:rPr>
          <w:rFonts w:cs="Arial"/>
          <w:sz w:val="18"/>
          <w:szCs w:val="18"/>
        </w:rPr>
      </w:pPr>
      <w:r w:rsidRPr="00E8656C">
        <w:rPr>
          <w:rFonts w:cs="Arial"/>
          <w:noProof/>
        </w:rPr>
        <w:drawing>
          <wp:inline distT="0" distB="0" distL="0" distR="0" wp14:anchorId="7D8364D9" wp14:editId="580F5951">
            <wp:extent cx="9779000" cy="4208780"/>
            <wp:effectExtent l="0" t="0" r="0" b="1270"/>
            <wp:docPr id="1482155632" name="Chart 1">
              <a:extLst xmlns:a="http://schemas.openxmlformats.org/drawingml/2006/main">
                <a:ext uri="{FF2B5EF4-FFF2-40B4-BE49-F238E27FC236}">
                  <a16:creationId xmlns:a16="http://schemas.microsoft.com/office/drawing/2014/main" id="{1460E187-74AD-494F-A3ED-EEA46034984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2634B58" w14:textId="77777777" w:rsidR="006E1ADB" w:rsidRPr="00E8656C" w:rsidRDefault="006E1ADB" w:rsidP="00400300">
      <w:pPr>
        <w:pStyle w:val="Heading4"/>
        <w:rPr>
          <w:rFonts w:cs="Arial"/>
          <w:color w:val="auto"/>
        </w:rPr>
        <w:sectPr w:rsidR="006E1ADB" w:rsidRPr="00E8656C" w:rsidSect="002D1018">
          <w:pgSz w:w="16840" w:h="11900" w:orient="landscape"/>
          <w:pgMar w:top="720" w:right="720" w:bottom="720" w:left="720" w:header="397" w:footer="170" w:gutter="0"/>
          <w:cols w:space="708"/>
          <w:docGrid w:linePitch="360"/>
        </w:sectPr>
      </w:pPr>
    </w:p>
    <w:p w14:paraId="0201194F" w14:textId="6EEFE18C" w:rsidR="008A2391" w:rsidRPr="00E8656C" w:rsidRDefault="00700E27" w:rsidP="00400300">
      <w:pPr>
        <w:pStyle w:val="Heading4"/>
        <w:rPr>
          <w:rFonts w:cs="Arial"/>
          <w:color w:val="auto"/>
        </w:rPr>
      </w:pPr>
      <w:r w:rsidRPr="00E8656C">
        <w:rPr>
          <w:rFonts w:cs="Arial"/>
          <w:color w:val="auto"/>
        </w:rPr>
        <w:lastRenderedPageBreak/>
        <w:t>U</w:t>
      </w:r>
      <w:r w:rsidR="002D7C34" w:rsidRPr="00E8656C">
        <w:rPr>
          <w:rFonts w:cs="Arial"/>
          <w:color w:val="auto"/>
        </w:rPr>
        <w:t xml:space="preserve">ndergraduate </w:t>
      </w:r>
      <w:r w:rsidR="008A2391" w:rsidRPr="00E8656C">
        <w:rPr>
          <w:rFonts w:cs="Arial"/>
          <w:color w:val="auto"/>
        </w:rPr>
        <w:t>study area results</w:t>
      </w:r>
    </w:p>
    <w:p w14:paraId="6E652A62" w14:textId="458373A5" w:rsidR="00BB72C9" w:rsidRPr="00E8656C" w:rsidRDefault="008A2391" w:rsidP="008A2391">
      <w:pPr>
        <w:pStyle w:val="Body"/>
        <w:rPr>
          <w:rFonts w:eastAsiaTheme="minorHAnsi" w:cs="Arial"/>
          <w:lang w:val="en-GB" w:eastAsia="en-GB"/>
        </w:rPr>
      </w:pPr>
      <w:r w:rsidRPr="00E8656C">
        <w:rPr>
          <w:rFonts w:eastAsiaTheme="minorHAnsi" w:cs="Arial"/>
          <w:lang w:val="en-GB" w:eastAsia="en-GB"/>
        </w:rPr>
        <w:t xml:space="preserve">In 2024, the </w:t>
      </w:r>
      <w:r w:rsidR="007A5FB9" w:rsidRPr="00E8656C">
        <w:rPr>
          <w:rFonts w:eastAsiaTheme="minorHAnsi" w:cs="Arial"/>
          <w:lang w:val="en-GB" w:eastAsia="en-GB"/>
        </w:rPr>
        <w:t>largest</w:t>
      </w:r>
      <w:r w:rsidRPr="00E8656C">
        <w:rPr>
          <w:rFonts w:eastAsiaTheme="minorHAnsi" w:cs="Arial"/>
          <w:lang w:val="en-GB" w:eastAsia="en-GB"/>
        </w:rPr>
        <w:t xml:space="preserve"> variation </w:t>
      </w:r>
      <w:r w:rsidR="000F13A8" w:rsidRPr="00E8656C">
        <w:rPr>
          <w:rFonts w:eastAsiaTheme="minorHAnsi" w:cs="Arial"/>
          <w:lang w:val="en-GB" w:eastAsia="en-GB"/>
        </w:rPr>
        <w:t xml:space="preserve">in ratings </w:t>
      </w:r>
      <w:r w:rsidRPr="00E8656C">
        <w:rPr>
          <w:rFonts w:eastAsiaTheme="minorHAnsi" w:cs="Arial"/>
          <w:lang w:val="en-GB" w:eastAsia="en-GB"/>
        </w:rPr>
        <w:t>between study areas was observed in Peer Engagement and Overall Educational Experience</w:t>
      </w:r>
      <w:r w:rsidR="00050326" w:rsidRPr="00E8656C">
        <w:rPr>
          <w:rFonts w:eastAsiaTheme="minorHAnsi" w:cs="Arial"/>
          <w:lang w:val="en-GB" w:eastAsia="en-GB"/>
        </w:rPr>
        <w:t xml:space="preserve"> (</w:t>
      </w:r>
      <w:r w:rsidR="001F676D" w:rsidRPr="00E8656C">
        <w:rPr>
          <w:rFonts w:eastAsiaTheme="minorHAnsi" w:cs="Arial"/>
          <w:b/>
          <w:bCs/>
          <w:lang w:val="en-GB" w:eastAsia="en-GB"/>
        </w:rPr>
        <w:fldChar w:fldCharType="begin"/>
      </w:r>
      <w:r w:rsidR="001F676D" w:rsidRPr="00E8656C">
        <w:rPr>
          <w:rFonts w:eastAsiaTheme="minorHAnsi" w:cs="Arial"/>
          <w:b/>
          <w:bCs/>
          <w:lang w:val="en-GB" w:eastAsia="en-GB"/>
        </w:rPr>
        <w:instrText xml:space="preserve"> REF _Ref196824678 \h  \* MERGEFORMAT </w:instrText>
      </w:r>
      <w:r w:rsidR="001F676D" w:rsidRPr="00E8656C">
        <w:rPr>
          <w:rFonts w:eastAsiaTheme="minorHAnsi" w:cs="Arial"/>
          <w:b/>
          <w:bCs/>
          <w:lang w:val="en-GB" w:eastAsia="en-GB"/>
        </w:rPr>
      </w:r>
      <w:r w:rsidR="001F676D" w:rsidRPr="00E8656C">
        <w:rPr>
          <w:rFonts w:eastAsiaTheme="minorHAnsi" w:cs="Arial"/>
          <w:b/>
          <w:bCs/>
          <w:lang w:val="en-GB" w:eastAsia="en-GB"/>
        </w:rPr>
        <w:fldChar w:fldCharType="separate"/>
      </w:r>
      <w:r w:rsidR="001F676D" w:rsidRPr="00E8656C">
        <w:rPr>
          <w:rFonts w:cs="Arial"/>
          <w:b/>
          <w:bCs/>
        </w:rPr>
        <w:t xml:space="preserve">Table </w:t>
      </w:r>
      <w:r w:rsidR="001F676D" w:rsidRPr="00E8656C">
        <w:rPr>
          <w:rFonts w:cs="Arial"/>
          <w:b/>
          <w:bCs/>
          <w:noProof/>
        </w:rPr>
        <w:t>1</w:t>
      </w:r>
      <w:r w:rsidR="001F676D" w:rsidRPr="00E8656C">
        <w:rPr>
          <w:rFonts w:eastAsiaTheme="minorHAnsi" w:cs="Arial"/>
          <w:b/>
          <w:bCs/>
          <w:lang w:val="en-GB" w:eastAsia="en-GB"/>
        </w:rPr>
        <w:fldChar w:fldCharType="end"/>
      </w:r>
      <w:r w:rsidR="001F676D" w:rsidRPr="00E8656C">
        <w:rPr>
          <w:rFonts w:eastAsiaTheme="minorHAnsi" w:cs="Arial"/>
          <w:lang w:val="en-GB" w:eastAsia="en-GB"/>
        </w:rPr>
        <w:t>)</w:t>
      </w:r>
      <w:r w:rsidRPr="00E8656C">
        <w:rPr>
          <w:rFonts w:eastAsiaTheme="minorHAnsi" w:cs="Arial"/>
          <w:lang w:val="en-GB" w:eastAsia="en-GB"/>
        </w:rPr>
        <w:t xml:space="preserve">. </w:t>
      </w:r>
      <w:r w:rsidR="002405A2" w:rsidRPr="00E8656C">
        <w:rPr>
          <w:rFonts w:eastAsiaTheme="minorHAnsi" w:cs="Arial"/>
          <w:lang w:val="en-GB" w:eastAsia="en-GB"/>
        </w:rPr>
        <w:t>In cont</w:t>
      </w:r>
      <w:r w:rsidR="00155D6A" w:rsidRPr="00E8656C">
        <w:rPr>
          <w:rFonts w:eastAsiaTheme="minorHAnsi" w:cs="Arial"/>
          <w:lang w:val="en-GB" w:eastAsia="en-GB"/>
        </w:rPr>
        <w:t xml:space="preserve">rast, Skills Development and Teaching Quality and Engagement showed </w:t>
      </w:r>
      <w:r w:rsidR="00C8491C" w:rsidRPr="00E8656C">
        <w:rPr>
          <w:rFonts w:eastAsiaTheme="minorHAnsi" w:cs="Arial"/>
          <w:lang w:val="en-GB" w:eastAsia="en-GB"/>
        </w:rPr>
        <w:t xml:space="preserve">less </w:t>
      </w:r>
      <w:r w:rsidR="00160588" w:rsidRPr="00E8656C">
        <w:rPr>
          <w:rFonts w:eastAsiaTheme="minorHAnsi" w:cs="Arial"/>
          <w:lang w:val="en-GB" w:eastAsia="en-GB"/>
        </w:rPr>
        <w:t>variation in ratings across study areas.</w:t>
      </w:r>
      <w:r w:rsidR="008671F1" w:rsidRPr="00E8656C">
        <w:rPr>
          <w:rFonts w:eastAsiaTheme="minorHAnsi" w:cs="Arial"/>
          <w:lang w:val="en-GB" w:eastAsia="en-GB"/>
        </w:rPr>
        <w:t xml:space="preserve"> </w:t>
      </w:r>
    </w:p>
    <w:p w14:paraId="7F348E8A" w14:textId="639E9845" w:rsidR="008A2391" w:rsidRPr="00E8656C" w:rsidRDefault="008A2391" w:rsidP="008A2391">
      <w:pPr>
        <w:pStyle w:val="Body"/>
        <w:rPr>
          <w:rFonts w:eastAsiaTheme="minorHAnsi" w:cs="Arial"/>
          <w:lang w:val="en-GB" w:eastAsia="en-GB"/>
        </w:rPr>
      </w:pPr>
      <w:r w:rsidRPr="00E8656C">
        <w:rPr>
          <w:rFonts w:eastAsiaTheme="minorHAnsi" w:cs="Arial"/>
          <w:lang w:val="en-GB" w:eastAsia="en-GB"/>
        </w:rPr>
        <w:t>Peer Engagement ratings showed a 27.2 percentage point difference between the highest (Medicine) and lowest (Psychology)</w:t>
      </w:r>
      <w:r w:rsidR="00EF74E7" w:rsidRPr="00E8656C">
        <w:rPr>
          <w:rFonts w:eastAsiaTheme="minorHAnsi" w:cs="Arial"/>
          <w:lang w:val="en-GB" w:eastAsia="en-GB"/>
        </w:rPr>
        <w:t xml:space="preserve">. This may be </w:t>
      </w:r>
      <w:r w:rsidRPr="00E8656C">
        <w:rPr>
          <w:rFonts w:eastAsiaTheme="minorHAnsi" w:cs="Arial"/>
          <w:lang w:val="en-GB" w:eastAsia="en-GB"/>
        </w:rPr>
        <w:t>related to different study mode patterns</w:t>
      </w:r>
      <w:r w:rsidR="00F92CC7" w:rsidRPr="00E8656C">
        <w:rPr>
          <w:rFonts w:eastAsiaTheme="minorHAnsi" w:cs="Arial"/>
          <w:lang w:val="en-GB" w:eastAsia="en-GB"/>
        </w:rPr>
        <w:t xml:space="preserve"> since n</w:t>
      </w:r>
      <w:r w:rsidRPr="00E8656C">
        <w:rPr>
          <w:rFonts w:eastAsiaTheme="minorHAnsi" w:cs="Arial"/>
          <w:lang w:val="en-GB" w:eastAsia="en-GB"/>
        </w:rPr>
        <w:t>early all undergraduate students in Medicine were studying in internal/</w:t>
      </w:r>
      <w:r w:rsidR="00E4098D" w:rsidRPr="00E8656C">
        <w:rPr>
          <w:rFonts w:eastAsiaTheme="minorHAnsi" w:cs="Arial"/>
          <w:lang w:val="en-GB" w:eastAsia="en-GB"/>
        </w:rPr>
        <w:t>multi-mode</w:t>
      </w:r>
      <w:r w:rsidRPr="00E8656C">
        <w:rPr>
          <w:rFonts w:eastAsiaTheme="minorHAnsi" w:cs="Arial"/>
          <w:lang w:val="en-GB" w:eastAsia="en-GB"/>
        </w:rPr>
        <w:t xml:space="preserve">, whereas around 18 per cent of Psychology students were studying externally. </w:t>
      </w:r>
      <w:r w:rsidR="00746A02" w:rsidRPr="00E8656C">
        <w:rPr>
          <w:rFonts w:eastAsiaTheme="minorHAnsi" w:cs="Arial"/>
          <w:lang w:val="en-GB" w:eastAsia="en-GB"/>
        </w:rPr>
        <w:t xml:space="preserve">As mentioned previously, students who </w:t>
      </w:r>
      <w:r w:rsidR="00ED6801" w:rsidRPr="00E8656C">
        <w:rPr>
          <w:rFonts w:eastAsiaTheme="minorHAnsi" w:cs="Arial"/>
          <w:lang w:val="en-GB" w:eastAsia="en-GB"/>
        </w:rPr>
        <w:t xml:space="preserve">study </w:t>
      </w:r>
      <w:r w:rsidR="00227C85" w:rsidRPr="00E8656C">
        <w:rPr>
          <w:rFonts w:eastAsiaTheme="minorHAnsi" w:cs="Arial"/>
          <w:lang w:val="en-GB" w:eastAsia="en-GB"/>
        </w:rPr>
        <w:t>in an internal/</w:t>
      </w:r>
      <w:r w:rsidR="00E4098D" w:rsidRPr="00E8656C">
        <w:rPr>
          <w:rFonts w:eastAsiaTheme="minorHAnsi" w:cs="Arial"/>
          <w:lang w:val="en-GB" w:eastAsia="en-GB"/>
        </w:rPr>
        <w:t>multi-mode</w:t>
      </w:r>
      <w:r w:rsidR="00ED6801" w:rsidRPr="00E8656C">
        <w:rPr>
          <w:rFonts w:eastAsiaTheme="minorHAnsi" w:cs="Arial"/>
          <w:lang w:val="en-GB" w:eastAsia="en-GB"/>
        </w:rPr>
        <w:t xml:space="preserve"> are more likely to rate their Peer Engagement </w:t>
      </w:r>
      <w:r w:rsidR="00227C85" w:rsidRPr="00E8656C">
        <w:rPr>
          <w:rFonts w:eastAsiaTheme="minorHAnsi" w:cs="Arial"/>
          <w:lang w:val="en-GB" w:eastAsia="en-GB"/>
        </w:rPr>
        <w:t xml:space="preserve">positively than </w:t>
      </w:r>
      <w:r w:rsidR="005753A7" w:rsidRPr="00E8656C">
        <w:rPr>
          <w:rFonts w:eastAsiaTheme="minorHAnsi" w:cs="Arial"/>
          <w:lang w:val="en-GB" w:eastAsia="en-GB"/>
        </w:rPr>
        <w:t>those studying in an external mode.</w:t>
      </w:r>
    </w:p>
    <w:p w14:paraId="1E4D2FBC" w14:textId="4EA6049B" w:rsidR="008A2391" w:rsidRPr="00E8656C" w:rsidRDefault="008A2391" w:rsidP="008A2391">
      <w:pPr>
        <w:pStyle w:val="Body"/>
        <w:rPr>
          <w:rFonts w:eastAsiaTheme="minorHAnsi" w:cs="Arial"/>
          <w:lang w:val="en-GB" w:eastAsia="en-GB"/>
        </w:rPr>
      </w:pPr>
      <w:r w:rsidRPr="00E8656C">
        <w:rPr>
          <w:rFonts w:eastAsiaTheme="minorHAnsi" w:cs="Arial"/>
          <w:lang w:val="en-GB" w:eastAsia="en-GB"/>
        </w:rPr>
        <w:t>Overall Educational Experience</w:t>
      </w:r>
      <w:r w:rsidR="00A72989" w:rsidRPr="00E8656C">
        <w:rPr>
          <w:rFonts w:eastAsiaTheme="minorHAnsi" w:cs="Arial"/>
          <w:lang w:val="en-GB" w:eastAsia="en-GB"/>
        </w:rPr>
        <w:t xml:space="preserve"> had</w:t>
      </w:r>
      <w:r w:rsidR="00332D1D" w:rsidRPr="00E8656C">
        <w:rPr>
          <w:rFonts w:eastAsiaTheme="minorHAnsi" w:cs="Arial"/>
          <w:lang w:val="en-GB" w:eastAsia="en-GB"/>
        </w:rPr>
        <w:t xml:space="preserve"> a </w:t>
      </w:r>
      <w:r w:rsidRPr="00E8656C">
        <w:rPr>
          <w:rFonts w:eastAsiaTheme="minorHAnsi" w:cs="Arial"/>
          <w:lang w:val="en-GB" w:eastAsia="en-GB"/>
        </w:rPr>
        <w:t xml:space="preserve">17.5 percentage point variation in ratings between the highest, Agriculture and environmental studies, and the lowest, Computing and information systems. </w:t>
      </w:r>
    </w:p>
    <w:p w14:paraId="5A5F4D33" w14:textId="44C8C30E" w:rsidR="008216F6" w:rsidRPr="00E8656C" w:rsidRDefault="000C76F3" w:rsidP="008216F6">
      <w:pPr>
        <w:pStyle w:val="Body"/>
        <w:rPr>
          <w:rFonts w:eastAsiaTheme="minorHAnsi" w:cs="Arial"/>
          <w:lang w:val="en-GB" w:eastAsia="en-GB"/>
        </w:rPr>
      </w:pPr>
      <w:r w:rsidRPr="00E8656C">
        <w:rPr>
          <w:rFonts w:eastAsiaTheme="minorHAnsi" w:cs="Arial"/>
          <w:lang w:val="en-GB" w:eastAsia="en-GB"/>
        </w:rPr>
        <w:t>R</w:t>
      </w:r>
      <w:r w:rsidR="00C60800" w:rsidRPr="00E8656C">
        <w:rPr>
          <w:rFonts w:eastAsiaTheme="minorHAnsi" w:cs="Arial"/>
          <w:lang w:val="en-GB" w:eastAsia="en-GB"/>
        </w:rPr>
        <w:t>atings for Skills Development show that Computing and information systems, Engineering, Business and management</w:t>
      </w:r>
      <w:r w:rsidR="00CA7D49" w:rsidRPr="00E8656C">
        <w:rPr>
          <w:rFonts w:eastAsiaTheme="minorHAnsi" w:cs="Arial"/>
          <w:lang w:val="en-GB" w:eastAsia="en-GB"/>
        </w:rPr>
        <w:t>,</w:t>
      </w:r>
      <w:r w:rsidR="00C60800" w:rsidRPr="00E8656C">
        <w:rPr>
          <w:rFonts w:eastAsiaTheme="minorHAnsi" w:cs="Arial"/>
          <w:lang w:val="en-GB" w:eastAsia="en-GB"/>
        </w:rPr>
        <w:t xml:space="preserve"> and Science and mathematics</w:t>
      </w:r>
      <w:r w:rsidR="00C60800" w:rsidRPr="00E8656C" w:rsidDel="00687FD3">
        <w:rPr>
          <w:rFonts w:eastAsiaTheme="minorHAnsi" w:cs="Arial"/>
          <w:lang w:val="en-GB" w:eastAsia="en-GB"/>
        </w:rPr>
        <w:t xml:space="preserve"> </w:t>
      </w:r>
      <w:r w:rsidR="00C60800" w:rsidRPr="00E8656C">
        <w:rPr>
          <w:rFonts w:eastAsiaTheme="minorHAnsi" w:cs="Arial"/>
          <w:lang w:val="en-GB" w:eastAsia="en-GB"/>
        </w:rPr>
        <w:t>all had low</w:t>
      </w:r>
      <w:r w:rsidR="00A30C9D" w:rsidRPr="00E8656C">
        <w:rPr>
          <w:rFonts w:eastAsiaTheme="minorHAnsi" w:cs="Arial"/>
          <w:lang w:val="en-GB" w:eastAsia="en-GB"/>
        </w:rPr>
        <w:t>er</w:t>
      </w:r>
      <w:r w:rsidR="00C60800" w:rsidRPr="00E8656C">
        <w:rPr>
          <w:rFonts w:eastAsiaTheme="minorHAnsi" w:cs="Arial"/>
          <w:lang w:val="en-GB" w:eastAsia="en-GB"/>
        </w:rPr>
        <w:t xml:space="preserve"> ratings ranging from 74.0 to 78.</w:t>
      </w:r>
      <w:r w:rsidR="008E2617" w:rsidRPr="00E8656C">
        <w:rPr>
          <w:rFonts w:eastAsiaTheme="minorHAnsi" w:cs="Arial"/>
          <w:lang w:val="en-GB" w:eastAsia="en-GB"/>
        </w:rPr>
        <w:t>8</w:t>
      </w:r>
      <w:r w:rsidR="00C60800" w:rsidRPr="00E8656C">
        <w:rPr>
          <w:rFonts w:eastAsiaTheme="minorHAnsi" w:cs="Arial"/>
          <w:lang w:val="en-GB" w:eastAsia="en-GB"/>
        </w:rPr>
        <w:t xml:space="preserve"> per cent.</w:t>
      </w:r>
      <w:r w:rsidR="00B44A96" w:rsidRPr="00E8656C">
        <w:rPr>
          <w:rFonts w:eastAsiaTheme="minorHAnsi" w:cs="Arial"/>
          <w:lang w:val="en-GB" w:eastAsia="en-GB"/>
        </w:rPr>
        <w:t xml:space="preserve"> T</w:t>
      </w:r>
      <w:r w:rsidR="00C60800" w:rsidRPr="00E8656C">
        <w:rPr>
          <w:rFonts w:eastAsiaTheme="minorHAnsi" w:cs="Arial"/>
          <w:lang w:val="en-GB" w:eastAsia="en-GB"/>
        </w:rPr>
        <w:t>he high</w:t>
      </w:r>
      <w:r w:rsidR="00190611" w:rsidRPr="00E8656C">
        <w:rPr>
          <w:rFonts w:eastAsiaTheme="minorHAnsi" w:cs="Arial"/>
          <w:lang w:val="en-GB" w:eastAsia="en-GB"/>
        </w:rPr>
        <w:t>er</w:t>
      </w:r>
      <w:r w:rsidR="00C60800" w:rsidRPr="00E8656C">
        <w:rPr>
          <w:rFonts w:eastAsiaTheme="minorHAnsi" w:cs="Arial"/>
          <w:lang w:val="en-GB" w:eastAsia="en-GB"/>
        </w:rPr>
        <w:t xml:space="preserve"> scores for Skills Development were seen </w:t>
      </w:r>
      <w:r w:rsidR="00B44A96" w:rsidRPr="00E8656C">
        <w:rPr>
          <w:rFonts w:eastAsiaTheme="minorHAnsi" w:cs="Arial"/>
          <w:lang w:val="en-GB" w:eastAsia="en-GB"/>
        </w:rPr>
        <w:t>in</w:t>
      </w:r>
      <w:r w:rsidR="00C60800" w:rsidRPr="00E8656C">
        <w:rPr>
          <w:rFonts w:eastAsiaTheme="minorHAnsi" w:cs="Arial"/>
          <w:lang w:val="en-GB" w:eastAsia="en-GB"/>
        </w:rPr>
        <w:t xml:space="preserve"> </w:t>
      </w:r>
      <w:proofErr w:type="gramStart"/>
      <w:r w:rsidR="00C60800" w:rsidRPr="00E8656C">
        <w:rPr>
          <w:rFonts w:eastAsiaTheme="minorHAnsi" w:cs="Arial"/>
          <w:lang w:val="en-GB" w:eastAsia="en-GB"/>
        </w:rPr>
        <w:t>Social</w:t>
      </w:r>
      <w:proofErr w:type="gramEnd"/>
      <w:r w:rsidR="00C60800" w:rsidRPr="00E8656C">
        <w:rPr>
          <w:rFonts w:eastAsiaTheme="minorHAnsi" w:cs="Arial"/>
          <w:lang w:val="en-GB" w:eastAsia="en-GB"/>
        </w:rPr>
        <w:t xml:space="preserve"> </w:t>
      </w:r>
      <w:r w:rsidR="00F002CC" w:rsidRPr="00E8656C">
        <w:rPr>
          <w:rFonts w:eastAsiaTheme="minorHAnsi" w:cs="Arial"/>
          <w:lang w:val="en-GB" w:eastAsia="en-GB"/>
        </w:rPr>
        <w:t>w</w:t>
      </w:r>
      <w:r w:rsidR="00C60800" w:rsidRPr="00E8656C">
        <w:rPr>
          <w:rFonts w:eastAsiaTheme="minorHAnsi" w:cs="Arial"/>
          <w:lang w:val="en-GB" w:eastAsia="en-GB"/>
        </w:rPr>
        <w:t>ork (86.9 per cent), Rehabilitation (86.8 per cent)</w:t>
      </w:r>
      <w:r w:rsidR="00695749" w:rsidRPr="00E8656C">
        <w:rPr>
          <w:rFonts w:eastAsiaTheme="minorHAnsi" w:cs="Arial"/>
          <w:lang w:val="en-GB" w:eastAsia="en-GB"/>
        </w:rPr>
        <w:t>,</w:t>
      </w:r>
      <w:r w:rsidR="00C60800" w:rsidRPr="00E8656C">
        <w:rPr>
          <w:rFonts w:eastAsiaTheme="minorHAnsi" w:cs="Arial"/>
          <w:lang w:val="en-GB" w:eastAsia="en-GB"/>
        </w:rPr>
        <w:t xml:space="preserve"> and Medicine (86.1 per cent).</w:t>
      </w:r>
      <w:r w:rsidR="00927DC9" w:rsidRPr="00E8656C">
        <w:rPr>
          <w:rFonts w:eastAsiaTheme="minorHAnsi" w:cs="Arial"/>
          <w:lang w:val="en-GB" w:eastAsia="en-GB"/>
        </w:rPr>
        <w:t xml:space="preserve"> </w:t>
      </w:r>
      <w:r w:rsidR="008216F6" w:rsidRPr="00E8656C">
        <w:rPr>
          <w:rFonts w:eastAsiaTheme="minorHAnsi" w:cs="Arial"/>
          <w:lang w:val="en-GB" w:eastAsia="en-GB"/>
        </w:rPr>
        <w:t>The pattern was similar for Teaching Quality and Engagement, with Computing and information systems having the lowest rating (73.4 per cent), and Tourism, hospitality, personal services, sport and recreation having the highest rating (86.4 per cent).</w:t>
      </w:r>
    </w:p>
    <w:p w14:paraId="55C1E4DF" w14:textId="0E3F5692" w:rsidR="00E55391" w:rsidRPr="00E8656C" w:rsidRDefault="00E55391" w:rsidP="00400300">
      <w:pPr>
        <w:pStyle w:val="Body"/>
        <w:rPr>
          <w:rFonts w:eastAsiaTheme="minorHAnsi" w:cs="Arial"/>
          <w:lang w:val="en-GB" w:eastAsia="en-GB"/>
        </w:rPr>
        <w:sectPr w:rsidR="00E55391" w:rsidRPr="00E8656C" w:rsidSect="00400300">
          <w:headerReference w:type="default" r:id="rId54"/>
          <w:footerReference w:type="default" r:id="rId55"/>
          <w:pgSz w:w="11900" w:h="16840"/>
          <w:pgMar w:top="720" w:right="720" w:bottom="720" w:left="720" w:header="397" w:footer="170" w:gutter="0"/>
          <w:cols w:space="708"/>
          <w:docGrid w:linePitch="360"/>
        </w:sectPr>
      </w:pPr>
      <w:r w:rsidRPr="00E8656C">
        <w:rPr>
          <w:rFonts w:eastAsiaTheme="minorHAnsi" w:cs="Arial"/>
          <w:lang w:val="en-GB" w:eastAsia="en-GB"/>
        </w:rPr>
        <w:t xml:space="preserve">It should be noted that </w:t>
      </w:r>
      <w:r w:rsidR="00D0740B" w:rsidRPr="00E8656C">
        <w:rPr>
          <w:rFonts w:eastAsiaTheme="minorHAnsi" w:cs="Arial"/>
          <w:lang w:val="en-GB" w:eastAsia="en-GB"/>
        </w:rPr>
        <w:t>study area</w:t>
      </w:r>
      <w:r w:rsidR="002A41C3" w:rsidRPr="00E8656C">
        <w:rPr>
          <w:rFonts w:eastAsiaTheme="minorHAnsi" w:cs="Arial"/>
          <w:lang w:val="en-GB" w:eastAsia="en-GB"/>
        </w:rPr>
        <w:t>s</w:t>
      </w:r>
      <w:r w:rsidR="00D0740B" w:rsidRPr="00E8656C">
        <w:rPr>
          <w:rFonts w:eastAsiaTheme="minorHAnsi" w:cs="Arial"/>
          <w:lang w:val="en-GB" w:eastAsia="en-GB"/>
        </w:rPr>
        <w:t xml:space="preserve"> </w:t>
      </w:r>
      <w:r w:rsidR="000E14E3" w:rsidRPr="00E8656C">
        <w:rPr>
          <w:rFonts w:eastAsiaTheme="minorHAnsi" w:cs="Arial"/>
          <w:lang w:val="en-GB" w:eastAsia="en-GB"/>
        </w:rPr>
        <w:t>with fewer responses</w:t>
      </w:r>
      <w:r w:rsidRPr="00E8656C">
        <w:rPr>
          <w:rFonts w:eastAsiaTheme="minorHAnsi" w:cs="Arial"/>
          <w:lang w:val="en-GB" w:eastAsia="en-GB"/>
        </w:rPr>
        <w:t xml:space="preserve"> </w:t>
      </w:r>
      <w:r w:rsidR="000F41FE" w:rsidRPr="00E8656C">
        <w:rPr>
          <w:rFonts w:eastAsiaTheme="minorHAnsi" w:cs="Arial"/>
          <w:lang w:val="en-GB" w:eastAsia="en-GB"/>
        </w:rPr>
        <w:t xml:space="preserve">may </w:t>
      </w:r>
      <w:r w:rsidR="002A41C3" w:rsidRPr="00E8656C">
        <w:rPr>
          <w:rFonts w:eastAsiaTheme="minorHAnsi" w:cs="Arial"/>
          <w:lang w:val="en-GB" w:eastAsia="en-GB"/>
        </w:rPr>
        <w:t xml:space="preserve">have </w:t>
      </w:r>
      <w:r w:rsidRPr="00E8656C">
        <w:rPr>
          <w:rFonts w:eastAsiaTheme="minorHAnsi" w:cs="Arial"/>
          <w:lang w:val="en-GB" w:eastAsia="en-GB"/>
        </w:rPr>
        <w:t xml:space="preserve">more volatile </w:t>
      </w:r>
      <w:r w:rsidR="00DE63FC" w:rsidRPr="00E8656C">
        <w:rPr>
          <w:rFonts w:eastAsiaTheme="minorHAnsi" w:cs="Arial"/>
          <w:lang w:val="en-GB" w:eastAsia="en-GB"/>
        </w:rPr>
        <w:t xml:space="preserve">year on year </w:t>
      </w:r>
      <w:r w:rsidR="00A02FD8" w:rsidRPr="00E8656C">
        <w:rPr>
          <w:rFonts w:eastAsiaTheme="minorHAnsi" w:cs="Arial"/>
          <w:lang w:val="en-GB" w:eastAsia="en-GB"/>
        </w:rPr>
        <w:t xml:space="preserve">ratings </w:t>
      </w:r>
      <w:r w:rsidRPr="00E8656C">
        <w:rPr>
          <w:rFonts w:eastAsiaTheme="minorHAnsi" w:cs="Arial"/>
          <w:lang w:val="en-GB" w:eastAsia="en-GB"/>
        </w:rPr>
        <w:t>compared to study areas with higher numbers of responses</w:t>
      </w:r>
      <w:r w:rsidR="005B5D61" w:rsidRPr="00E8656C">
        <w:rPr>
          <w:rFonts w:eastAsiaTheme="minorHAnsi" w:cs="Arial"/>
          <w:lang w:val="en-GB" w:eastAsia="en-GB"/>
        </w:rPr>
        <w:t xml:space="preserve">, </w:t>
      </w:r>
      <w:proofErr w:type="gramStart"/>
      <w:r w:rsidR="005B5D61" w:rsidRPr="00E8656C">
        <w:rPr>
          <w:rFonts w:eastAsiaTheme="minorHAnsi" w:cs="Arial"/>
          <w:lang w:val="en-GB" w:eastAsia="en-GB"/>
        </w:rPr>
        <w:t>similar to</w:t>
      </w:r>
      <w:proofErr w:type="gramEnd"/>
      <w:r w:rsidR="005B5D61" w:rsidRPr="00E8656C">
        <w:rPr>
          <w:rFonts w:eastAsiaTheme="minorHAnsi" w:cs="Arial"/>
          <w:lang w:val="en-GB" w:eastAsia="en-GB"/>
        </w:rPr>
        <w:t xml:space="preserve"> any other smaller dataset. </w:t>
      </w:r>
      <w:r w:rsidR="000F41FE" w:rsidRPr="00E8656C">
        <w:rPr>
          <w:rFonts w:eastAsiaTheme="minorHAnsi" w:cs="Arial"/>
          <w:lang w:val="en-GB" w:eastAsia="en-GB"/>
        </w:rPr>
        <w:t xml:space="preserve">For example, </w:t>
      </w:r>
      <w:r w:rsidR="00422D2C" w:rsidRPr="00E8656C">
        <w:rPr>
          <w:rFonts w:eastAsiaTheme="minorHAnsi" w:cs="Arial"/>
          <w:lang w:val="en-GB" w:eastAsia="en-GB"/>
        </w:rPr>
        <w:t xml:space="preserve">for </w:t>
      </w:r>
      <w:r w:rsidR="009A35FC" w:rsidRPr="00E8656C">
        <w:rPr>
          <w:rFonts w:eastAsiaTheme="minorHAnsi" w:cs="Arial"/>
          <w:lang w:val="en-GB" w:eastAsia="en-GB"/>
        </w:rPr>
        <w:t xml:space="preserve">undergraduate </w:t>
      </w:r>
      <w:r w:rsidR="000F41FE" w:rsidRPr="00E8656C">
        <w:rPr>
          <w:rFonts w:eastAsiaTheme="minorHAnsi" w:cs="Arial"/>
          <w:lang w:val="en-GB" w:eastAsia="en-GB"/>
        </w:rPr>
        <w:t>Veterinary science</w:t>
      </w:r>
      <w:r w:rsidR="00BD3869" w:rsidRPr="00E8656C">
        <w:rPr>
          <w:rFonts w:eastAsiaTheme="minorHAnsi" w:cs="Arial"/>
          <w:lang w:val="en-GB" w:eastAsia="en-GB"/>
        </w:rPr>
        <w:t xml:space="preserve">, </w:t>
      </w:r>
      <w:r w:rsidR="00AD4367" w:rsidRPr="00E8656C">
        <w:rPr>
          <w:rFonts w:eastAsiaTheme="minorHAnsi" w:cs="Arial"/>
          <w:lang w:val="en-GB" w:eastAsia="en-GB"/>
        </w:rPr>
        <w:t>a study area with fewer responses,</w:t>
      </w:r>
      <w:r w:rsidR="007F2491" w:rsidRPr="00E8656C">
        <w:rPr>
          <w:rFonts w:eastAsiaTheme="minorHAnsi" w:cs="Arial"/>
          <w:lang w:val="en-GB" w:eastAsia="en-GB"/>
        </w:rPr>
        <w:t xml:space="preserve"> the Overall Educational Experience</w:t>
      </w:r>
      <w:r w:rsidR="00AD4367" w:rsidRPr="00E8656C">
        <w:rPr>
          <w:rFonts w:eastAsiaTheme="minorHAnsi" w:cs="Arial"/>
          <w:lang w:val="en-GB" w:eastAsia="en-GB"/>
        </w:rPr>
        <w:t xml:space="preserve"> appeared to fluctuate </w:t>
      </w:r>
      <w:r w:rsidR="007F2491" w:rsidRPr="00E8656C">
        <w:rPr>
          <w:rFonts w:eastAsiaTheme="minorHAnsi" w:cs="Arial"/>
          <w:lang w:val="en-GB" w:eastAsia="en-GB"/>
        </w:rPr>
        <w:t xml:space="preserve">between 2017 and 2018 </w:t>
      </w:r>
      <w:r w:rsidR="000025FD" w:rsidRPr="00E8656C">
        <w:rPr>
          <w:rFonts w:eastAsiaTheme="minorHAnsi" w:cs="Arial"/>
          <w:lang w:val="en-GB" w:eastAsia="en-GB"/>
        </w:rPr>
        <w:t>from 78.0 per cent to 85.6 per cent and then 80.</w:t>
      </w:r>
      <w:r w:rsidR="002D5713" w:rsidRPr="00E8656C">
        <w:rPr>
          <w:rFonts w:eastAsiaTheme="minorHAnsi" w:cs="Arial"/>
          <w:lang w:val="en-GB" w:eastAsia="en-GB"/>
        </w:rPr>
        <w:t>4 per cent in 2019.</w:t>
      </w:r>
      <w:r w:rsidR="00DE589A" w:rsidRPr="00E8656C">
        <w:rPr>
          <w:rFonts w:eastAsiaTheme="minorHAnsi" w:cs="Arial"/>
          <w:lang w:val="en-GB" w:eastAsia="en-GB"/>
        </w:rPr>
        <w:t xml:space="preserve"> However, </w:t>
      </w:r>
      <w:r w:rsidR="0027427C" w:rsidRPr="00E8656C">
        <w:rPr>
          <w:rFonts w:eastAsiaTheme="minorHAnsi" w:cs="Arial"/>
          <w:lang w:eastAsia="en-GB"/>
        </w:rPr>
        <w:t>given the low number of responses, caution should be exercised when generalising the findings to the broader population</w:t>
      </w:r>
      <w:r w:rsidR="006245F8" w:rsidRPr="00E8656C">
        <w:rPr>
          <w:rFonts w:eastAsiaTheme="minorHAnsi" w:cs="Arial"/>
          <w:lang w:val="en-GB" w:eastAsia="en-GB"/>
        </w:rPr>
        <w:t xml:space="preserve">. </w:t>
      </w:r>
    </w:p>
    <w:p w14:paraId="0A559D35" w14:textId="36AB5B73" w:rsidR="00507F62" w:rsidRPr="00E8656C" w:rsidRDefault="00507F62" w:rsidP="00695177">
      <w:pPr>
        <w:pStyle w:val="Caption"/>
      </w:pPr>
      <w:bookmarkStart w:id="66" w:name="_Ref193726808"/>
      <w:bookmarkStart w:id="67" w:name="_Ref196824678"/>
      <w:bookmarkStart w:id="68" w:name="_Ref195571342"/>
      <w:bookmarkStart w:id="69" w:name="_Toc201065418"/>
      <w:r w:rsidRPr="00E8656C">
        <w:lastRenderedPageBreak/>
        <w:t xml:space="preserve">Table </w:t>
      </w:r>
      <w:bookmarkEnd w:id="66"/>
      <w:r w:rsidR="001F676D" w:rsidRPr="00E8656C">
        <w:fldChar w:fldCharType="begin"/>
      </w:r>
      <w:r w:rsidR="001F676D" w:rsidRPr="00E8656C">
        <w:instrText xml:space="preserve"> SEQ Table \* ARABIC </w:instrText>
      </w:r>
      <w:r w:rsidR="001F676D" w:rsidRPr="00E8656C">
        <w:fldChar w:fldCharType="separate"/>
      </w:r>
      <w:r w:rsidR="00BA0CC0" w:rsidRPr="00E8656C">
        <w:rPr>
          <w:noProof/>
        </w:rPr>
        <w:t>1</w:t>
      </w:r>
      <w:r w:rsidR="001F676D" w:rsidRPr="00E8656C">
        <w:fldChar w:fldCharType="end"/>
      </w:r>
      <w:bookmarkEnd w:id="67"/>
      <w:r w:rsidR="0066499D" w:rsidRPr="00E8656C">
        <w:tab/>
      </w:r>
      <w:r w:rsidRPr="00E8656C">
        <w:t>The undergraduate student experience by study area, 2024 (% positive rating)</w:t>
      </w:r>
      <w:bookmarkEnd w:id="68"/>
      <w:bookmarkEnd w:id="69"/>
    </w:p>
    <w:tbl>
      <w:tblPr>
        <w:tblStyle w:val="TableGrid1"/>
        <w:tblW w:w="14228" w:type="dxa"/>
        <w:tblLook w:val="04A0" w:firstRow="1" w:lastRow="0" w:firstColumn="1" w:lastColumn="0" w:noHBand="0" w:noVBand="1"/>
      </w:tblPr>
      <w:tblGrid>
        <w:gridCol w:w="4706"/>
        <w:gridCol w:w="1587"/>
        <w:gridCol w:w="1587"/>
        <w:gridCol w:w="1587"/>
        <w:gridCol w:w="1587"/>
        <w:gridCol w:w="1587"/>
        <w:gridCol w:w="1587"/>
      </w:tblGrid>
      <w:tr w:rsidR="004D7A82" w:rsidRPr="00E8656C" w14:paraId="20E6D255" w14:textId="77777777" w:rsidTr="0066499D">
        <w:trPr>
          <w:trHeight w:val="768"/>
          <w:tblHeader/>
        </w:trPr>
        <w:tc>
          <w:tcPr>
            <w:tcW w:w="4706" w:type="dxa"/>
            <w:vAlign w:val="center"/>
            <w:hideMark/>
          </w:tcPr>
          <w:p w14:paraId="117CA591" w14:textId="77777777" w:rsidR="00507F62" w:rsidRPr="00E8656C" w:rsidRDefault="00507F62" w:rsidP="0066499D">
            <w:pPr>
              <w:spacing w:before="60" w:after="60"/>
              <w:rPr>
                <w:rFonts w:eastAsia="Times New Roman" w:cs="Arial"/>
                <w:b/>
                <w:bCs/>
                <w:sz w:val="18"/>
                <w:lang w:eastAsia="en-AU"/>
              </w:rPr>
            </w:pPr>
            <w:bookmarkStart w:id="70" w:name="Title_1"/>
            <w:bookmarkEnd w:id="70"/>
            <w:r w:rsidRPr="00E8656C">
              <w:rPr>
                <w:rFonts w:eastAsia="Times New Roman" w:cs="Arial"/>
                <w:b/>
                <w:bCs/>
                <w:sz w:val="18"/>
                <w:lang w:eastAsia="en-AU"/>
              </w:rPr>
              <w:t>Study area </w:t>
            </w:r>
          </w:p>
        </w:tc>
        <w:tc>
          <w:tcPr>
            <w:tcW w:w="1587" w:type="dxa"/>
            <w:vAlign w:val="center"/>
            <w:hideMark/>
          </w:tcPr>
          <w:p w14:paraId="75E85EB3" w14:textId="77777777" w:rsidR="00507F62" w:rsidRPr="00E8656C" w:rsidRDefault="00507F62" w:rsidP="0066499D">
            <w:pPr>
              <w:spacing w:before="60" w:after="60"/>
              <w:jc w:val="center"/>
              <w:rPr>
                <w:rFonts w:eastAsia="Times New Roman" w:cs="Arial"/>
                <w:b/>
                <w:bCs/>
                <w:sz w:val="18"/>
                <w:lang w:eastAsia="en-AU"/>
              </w:rPr>
            </w:pPr>
            <w:r w:rsidRPr="00E8656C">
              <w:rPr>
                <w:rFonts w:eastAsia="Times New Roman" w:cs="Arial"/>
                <w:b/>
                <w:bCs/>
                <w:sz w:val="18"/>
                <w:lang w:eastAsia="en-AU"/>
              </w:rPr>
              <w:t>Skills Development</w:t>
            </w:r>
          </w:p>
        </w:tc>
        <w:tc>
          <w:tcPr>
            <w:tcW w:w="1587" w:type="dxa"/>
            <w:vAlign w:val="center"/>
            <w:hideMark/>
          </w:tcPr>
          <w:p w14:paraId="6E85ED9D" w14:textId="77777777" w:rsidR="00507F62" w:rsidRPr="00E8656C" w:rsidRDefault="00507F62" w:rsidP="0066499D">
            <w:pPr>
              <w:spacing w:before="60" w:after="60"/>
              <w:jc w:val="center"/>
              <w:rPr>
                <w:rFonts w:eastAsia="Times New Roman" w:cs="Arial"/>
                <w:b/>
                <w:bCs/>
                <w:sz w:val="18"/>
                <w:lang w:eastAsia="en-AU"/>
              </w:rPr>
            </w:pPr>
            <w:r w:rsidRPr="00E8656C">
              <w:rPr>
                <w:rFonts w:eastAsia="Times New Roman" w:cs="Arial"/>
                <w:b/>
                <w:bCs/>
                <w:sz w:val="18"/>
                <w:lang w:eastAsia="en-AU"/>
              </w:rPr>
              <w:t>Peer Engagement</w:t>
            </w:r>
          </w:p>
        </w:tc>
        <w:tc>
          <w:tcPr>
            <w:tcW w:w="1587" w:type="dxa"/>
            <w:vAlign w:val="center"/>
            <w:hideMark/>
          </w:tcPr>
          <w:p w14:paraId="22F99227" w14:textId="77777777" w:rsidR="00507F62" w:rsidRPr="00E8656C" w:rsidRDefault="00507F62" w:rsidP="0066499D">
            <w:pPr>
              <w:spacing w:before="60" w:after="60"/>
              <w:jc w:val="center"/>
              <w:rPr>
                <w:rFonts w:eastAsia="Times New Roman" w:cs="Arial"/>
                <w:b/>
                <w:bCs/>
                <w:sz w:val="18"/>
                <w:lang w:eastAsia="en-AU"/>
              </w:rPr>
            </w:pPr>
            <w:r w:rsidRPr="00E8656C">
              <w:rPr>
                <w:rFonts w:eastAsia="Times New Roman" w:cs="Arial"/>
                <w:b/>
                <w:bCs/>
                <w:sz w:val="18"/>
                <w:lang w:eastAsia="en-AU"/>
              </w:rPr>
              <w:t>Teaching Quality and Engagement</w:t>
            </w:r>
          </w:p>
        </w:tc>
        <w:tc>
          <w:tcPr>
            <w:tcW w:w="1587" w:type="dxa"/>
            <w:vAlign w:val="center"/>
            <w:hideMark/>
          </w:tcPr>
          <w:p w14:paraId="5B68AE38" w14:textId="77777777" w:rsidR="00507F62" w:rsidRPr="00E8656C" w:rsidRDefault="00507F62" w:rsidP="0066499D">
            <w:pPr>
              <w:spacing w:before="60" w:after="60"/>
              <w:jc w:val="center"/>
              <w:rPr>
                <w:rFonts w:eastAsia="Times New Roman" w:cs="Arial"/>
                <w:b/>
                <w:bCs/>
                <w:sz w:val="18"/>
                <w:lang w:eastAsia="en-AU"/>
              </w:rPr>
            </w:pPr>
            <w:r w:rsidRPr="00E8656C">
              <w:rPr>
                <w:rFonts w:eastAsia="Times New Roman" w:cs="Arial"/>
                <w:b/>
                <w:bCs/>
                <w:sz w:val="18"/>
                <w:lang w:eastAsia="en-AU"/>
              </w:rPr>
              <w:t>Student Support and Services</w:t>
            </w:r>
          </w:p>
        </w:tc>
        <w:tc>
          <w:tcPr>
            <w:tcW w:w="1587" w:type="dxa"/>
            <w:vAlign w:val="center"/>
            <w:hideMark/>
          </w:tcPr>
          <w:p w14:paraId="59F08231" w14:textId="343B2797" w:rsidR="00507F62" w:rsidRPr="00E8656C" w:rsidRDefault="00507F62" w:rsidP="0066499D">
            <w:pPr>
              <w:spacing w:before="60" w:after="60"/>
              <w:jc w:val="center"/>
              <w:rPr>
                <w:rFonts w:eastAsia="Times New Roman" w:cs="Arial"/>
                <w:b/>
                <w:bCs/>
                <w:sz w:val="18"/>
                <w:lang w:eastAsia="en-AU"/>
              </w:rPr>
            </w:pPr>
            <w:r w:rsidRPr="00E8656C">
              <w:rPr>
                <w:rFonts w:eastAsia="Times New Roman" w:cs="Arial"/>
                <w:b/>
                <w:bCs/>
                <w:sz w:val="18"/>
                <w:lang w:eastAsia="en-AU"/>
              </w:rPr>
              <w:t>Learning Resources</w:t>
            </w:r>
          </w:p>
        </w:tc>
        <w:tc>
          <w:tcPr>
            <w:tcW w:w="1587" w:type="dxa"/>
            <w:vAlign w:val="center"/>
            <w:hideMark/>
          </w:tcPr>
          <w:p w14:paraId="7ABF888F" w14:textId="77777777" w:rsidR="00507F62" w:rsidRPr="00E8656C" w:rsidRDefault="00507F62" w:rsidP="0066499D">
            <w:pPr>
              <w:spacing w:before="60" w:after="60"/>
              <w:jc w:val="center"/>
              <w:rPr>
                <w:rFonts w:eastAsia="Times New Roman" w:cs="Arial"/>
                <w:b/>
                <w:bCs/>
                <w:sz w:val="18"/>
                <w:lang w:eastAsia="en-AU"/>
              </w:rPr>
            </w:pPr>
            <w:r w:rsidRPr="00E8656C">
              <w:rPr>
                <w:rFonts w:eastAsia="Times New Roman" w:cs="Arial"/>
                <w:b/>
                <w:bCs/>
                <w:sz w:val="18"/>
                <w:lang w:eastAsia="en-AU"/>
              </w:rPr>
              <w:t>Overall Educational Experience</w:t>
            </w:r>
          </w:p>
        </w:tc>
      </w:tr>
      <w:tr w:rsidR="004D7A82" w:rsidRPr="00E8656C" w14:paraId="35F59343" w14:textId="77777777" w:rsidTr="00D15EDE">
        <w:trPr>
          <w:trHeight w:val="288"/>
        </w:trPr>
        <w:tc>
          <w:tcPr>
            <w:tcW w:w="4706" w:type="dxa"/>
            <w:noWrap/>
            <w:hideMark/>
          </w:tcPr>
          <w:p w14:paraId="521FCE6F"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Agriculture and environmental studies</w:t>
            </w:r>
          </w:p>
        </w:tc>
        <w:tc>
          <w:tcPr>
            <w:tcW w:w="1587" w:type="dxa"/>
            <w:noWrap/>
            <w:vAlign w:val="center"/>
            <w:hideMark/>
          </w:tcPr>
          <w:p w14:paraId="293F6413" w14:textId="5F2981B8" w:rsidR="00507F62" w:rsidRPr="00E8656C" w:rsidRDefault="00BB76D2" w:rsidP="0066499D">
            <w:pPr>
              <w:spacing w:before="60" w:after="60"/>
              <w:jc w:val="center"/>
              <w:rPr>
                <w:rFonts w:eastAsia="Times New Roman" w:cs="Arial"/>
                <w:sz w:val="18"/>
                <w:lang w:eastAsia="en-AU"/>
              </w:rPr>
            </w:pPr>
            <w:r w:rsidRPr="00E8656C">
              <w:rPr>
                <w:rFonts w:cs="Arial"/>
                <w:sz w:val="18"/>
              </w:rPr>
              <w:t>81.7</w:t>
            </w:r>
          </w:p>
        </w:tc>
        <w:tc>
          <w:tcPr>
            <w:tcW w:w="1587" w:type="dxa"/>
            <w:noWrap/>
            <w:vAlign w:val="center"/>
            <w:hideMark/>
          </w:tcPr>
          <w:p w14:paraId="7FEEE804" w14:textId="16AB4DFA" w:rsidR="00507F62" w:rsidRPr="00E8656C" w:rsidRDefault="00BB76D2" w:rsidP="0066499D">
            <w:pPr>
              <w:spacing w:before="60" w:after="60"/>
              <w:jc w:val="center"/>
              <w:rPr>
                <w:rFonts w:eastAsia="Times New Roman" w:cs="Arial"/>
                <w:sz w:val="18"/>
                <w:lang w:eastAsia="en-AU"/>
              </w:rPr>
            </w:pPr>
            <w:r w:rsidRPr="00E8656C">
              <w:rPr>
                <w:rFonts w:cs="Arial"/>
                <w:sz w:val="18"/>
              </w:rPr>
              <w:t>54.5</w:t>
            </w:r>
          </w:p>
        </w:tc>
        <w:tc>
          <w:tcPr>
            <w:tcW w:w="1587" w:type="dxa"/>
            <w:noWrap/>
            <w:vAlign w:val="center"/>
            <w:hideMark/>
          </w:tcPr>
          <w:p w14:paraId="0B47EDB9" w14:textId="28E569C1" w:rsidR="00507F62" w:rsidRPr="00E8656C" w:rsidRDefault="00BB76D2" w:rsidP="0066499D">
            <w:pPr>
              <w:spacing w:before="60" w:after="60"/>
              <w:jc w:val="center"/>
              <w:rPr>
                <w:rFonts w:eastAsia="Times New Roman" w:cs="Arial"/>
                <w:sz w:val="18"/>
                <w:lang w:eastAsia="en-AU"/>
              </w:rPr>
            </w:pPr>
            <w:r w:rsidRPr="00E8656C">
              <w:rPr>
                <w:rFonts w:cs="Arial"/>
                <w:sz w:val="18"/>
              </w:rPr>
              <w:t>86.2</w:t>
            </w:r>
          </w:p>
        </w:tc>
        <w:tc>
          <w:tcPr>
            <w:tcW w:w="1587" w:type="dxa"/>
            <w:noWrap/>
            <w:vAlign w:val="center"/>
            <w:hideMark/>
          </w:tcPr>
          <w:p w14:paraId="617786E1" w14:textId="7A43F238" w:rsidR="00507F62" w:rsidRPr="00E8656C" w:rsidRDefault="00BB76D2" w:rsidP="0066499D">
            <w:pPr>
              <w:spacing w:before="60" w:after="60"/>
              <w:jc w:val="center"/>
              <w:rPr>
                <w:rFonts w:eastAsia="Times New Roman" w:cs="Arial"/>
                <w:sz w:val="18"/>
                <w:lang w:eastAsia="en-AU"/>
              </w:rPr>
            </w:pPr>
            <w:r w:rsidRPr="00E8656C">
              <w:rPr>
                <w:rFonts w:cs="Arial"/>
                <w:sz w:val="18"/>
              </w:rPr>
              <w:t>72.4</w:t>
            </w:r>
          </w:p>
        </w:tc>
        <w:tc>
          <w:tcPr>
            <w:tcW w:w="1587" w:type="dxa"/>
            <w:noWrap/>
            <w:vAlign w:val="center"/>
            <w:hideMark/>
          </w:tcPr>
          <w:p w14:paraId="417E5A2D" w14:textId="56773A88" w:rsidR="00507F62" w:rsidRPr="00E8656C" w:rsidRDefault="00BB76D2" w:rsidP="0066499D">
            <w:pPr>
              <w:spacing w:before="60" w:after="60"/>
              <w:jc w:val="center"/>
              <w:rPr>
                <w:rFonts w:eastAsia="Times New Roman" w:cs="Arial"/>
                <w:sz w:val="18"/>
                <w:lang w:eastAsia="en-AU"/>
              </w:rPr>
            </w:pPr>
            <w:r w:rsidRPr="00E8656C">
              <w:rPr>
                <w:rFonts w:cs="Arial"/>
                <w:sz w:val="18"/>
              </w:rPr>
              <w:t>88.2</w:t>
            </w:r>
          </w:p>
        </w:tc>
        <w:tc>
          <w:tcPr>
            <w:tcW w:w="1587" w:type="dxa"/>
            <w:noWrap/>
            <w:vAlign w:val="center"/>
            <w:hideMark/>
          </w:tcPr>
          <w:p w14:paraId="27565487" w14:textId="17B4B4E5" w:rsidR="00507F62" w:rsidRPr="00E8656C" w:rsidRDefault="00BB76D2" w:rsidP="0066499D">
            <w:pPr>
              <w:spacing w:before="60" w:after="60"/>
              <w:jc w:val="center"/>
              <w:rPr>
                <w:rFonts w:eastAsia="Times New Roman" w:cs="Arial"/>
                <w:sz w:val="18"/>
                <w:lang w:eastAsia="en-AU"/>
              </w:rPr>
            </w:pPr>
            <w:r w:rsidRPr="00E8656C">
              <w:rPr>
                <w:rFonts w:cs="Arial"/>
                <w:sz w:val="18"/>
              </w:rPr>
              <w:t>84.8</w:t>
            </w:r>
          </w:p>
        </w:tc>
      </w:tr>
      <w:tr w:rsidR="004D7A82" w:rsidRPr="00E8656C" w14:paraId="77D947CB" w14:textId="77777777" w:rsidTr="00D15EDE">
        <w:trPr>
          <w:trHeight w:val="288"/>
        </w:trPr>
        <w:tc>
          <w:tcPr>
            <w:tcW w:w="4706" w:type="dxa"/>
            <w:noWrap/>
            <w:hideMark/>
          </w:tcPr>
          <w:p w14:paraId="291F5179"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Architecture and built environment</w:t>
            </w:r>
          </w:p>
        </w:tc>
        <w:tc>
          <w:tcPr>
            <w:tcW w:w="1587" w:type="dxa"/>
            <w:noWrap/>
            <w:vAlign w:val="center"/>
            <w:hideMark/>
          </w:tcPr>
          <w:p w14:paraId="31856A85" w14:textId="46D7A275" w:rsidR="00507F62" w:rsidRPr="00E8656C" w:rsidRDefault="00BB76D2" w:rsidP="0066499D">
            <w:pPr>
              <w:spacing w:before="60" w:after="60"/>
              <w:jc w:val="center"/>
              <w:rPr>
                <w:rFonts w:eastAsia="Times New Roman" w:cs="Arial"/>
                <w:sz w:val="18"/>
                <w:lang w:eastAsia="en-AU"/>
              </w:rPr>
            </w:pPr>
            <w:r w:rsidRPr="00E8656C">
              <w:rPr>
                <w:rFonts w:cs="Arial"/>
                <w:sz w:val="18"/>
              </w:rPr>
              <w:t>79.5</w:t>
            </w:r>
          </w:p>
        </w:tc>
        <w:tc>
          <w:tcPr>
            <w:tcW w:w="1587" w:type="dxa"/>
            <w:noWrap/>
            <w:vAlign w:val="center"/>
            <w:hideMark/>
          </w:tcPr>
          <w:p w14:paraId="665448CE" w14:textId="28A8E15B" w:rsidR="00507F62" w:rsidRPr="00E8656C" w:rsidRDefault="00BB76D2" w:rsidP="0066499D">
            <w:pPr>
              <w:spacing w:before="60" w:after="60"/>
              <w:jc w:val="center"/>
              <w:rPr>
                <w:rFonts w:eastAsia="Times New Roman" w:cs="Arial"/>
                <w:sz w:val="18"/>
                <w:lang w:eastAsia="en-AU"/>
              </w:rPr>
            </w:pPr>
            <w:r w:rsidRPr="00E8656C">
              <w:rPr>
                <w:rFonts w:cs="Arial"/>
                <w:sz w:val="18"/>
              </w:rPr>
              <w:t>65.3</w:t>
            </w:r>
          </w:p>
        </w:tc>
        <w:tc>
          <w:tcPr>
            <w:tcW w:w="1587" w:type="dxa"/>
            <w:noWrap/>
            <w:vAlign w:val="center"/>
            <w:hideMark/>
          </w:tcPr>
          <w:p w14:paraId="4A79F488" w14:textId="5AACEC95" w:rsidR="00507F62" w:rsidRPr="00E8656C" w:rsidRDefault="00507F62" w:rsidP="0066499D">
            <w:pPr>
              <w:spacing w:before="60" w:after="60"/>
              <w:jc w:val="center"/>
              <w:rPr>
                <w:rFonts w:eastAsia="Times New Roman" w:cs="Arial"/>
                <w:sz w:val="18"/>
                <w:lang w:eastAsia="en-AU"/>
              </w:rPr>
            </w:pPr>
            <w:r w:rsidRPr="00E8656C">
              <w:rPr>
                <w:rFonts w:cs="Arial"/>
                <w:sz w:val="18"/>
              </w:rPr>
              <w:t>79.</w:t>
            </w:r>
            <w:r w:rsidR="00BB76D2" w:rsidRPr="00E8656C">
              <w:rPr>
                <w:rFonts w:cs="Arial"/>
                <w:sz w:val="18"/>
              </w:rPr>
              <w:t>3</w:t>
            </w:r>
          </w:p>
        </w:tc>
        <w:tc>
          <w:tcPr>
            <w:tcW w:w="1587" w:type="dxa"/>
            <w:noWrap/>
            <w:vAlign w:val="center"/>
            <w:hideMark/>
          </w:tcPr>
          <w:p w14:paraId="43A6DC40" w14:textId="1F2A2675" w:rsidR="00507F62" w:rsidRPr="00E8656C" w:rsidRDefault="00BB76D2" w:rsidP="0066499D">
            <w:pPr>
              <w:spacing w:before="60" w:after="60"/>
              <w:jc w:val="center"/>
              <w:rPr>
                <w:rFonts w:eastAsia="Times New Roman" w:cs="Arial"/>
                <w:sz w:val="18"/>
                <w:lang w:eastAsia="en-AU"/>
              </w:rPr>
            </w:pPr>
            <w:r w:rsidRPr="00E8656C">
              <w:rPr>
                <w:rFonts w:cs="Arial"/>
                <w:sz w:val="18"/>
              </w:rPr>
              <w:t>66.5</w:t>
            </w:r>
          </w:p>
        </w:tc>
        <w:tc>
          <w:tcPr>
            <w:tcW w:w="1587" w:type="dxa"/>
            <w:noWrap/>
            <w:vAlign w:val="center"/>
            <w:hideMark/>
          </w:tcPr>
          <w:p w14:paraId="735C4ABB" w14:textId="6631C485" w:rsidR="00507F62" w:rsidRPr="00E8656C" w:rsidRDefault="00BB76D2" w:rsidP="0066499D">
            <w:pPr>
              <w:spacing w:before="60" w:after="60"/>
              <w:jc w:val="center"/>
              <w:rPr>
                <w:rFonts w:eastAsia="Times New Roman" w:cs="Arial"/>
                <w:sz w:val="18"/>
                <w:lang w:eastAsia="en-AU"/>
              </w:rPr>
            </w:pPr>
            <w:r w:rsidRPr="00E8656C">
              <w:rPr>
                <w:rFonts w:cs="Arial"/>
                <w:sz w:val="18"/>
              </w:rPr>
              <w:t>78.8</w:t>
            </w:r>
          </w:p>
        </w:tc>
        <w:tc>
          <w:tcPr>
            <w:tcW w:w="1587" w:type="dxa"/>
            <w:noWrap/>
            <w:vAlign w:val="center"/>
            <w:hideMark/>
          </w:tcPr>
          <w:p w14:paraId="36ABCCB7" w14:textId="0E4F2FB8" w:rsidR="00507F62" w:rsidRPr="00E8656C" w:rsidRDefault="00507F62" w:rsidP="0066499D">
            <w:pPr>
              <w:spacing w:before="60" w:after="60"/>
              <w:jc w:val="center"/>
              <w:rPr>
                <w:rFonts w:eastAsia="Times New Roman" w:cs="Arial"/>
                <w:sz w:val="18"/>
                <w:lang w:eastAsia="en-AU"/>
              </w:rPr>
            </w:pPr>
            <w:r w:rsidRPr="00E8656C">
              <w:rPr>
                <w:rFonts w:cs="Arial"/>
                <w:sz w:val="18"/>
              </w:rPr>
              <w:t>72.</w:t>
            </w:r>
            <w:r w:rsidR="00BB76D2" w:rsidRPr="00E8656C">
              <w:rPr>
                <w:rFonts w:cs="Arial"/>
                <w:sz w:val="18"/>
              </w:rPr>
              <w:t>9</w:t>
            </w:r>
          </w:p>
        </w:tc>
      </w:tr>
      <w:tr w:rsidR="004D7A82" w:rsidRPr="00E8656C" w14:paraId="24C5E570" w14:textId="77777777" w:rsidTr="00D15EDE">
        <w:trPr>
          <w:trHeight w:val="288"/>
        </w:trPr>
        <w:tc>
          <w:tcPr>
            <w:tcW w:w="4706" w:type="dxa"/>
            <w:noWrap/>
            <w:hideMark/>
          </w:tcPr>
          <w:p w14:paraId="65A4233E"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Business and management</w:t>
            </w:r>
          </w:p>
        </w:tc>
        <w:tc>
          <w:tcPr>
            <w:tcW w:w="1587" w:type="dxa"/>
            <w:noWrap/>
            <w:vAlign w:val="center"/>
            <w:hideMark/>
          </w:tcPr>
          <w:p w14:paraId="64E8DBF6" w14:textId="36312E22" w:rsidR="00507F62" w:rsidRPr="00E8656C" w:rsidRDefault="00BB76D2" w:rsidP="0066499D">
            <w:pPr>
              <w:spacing w:before="60" w:after="60"/>
              <w:jc w:val="center"/>
              <w:rPr>
                <w:rFonts w:eastAsia="Times New Roman" w:cs="Arial"/>
                <w:sz w:val="18"/>
                <w:lang w:eastAsia="en-AU"/>
              </w:rPr>
            </w:pPr>
            <w:r w:rsidRPr="00E8656C">
              <w:rPr>
                <w:rFonts w:cs="Arial"/>
                <w:sz w:val="18"/>
              </w:rPr>
              <w:t>78</w:t>
            </w:r>
            <w:r w:rsidR="00507F62" w:rsidRPr="00E8656C">
              <w:rPr>
                <w:rFonts w:cs="Arial"/>
                <w:sz w:val="18"/>
              </w:rPr>
              <w:t>.8</w:t>
            </w:r>
          </w:p>
        </w:tc>
        <w:tc>
          <w:tcPr>
            <w:tcW w:w="1587" w:type="dxa"/>
            <w:noWrap/>
            <w:vAlign w:val="center"/>
            <w:hideMark/>
          </w:tcPr>
          <w:p w14:paraId="544B4F6C" w14:textId="4868ADDA" w:rsidR="00507F62" w:rsidRPr="00E8656C" w:rsidRDefault="00BB76D2" w:rsidP="0066499D">
            <w:pPr>
              <w:spacing w:before="60" w:after="60"/>
              <w:jc w:val="center"/>
              <w:rPr>
                <w:rFonts w:eastAsia="Times New Roman" w:cs="Arial"/>
                <w:sz w:val="18"/>
                <w:lang w:eastAsia="en-AU"/>
              </w:rPr>
            </w:pPr>
            <w:r w:rsidRPr="00E8656C">
              <w:rPr>
                <w:rFonts w:cs="Arial"/>
                <w:sz w:val="18"/>
              </w:rPr>
              <w:t>63.4</w:t>
            </w:r>
          </w:p>
        </w:tc>
        <w:tc>
          <w:tcPr>
            <w:tcW w:w="1587" w:type="dxa"/>
            <w:noWrap/>
            <w:vAlign w:val="center"/>
            <w:hideMark/>
          </w:tcPr>
          <w:p w14:paraId="6832C104" w14:textId="7121923B" w:rsidR="00507F62" w:rsidRPr="00E8656C" w:rsidRDefault="00BB76D2" w:rsidP="0066499D">
            <w:pPr>
              <w:spacing w:before="60" w:after="60"/>
              <w:jc w:val="center"/>
              <w:rPr>
                <w:rFonts w:eastAsia="Times New Roman" w:cs="Arial"/>
                <w:sz w:val="18"/>
                <w:lang w:eastAsia="en-AU"/>
              </w:rPr>
            </w:pPr>
            <w:r w:rsidRPr="00E8656C">
              <w:rPr>
                <w:rFonts w:cs="Arial"/>
                <w:sz w:val="18"/>
              </w:rPr>
              <w:t>76.8</w:t>
            </w:r>
          </w:p>
        </w:tc>
        <w:tc>
          <w:tcPr>
            <w:tcW w:w="1587" w:type="dxa"/>
            <w:noWrap/>
            <w:vAlign w:val="center"/>
            <w:hideMark/>
          </w:tcPr>
          <w:p w14:paraId="7E23AE09" w14:textId="3A7FF7D3" w:rsidR="00507F62" w:rsidRPr="00E8656C" w:rsidRDefault="00BB76D2" w:rsidP="0066499D">
            <w:pPr>
              <w:spacing w:before="60" w:after="60"/>
              <w:jc w:val="center"/>
              <w:rPr>
                <w:rFonts w:eastAsia="Times New Roman" w:cs="Arial"/>
                <w:sz w:val="18"/>
                <w:lang w:eastAsia="en-AU"/>
              </w:rPr>
            </w:pPr>
            <w:r w:rsidRPr="00E8656C">
              <w:rPr>
                <w:rFonts w:cs="Arial"/>
                <w:sz w:val="18"/>
              </w:rPr>
              <w:t>74.1</w:t>
            </w:r>
          </w:p>
        </w:tc>
        <w:tc>
          <w:tcPr>
            <w:tcW w:w="1587" w:type="dxa"/>
            <w:noWrap/>
            <w:vAlign w:val="center"/>
            <w:hideMark/>
          </w:tcPr>
          <w:p w14:paraId="39D88B94" w14:textId="43616C2A" w:rsidR="00507F62" w:rsidRPr="00E8656C" w:rsidRDefault="00BB76D2" w:rsidP="0066499D">
            <w:pPr>
              <w:spacing w:before="60" w:after="60"/>
              <w:jc w:val="center"/>
              <w:rPr>
                <w:rFonts w:eastAsia="Times New Roman" w:cs="Arial"/>
                <w:sz w:val="18"/>
                <w:lang w:eastAsia="en-AU"/>
              </w:rPr>
            </w:pPr>
            <w:r w:rsidRPr="00E8656C">
              <w:rPr>
                <w:rFonts w:cs="Arial"/>
                <w:sz w:val="18"/>
              </w:rPr>
              <w:t>82.0</w:t>
            </w:r>
          </w:p>
        </w:tc>
        <w:tc>
          <w:tcPr>
            <w:tcW w:w="1587" w:type="dxa"/>
            <w:noWrap/>
            <w:vAlign w:val="center"/>
            <w:hideMark/>
          </w:tcPr>
          <w:p w14:paraId="436F6D6E" w14:textId="2F0AC149" w:rsidR="00507F62" w:rsidRPr="00E8656C" w:rsidRDefault="00BB76D2" w:rsidP="0066499D">
            <w:pPr>
              <w:spacing w:before="60" w:after="60"/>
              <w:jc w:val="center"/>
              <w:rPr>
                <w:rFonts w:eastAsia="Times New Roman" w:cs="Arial"/>
                <w:sz w:val="18"/>
                <w:lang w:eastAsia="en-AU"/>
              </w:rPr>
            </w:pPr>
            <w:r w:rsidRPr="00E8656C">
              <w:rPr>
                <w:rFonts w:cs="Arial"/>
                <w:sz w:val="18"/>
              </w:rPr>
              <w:t>72</w:t>
            </w:r>
            <w:r w:rsidR="00507F62" w:rsidRPr="00E8656C">
              <w:rPr>
                <w:rFonts w:cs="Arial"/>
                <w:sz w:val="18"/>
              </w:rPr>
              <w:t>.2</w:t>
            </w:r>
          </w:p>
        </w:tc>
      </w:tr>
      <w:tr w:rsidR="004D7A82" w:rsidRPr="00E8656C" w14:paraId="3392D1DE" w14:textId="77777777" w:rsidTr="00D15EDE">
        <w:trPr>
          <w:trHeight w:val="288"/>
        </w:trPr>
        <w:tc>
          <w:tcPr>
            <w:tcW w:w="4706" w:type="dxa"/>
            <w:noWrap/>
            <w:hideMark/>
          </w:tcPr>
          <w:p w14:paraId="56FFB04F"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Communications</w:t>
            </w:r>
          </w:p>
        </w:tc>
        <w:tc>
          <w:tcPr>
            <w:tcW w:w="1587" w:type="dxa"/>
            <w:noWrap/>
            <w:vAlign w:val="center"/>
            <w:hideMark/>
          </w:tcPr>
          <w:p w14:paraId="2A1BB080" w14:textId="551D5A78" w:rsidR="00507F62" w:rsidRPr="00E8656C" w:rsidRDefault="00BB76D2" w:rsidP="0066499D">
            <w:pPr>
              <w:spacing w:before="60" w:after="60"/>
              <w:jc w:val="center"/>
              <w:rPr>
                <w:rFonts w:eastAsia="Times New Roman" w:cs="Arial"/>
                <w:sz w:val="18"/>
                <w:lang w:eastAsia="en-AU"/>
              </w:rPr>
            </w:pPr>
            <w:r w:rsidRPr="00E8656C">
              <w:rPr>
                <w:rFonts w:cs="Arial"/>
                <w:sz w:val="18"/>
              </w:rPr>
              <w:t>81.1</w:t>
            </w:r>
          </w:p>
        </w:tc>
        <w:tc>
          <w:tcPr>
            <w:tcW w:w="1587" w:type="dxa"/>
            <w:noWrap/>
            <w:vAlign w:val="center"/>
            <w:hideMark/>
          </w:tcPr>
          <w:p w14:paraId="034EE443" w14:textId="3143BE47" w:rsidR="00507F62" w:rsidRPr="00E8656C" w:rsidRDefault="00BB76D2" w:rsidP="0066499D">
            <w:pPr>
              <w:spacing w:before="60" w:after="60"/>
              <w:jc w:val="center"/>
              <w:rPr>
                <w:rFonts w:eastAsia="Times New Roman" w:cs="Arial"/>
                <w:sz w:val="18"/>
                <w:lang w:eastAsia="en-AU"/>
              </w:rPr>
            </w:pPr>
            <w:r w:rsidRPr="00E8656C">
              <w:rPr>
                <w:rFonts w:cs="Arial"/>
                <w:sz w:val="18"/>
              </w:rPr>
              <w:t>65.6</w:t>
            </w:r>
          </w:p>
        </w:tc>
        <w:tc>
          <w:tcPr>
            <w:tcW w:w="1587" w:type="dxa"/>
            <w:noWrap/>
            <w:vAlign w:val="center"/>
            <w:hideMark/>
          </w:tcPr>
          <w:p w14:paraId="049795F1" w14:textId="619ADC11" w:rsidR="00507F62" w:rsidRPr="00E8656C" w:rsidRDefault="00BB76D2" w:rsidP="0066499D">
            <w:pPr>
              <w:spacing w:before="60" w:after="60"/>
              <w:jc w:val="center"/>
              <w:rPr>
                <w:rFonts w:eastAsia="Times New Roman" w:cs="Arial"/>
                <w:sz w:val="18"/>
                <w:lang w:eastAsia="en-AU"/>
              </w:rPr>
            </w:pPr>
            <w:r w:rsidRPr="00E8656C">
              <w:rPr>
                <w:rFonts w:cs="Arial"/>
                <w:sz w:val="18"/>
              </w:rPr>
              <w:t>82.2</w:t>
            </w:r>
          </w:p>
        </w:tc>
        <w:tc>
          <w:tcPr>
            <w:tcW w:w="1587" w:type="dxa"/>
            <w:noWrap/>
            <w:vAlign w:val="center"/>
            <w:hideMark/>
          </w:tcPr>
          <w:p w14:paraId="465FE97D" w14:textId="5624FA18" w:rsidR="00507F62" w:rsidRPr="00E8656C" w:rsidRDefault="00BB76D2" w:rsidP="0066499D">
            <w:pPr>
              <w:spacing w:before="60" w:after="60"/>
              <w:jc w:val="center"/>
              <w:rPr>
                <w:rFonts w:eastAsia="Times New Roman" w:cs="Arial"/>
                <w:sz w:val="18"/>
                <w:lang w:eastAsia="en-AU"/>
              </w:rPr>
            </w:pPr>
            <w:r w:rsidRPr="00E8656C">
              <w:rPr>
                <w:rFonts w:cs="Arial"/>
                <w:sz w:val="18"/>
              </w:rPr>
              <w:t>68</w:t>
            </w:r>
            <w:r w:rsidR="00507F62" w:rsidRPr="00E8656C">
              <w:rPr>
                <w:rFonts w:cs="Arial"/>
                <w:sz w:val="18"/>
              </w:rPr>
              <w:t>.1</w:t>
            </w:r>
          </w:p>
        </w:tc>
        <w:tc>
          <w:tcPr>
            <w:tcW w:w="1587" w:type="dxa"/>
            <w:noWrap/>
            <w:vAlign w:val="center"/>
            <w:hideMark/>
          </w:tcPr>
          <w:p w14:paraId="688D2DF3" w14:textId="59B8700E" w:rsidR="00507F62" w:rsidRPr="00E8656C" w:rsidRDefault="00BB76D2" w:rsidP="0066499D">
            <w:pPr>
              <w:spacing w:before="60" w:after="60"/>
              <w:jc w:val="center"/>
              <w:rPr>
                <w:rFonts w:eastAsia="Times New Roman" w:cs="Arial"/>
                <w:sz w:val="18"/>
                <w:lang w:eastAsia="en-AU"/>
              </w:rPr>
            </w:pPr>
            <w:r w:rsidRPr="00E8656C">
              <w:rPr>
                <w:rFonts w:cs="Arial"/>
                <w:sz w:val="18"/>
              </w:rPr>
              <w:t>84.8</w:t>
            </w:r>
          </w:p>
        </w:tc>
        <w:tc>
          <w:tcPr>
            <w:tcW w:w="1587" w:type="dxa"/>
            <w:noWrap/>
            <w:vAlign w:val="center"/>
            <w:hideMark/>
          </w:tcPr>
          <w:p w14:paraId="0B28B41F" w14:textId="569C7227" w:rsidR="00507F62" w:rsidRPr="00E8656C" w:rsidRDefault="00507F62" w:rsidP="0066499D">
            <w:pPr>
              <w:spacing w:before="60" w:after="60"/>
              <w:jc w:val="center"/>
              <w:rPr>
                <w:rFonts w:eastAsia="Times New Roman" w:cs="Arial"/>
                <w:sz w:val="18"/>
                <w:lang w:eastAsia="en-AU"/>
              </w:rPr>
            </w:pPr>
            <w:r w:rsidRPr="00E8656C">
              <w:rPr>
                <w:rFonts w:cs="Arial"/>
                <w:sz w:val="18"/>
              </w:rPr>
              <w:t>77.</w:t>
            </w:r>
            <w:r w:rsidR="00BB76D2" w:rsidRPr="00E8656C">
              <w:rPr>
                <w:rFonts w:cs="Arial"/>
                <w:sz w:val="18"/>
              </w:rPr>
              <w:t>3</w:t>
            </w:r>
          </w:p>
        </w:tc>
      </w:tr>
      <w:tr w:rsidR="004D7A82" w:rsidRPr="00E8656C" w14:paraId="039D1247" w14:textId="77777777" w:rsidTr="00D15EDE">
        <w:trPr>
          <w:trHeight w:val="288"/>
        </w:trPr>
        <w:tc>
          <w:tcPr>
            <w:tcW w:w="4706" w:type="dxa"/>
            <w:noWrap/>
            <w:hideMark/>
          </w:tcPr>
          <w:p w14:paraId="228A0BDD"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Computing and information systems</w:t>
            </w:r>
          </w:p>
        </w:tc>
        <w:tc>
          <w:tcPr>
            <w:tcW w:w="1587" w:type="dxa"/>
            <w:noWrap/>
            <w:vAlign w:val="center"/>
            <w:hideMark/>
          </w:tcPr>
          <w:p w14:paraId="24F5EB70" w14:textId="487F50AA" w:rsidR="00507F62" w:rsidRPr="00E8656C" w:rsidRDefault="00BB76D2" w:rsidP="0066499D">
            <w:pPr>
              <w:spacing w:before="60" w:after="60"/>
              <w:jc w:val="center"/>
              <w:rPr>
                <w:rFonts w:eastAsia="Times New Roman" w:cs="Arial"/>
                <w:sz w:val="18"/>
                <w:lang w:eastAsia="en-AU"/>
              </w:rPr>
            </w:pPr>
            <w:r w:rsidRPr="00E8656C">
              <w:rPr>
                <w:rFonts w:cs="Arial"/>
                <w:sz w:val="18"/>
              </w:rPr>
              <w:t>74.0</w:t>
            </w:r>
          </w:p>
        </w:tc>
        <w:tc>
          <w:tcPr>
            <w:tcW w:w="1587" w:type="dxa"/>
            <w:noWrap/>
            <w:vAlign w:val="center"/>
            <w:hideMark/>
          </w:tcPr>
          <w:p w14:paraId="0955EC7A" w14:textId="402BAFFD" w:rsidR="00507F62" w:rsidRPr="00E8656C" w:rsidRDefault="00BB76D2" w:rsidP="0066499D">
            <w:pPr>
              <w:spacing w:before="60" w:after="60"/>
              <w:jc w:val="center"/>
              <w:rPr>
                <w:rFonts w:eastAsia="Times New Roman" w:cs="Arial"/>
                <w:sz w:val="18"/>
                <w:lang w:eastAsia="en-AU"/>
              </w:rPr>
            </w:pPr>
            <w:r w:rsidRPr="00E8656C">
              <w:rPr>
                <w:rFonts w:cs="Arial"/>
                <w:sz w:val="18"/>
              </w:rPr>
              <w:t>61.0</w:t>
            </w:r>
          </w:p>
        </w:tc>
        <w:tc>
          <w:tcPr>
            <w:tcW w:w="1587" w:type="dxa"/>
            <w:noWrap/>
            <w:vAlign w:val="center"/>
            <w:hideMark/>
          </w:tcPr>
          <w:p w14:paraId="405DAE0E" w14:textId="3B255D3D" w:rsidR="00507F62" w:rsidRPr="00E8656C" w:rsidRDefault="00BB76D2" w:rsidP="0066499D">
            <w:pPr>
              <w:spacing w:before="60" w:after="60"/>
              <w:jc w:val="center"/>
              <w:rPr>
                <w:rFonts w:eastAsia="Times New Roman" w:cs="Arial"/>
                <w:sz w:val="18"/>
                <w:lang w:eastAsia="en-AU"/>
              </w:rPr>
            </w:pPr>
            <w:r w:rsidRPr="00E8656C">
              <w:rPr>
                <w:rFonts w:cs="Arial"/>
                <w:sz w:val="18"/>
              </w:rPr>
              <w:t>73.4</w:t>
            </w:r>
          </w:p>
        </w:tc>
        <w:tc>
          <w:tcPr>
            <w:tcW w:w="1587" w:type="dxa"/>
            <w:noWrap/>
            <w:vAlign w:val="center"/>
            <w:hideMark/>
          </w:tcPr>
          <w:p w14:paraId="64EB2F97" w14:textId="1E2A8345" w:rsidR="00507F62" w:rsidRPr="00E8656C" w:rsidRDefault="00BB76D2" w:rsidP="0066499D">
            <w:pPr>
              <w:spacing w:before="60" w:after="60"/>
              <w:jc w:val="center"/>
              <w:rPr>
                <w:rFonts w:eastAsia="Times New Roman" w:cs="Arial"/>
                <w:sz w:val="18"/>
                <w:lang w:eastAsia="en-AU"/>
              </w:rPr>
            </w:pPr>
            <w:r w:rsidRPr="00E8656C">
              <w:rPr>
                <w:rFonts w:cs="Arial"/>
                <w:sz w:val="18"/>
              </w:rPr>
              <w:t>71.2</w:t>
            </w:r>
          </w:p>
        </w:tc>
        <w:tc>
          <w:tcPr>
            <w:tcW w:w="1587" w:type="dxa"/>
            <w:noWrap/>
            <w:vAlign w:val="center"/>
            <w:hideMark/>
          </w:tcPr>
          <w:p w14:paraId="2D8DB243" w14:textId="2FC32443" w:rsidR="00507F62" w:rsidRPr="00E8656C" w:rsidRDefault="00BB76D2" w:rsidP="0066499D">
            <w:pPr>
              <w:spacing w:before="60" w:after="60"/>
              <w:jc w:val="center"/>
              <w:rPr>
                <w:rFonts w:eastAsia="Times New Roman" w:cs="Arial"/>
                <w:sz w:val="18"/>
                <w:lang w:eastAsia="en-AU"/>
              </w:rPr>
            </w:pPr>
            <w:r w:rsidRPr="00E8656C">
              <w:rPr>
                <w:rFonts w:cs="Arial"/>
                <w:sz w:val="18"/>
              </w:rPr>
              <w:t>79.1</w:t>
            </w:r>
          </w:p>
        </w:tc>
        <w:tc>
          <w:tcPr>
            <w:tcW w:w="1587" w:type="dxa"/>
            <w:noWrap/>
            <w:vAlign w:val="center"/>
            <w:hideMark/>
          </w:tcPr>
          <w:p w14:paraId="2FFC783A" w14:textId="4216DBC7" w:rsidR="00507F62" w:rsidRPr="00E8656C" w:rsidRDefault="00BB76D2" w:rsidP="0066499D">
            <w:pPr>
              <w:spacing w:before="60" w:after="60"/>
              <w:jc w:val="center"/>
              <w:rPr>
                <w:rFonts w:eastAsia="Times New Roman" w:cs="Arial"/>
                <w:sz w:val="18"/>
                <w:lang w:eastAsia="en-AU"/>
              </w:rPr>
            </w:pPr>
            <w:r w:rsidRPr="00E8656C">
              <w:rPr>
                <w:rFonts w:cs="Arial"/>
                <w:sz w:val="18"/>
              </w:rPr>
              <w:t>67.3</w:t>
            </w:r>
          </w:p>
        </w:tc>
      </w:tr>
      <w:tr w:rsidR="004D7A82" w:rsidRPr="00E8656C" w14:paraId="6AD9531C" w14:textId="77777777" w:rsidTr="00D15EDE">
        <w:trPr>
          <w:trHeight w:val="288"/>
        </w:trPr>
        <w:tc>
          <w:tcPr>
            <w:tcW w:w="4706" w:type="dxa"/>
            <w:noWrap/>
            <w:hideMark/>
          </w:tcPr>
          <w:p w14:paraId="3BD2F307"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Creative arts</w:t>
            </w:r>
          </w:p>
        </w:tc>
        <w:tc>
          <w:tcPr>
            <w:tcW w:w="1587" w:type="dxa"/>
            <w:noWrap/>
            <w:vAlign w:val="center"/>
            <w:hideMark/>
          </w:tcPr>
          <w:p w14:paraId="26C22717" w14:textId="75FAED32" w:rsidR="00507F62" w:rsidRPr="00E8656C" w:rsidRDefault="00BB76D2" w:rsidP="0066499D">
            <w:pPr>
              <w:spacing w:before="60" w:after="60"/>
              <w:jc w:val="center"/>
              <w:rPr>
                <w:rFonts w:eastAsia="Times New Roman" w:cs="Arial"/>
                <w:sz w:val="18"/>
                <w:lang w:eastAsia="en-AU"/>
              </w:rPr>
            </w:pPr>
            <w:r w:rsidRPr="00E8656C">
              <w:rPr>
                <w:rFonts w:cs="Arial"/>
                <w:sz w:val="18"/>
              </w:rPr>
              <w:t>81.2</w:t>
            </w:r>
          </w:p>
        </w:tc>
        <w:tc>
          <w:tcPr>
            <w:tcW w:w="1587" w:type="dxa"/>
            <w:noWrap/>
            <w:vAlign w:val="center"/>
            <w:hideMark/>
          </w:tcPr>
          <w:p w14:paraId="01626524" w14:textId="30C82AA3" w:rsidR="00507F62" w:rsidRPr="00E8656C" w:rsidRDefault="00BB76D2" w:rsidP="0066499D">
            <w:pPr>
              <w:spacing w:before="60" w:after="60"/>
              <w:jc w:val="center"/>
              <w:rPr>
                <w:rFonts w:eastAsia="Times New Roman" w:cs="Arial"/>
                <w:sz w:val="18"/>
                <w:lang w:eastAsia="en-AU"/>
              </w:rPr>
            </w:pPr>
            <w:r w:rsidRPr="00E8656C">
              <w:rPr>
                <w:rFonts w:cs="Arial"/>
                <w:sz w:val="18"/>
              </w:rPr>
              <w:t>67.6</w:t>
            </w:r>
          </w:p>
        </w:tc>
        <w:tc>
          <w:tcPr>
            <w:tcW w:w="1587" w:type="dxa"/>
            <w:noWrap/>
            <w:vAlign w:val="center"/>
            <w:hideMark/>
          </w:tcPr>
          <w:p w14:paraId="36CECA01" w14:textId="68ADE282" w:rsidR="00507F62" w:rsidRPr="00E8656C" w:rsidRDefault="00BB76D2" w:rsidP="0066499D">
            <w:pPr>
              <w:spacing w:before="60" w:after="60"/>
              <w:jc w:val="center"/>
              <w:rPr>
                <w:rFonts w:eastAsia="Times New Roman" w:cs="Arial"/>
                <w:sz w:val="18"/>
                <w:lang w:eastAsia="en-AU"/>
              </w:rPr>
            </w:pPr>
            <w:r w:rsidRPr="00E8656C">
              <w:rPr>
                <w:rFonts w:cs="Arial"/>
                <w:sz w:val="18"/>
              </w:rPr>
              <w:t>84</w:t>
            </w:r>
            <w:r w:rsidR="00507F62" w:rsidRPr="00E8656C">
              <w:rPr>
                <w:rFonts w:cs="Arial"/>
                <w:sz w:val="18"/>
              </w:rPr>
              <w:t>.5</w:t>
            </w:r>
          </w:p>
        </w:tc>
        <w:tc>
          <w:tcPr>
            <w:tcW w:w="1587" w:type="dxa"/>
            <w:noWrap/>
            <w:vAlign w:val="center"/>
            <w:hideMark/>
          </w:tcPr>
          <w:p w14:paraId="36285D7C" w14:textId="740B6B78" w:rsidR="00507F62" w:rsidRPr="00E8656C" w:rsidRDefault="00BB76D2" w:rsidP="0066499D">
            <w:pPr>
              <w:spacing w:before="60" w:after="60"/>
              <w:jc w:val="center"/>
              <w:rPr>
                <w:rFonts w:eastAsia="Times New Roman" w:cs="Arial"/>
                <w:sz w:val="18"/>
                <w:lang w:eastAsia="en-AU"/>
              </w:rPr>
            </w:pPr>
            <w:r w:rsidRPr="00E8656C">
              <w:rPr>
                <w:rFonts w:cs="Arial"/>
                <w:sz w:val="18"/>
              </w:rPr>
              <w:t>66.9</w:t>
            </w:r>
          </w:p>
        </w:tc>
        <w:tc>
          <w:tcPr>
            <w:tcW w:w="1587" w:type="dxa"/>
            <w:noWrap/>
            <w:vAlign w:val="center"/>
            <w:hideMark/>
          </w:tcPr>
          <w:p w14:paraId="45972A2D" w14:textId="6E54197A" w:rsidR="00507F62" w:rsidRPr="00E8656C" w:rsidRDefault="00BB76D2" w:rsidP="0066499D">
            <w:pPr>
              <w:spacing w:before="60" w:after="60"/>
              <w:jc w:val="center"/>
              <w:rPr>
                <w:rFonts w:eastAsia="Times New Roman" w:cs="Arial"/>
                <w:sz w:val="18"/>
                <w:lang w:eastAsia="en-AU"/>
              </w:rPr>
            </w:pPr>
            <w:r w:rsidRPr="00E8656C">
              <w:rPr>
                <w:rFonts w:cs="Arial"/>
                <w:sz w:val="18"/>
              </w:rPr>
              <w:t>80.1</w:t>
            </w:r>
          </w:p>
        </w:tc>
        <w:tc>
          <w:tcPr>
            <w:tcW w:w="1587" w:type="dxa"/>
            <w:noWrap/>
            <w:vAlign w:val="center"/>
            <w:hideMark/>
          </w:tcPr>
          <w:p w14:paraId="5339C8CD" w14:textId="72F365BE" w:rsidR="00507F62" w:rsidRPr="00E8656C" w:rsidRDefault="00BB76D2" w:rsidP="0066499D">
            <w:pPr>
              <w:spacing w:before="60" w:after="60"/>
              <w:jc w:val="center"/>
              <w:rPr>
                <w:rFonts w:eastAsia="Times New Roman" w:cs="Arial"/>
                <w:sz w:val="18"/>
                <w:lang w:eastAsia="en-AU"/>
              </w:rPr>
            </w:pPr>
            <w:r w:rsidRPr="00E8656C">
              <w:rPr>
                <w:rFonts w:cs="Arial"/>
                <w:sz w:val="18"/>
              </w:rPr>
              <w:t>78.7</w:t>
            </w:r>
          </w:p>
        </w:tc>
      </w:tr>
      <w:tr w:rsidR="004D7A82" w:rsidRPr="00E8656C" w14:paraId="5ADDCFF9" w14:textId="77777777" w:rsidTr="00D15EDE">
        <w:trPr>
          <w:trHeight w:val="288"/>
        </w:trPr>
        <w:tc>
          <w:tcPr>
            <w:tcW w:w="4706" w:type="dxa"/>
            <w:noWrap/>
            <w:hideMark/>
          </w:tcPr>
          <w:p w14:paraId="2E5655EE"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Dentistry</w:t>
            </w:r>
          </w:p>
        </w:tc>
        <w:tc>
          <w:tcPr>
            <w:tcW w:w="1587" w:type="dxa"/>
            <w:noWrap/>
            <w:vAlign w:val="center"/>
            <w:hideMark/>
          </w:tcPr>
          <w:p w14:paraId="412B4F92" w14:textId="6AAE9418" w:rsidR="00507F62" w:rsidRPr="00E8656C" w:rsidRDefault="00BB76D2" w:rsidP="0066499D">
            <w:pPr>
              <w:spacing w:before="60" w:after="60"/>
              <w:jc w:val="center"/>
              <w:rPr>
                <w:rFonts w:eastAsia="Times New Roman" w:cs="Arial"/>
                <w:sz w:val="18"/>
                <w:lang w:eastAsia="en-AU"/>
              </w:rPr>
            </w:pPr>
            <w:r w:rsidRPr="00E8656C">
              <w:rPr>
                <w:rFonts w:cs="Arial"/>
                <w:sz w:val="18"/>
              </w:rPr>
              <w:t>84</w:t>
            </w:r>
            <w:r w:rsidR="00507F62" w:rsidRPr="00E8656C">
              <w:rPr>
                <w:rFonts w:cs="Arial"/>
                <w:sz w:val="18"/>
              </w:rPr>
              <w:t>.7</w:t>
            </w:r>
          </w:p>
        </w:tc>
        <w:tc>
          <w:tcPr>
            <w:tcW w:w="1587" w:type="dxa"/>
            <w:noWrap/>
            <w:vAlign w:val="center"/>
            <w:hideMark/>
          </w:tcPr>
          <w:p w14:paraId="35987226" w14:textId="7699B85F" w:rsidR="00507F62" w:rsidRPr="00E8656C" w:rsidRDefault="00507F62" w:rsidP="0066499D">
            <w:pPr>
              <w:spacing w:before="60" w:after="60"/>
              <w:jc w:val="center"/>
              <w:rPr>
                <w:rFonts w:eastAsia="Times New Roman" w:cs="Arial"/>
                <w:sz w:val="18"/>
                <w:lang w:eastAsia="en-AU"/>
              </w:rPr>
            </w:pPr>
            <w:r w:rsidRPr="00E8656C">
              <w:rPr>
                <w:rFonts w:cs="Arial"/>
                <w:sz w:val="18"/>
              </w:rPr>
              <w:t>69.</w:t>
            </w:r>
            <w:r w:rsidR="00BB76D2" w:rsidRPr="00E8656C">
              <w:rPr>
                <w:rFonts w:cs="Arial"/>
                <w:sz w:val="18"/>
              </w:rPr>
              <w:t>0</w:t>
            </w:r>
          </w:p>
        </w:tc>
        <w:tc>
          <w:tcPr>
            <w:tcW w:w="1587" w:type="dxa"/>
            <w:noWrap/>
            <w:vAlign w:val="center"/>
            <w:hideMark/>
          </w:tcPr>
          <w:p w14:paraId="345FFB0A" w14:textId="62C93EDD" w:rsidR="00507F62" w:rsidRPr="00E8656C" w:rsidRDefault="00BB76D2" w:rsidP="0066499D">
            <w:pPr>
              <w:spacing w:before="60" w:after="60"/>
              <w:jc w:val="center"/>
              <w:rPr>
                <w:rFonts w:eastAsia="Times New Roman" w:cs="Arial"/>
                <w:sz w:val="18"/>
                <w:lang w:eastAsia="en-AU"/>
              </w:rPr>
            </w:pPr>
            <w:r w:rsidRPr="00E8656C">
              <w:rPr>
                <w:rFonts w:cs="Arial"/>
                <w:sz w:val="18"/>
              </w:rPr>
              <w:t>76.2</w:t>
            </w:r>
          </w:p>
        </w:tc>
        <w:tc>
          <w:tcPr>
            <w:tcW w:w="1587" w:type="dxa"/>
            <w:noWrap/>
            <w:vAlign w:val="center"/>
            <w:hideMark/>
          </w:tcPr>
          <w:p w14:paraId="612E834D" w14:textId="34874157" w:rsidR="00507F62" w:rsidRPr="00E8656C" w:rsidRDefault="00BB76D2" w:rsidP="0066499D">
            <w:pPr>
              <w:spacing w:before="60" w:after="60"/>
              <w:jc w:val="center"/>
              <w:rPr>
                <w:rFonts w:eastAsia="Times New Roman" w:cs="Arial"/>
                <w:sz w:val="18"/>
                <w:lang w:eastAsia="en-AU"/>
              </w:rPr>
            </w:pPr>
            <w:r w:rsidRPr="00E8656C">
              <w:rPr>
                <w:rFonts w:cs="Arial"/>
                <w:sz w:val="18"/>
              </w:rPr>
              <w:t>66.5</w:t>
            </w:r>
          </w:p>
        </w:tc>
        <w:tc>
          <w:tcPr>
            <w:tcW w:w="1587" w:type="dxa"/>
            <w:noWrap/>
            <w:vAlign w:val="center"/>
            <w:hideMark/>
          </w:tcPr>
          <w:p w14:paraId="5070048D" w14:textId="638325CA" w:rsidR="00507F62" w:rsidRPr="00E8656C" w:rsidRDefault="00BB76D2" w:rsidP="0066499D">
            <w:pPr>
              <w:spacing w:before="60" w:after="60"/>
              <w:jc w:val="center"/>
              <w:rPr>
                <w:rFonts w:eastAsia="Times New Roman" w:cs="Arial"/>
                <w:sz w:val="18"/>
                <w:lang w:eastAsia="en-AU"/>
              </w:rPr>
            </w:pPr>
            <w:r w:rsidRPr="00E8656C">
              <w:rPr>
                <w:rFonts w:cs="Arial"/>
                <w:sz w:val="18"/>
              </w:rPr>
              <w:t>77.5</w:t>
            </w:r>
          </w:p>
        </w:tc>
        <w:tc>
          <w:tcPr>
            <w:tcW w:w="1587" w:type="dxa"/>
            <w:noWrap/>
            <w:vAlign w:val="center"/>
            <w:hideMark/>
          </w:tcPr>
          <w:p w14:paraId="746B7E6B" w14:textId="74E3EFDA" w:rsidR="00507F62" w:rsidRPr="00E8656C" w:rsidRDefault="00BB76D2" w:rsidP="0066499D">
            <w:pPr>
              <w:spacing w:before="60" w:after="60"/>
              <w:jc w:val="center"/>
              <w:rPr>
                <w:rFonts w:eastAsia="Times New Roman" w:cs="Arial"/>
                <w:sz w:val="18"/>
                <w:lang w:eastAsia="en-AU"/>
              </w:rPr>
            </w:pPr>
            <w:r w:rsidRPr="00E8656C">
              <w:rPr>
                <w:rFonts w:cs="Arial"/>
                <w:sz w:val="18"/>
              </w:rPr>
              <w:t>72.0</w:t>
            </w:r>
          </w:p>
        </w:tc>
      </w:tr>
      <w:tr w:rsidR="004D7A82" w:rsidRPr="00E8656C" w14:paraId="7AE85163" w14:textId="77777777" w:rsidTr="00D15EDE">
        <w:trPr>
          <w:trHeight w:val="288"/>
        </w:trPr>
        <w:tc>
          <w:tcPr>
            <w:tcW w:w="4706" w:type="dxa"/>
            <w:noWrap/>
            <w:hideMark/>
          </w:tcPr>
          <w:p w14:paraId="0A805C1A"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Engineering</w:t>
            </w:r>
          </w:p>
        </w:tc>
        <w:tc>
          <w:tcPr>
            <w:tcW w:w="1587" w:type="dxa"/>
            <w:noWrap/>
            <w:vAlign w:val="center"/>
            <w:hideMark/>
          </w:tcPr>
          <w:p w14:paraId="795A0059" w14:textId="1FDB33AF" w:rsidR="00507F62" w:rsidRPr="00E8656C" w:rsidRDefault="00BB76D2" w:rsidP="0066499D">
            <w:pPr>
              <w:spacing w:before="60" w:after="60"/>
              <w:jc w:val="center"/>
              <w:rPr>
                <w:rFonts w:eastAsia="Times New Roman" w:cs="Arial"/>
                <w:sz w:val="18"/>
                <w:lang w:eastAsia="en-AU"/>
              </w:rPr>
            </w:pPr>
            <w:r w:rsidRPr="00E8656C">
              <w:rPr>
                <w:rFonts w:cs="Arial"/>
                <w:sz w:val="18"/>
              </w:rPr>
              <w:t>78.4</w:t>
            </w:r>
          </w:p>
        </w:tc>
        <w:tc>
          <w:tcPr>
            <w:tcW w:w="1587" w:type="dxa"/>
            <w:noWrap/>
            <w:vAlign w:val="center"/>
            <w:hideMark/>
          </w:tcPr>
          <w:p w14:paraId="0CCC4B4C" w14:textId="290B0FE1" w:rsidR="00507F62" w:rsidRPr="00E8656C" w:rsidRDefault="00BB76D2" w:rsidP="0066499D">
            <w:pPr>
              <w:spacing w:before="60" w:after="60"/>
              <w:jc w:val="center"/>
              <w:rPr>
                <w:rFonts w:eastAsia="Times New Roman" w:cs="Arial"/>
                <w:sz w:val="18"/>
                <w:lang w:eastAsia="en-AU"/>
              </w:rPr>
            </w:pPr>
            <w:r w:rsidRPr="00E8656C">
              <w:rPr>
                <w:rFonts w:cs="Arial"/>
                <w:sz w:val="18"/>
              </w:rPr>
              <w:t>64.5</w:t>
            </w:r>
          </w:p>
        </w:tc>
        <w:tc>
          <w:tcPr>
            <w:tcW w:w="1587" w:type="dxa"/>
            <w:noWrap/>
            <w:vAlign w:val="center"/>
            <w:hideMark/>
          </w:tcPr>
          <w:p w14:paraId="14716AEB" w14:textId="79979076" w:rsidR="00507F62" w:rsidRPr="00E8656C" w:rsidRDefault="00BB76D2" w:rsidP="0066499D">
            <w:pPr>
              <w:spacing w:before="60" w:after="60"/>
              <w:jc w:val="center"/>
              <w:rPr>
                <w:rFonts w:eastAsia="Times New Roman" w:cs="Arial"/>
                <w:sz w:val="18"/>
                <w:lang w:eastAsia="en-AU"/>
              </w:rPr>
            </w:pPr>
            <w:r w:rsidRPr="00E8656C">
              <w:rPr>
                <w:rFonts w:cs="Arial"/>
                <w:sz w:val="18"/>
              </w:rPr>
              <w:t>76.1</w:t>
            </w:r>
          </w:p>
        </w:tc>
        <w:tc>
          <w:tcPr>
            <w:tcW w:w="1587" w:type="dxa"/>
            <w:noWrap/>
            <w:vAlign w:val="center"/>
            <w:hideMark/>
          </w:tcPr>
          <w:p w14:paraId="5E1F77B6" w14:textId="4DB92727" w:rsidR="00507F62" w:rsidRPr="00E8656C" w:rsidRDefault="00BB76D2" w:rsidP="0066499D">
            <w:pPr>
              <w:spacing w:before="60" w:after="60"/>
              <w:jc w:val="center"/>
              <w:rPr>
                <w:rFonts w:eastAsia="Times New Roman" w:cs="Arial"/>
                <w:sz w:val="18"/>
                <w:lang w:eastAsia="en-AU"/>
              </w:rPr>
            </w:pPr>
            <w:r w:rsidRPr="00E8656C">
              <w:rPr>
                <w:rFonts w:cs="Arial"/>
                <w:sz w:val="18"/>
              </w:rPr>
              <w:t>69.2</w:t>
            </w:r>
          </w:p>
        </w:tc>
        <w:tc>
          <w:tcPr>
            <w:tcW w:w="1587" w:type="dxa"/>
            <w:noWrap/>
            <w:vAlign w:val="center"/>
            <w:hideMark/>
          </w:tcPr>
          <w:p w14:paraId="78405FC0" w14:textId="0B6DE4DF" w:rsidR="00507F62" w:rsidRPr="00E8656C" w:rsidRDefault="00BB76D2" w:rsidP="0066499D">
            <w:pPr>
              <w:spacing w:before="60" w:after="60"/>
              <w:jc w:val="center"/>
              <w:rPr>
                <w:rFonts w:eastAsia="Times New Roman" w:cs="Arial"/>
                <w:sz w:val="18"/>
                <w:lang w:eastAsia="en-AU"/>
              </w:rPr>
            </w:pPr>
            <w:r w:rsidRPr="00E8656C">
              <w:rPr>
                <w:rFonts w:cs="Arial"/>
                <w:sz w:val="18"/>
              </w:rPr>
              <w:t>83</w:t>
            </w:r>
            <w:r w:rsidR="00507F62" w:rsidRPr="00E8656C">
              <w:rPr>
                <w:rFonts w:cs="Arial"/>
                <w:sz w:val="18"/>
              </w:rPr>
              <w:t>.9</w:t>
            </w:r>
          </w:p>
        </w:tc>
        <w:tc>
          <w:tcPr>
            <w:tcW w:w="1587" w:type="dxa"/>
            <w:noWrap/>
            <w:vAlign w:val="center"/>
            <w:hideMark/>
          </w:tcPr>
          <w:p w14:paraId="58A63266" w14:textId="0BB3C2C8" w:rsidR="00507F62" w:rsidRPr="00E8656C" w:rsidRDefault="00BB76D2" w:rsidP="0066499D">
            <w:pPr>
              <w:spacing w:before="60" w:after="60"/>
              <w:jc w:val="center"/>
              <w:rPr>
                <w:rFonts w:eastAsia="Times New Roman" w:cs="Arial"/>
                <w:sz w:val="18"/>
                <w:lang w:eastAsia="en-AU"/>
              </w:rPr>
            </w:pPr>
            <w:r w:rsidRPr="00E8656C">
              <w:rPr>
                <w:rFonts w:cs="Arial"/>
                <w:sz w:val="18"/>
              </w:rPr>
              <w:t>72</w:t>
            </w:r>
            <w:r w:rsidR="00507F62" w:rsidRPr="00E8656C">
              <w:rPr>
                <w:rFonts w:cs="Arial"/>
                <w:sz w:val="18"/>
              </w:rPr>
              <w:t>.7</w:t>
            </w:r>
          </w:p>
        </w:tc>
      </w:tr>
      <w:tr w:rsidR="004D7A82" w:rsidRPr="00E8656C" w14:paraId="5D90B49F" w14:textId="77777777" w:rsidTr="00D15EDE">
        <w:trPr>
          <w:trHeight w:val="288"/>
        </w:trPr>
        <w:tc>
          <w:tcPr>
            <w:tcW w:w="4706" w:type="dxa"/>
            <w:noWrap/>
            <w:hideMark/>
          </w:tcPr>
          <w:p w14:paraId="3D87371B"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Health services and support</w:t>
            </w:r>
          </w:p>
        </w:tc>
        <w:tc>
          <w:tcPr>
            <w:tcW w:w="1587" w:type="dxa"/>
            <w:noWrap/>
            <w:vAlign w:val="center"/>
            <w:hideMark/>
          </w:tcPr>
          <w:p w14:paraId="0759CF45" w14:textId="742CCFDF" w:rsidR="00507F62" w:rsidRPr="00E8656C" w:rsidRDefault="00BB76D2" w:rsidP="0066499D">
            <w:pPr>
              <w:spacing w:before="60" w:after="60"/>
              <w:jc w:val="center"/>
              <w:rPr>
                <w:rFonts w:eastAsia="Times New Roman" w:cs="Arial"/>
                <w:sz w:val="18"/>
                <w:lang w:eastAsia="en-AU"/>
              </w:rPr>
            </w:pPr>
            <w:r w:rsidRPr="00E8656C">
              <w:rPr>
                <w:rFonts w:cs="Arial"/>
                <w:sz w:val="18"/>
              </w:rPr>
              <w:t>82.9</w:t>
            </w:r>
          </w:p>
        </w:tc>
        <w:tc>
          <w:tcPr>
            <w:tcW w:w="1587" w:type="dxa"/>
            <w:noWrap/>
            <w:vAlign w:val="center"/>
            <w:hideMark/>
          </w:tcPr>
          <w:p w14:paraId="1B712FFC" w14:textId="1D1A470A" w:rsidR="00507F62" w:rsidRPr="00E8656C" w:rsidRDefault="00BB76D2" w:rsidP="0066499D">
            <w:pPr>
              <w:spacing w:before="60" w:after="60"/>
              <w:jc w:val="center"/>
              <w:rPr>
                <w:rFonts w:eastAsia="Times New Roman" w:cs="Arial"/>
                <w:sz w:val="18"/>
                <w:lang w:eastAsia="en-AU"/>
              </w:rPr>
            </w:pPr>
            <w:r w:rsidRPr="00E8656C">
              <w:rPr>
                <w:rFonts w:cs="Arial"/>
                <w:sz w:val="18"/>
              </w:rPr>
              <w:t>56.9</w:t>
            </w:r>
          </w:p>
        </w:tc>
        <w:tc>
          <w:tcPr>
            <w:tcW w:w="1587" w:type="dxa"/>
            <w:noWrap/>
            <w:vAlign w:val="center"/>
            <w:hideMark/>
          </w:tcPr>
          <w:p w14:paraId="604A8693" w14:textId="48BD9175" w:rsidR="00507F62" w:rsidRPr="00E8656C" w:rsidRDefault="00BB76D2" w:rsidP="0066499D">
            <w:pPr>
              <w:spacing w:before="60" w:after="60"/>
              <w:jc w:val="center"/>
              <w:rPr>
                <w:rFonts w:eastAsia="Times New Roman" w:cs="Arial"/>
                <w:sz w:val="18"/>
                <w:lang w:eastAsia="en-AU"/>
              </w:rPr>
            </w:pPr>
            <w:r w:rsidRPr="00E8656C">
              <w:rPr>
                <w:rFonts w:cs="Arial"/>
                <w:sz w:val="18"/>
              </w:rPr>
              <w:t>83.1</w:t>
            </w:r>
          </w:p>
        </w:tc>
        <w:tc>
          <w:tcPr>
            <w:tcW w:w="1587" w:type="dxa"/>
            <w:noWrap/>
            <w:vAlign w:val="center"/>
            <w:hideMark/>
          </w:tcPr>
          <w:p w14:paraId="26199FCD" w14:textId="3873AA8E" w:rsidR="00507F62" w:rsidRPr="00E8656C" w:rsidRDefault="00BB76D2" w:rsidP="0066499D">
            <w:pPr>
              <w:spacing w:before="60" w:after="60"/>
              <w:jc w:val="center"/>
              <w:rPr>
                <w:rFonts w:eastAsia="Times New Roman" w:cs="Arial"/>
                <w:sz w:val="18"/>
                <w:lang w:eastAsia="en-AU"/>
              </w:rPr>
            </w:pPr>
            <w:r w:rsidRPr="00E8656C">
              <w:rPr>
                <w:rFonts w:cs="Arial"/>
                <w:sz w:val="18"/>
              </w:rPr>
              <w:t>73.1</w:t>
            </w:r>
          </w:p>
        </w:tc>
        <w:tc>
          <w:tcPr>
            <w:tcW w:w="1587" w:type="dxa"/>
            <w:noWrap/>
            <w:vAlign w:val="center"/>
            <w:hideMark/>
          </w:tcPr>
          <w:p w14:paraId="4014529D" w14:textId="127CB823" w:rsidR="00507F62" w:rsidRPr="00E8656C" w:rsidRDefault="00BB76D2" w:rsidP="0066499D">
            <w:pPr>
              <w:spacing w:before="60" w:after="60"/>
              <w:jc w:val="center"/>
              <w:rPr>
                <w:rFonts w:eastAsia="Times New Roman" w:cs="Arial"/>
                <w:sz w:val="18"/>
                <w:lang w:eastAsia="en-AU"/>
              </w:rPr>
            </w:pPr>
            <w:r w:rsidRPr="00E8656C">
              <w:rPr>
                <w:rFonts w:cs="Arial"/>
                <w:sz w:val="18"/>
              </w:rPr>
              <w:t>83.8</w:t>
            </w:r>
          </w:p>
        </w:tc>
        <w:tc>
          <w:tcPr>
            <w:tcW w:w="1587" w:type="dxa"/>
            <w:noWrap/>
            <w:vAlign w:val="center"/>
            <w:hideMark/>
          </w:tcPr>
          <w:p w14:paraId="66B23463" w14:textId="7D012C2C" w:rsidR="00507F62" w:rsidRPr="00E8656C" w:rsidRDefault="00BB76D2" w:rsidP="0066499D">
            <w:pPr>
              <w:spacing w:before="60" w:after="60"/>
              <w:jc w:val="center"/>
              <w:rPr>
                <w:rFonts w:eastAsia="Times New Roman" w:cs="Arial"/>
                <w:sz w:val="18"/>
                <w:lang w:eastAsia="en-AU"/>
              </w:rPr>
            </w:pPr>
            <w:r w:rsidRPr="00E8656C">
              <w:rPr>
                <w:rFonts w:cs="Arial"/>
                <w:sz w:val="18"/>
              </w:rPr>
              <w:t>80.5</w:t>
            </w:r>
          </w:p>
        </w:tc>
      </w:tr>
      <w:tr w:rsidR="004D7A82" w:rsidRPr="00E8656C" w14:paraId="3AC0E2AE" w14:textId="77777777" w:rsidTr="00D15EDE">
        <w:trPr>
          <w:trHeight w:val="288"/>
        </w:trPr>
        <w:tc>
          <w:tcPr>
            <w:tcW w:w="4706" w:type="dxa"/>
            <w:noWrap/>
            <w:hideMark/>
          </w:tcPr>
          <w:p w14:paraId="136E1EDE"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Humanities, culture and social sciences</w:t>
            </w:r>
          </w:p>
        </w:tc>
        <w:tc>
          <w:tcPr>
            <w:tcW w:w="1587" w:type="dxa"/>
            <w:noWrap/>
            <w:vAlign w:val="center"/>
            <w:hideMark/>
          </w:tcPr>
          <w:p w14:paraId="02A2DBBB" w14:textId="311E47B4" w:rsidR="00507F62" w:rsidRPr="00E8656C" w:rsidRDefault="00BB76D2" w:rsidP="0066499D">
            <w:pPr>
              <w:spacing w:before="60" w:after="60"/>
              <w:jc w:val="center"/>
              <w:rPr>
                <w:rFonts w:eastAsia="Times New Roman" w:cs="Arial"/>
                <w:sz w:val="18"/>
                <w:lang w:eastAsia="en-AU"/>
              </w:rPr>
            </w:pPr>
            <w:r w:rsidRPr="00E8656C">
              <w:rPr>
                <w:rFonts w:cs="Arial"/>
                <w:sz w:val="18"/>
              </w:rPr>
              <w:t>81.6</w:t>
            </w:r>
          </w:p>
        </w:tc>
        <w:tc>
          <w:tcPr>
            <w:tcW w:w="1587" w:type="dxa"/>
            <w:noWrap/>
            <w:vAlign w:val="center"/>
            <w:hideMark/>
          </w:tcPr>
          <w:p w14:paraId="3CD44770" w14:textId="43C2C99E" w:rsidR="00507F62" w:rsidRPr="00E8656C" w:rsidRDefault="00BB76D2" w:rsidP="0066499D">
            <w:pPr>
              <w:spacing w:before="60" w:after="60"/>
              <w:jc w:val="center"/>
              <w:rPr>
                <w:rFonts w:eastAsia="Times New Roman" w:cs="Arial"/>
                <w:sz w:val="18"/>
                <w:lang w:eastAsia="en-AU"/>
              </w:rPr>
            </w:pPr>
            <w:r w:rsidRPr="00E8656C">
              <w:rPr>
                <w:rFonts w:cs="Arial"/>
                <w:sz w:val="18"/>
              </w:rPr>
              <w:t>55</w:t>
            </w:r>
            <w:r w:rsidR="00507F62" w:rsidRPr="00E8656C">
              <w:rPr>
                <w:rFonts w:cs="Arial"/>
                <w:sz w:val="18"/>
              </w:rPr>
              <w:t>.3</w:t>
            </w:r>
          </w:p>
        </w:tc>
        <w:tc>
          <w:tcPr>
            <w:tcW w:w="1587" w:type="dxa"/>
            <w:noWrap/>
            <w:vAlign w:val="center"/>
            <w:hideMark/>
          </w:tcPr>
          <w:p w14:paraId="36C55780" w14:textId="5CCB110E" w:rsidR="00507F62" w:rsidRPr="00E8656C" w:rsidRDefault="00BB76D2" w:rsidP="0066499D">
            <w:pPr>
              <w:spacing w:before="60" w:after="60"/>
              <w:jc w:val="center"/>
              <w:rPr>
                <w:rFonts w:eastAsia="Times New Roman" w:cs="Arial"/>
                <w:sz w:val="18"/>
                <w:lang w:eastAsia="en-AU"/>
              </w:rPr>
            </w:pPr>
            <w:r w:rsidRPr="00E8656C">
              <w:rPr>
                <w:rFonts w:cs="Arial"/>
                <w:sz w:val="18"/>
              </w:rPr>
              <w:t>84.7</w:t>
            </w:r>
          </w:p>
        </w:tc>
        <w:tc>
          <w:tcPr>
            <w:tcW w:w="1587" w:type="dxa"/>
            <w:noWrap/>
            <w:vAlign w:val="center"/>
            <w:hideMark/>
          </w:tcPr>
          <w:p w14:paraId="4BBAA2BD" w14:textId="1F818203" w:rsidR="00507F62" w:rsidRPr="00E8656C" w:rsidRDefault="00BB76D2" w:rsidP="0066499D">
            <w:pPr>
              <w:spacing w:before="60" w:after="60"/>
              <w:jc w:val="center"/>
              <w:rPr>
                <w:rFonts w:eastAsia="Times New Roman" w:cs="Arial"/>
                <w:sz w:val="18"/>
                <w:lang w:eastAsia="en-AU"/>
              </w:rPr>
            </w:pPr>
            <w:r w:rsidRPr="00E8656C">
              <w:rPr>
                <w:rFonts w:cs="Arial"/>
                <w:sz w:val="18"/>
              </w:rPr>
              <w:t>67.7</w:t>
            </w:r>
          </w:p>
        </w:tc>
        <w:tc>
          <w:tcPr>
            <w:tcW w:w="1587" w:type="dxa"/>
            <w:noWrap/>
            <w:vAlign w:val="center"/>
            <w:hideMark/>
          </w:tcPr>
          <w:p w14:paraId="52021350" w14:textId="3AB4E6A8" w:rsidR="00507F62" w:rsidRPr="00E8656C" w:rsidRDefault="00BB76D2" w:rsidP="0066499D">
            <w:pPr>
              <w:spacing w:before="60" w:after="60"/>
              <w:jc w:val="center"/>
              <w:rPr>
                <w:rFonts w:eastAsia="Times New Roman" w:cs="Arial"/>
                <w:sz w:val="18"/>
                <w:lang w:eastAsia="en-AU"/>
              </w:rPr>
            </w:pPr>
            <w:r w:rsidRPr="00E8656C">
              <w:rPr>
                <w:rFonts w:cs="Arial"/>
                <w:sz w:val="18"/>
              </w:rPr>
              <w:t>84.1</w:t>
            </w:r>
          </w:p>
        </w:tc>
        <w:tc>
          <w:tcPr>
            <w:tcW w:w="1587" w:type="dxa"/>
            <w:noWrap/>
            <w:vAlign w:val="center"/>
            <w:hideMark/>
          </w:tcPr>
          <w:p w14:paraId="34ABB80F" w14:textId="5E3A2F5A" w:rsidR="00507F62" w:rsidRPr="00E8656C" w:rsidRDefault="00BB76D2" w:rsidP="0066499D">
            <w:pPr>
              <w:spacing w:before="60" w:after="60"/>
              <w:jc w:val="center"/>
              <w:rPr>
                <w:rFonts w:eastAsia="Times New Roman" w:cs="Arial"/>
                <w:sz w:val="18"/>
                <w:lang w:eastAsia="en-AU"/>
              </w:rPr>
            </w:pPr>
            <w:r w:rsidRPr="00E8656C">
              <w:rPr>
                <w:rFonts w:cs="Arial"/>
                <w:sz w:val="18"/>
              </w:rPr>
              <w:t>79</w:t>
            </w:r>
            <w:r w:rsidR="00507F62" w:rsidRPr="00E8656C">
              <w:rPr>
                <w:rFonts w:cs="Arial"/>
                <w:sz w:val="18"/>
              </w:rPr>
              <w:t>.8</w:t>
            </w:r>
          </w:p>
        </w:tc>
      </w:tr>
      <w:tr w:rsidR="004D7A82" w:rsidRPr="00E8656C" w14:paraId="76EFE962" w14:textId="77777777" w:rsidTr="00D15EDE">
        <w:trPr>
          <w:trHeight w:val="288"/>
        </w:trPr>
        <w:tc>
          <w:tcPr>
            <w:tcW w:w="4706" w:type="dxa"/>
            <w:noWrap/>
            <w:hideMark/>
          </w:tcPr>
          <w:p w14:paraId="14C4EEC7"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Law and paralegal studies</w:t>
            </w:r>
          </w:p>
        </w:tc>
        <w:tc>
          <w:tcPr>
            <w:tcW w:w="1587" w:type="dxa"/>
            <w:noWrap/>
            <w:vAlign w:val="center"/>
            <w:hideMark/>
          </w:tcPr>
          <w:p w14:paraId="6208F94B" w14:textId="61425720" w:rsidR="00507F62" w:rsidRPr="00E8656C" w:rsidRDefault="00BB76D2" w:rsidP="0066499D">
            <w:pPr>
              <w:spacing w:before="60" w:after="60"/>
              <w:jc w:val="center"/>
              <w:rPr>
                <w:rFonts w:eastAsia="Times New Roman" w:cs="Arial"/>
                <w:sz w:val="18"/>
                <w:lang w:eastAsia="en-AU"/>
              </w:rPr>
            </w:pPr>
            <w:r w:rsidRPr="00E8656C">
              <w:rPr>
                <w:rFonts w:cs="Arial"/>
                <w:sz w:val="18"/>
              </w:rPr>
              <w:t>85.1</w:t>
            </w:r>
          </w:p>
        </w:tc>
        <w:tc>
          <w:tcPr>
            <w:tcW w:w="1587" w:type="dxa"/>
            <w:noWrap/>
            <w:vAlign w:val="center"/>
            <w:hideMark/>
          </w:tcPr>
          <w:p w14:paraId="0D50AA82" w14:textId="514550A8" w:rsidR="00507F62" w:rsidRPr="00E8656C" w:rsidRDefault="00BB76D2" w:rsidP="0066499D">
            <w:pPr>
              <w:spacing w:before="60" w:after="60"/>
              <w:jc w:val="center"/>
              <w:rPr>
                <w:rFonts w:eastAsia="Times New Roman" w:cs="Arial"/>
                <w:sz w:val="18"/>
                <w:lang w:eastAsia="en-AU"/>
              </w:rPr>
            </w:pPr>
            <w:r w:rsidRPr="00E8656C">
              <w:rPr>
                <w:rFonts w:cs="Arial"/>
                <w:sz w:val="18"/>
              </w:rPr>
              <w:t>54.3</w:t>
            </w:r>
          </w:p>
        </w:tc>
        <w:tc>
          <w:tcPr>
            <w:tcW w:w="1587" w:type="dxa"/>
            <w:noWrap/>
            <w:vAlign w:val="center"/>
            <w:hideMark/>
          </w:tcPr>
          <w:p w14:paraId="6AAA0528" w14:textId="4B4F58CD" w:rsidR="00507F62" w:rsidRPr="00E8656C" w:rsidRDefault="00BB76D2" w:rsidP="0066499D">
            <w:pPr>
              <w:spacing w:before="60" w:after="60"/>
              <w:jc w:val="center"/>
              <w:rPr>
                <w:rFonts w:eastAsia="Times New Roman" w:cs="Arial"/>
                <w:sz w:val="18"/>
                <w:lang w:eastAsia="en-AU"/>
              </w:rPr>
            </w:pPr>
            <w:r w:rsidRPr="00E8656C">
              <w:rPr>
                <w:rFonts w:cs="Arial"/>
                <w:sz w:val="18"/>
              </w:rPr>
              <w:t>83.3</w:t>
            </w:r>
          </w:p>
        </w:tc>
        <w:tc>
          <w:tcPr>
            <w:tcW w:w="1587" w:type="dxa"/>
            <w:noWrap/>
            <w:vAlign w:val="center"/>
            <w:hideMark/>
          </w:tcPr>
          <w:p w14:paraId="1794B7C2" w14:textId="4DF6FB14" w:rsidR="00507F62" w:rsidRPr="00E8656C" w:rsidRDefault="00BB76D2" w:rsidP="0066499D">
            <w:pPr>
              <w:spacing w:before="60" w:after="60"/>
              <w:jc w:val="center"/>
              <w:rPr>
                <w:rFonts w:eastAsia="Times New Roman" w:cs="Arial"/>
                <w:sz w:val="18"/>
                <w:lang w:eastAsia="en-AU"/>
              </w:rPr>
            </w:pPr>
            <w:r w:rsidRPr="00E8656C">
              <w:rPr>
                <w:rFonts w:cs="Arial"/>
                <w:sz w:val="18"/>
              </w:rPr>
              <w:t>69.9</w:t>
            </w:r>
          </w:p>
        </w:tc>
        <w:tc>
          <w:tcPr>
            <w:tcW w:w="1587" w:type="dxa"/>
            <w:noWrap/>
            <w:vAlign w:val="center"/>
            <w:hideMark/>
          </w:tcPr>
          <w:p w14:paraId="3F5A5A5A" w14:textId="209B5EF2" w:rsidR="00507F62" w:rsidRPr="00E8656C" w:rsidRDefault="00BB76D2" w:rsidP="0066499D">
            <w:pPr>
              <w:spacing w:before="60" w:after="60"/>
              <w:jc w:val="center"/>
              <w:rPr>
                <w:rFonts w:eastAsia="Times New Roman" w:cs="Arial"/>
                <w:sz w:val="18"/>
                <w:lang w:eastAsia="en-AU"/>
              </w:rPr>
            </w:pPr>
            <w:r w:rsidRPr="00E8656C">
              <w:rPr>
                <w:rFonts w:cs="Arial"/>
                <w:sz w:val="18"/>
              </w:rPr>
              <w:t>83</w:t>
            </w:r>
            <w:r w:rsidR="00507F62" w:rsidRPr="00E8656C">
              <w:rPr>
                <w:rFonts w:cs="Arial"/>
                <w:sz w:val="18"/>
              </w:rPr>
              <w:t>.4</w:t>
            </w:r>
          </w:p>
        </w:tc>
        <w:tc>
          <w:tcPr>
            <w:tcW w:w="1587" w:type="dxa"/>
            <w:noWrap/>
            <w:vAlign w:val="center"/>
            <w:hideMark/>
          </w:tcPr>
          <w:p w14:paraId="0849167A" w14:textId="30CFD88E" w:rsidR="00507F62" w:rsidRPr="00E8656C" w:rsidRDefault="00BB76D2" w:rsidP="0066499D">
            <w:pPr>
              <w:spacing w:before="60" w:after="60"/>
              <w:jc w:val="center"/>
              <w:rPr>
                <w:rFonts w:eastAsia="Times New Roman" w:cs="Arial"/>
                <w:sz w:val="18"/>
                <w:lang w:eastAsia="en-AU"/>
              </w:rPr>
            </w:pPr>
            <w:r w:rsidRPr="00E8656C">
              <w:rPr>
                <w:rFonts w:cs="Arial"/>
                <w:sz w:val="18"/>
              </w:rPr>
              <w:t>81.1</w:t>
            </w:r>
          </w:p>
        </w:tc>
      </w:tr>
      <w:tr w:rsidR="004D7A82" w:rsidRPr="00E8656C" w14:paraId="2DA96B0F" w14:textId="77777777" w:rsidTr="00D15EDE">
        <w:trPr>
          <w:trHeight w:val="288"/>
        </w:trPr>
        <w:tc>
          <w:tcPr>
            <w:tcW w:w="4706" w:type="dxa"/>
            <w:noWrap/>
            <w:hideMark/>
          </w:tcPr>
          <w:p w14:paraId="6CD9551A"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Medicine</w:t>
            </w:r>
          </w:p>
        </w:tc>
        <w:tc>
          <w:tcPr>
            <w:tcW w:w="1587" w:type="dxa"/>
            <w:noWrap/>
            <w:vAlign w:val="center"/>
            <w:hideMark/>
          </w:tcPr>
          <w:p w14:paraId="68A2B410" w14:textId="70EA2C1E" w:rsidR="00507F62" w:rsidRPr="00E8656C" w:rsidRDefault="00BB76D2" w:rsidP="0066499D">
            <w:pPr>
              <w:spacing w:before="60" w:after="60"/>
              <w:jc w:val="center"/>
              <w:rPr>
                <w:rFonts w:eastAsia="Times New Roman" w:cs="Arial"/>
                <w:sz w:val="18"/>
                <w:lang w:eastAsia="en-AU"/>
              </w:rPr>
            </w:pPr>
            <w:r w:rsidRPr="00E8656C">
              <w:rPr>
                <w:rFonts w:cs="Arial"/>
                <w:sz w:val="18"/>
              </w:rPr>
              <w:t>86.1</w:t>
            </w:r>
          </w:p>
        </w:tc>
        <w:tc>
          <w:tcPr>
            <w:tcW w:w="1587" w:type="dxa"/>
            <w:noWrap/>
            <w:vAlign w:val="center"/>
            <w:hideMark/>
          </w:tcPr>
          <w:p w14:paraId="44E2C020" w14:textId="661777C7" w:rsidR="00507F62" w:rsidRPr="00E8656C" w:rsidRDefault="00BB76D2" w:rsidP="0066499D">
            <w:pPr>
              <w:spacing w:before="60" w:after="60"/>
              <w:jc w:val="center"/>
              <w:rPr>
                <w:rFonts w:eastAsia="Times New Roman" w:cs="Arial"/>
                <w:sz w:val="18"/>
                <w:lang w:eastAsia="en-AU"/>
              </w:rPr>
            </w:pPr>
            <w:r w:rsidRPr="00E8656C">
              <w:rPr>
                <w:rFonts w:cs="Arial"/>
                <w:sz w:val="18"/>
              </w:rPr>
              <w:t>74.2</w:t>
            </w:r>
          </w:p>
        </w:tc>
        <w:tc>
          <w:tcPr>
            <w:tcW w:w="1587" w:type="dxa"/>
            <w:noWrap/>
            <w:vAlign w:val="center"/>
            <w:hideMark/>
          </w:tcPr>
          <w:p w14:paraId="49F15E32" w14:textId="17DCC16D" w:rsidR="00507F62" w:rsidRPr="00E8656C" w:rsidRDefault="00BB76D2" w:rsidP="0066499D">
            <w:pPr>
              <w:spacing w:before="60" w:after="60"/>
              <w:jc w:val="center"/>
              <w:rPr>
                <w:rFonts w:eastAsia="Times New Roman" w:cs="Arial"/>
                <w:sz w:val="18"/>
                <w:lang w:eastAsia="en-AU"/>
              </w:rPr>
            </w:pPr>
            <w:r w:rsidRPr="00E8656C">
              <w:rPr>
                <w:rFonts w:cs="Arial"/>
                <w:sz w:val="18"/>
              </w:rPr>
              <w:t>78.2</w:t>
            </w:r>
          </w:p>
        </w:tc>
        <w:tc>
          <w:tcPr>
            <w:tcW w:w="1587" w:type="dxa"/>
            <w:noWrap/>
            <w:vAlign w:val="center"/>
            <w:hideMark/>
          </w:tcPr>
          <w:p w14:paraId="4BB78472" w14:textId="7A7D502A" w:rsidR="00507F62" w:rsidRPr="00E8656C" w:rsidRDefault="00BB76D2" w:rsidP="0066499D">
            <w:pPr>
              <w:spacing w:before="60" w:after="60"/>
              <w:jc w:val="center"/>
              <w:rPr>
                <w:rFonts w:eastAsia="Times New Roman" w:cs="Arial"/>
                <w:sz w:val="18"/>
                <w:lang w:eastAsia="en-AU"/>
              </w:rPr>
            </w:pPr>
            <w:r w:rsidRPr="00E8656C">
              <w:rPr>
                <w:rFonts w:cs="Arial"/>
                <w:sz w:val="18"/>
              </w:rPr>
              <w:t>65.4</w:t>
            </w:r>
          </w:p>
        </w:tc>
        <w:tc>
          <w:tcPr>
            <w:tcW w:w="1587" w:type="dxa"/>
            <w:noWrap/>
            <w:vAlign w:val="center"/>
            <w:hideMark/>
          </w:tcPr>
          <w:p w14:paraId="5A60F2E9" w14:textId="2EBF2F4D" w:rsidR="00507F62" w:rsidRPr="00E8656C" w:rsidRDefault="00BB76D2" w:rsidP="0066499D">
            <w:pPr>
              <w:spacing w:before="60" w:after="60"/>
              <w:jc w:val="center"/>
              <w:rPr>
                <w:rFonts w:eastAsia="Times New Roman" w:cs="Arial"/>
                <w:sz w:val="18"/>
                <w:lang w:eastAsia="en-AU"/>
              </w:rPr>
            </w:pPr>
            <w:r w:rsidRPr="00E8656C">
              <w:rPr>
                <w:rFonts w:cs="Arial"/>
                <w:sz w:val="18"/>
              </w:rPr>
              <w:t>74.7</w:t>
            </w:r>
          </w:p>
        </w:tc>
        <w:tc>
          <w:tcPr>
            <w:tcW w:w="1587" w:type="dxa"/>
            <w:noWrap/>
            <w:vAlign w:val="center"/>
            <w:hideMark/>
          </w:tcPr>
          <w:p w14:paraId="5453CB41" w14:textId="7CB3F94B" w:rsidR="00507F62" w:rsidRPr="00E8656C" w:rsidRDefault="00BB76D2" w:rsidP="0066499D">
            <w:pPr>
              <w:spacing w:before="60" w:after="60"/>
              <w:jc w:val="center"/>
              <w:rPr>
                <w:rFonts w:eastAsia="Times New Roman" w:cs="Arial"/>
                <w:sz w:val="18"/>
                <w:lang w:eastAsia="en-AU"/>
              </w:rPr>
            </w:pPr>
            <w:r w:rsidRPr="00E8656C">
              <w:rPr>
                <w:rFonts w:cs="Arial"/>
                <w:sz w:val="18"/>
              </w:rPr>
              <w:t>76.9</w:t>
            </w:r>
          </w:p>
        </w:tc>
      </w:tr>
      <w:tr w:rsidR="004D7A82" w:rsidRPr="00E8656C" w14:paraId="533E9505" w14:textId="77777777" w:rsidTr="00D15EDE">
        <w:trPr>
          <w:trHeight w:val="288"/>
        </w:trPr>
        <w:tc>
          <w:tcPr>
            <w:tcW w:w="4706" w:type="dxa"/>
            <w:noWrap/>
            <w:hideMark/>
          </w:tcPr>
          <w:p w14:paraId="577CEE3F"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Nursing</w:t>
            </w:r>
          </w:p>
        </w:tc>
        <w:tc>
          <w:tcPr>
            <w:tcW w:w="1587" w:type="dxa"/>
            <w:noWrap/>
            <w:vAlign w:val="center"/>
            <w:hideMark/>
          </w:tcPr>
          <w:p w14:paraId="6ECCD1E2" w14:textId="178BA0A7" w:rsidR="00507F62" w:rsidRPr="00E8656C" w:rsidRDefault="00BB76D2" w:rsidP="0066499D">
            <w:pPr>
              <w:spacing w:before="60" w:after="60"/>
              <w:jc w:val="center"/>
              <w:rPr>
                <w:rFonts w:eastAsia="Times New Roman" w:cs="Arial"/>
                <w:sz w:val="18"/>
                <w:lang w:eastAsia="en-AU"/>
              </w:rPr>
            </w:pPr>
            <w:r w:rsidRPr="00E8656C">
              <w:rPr>
                <w:rFonts w:cs="Arial"/>
                <w:sz w:val="18"/>
              </w:rPr>
              <w:t>84.9</w:t>
            </w:r>
          </w:p>
        </w:tc>
        <w:tc>
          <w:tcPr>
            <w:tcW w:w="1587" w:type="dxa"/>
            <w:noWrap/>
            <w:vAlign w:val="center"/>
            <w:hideMark/>
          </w:tcPr>
          <w:p w14:paraId="429CB3A0" w14:textId="05095943" w:rsidR="00507F62" w:rsidRPr="00E8656C" w:rsidRDefault="00BB76D2" w:rsidP="0066499D">
            <w:pPr>
              <w:spacing w:before="60" w:after="60"/>
              <w:jc w:val="center"/>
              <w:rPr>
                <w:rFonts w:eastAsia="Times New Roman" w:cs="Arial"/>
                <w:sz w:val="18"/>
                <w:lang w:eastAsia="en-AU"/>
              </w:rPr>
            </w:pPr>
            <w:r w:rsidRPr="00E8656C">
              <w:rPr>
                <w:rFonts w:cs="Arial"/>
                <w:sz w:val="18"/>
              </w:rPr>
              <w:t>61.3</w:t>
            </w:r>
          </w:p>
        </w:tc>
        <w:tc>
          <w:tcPr>
            <w:tcW w:w="1587" w:type="dxa"/>
            <w:noWrap/>
            <w:vAlign w:val="center"/>
            <w:hideMark/>
          </w:tcPr>
          <w:p w14:paraId="10A3E9F4" w14:textId="13945898" w:rsidR="00507F62" w:rsidRPr="00E8656C" w:rsidRDefault="00BB76D2" w:rsidP="0066499D">
            <w:pPr>
              <w:spacing w:before="60" w:after="60"/>
              <w:jc w:val="center"/>
              <w:rPr>
                <w:rFonts w:eastAsia="Times New Roman" w:cs="Arial"/>
                <w:sz w:val="18"/>
                <w:lang w:eastAsia="en-AU"/>
              </w:rPr>
            </w:pPr>
            <w:r w:rsidRPr="00E8656C">
              <w:rPr>
                <w:rFonts w:cs="Arial"/>
                <w:sz w:val="18"/>
              </w:rPr>
              <w:t>77.7</w:t>
            </w:r>
          </w:p>
        </w:tc>
        <w:tc>
          <w:tcPr>
            <w:tcW w:w="1587" w:type="dxa"/>
            <w:noWrap/>
            <w:vAlign w:val="center"/>
            <w:hideMark/>
          </w:tcPr>
          <w:p w14:paraId="7B52ED89" w14:textId="48474072" w:rsidR="00507F62" w:rsidRPr="00E8656C" w:rsidRDefault="00BB76D2" w:rsidP="0066499D">
            <w:pPr>
              <w:spacing w:before="60" w:after="60"/>
              <w:jc w:val="center"/>
              <w:rPr>
                <w:rFonts w:eastAsia="Times New Roman" w:cs="Arial"/>
                <w:sz w:val="18"/>
                <w:lang w:eastAsia="en-AU"/>
              </w:rPr>
            </w:pPr>
            <w:r w:rsidRPr="00E8656C">
              <w:rPr>
                <w:rFonts w:cs="Arial"/>
                <w:sz w:val="18"/>
              </w:rPr>
              <w:t>75.3</w:t>
            </w:r>
          </w:p>
        </w:tc>
        <w:tc>
          <w:tcPr>
            <w:tcW w:w="1587" w:type="dxa"/>
            <w:noWrap/>
            <w:vAlign w:val="center"/>
            <w:hideMark/>
          </w:tcPr>
          <w:p w14:paraId="376F8DF1" w14:textId="0322A573" w:rsidR="00507F62" w:rsidRPr="00E8656C" w:rsidRDefault="00BB76D2" w:rsidP="0066499D">
            <w:pPr>
              <w:spacing w:before="60" w:after="60"/>
              <w:jc w:val="center"/>
              <w:rPr>
                <w:rFonts w:eastAsia="Times New Roman" w:cs="Arial"/>
                <w:sz w:val="18"/>
                <w:lang w:eastAsia="en-AU"/>
              </w:rPr>
            </w:pPr>
            <w:r w:rsidRPr="00E8656C">
              <w:rPr>
                <w:rFonts w:cs="Arial"/>
                <w:sz w:val="18"/>
              </w:rPr>
              <w:t>83</w:t>
            </w:r>
            <w:r w:rsidR="00507F62" w:rsidRPr="00E8656C">
              <w:rPr>
                <w:rFonts w:cs="Arial"/>
                <w:sz w:val="18"/>
              </w:rPr>
              <w:t>.8</w:t>
            </w:r>
          </w:p>
        </w:tc>
        <w:tc>
          <w:tcPr>
            <w:tcW w:w="1587" w:type="dxa"/>
            <w:noWrap/>
            <w:vAlign w:val="center"/>
            <w:hideMark/>
          </w:tcPr>
          <w:p w14:paraId="4DA5230D" w14:textId="0BA8ACF7" w:rsidR="00507F62" w:rsidRPr="00E8656C" w:rsidRDefault="00BB76D2" w:rsidP="0066499D">
            <w:pPr>
              <w:spacing w:before="60" w:after="60"/>
              <w:jc w:val="center"/>
              <w:rPr>
                <w:rFonts w:eastAsia="Times New Roman" w:cs="Arial"/>
                <w:sz w:val="18"/>
                <w:lang w:eastAsia="en-AU"/>
              </w:rPr>
            </w:pPr>
            <w:r w:rsidRPr="00E8656C">
              <w:rPr>
                <w:rFonts w:cs="Arial"/>
                <w:sz w:val="18"/>
              </w:rPr>
              <w:t>76.4</w:t>
            </w:r>
          </w:p>
        </w:tc>
      </w:tr>
      <w:tr w:rsidR="004D7A82" w:rsidRPr="00E8656C" w14:paraId="4F4092C5" w14:textId="77777777" w:rsidTr="00D15EDE">
        <w:trPr>
          <w:trHeight w:val="288"/>
        </w:trPr>
        <w:tc>
          <w:tcPr>
            <w:tcW w:w="4706" w:type="dxa"/>
            <w:noWrap/>
            <w:hideMark/>
          </w:tcPr>
          <w:p w14:paraId="22E7BEDA"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Pharmacy</w:t>
            </w:r>
          </w:p>
        </w:tc>
        <w:tc>
          <w:tcPr>
            <w:tcW w:w="1587" w:type="dxa"/>
            <w:noWrap/>
            <w:vAlign w:val="center"/>
            <w:hideMark/>
          </w:tcPr>
          <w:p w14:paraId="2F918976" w14:textId="5DBC80D1" w:rsidR="00507F62" w:rsidRPr="00E8656C" w:rsidRDefault="00BB76D2" w:rsidP="0066499D">
            <w:pPr>
              <w:spacing w:before="60" w:after="60"/>
              <w:jc w:val="center"/>
              <w:rPr>
                <w:rFonts w:eastAsia="Times New Roman" w:cs="Arial"/>
                <w:sz w:val="18"/>
                <w:lang w:eastAsia="en-AU"/>
              </w:rPr>
            </w:pPr>
            <w:r w:rsidRPr="00E8656C">
              <w:rPr>
                <w:rFonts w:cs="Arial"/>
                <w:sz w:val="18"/>
              </w:rPr>
              <w:t>85.6</w:t>
            </w:r>
          </w:p>
        </w:tc>
        <w:tc>
          <w:tcPr>
            <w:tcW w:w="1587" w:type="dxa"/>
            <w:noWrap/>
            <w:vAlign w:val="center"/>
            <w:hideMark/>
          </w:tcPr>
          <w:p w14:paraId="7D534CA7" w14:textId="4C1B2FBF" w:rsidR="00507F62" w:rsidRPr="00E8656C" w:rsidRDefault="00BB76D2" w:rsidP="0066499D">
            <w:pPr>
              <w:spacing w:before="60" w:after="60"/>
              <w:jc w:val="center"/>
              <w:rPr>
                <w:rFonts w:eastAsia="Times New Roman" w:cs="Arial"/>
                <w:sz w:val="18"/>
                <w:lang w:eastAsia="en-AU"/>
              </w:rPr>
            </w:pPr>
            <w:r w:rsidRPr="00E8656C">
              <w:rPr>
                <w:rFonts w:cs="Arial"/>
                <w:sz w:val="18"/>
              </w:rPr>
              <w:t>69.9</w:t>
            </w:r>
          </w:p>
        </w:tc>
        <w:tc>
          <w:tcPr>
            <w:tcW w:w="1587" w:type="dxa"/>
            <w:noWrap/>
            <w:vAlign w:val="center"/>
            <w:hideMark/>
          </w:tcPr>
          <w:p w14:paraId="7FB0AC3C" w14:textId="047806A3" w:rsidR="00507F62" w:rsidRPr="00E8656C" w:rsidRDefault="00BB76D2" w:rsidP="0066499D">
            <w:pPr>
              <w:spacing w:before="60" w:after="60"/>
              <w:jc w:val="center"/>
              <w:rPr>
                <w:rFonts w:eastAsia="Times New Roman" w:cs="Arial"/>
                <w:sz w:val="18"/>
                <w:lang w:eastAsia="en-AU"/>
              </w:rPr>
            </w:pPr>
            <w:r w:rsidRPr="00E8656C">
              <w:rPr>
                <w:rFonts w:cs="Arial"/>
                <w:sz w:val="18"/>
              </w:rPr>
              <w:t>80.0</w:t>
            </w:r>
          </w:p>
        </w:tc>
        <w:tc>
          <w:tcPr>
            <w:tcW w:w="1587" w:type="dxa"/>
            <w:noWrap/>
            <w:vAlign w:val="center"/>
            <w:hideMark/>
          </w:tcPr>
          <w:p w14:paraId="37CC6685" w14:textId="106B2C5E" w:rsidR="00507F62" w:rsidRPr="00E8656C" w:rsidRDefault="00BB76D2" w:rsidP="0066499D">
            <w:pPr>
              <w:spacing w:before="60" w:after="60"/>
              <w:jc w:val="center"/>
              <w:rPr>
                <w:rFonts w:eastAsia="Times New Roman" w:cs="Arial"/>
                <w:sz w:val="18"/>
                <w:lang w:eastAsia="en-AU"/>
              </w:rPr>
            </w:pPr>
            <w:r w:rsidRPr="00E8656C">
              <w:rPr>
                <w:rFonts w:cs="Arial"/>
                <w:sz w:val="18"/>
              </w:rPr>
              <w:t>70.8</w:t>
            </w:r>
          </w:p>
        </w:tc>
        <w:tc>
          <w:tcPr>
            <w:tcW w:w="1587" w:type="dxa"/>
            <w:noWrap/>
            <w:vAlign w:val="center"/>
            <w:hideMark/>
          </w:tcPr>
          <w:p w14:paraId="3785C55F" w14:textId="46AD6D68" w:rsidR="00507F62" w:rsidRPr="00E8656C" w:rsidRDefault="00BB76D2" w:rsidP="0066499D">
            <w:pPr>
              <w:spacing w:before="60" w:after="60"/>
              <w:jc w:val="center"/>
              <w:rPr>
                <w:rFonts w:eastAsia="Times New Roman" w:cs="Arial"/>
                <w:sz w:val="18"/>
                <w:lang w:eastAsia="en-AU"/>
              </w:rPr>
            </w:pPr>
            <w:r w:rsidRPr="00E8656C">
              <w:rPr>
                <w:rFonts w:cs="Arial"/>
                <w:sz w:val="18"/>
              </w:rPr>
              <w:t>82.5</w:t>
            </w:r>
          </w:p>
        </w:tc>
        <w:tc>
          <w:tcPr>
            <w:tcW w:w="1587" w:type="dxa"/>
            <w:noWrap/>
            <w:vAlign w:val="center"/>
            <w:hideMark/>
          </w:tcPr>
          <w:p w14:paraId="21F1AB2D" w14:textId="08C73FBB" w:rsidR="00507F62" w:rsidRPr="00E8656C" w:rsidRDefault="00BB76D2" w:rsidP="0066499D">
            <w:pPr>
              <w:spacing w:before="60" w:after="60"/>
              <w:jc w:val="center"/>
              <w:rPr>
                <w:rFonts w:eastAsia="Times New Roman" w:cs="Arial"/>
                <w:sz w:val="18"/>
                <w:lang w:eastAsia="en-AU"/>
              </w:rPr>
            </w:pPr>
            <w:r w:rsidRPr="00E8656C">
              <w:rPr>
                <w:rFonts w:cs="Arial"/>
                <w:sz w:val="18"/>
              </w:rPr>
              <w:t>77.2</w:t>
            </w:r>
          </w:p>
        </w:tc>
      </w:tr>
      <w:tr w:rsidR="004D7A82" w:rsidRPr="00E8656C" w14:paraId="6EA6DAEB" w14:textId="77777777" w:rsidTr="00D15EDE">
        <w:trPr>
          <w:trHeight w:val="288"/>
        </w:trPr>
        <w:tc>
          <w:tcPr>
            <w:tcW w:w="4706" w:type="dxa"/>
            <w:noWrap/>
            <w:hideMark/>
          </w:tcPr>
          <w:p w14:paraId="7B4B7CF5"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Psychology</w:t>
            </w:r>
          </w:p>
        </w:tc>
        <w:tc>
          <w:tcPr>
            <w:tcW w:w="1587" w:type="dxa"/>
            <w:noWrap/>
            <w:vAlign w:val="center"/>
            <w:hideMark/>
          </w:tcPr>
          <w:p w14:paraId="1A05CAB4" w14:textId="0106D434" w:rsidR="00507F62" w:rsidRPr="00E8656C" w:rsidRDefault="00BB76D2" w:rsidP="0066499D">
            <w:pPr>
              <w:spacing w:before="60" w:after="60"/>
              <w:jc w:val="center"/>
              <w:rPr>
                <w:rFonts w:eastAsia="Times New Roman" w:cs="Arial"/>
                <w:sz w:val="18"/>
                <w:lang w:eastAsia="en-AU"/>
              </w:rPr>
            </w:pPr>
            <w:r w:rsidRPr="00E8656C">
              <w:rPr>
                <w:rFonts w:cs="Arial"/>
                <w:sz w:val="18"/>
              </w:rPr>
              <w:t>81.4</w:t>
            </w:r>
          </w:p>
        </w:tc>
        <w:tc>
          <w:tcPr>
            <w:tcW w:w="1587" w:type="dxa"/>
            <w:noWrap/>
            <w:vAlign w:val="center"/>
            <w:hideMark/>
          </w:tcPr>
          <w:p w14:paraId="6B3E0D11" w14:textId="0091684B" w:rsidR="00507F62" w:rsidRPr="00E8656C" w:rsidRDefault="00BB76D2" w:rsidP="0066499D">
            <w:pPr>
              <w:spacing w:before="60" w:after="60"/>
              <w:jc w:val="center"/>
              <w:rPr>
                <w:rFonts w:eastAsia="Times New Roman" w:cs="Arial"/>
                <w:sz w:val="18"/>
                <w:lang w:eastAsia="en-AU"/>
              </w:rPr>
            </w:pPr>
            <w:r w:rsidRPr="00E8656C">
              <w:rPr>
                <w:rFonts w:cs="Arial"/>
                <w:sz w:val="18"/>
              </w:rPr>
              <w:t>47.0</w:t>
            </w:r>
          </w:p>
        </w:tc>
        <w:tc>
          <w:tcPr>
            <w:tcW w:w="1587" w:type="dxa"/>
            <w:noWrap/>
            <w:vAlign w:val="center"/>
            <w:hideMark/>
          </w:tcPr>
          <w:p w14:paraId="46882F6D" w14:textId="62793962" w:rsidR="00507F62" w:rsidRPr="00E8656C" w:rsidRDefault="00BB76D2" w:rsidP="0066499D">
            <w:pPr>
              <w:spacing w:before="60" w:after="60"/>
              <w:jc w:val="center"/>
              <w:rPr>
                <w:rFonts w:eastAsia="Times New Roman" w:cs="Arial"/>
                <w:sz w:val="18"/>
                <w:lang w:eastAsia="en-AU"/>
              </w:rPr>
            </w:pPr>
            <w:r w:rsidRPr="00E8656C">
              <w:rPr>
                <w:rFonts w:cs="Arial"/>
                <w:sz w:val="18"/>
              </w:rPr>
              <w:t>83</w:t>
            </w:r>
            <w:r w:rsidR="00507F62" w:rsidRPr="00E8656C">
              <w:rPr>
                <w:rFonts w:cs="Arial"/>
                <w:sz w:val="18"/>
              </w:rPr>
              <w:t>.0</w:t>
            </w:r>
          </w:p>
        </w:tc>
        <w:tc>
          <w:tcPr>
            <w:tcW w:w="1587" w:type="dxa"/>
            <w:noWrap/>
            <w:vAlign w:val="center"/>
            <w:hideMark/>
          </w:tcPr>
          <w:p w14:paraId="719031F3" w14:textId="6197A825" w:rsidR="00507F62" w:rsidRPr="00E8656C" w:rsidRDefault="00BB76D2" w:rsidP="0066499D">
            <w:pPr>
              <w:spacing w:before="60" w:after="60"/>
              <w:jc w:val="center"/>
              <w:rPr>
                <w:rFonts w:eastAsia="Times New Roman" w:cs="Arial"/>
                <w:sz w:val="18"/>
                <w:lang w:eastAsia="en-AU"/>
              </w:rPr>
            </w:pPr>
            <w:r w:rsidRPr="00E8656C">
              <w:rPr>
                <w:rFonts w:cs="Arial"/>
                <w:sz w:val="18"/>
              </w:rPr>
              <w:t>72.6</w:t>
            </w:r>
          </w:p>
        </w:tc>
        <w:tc>
          <w:tcPr>
            <w:tcW w:w="1587" w:type="dxa"/>
            <w:noWrap/>
            <w:vAlign w:val="center"/>
            <w:hideMark/>
          </w:tcPr>
          <w:p w14:paraId="43D930D0" w14:textId="1BD94994" w:rsidR="00507F62" w:rsidRPr="00E8656C" w:rsidRDefault="00BB76D2" w:rsidP="0066499D">
            <w:pPr>
              <w:spacing w:before="60" w:after="60"/>
              <w:jc w:val="center"/>
              <w:rPr>
                <w:rFonts w:eastAsia="Times New Roman" w:cs="Arial"/>
                <w:sz w:val="18"/>
                <w:lang w:eastAsia="en-AU"/>
              </w:rPr>
            </w:pPr>
            <w:r w:rsidRPr="00E8656C">
              <w:rPr>
                <w:rFonts w:cs="Arial"/>
                <w:sz w:val="18"/>
              </w:rPr>
              <w:t>84</w:t>
            </w:r>
            <w:r w:rsidR="00507F62" w:rsidRPr="00E8656C">
              <w:rPr>
                <w:rFonts w:cs="Arial"/>
                <w:sz w:val="18"/>
              </w:rPr>
              <w:t>.0</w:t>
            </w:r>
          </w:p>
        </w:tc>
        <w:tc>
          <w:tcPr>
            <w:tcW w:w="1587" w:type="dxa"/>
            <w:noWrap/>
            <w:vAlign w:val="center"/>
            <w:hideMark/>
          </w:tcPr>
          <w:p w14:paraId="7E326703" w14:textId="6758DFA5" w:rsidR="00507F62" w:rsidRPr="00E8656C" w:rsidRDefault="00BB76D2" w:rsidP="0066499D">
            <w:pPr>
              <w:spacing w:before="60" w:after="60"/>
              <w:jc w:val="center"/>
              <w:rPr>
                <w:rFonts w:eastAsia="Times New Roman" w:cs="Arial"/>
                <w:sz w:val="18"/>
                <w:lang w:eastAsia="en-AU"/>
              </w:rPr>
            </w:pPr>
            <w:r w:rsidRPr="00E8656C">
              <w:rPr>
                <w:rFonts w:cs="Arial"/>
                <w:sz w:val="18"/>
              </w:rPr>
              <w:t>79.7</w:t>
            </w:r>
          </w:p>
        </w:tc>
      </w:tr>
      <w:tr w:rsidR="004D7A82" w:rsidRPr="00E8656C" w14:paraId="767E8EB0" w14:textId="77777777" w:rsidTr="00D15EDE">
        <w:trPr>
          <w:trHeight w:val="288"/>
        </w:trPr>
        <w:tc>
          <w:tcPr>
            <w:tcW w:w="4706" w:type="dxa"/>
            <w:noWrap/>
            <w:hideMark/>
          </w:tcPr>
          <w:p w14:paraId="12295AE4"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Rehabilitation</w:t>
            </w:r>
          </w:p>
        </w:tc>
        <w:tc>
          <w:tcPr>
            <w:tcW w:w="1587" w:type="dxa"/>
            <w:noWrap/>
            <w:vAlign w:val="center"/>
            <w:hideMark/>
          </w:tcPr>
          <w:p w14:paraId="5790977F" w14:textId="31C79D65" w:rsidR="00507F62" w:rsidRPr="00E8656C" w:rsidRDefault="00BB76D2" w:rsidP="0066499D">
            <w:pPr>
              <w:spacing w:before="60" w:after="60"/>
              <w:jc w:val="center"/>
              <w:rPr>
                <w:rFonts w:eastAsia="Times New Roman" w:cs="Arial"/>
                <w:sz w:val="18"/>
                <w:lang w:eastAsia="en-AU"/>
              </w:rPr>
            </w:pPr>
            <w:r w:rsidRPr="00E8656C">
              <w:rPr>
                <w:rFonts w:cs="Arial"/>
                <w:sz w:val="18"/>
              </w:rPr>
              <w:t>86</w:t>
            </w:r>
            <w:r w:rsidR="00507F62" w:rsidRPr="00E8656C">
              <w:rPr>
                <w:rFonts w:cs="Arial"/>
                <w:sz w:val="18"/>
              </w:rPr>
              <w:t>.8</w:t>
            </w:r>
          </w:p>
        </w:tc>
        <w:tc>
          <w:tcPr>
            <w:tcW w:w="1587" w:type="dxa"/>
            <w:noWrap/>
            <w:vAlign w:val="center"/>
            <w:hideMark/>
          </w:tcPr>
          <w:p w14:paraId="6110C597" w14:textId="2F7470D4" w:rsidR="00507F62" w:rsidRPr="00E8656C" w:rsidRDefault="00BB76D2" w:rsidP="0066499D">
            <w:pPr>
              <w:spacing w:before="60" w:after="60"/>
              <w:jc w:val="center"/>
              <w:rPr>
                <w:rFonts w:eastAsia="Times New Roman" w:cs="Arial"/>
                <w:sz w:val="18"/>
                <w:lang w:eastAsia="en-AU"/>
              </w:rPr>
            </w:pPr>
            <w:r w:rsidRPr="00E8656C">
              <w:rPr>
                <w:rFonts w:cs="Arial"/>
                <w:sz w:val="18"/>
              </w:rPr>
              <w:t>73.2</w:t>
            </w:r>
          </w:p>
        </w:tc>
        <w:tc>
          <w:tcPr>
            <w:tcW w:w="1587" w:type="dxa"/>
            <w:noWrap/>
            <w:vAlign w:val="center"/>
            <w:hideMark/>
          </w:tcPr>
          <w:p w14:paraId="5B79259E" w14:textId="5E193119" w:rsidR="00507F62" w:rsidRPr="00E8656C" w:rsidRDefault="00BB76D2" w:rsidP="0066499D">
            <w:pPr>
              <w:spacing w:before="60" w:after="60"/>
              <w:jc w:val="center"/>
              <w:rPr>
                <w:rFonts w:eastAsia="Times New Roman" w:cs="Arial"/>
                <w:sz w:val="18"/>
                <w:lang w:eastAsia="en-AU"/>
              </w:rPr>
            </w:pPr>
            <w:r w:rsidRPr="00E8656C">
              <w:rPr>
                <w:rFonts w:cs="Arial"/>
                <w:sz w:val="18"/>
              </w:rPr>
              <w:t>84.4</w:t>
            </w:r>
          </w:p>
        </w:tc>
        <w:tc>
          <w:tcPr>
            <w:tcW w:w="1587" w:type="dxa"/>
            <w:noWrap/>
            <w:vAlign w:val="center"/>
            <w:hideMark/>
          </w:tcPr>
          <w:p w14:paraId="51A51097" w14:textId="73008648" w:rsidR="00507F62" w:rsidRPr="00E8656C" w:rsidRDefault="00BB76D2" w:rsidP="0066499D">
            <w:pPr>
              <w:spacing w:before="60" w:after="60"/>
              <w:jc w:val="center"/>
              <w:rPr>
                <w:rFonts w:eastAsia="Times New Roman" w:cs="Arial"/>
                <w:sz w:val="18"/>
                <w:lang w:eastAsia="en-AU"/>
              </w:rPr>
            </w:pPr>
            <w:r w:rsidRPr="00E8656C">
              <w:rPr>
                <w:rFonts w:cs="Arial"/>
                <w:sz w:val="18"/>
              </w:rPr>
              <w:t>71.9</w:t>
            </w:r>
          </w:p>
        </w:tc>
        <w:tc>
          <w:tcPr>
            <w:tcW w:w="1587" w:type="dxa"/>
            <w:noWrap/>
            <w:vAlign w:val="center"/>
            <w:hideMark/>
          </w:tcPr>
          <w:p w14:paraId="447A43CD" w14:textId="1EFBE23F" w:rsidR="00507F62" w:rsidRPr="00E8656C" w:rsidRDefault="00BB76D2" w:rsidP="0066499D">
            <w:pPr>
              <w:spacing w:before="60" w:after="60"/>
              <w:jc w:val="center"/>
              <w:rPr>
                <w:rFonts w:eastAsia="Times New Roman" w:cs="Arial"/>
                <w:sz w:val="18"/>
                <w:lang w:eastAsia="en-AU"/>
              </w:rPr>
            </w:pPr>
            <w:r w:rsidRPr="00E8656C">
              <w:rPr>
                <w:rFonts w:cs="Arial"/>
                <w:sz w:val="18"/>
              </w:rPr>
              <w:t>83.8</w:t>
            </w:r>
          </w:p>
        </w:tc>
        <w:tc>
          <w:tcPr>
            <w:tcW w:w="1587" w:type="dxa"/>
            <w:noWrap/>
            <w:vAlign w:val="center"/>
            <w:hideMark/>
          </w:tcPr>
          <w:p w14:paraId="2187EC3C" w14:textId="24AEB55A" w:rsidR="00507F62" w:rsidRPr="00E8656C" w:rsidRDefault="00BB76D2" w:rsidP="0066499D">
            <w:pPr>
              <w:spacing w:before="60" w:after="60"/>
              <w:jc w:val="center"/>
              <w:rPr>
                <w:rFonts w:eastAsia="Times New Roman" w:cs="Arial"/>
                <w:sz w:val="18"/>
                <w:lang w:eastAsia="en-AU"/>
              </w:rPr>
            </w:pPr>
            <w:r w:rsidRPr="00E8656C">
              <w:rPr>
                <w:rFonts w:cs="Arial"/>
                <w:sz w:val="18"/>
              </w:rPr>
              <w:t>81.9</w:t>
            </w:r>
          </w:p>
        </w:tc>
      </w:tr>
      <w:tr w:rsidR="004D7A82" w:rsidRPr="00E8656C" w14:paraId="51552A43" w14:textId="77777777" w:rsidTr="00D15EDE">
        <w:trPr>
          <w:trHeight w:val="288"/>
        </w:trPr>
        <w:tc>
          <w:tcPr>
            <w:tcW w:w="4706" w:type="dxa"/>
            <w:noWrap/>
            <w:hideMark/>
          </w:tcPr>
          <w:p w14:paraId="7034EE6B"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Science and mathematics</w:t>
            </w:r>
          </w:p>
        </w:tc>
        <w:tc>
          <w:tcPr>
            <w:tcW w:w="1587" w:type="dxa"/>
            <w:noWrap/>
            <w:vAlign w:val="center"/>
            <w:hideMark/>
          </w:tcPr>
          <w:p w14:paraId="39AB8212" w14:textId="2FF8F7CE" w:rsidR="00507F62" w:rsidRPr="00E8656C" w:rsidRDefault="00BB76D2" w:rsidP="0066499D">
            <w:pPr>
              <w:spacing w:before="60" w:after="60"/>
              <w:jc w:val="center"/>
              <w:rPr>
                <w:rFonts w:eastAsia="Times New Roman" w:cs="Arial"/>
                <w:sz w:val="18"/>
                <w:lang w:eastAsia="en-AU"/>
              </w:rPr>
            </w:pPr>
            <w:r w:rsidRPr="00E8656C">
              <w:rPr>
                <w:rFonts w:cs="Arial"/>
                <w:sz w:val="18"/>
              </w:rPr>
              <w:t>78.9</w:t>
            </w:r>
          </w:p>
        </w:tc>
        <w:tc>
          <w:tcPr>
            <w:tcW w:w="1587" w:type="dxa"/>
            <w:noWrap/>
            <w:vAlign w:val="center"/>
            <w:hideMark/>
          </w:tcPr>
          <w:p w14:paraId="03A9C87B" w14:textId="37EB9401" w:rsidR="00507F62" w:rsidRPr="00E8656C" w:rsidRDefault="00BB76D2" w:rsidP="0066499D">
            <w:pPr>
              <w:spacing w:before="60" w:after="60"/>
              <w:jc w:val="center"/>
              <w:rPr>
                <w:rFonts w:eastAsia="Times New Roman" w:cs="Arial"/>
                <w:sz w:val="18"/>
                <w:lang w:eastAsia="en-AU"/>
              </w:rPr>
            </w:pPr>
            <w:r w:rsidRPr="00E8656C">
              <w:rPr>
                <w:rFonts w:cs="Arial"/>
                <w:sz w:val="18"/>
              </w:rPr>
              <w:t>59.6</w:t>
            </w:r>
          </w:p>
        </w:tc>
        <w:tc>
          <w:tcPr>
            <w:tcW w:w="1587" w:type="dxa"/>
            <w:noWrap/>
            <w:vAlign w:val="center"/>
            <w:hideMark/>
          </w:tcPr>
          <w:p w14:paraId="237CC54B" w14:textId="1D2B4F03" w:rsidR="00507F62" w:rsidRPr="00E8656C" w:rsidRDefault="00BB76D2" w:rsidP="0066499D">
            <w:pPr>
              <w:spacing w:before="60" w:after="60"/>
              <w:jc w:val="center"/>
              <w:rPr>
                <w:rFonts w:eastAsia="Times New Roman" w:cs="Arial"/>
                <w:sz w:val="18"/>
                <w:lang w:eastAsia="en-AU"/>
              </w:rPr>
            </w:pPr>
            <w:r w:rsidRPr="00E8656C">
              <w:rPr>
                <w:rFonts w:cs="Arial"/>
                <w:sz w:val="18"/>
              </w:rPr>
              <w:t>82.1</w:t>
            </w:r>
          </w:p>
        </w:tc>
        <w:tc>
          <w:tcPr>
            <w:tcW w:w="1587" w:type="dxa"/>
            <w:noWrap/>
            <w:vAlign w:val="center"/>
            <w:hideMark/>
          </w:tcPr>
          <w:p w14:paraId="04A980FA" w14:textId="37E6730D" w:rsidR="00507F62" w:rsidRPr="00E8656C" w:rsidRDefault="00BB76D2" w:rsidP="0066499D">
            <w:pPr>
              <w:spacing w:before="60" w:after="60"/>
              <w:jc w:val="center"/>
              <w:rPr>
                <w:rFonts w:eastAsia="Times New Roman" w:cs="Arial"/>
                <w:sz w:val="18"/>
                <w:lang w:eastAsia="en-AU"/>
              </w:rPr>
            </w:pPr>
            <w:r w:rsidRPr="00E8656C">
              <w:rPr>
                <w:rFonts w:cs="Arial"/>
                <w:sz w:val="18"/>
              </w:rPr>
              <w:t>68.0</w:t>
            </w:r>
          </w:p>
        </w:tc>
        <w:tc>
          <w:tcPr>
            <w:tcW w:w="1587" w:type="dxa"/>
            <w:noWrap/>
            <w:vAlign w:val="center"/>
            <w:hideMark/>
          </w:tcPr>
          <w:p w14:paraId="75C5A92B" w14:textId="72EFEC05" w:rsidR="00507F62" w:rsidRPr="00E8656C" w:rsidRDefault="00BB76D2" w:rsidP="0066499D">
            <w:pPr>
              <w:spacing w:before="60" w:after="60"/>
              <w:jc w:val="center"/>
              <w:rPr>
                <w:rFonts w:eastAsia="Times New Roman" w:cs="Arial"/>
                <w:sz w:val="18"/>
                <w:lang w:eastAsia="en-AU"/>
              </w:rPr>
            </w:pPr>
            <w:r w:rsidRPr="00E8656C">
              <w:rPr>
                <w:rFonts w:cs="Arial"/>
                <w:sz w:val="18"/>
              </w:rPr>
              <w:t>87.2</w:t>
            </w:r>
          </w:p>
        </w:tc>
        <w:tc>
          <w:tcPr>
            <w:tcW w:w="1587" w:type="dxa"/>
            <w:noWrap/>
            <w:vAlign w:val="center"/>
            <w:hideMark/>
          </w:tcPr>
          <w:p w14:paraId="3AF7D939" w14:textId="6BD56CD2" w:rsidR="00507F62" w:rsidRPr="00E8656C" w:rsidRDefault="00507F62" w:rsidP="0066499D">
            <w:pPr>
              <w:spacing w:before="60" w:after="60"/>
              <w:jc w:val="center"/>
              <w:rPr>
                <w:rFonts w:eastAsia="Times New Roman" w:cs="Arial"/>
                <w:sz w:val="18"/>
                <w:lang w:eastAsia="en-AU"/>
              </w:rPr>
            </w:pPr>
            <w:r w:rsidRPr="00E8656C">
              <w:rPr>
                <w:rFonts w:cs="Arial"/>
                <w:sz w:val="18"/>
              </w:rPr>
              <w:t>77.</w:t>
            </w:r>
            <w:r w:rsidR="00BB76D2" w:rsidRPr="00E8656C">
              <w:rPr>
                <w:rFonts w:cs="Arial"/>
                <w:sz w:val="18"/>
              </w:rPr>
              <w:t>5</w:t>
            </w:r>
          </w:p>
        </w:tc>
      </w:tr>
      <w:tr w:rsidR="004D7A82" w:rsidRPr="00E8656C" w14:paraId="08D6F6B8" w14:textId="77777777" w:rsidTr="00D15EDE">
        <w:trPr>
          <w:trHeight w:val="288"/>
        </w:trPr>
        <w:tc>
          <w:tcPr>
            <w:tcW w:w="4706" w:type="dxa"/>
            <w:noWrap/>
            <w:hideMark/>
          </w:tcPr>
          <w:p w14:paraId="4B431BEA"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Social work</w:t>
            </w:r>
          </w:p>
        </w:tc>
        <w:tc>
          <w:tcPr>
            <w:tcW w:w="1587" w:type="dxa"/>
            <w:noWrap/>
            <w:vAlign w:val="center"/>
            <w:hideMark/>
          </w:tcPr>
          <w:p w14:paraId="6892B619" w14:textId="6284E19B" w:rsidR="00507F62" w:rsidRPr="00E8656C" w:rsidRDefault="00BB76D2" w:rsidP="0066499D">
            <w:pPr>
              <w:spacing w:before="60" w:after="60"/>
              <w:jc w:val="center"/>
              <w:rPr>
                <w:rFonts w:eastAsia="Times New Roman" w:cs="Arial"/>
                <w:sz w:val="18"/>
                <w:lang w:eastAsia="en-AU"/>
              </w:rPr>
            </w:pPr>
            <w:r w:rsidRPr="00E8656C">
              <w:rPr>
                <w:rFonts w:cs="Arial"/>
                <w:sz w:val="18"/>
              </w:rPr>
              <w:t>86.9</w:t>
            </w:r>
          </w:p>
        </w:tc>
        <w:tc>
          <w:tcPr>
            <w:tcW w:w="1587" w:type="dxa"/>
            <w:noWrap/>
            <w:vAlign w:val="center"/>
            <w:hideMark/>
          </w:tcPr>
          <w:p w14:paraId="5F60D1F8" w14:textId="28C20C02" w:rsidR="00507F62" w:rsidRPr="00E8656C" w:rsidRDefault="00BB76D2" w:rsidP="0066499D">
            <w:pPr>
              <w:spacing w:before="60" w:after="60"/>
              <w:jc w:val="center"/>
              <w:rPr>
                <w:rFonts w:eastAsia="Times New Roman" w:cs="Arial"/>
                <w:sz w:val="18"/>
                <w:lang w:eastAsia="en-AU"/>
              </w:rPr>
            </w:pPr>
            <w:r w:rsidRPr="00E8656C">
              <w:rPr>
                <w:rFonts w:cs="Arial"/>
                <w:sz w:val="18"/>
              </w:rPr>
              <w:t>63.9</w:t>
            </w:r>
          </w:p>
        </w:tc>
        <w:tc>
          <w:tcPr>
            <w:tcW w:w="1587" w:type="dxa"/>
            <w:noWrap/>
            <w:vAlign w:val="center"/>
            <w:hideMark/>
          </w:tcPr>
          <w:p w14:paraId="2063FEB9" w14:textId="18045A86" w:rsidR="00507F62" w:rsidRPr="00E8656C" w:rsidRDefault="00BB76D2" w:rsidP="0066499D">
            <w:pPr>
              <w:spacing w:before="60" w:after="60"/>
              <w:jc w:val="center"/>
              <w:rPr>
                <w:rFonts w:eastAsia="Times New Roman" w:cs="Arial"/>
                <w:sz w:val="18"/>
                <w:lang w:eastAsia="en-AU"/>
              </w:rPr>
            </w:pPr>
            <w:r w:rsidRPr="00E8656C">
              <w:rPr>
                <w:rFonts w:cs="Arial"/>
                <w:sz w:val="18"/>
              </w:rPr>
              <w:t>83.1</w:t>
            </w:r>
          </w:p>
        </w:tc>
        <w:tc>
          <w:tcPr>
            <w:tcW w:w="1587" w:type="dxa"/>
            <w:noWrap/>
            <w:vAlign w:val="center"/>
            <w:hideMark/>
          </w:tcPr>
          <w:p w14:paraId="372FBAB3" w14:textId="0FD230CE" w:rsidR="00507F62" w:rsidRPr="00E8656C" w:rsidRDefault="00BB76D2" w:rsidP="0066499D">
            <w:pPr>
              <w:spacing w:before="60" w:after="60"/>
              <w:jc w:val="center"/>
              <w:rPr>
                <w:rFonts w:eastAsia="Times New Roman" w:cs="Arial"/>
                <w:sz w:val="18"/>
                <w:lang w:eastAsia="en-AU"/>
              </w:rPr>
            </w:pPr>
            <w:r w:rsidRPr="00E8656C">
              <w:rPr>
                <w:rFonts w:cs="Arial"/>
                <w:sz w:val="18"/>
              </w:rPr>
              <w:t>71.5</w:t>
            </w:r>
          </w:p>
        </w:tc>
        <w:tc>
          <w:tcPr>
            <w:tcW w:w="1587" w:type="dxa"/>
            <w:noWrap/>
            <w:vAlign w:val="center"/>
            <w:hideMark/>
          </w:tcPr>
          <w:p w14:paraId="3D1A4769" w14:textId="5ACB8BD6" w:rsidR="00507F62" w:rsidRPr="00E8656C" w:rsidRDefault="00BB76D2" w:rsidP="0066499D">
            <w:pPr>
              <w:spacing w:before="60" w:after="60"/>
              <w:jc w:val="center"/>
              <w:rPr>
                <w:rFonts w:eastAsia="Times New Roman" w:cs="Arial"/>
                <w:sz w:val="18"/>
                <w:lang w:eastAsia="en-AU"/>
              </w:rPr>
            </w:pPr>
            <w:r w:rsidRPr="00E8656C">
              <w:rPr>
                <w:rFonts w:cs="Arial"/>
                <w:sz w:val="18"/>
              </w:rPr>
              <w:t>75.6</w:t>
            </w:r>
          </w:p>
        </w:tc>
        <w:tc>
          <w:tcPr>
            <w:tcW w:w="1587" w:type="dxa"/>
            <w:noWrap/>
            <w:vAlign w:val="center"/>
            <w:hideMark/>
          </w:tcPr>
          <w:p w14:paraId="34324D94" w14:textId="6D07424B" w:rsidR="00507F62" w:rsidRPr="00E8656C" w:rsidRDefault="00BB76D2" w:rsidP="0066499D">
            <w:pPr>
              <w:spacing w:before="60" w:after="60"/>
              <w:jc w:val="center"/>
              <w:rPr>
                <w:rFonts w:eastAsia="Times New Roman" w:cs="Arial"/>
                <w:sz w:val="18"/>
                <w:lang w:eastAsia="en-AU"/>
              </w:rPr>
            </w:pPr>
            <w:r w:rsidRPr="00E8656C">
              <w:rPr>
                <w:rFonts w:cs="Arial"/>
                <w:sz w:val="18"/>
              </w:rPr>
              <w:t>78.1</w:t>
            </w:r>
          </w:p>
        </w:tc>
      </w:tr>
      <w:tr w:rsidR="004D7A82" w:rsidRPr="00E8656C" w14:paraId="50C17097" w14:textId="77777777" w:rsidTr="00D15EDE">
        <w:trPr>
          <w:trHeight w:val="288"/>
        </w:trPr>
        <w:tc>
          <w:tcPr>
            <w:tcW w:w="4706" w:type="dxa"/>
            <w:noWrap/>
            <w:hideMark/>
          </w:tcPr>
          <w:p w14:paraId="39C39D0D"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Teacher education</w:t>
            </w:r>
          </w:p>
        </w:tc>
        <w:tc>
          <w:tcPr>
            <w:tcW w:w="1587" w:type="dxa"/>
            <w:noWrap/>
            <w:vAlign w:val="center"/>
            <w:hideMark/>
          </w:tcPr>
          <w:p w14:paraId="206CDC02" w14:textId="3F759363" w:rsidR="00507F62" w:rsidRPr="00E8656C" w:rsidRDefault="00BB76D2" w:rsidP="0066499D">
            <w:pPr>
              <w:spacing w:before="60" w:after="60"/>
              <w:jc w:val="center"/>
              <w:rPr>
                <w:rFonts w:eastAsia="Times New Roman" w:cs="Arial"/>
                <w:sz w:val="18"/>
                <w:lang w:eastAsia="en-AU"/>
              </w:rPr>
            </w:pPr>
            <w:r w:rsidRPr="00E8656C">
              <w:rPr>
                <w:rFonts w:cs="Arial"/>
                <w:sz w:val="18"/>
              </w:rPr>
              <w:t>81.2</w:t>
            </w:r>
          </w:p>
        </w:tc>
        <w:tc>
          <w:tcPr>
            <w:tcW w:w="1587" w:type="dxa"/>
            <w:noWrap/>
            <w:vAlign w:val="center"/>
            <w:hideMark/>
          </w:tcPr>
          <w:p w14:paraId="0B40FBDE" w14:textId="5F2841B4" w:rsidR="00507F62" w:rsidRPr="00E8656C" w:rsidRDefault="00BB76D2" w:rsidP="0066499D">
            <w:pPr>
              <w:spacing w:before="60" w:after="60"/>
              <w:jc w:val="center"/>
              <w:rPr>
                <w:rFonts w:eastAsia="Times New Roman" w:cs="Arial"/>
                <w:sz w:val="18"/>
                <w:lang w:eastAsia="en-AU"/>
              </w:rPr>
            </w:pPr>
            <w:r w:rsidRPr="00E8656C">
              <w:rPr>
                <w:rFonts w:cs="Arial"/>
                <w:sz w:val="18"/>
              </w:rPr>
              <w:t>55</w:t>
            </w:r>
            <w:r w:rsidR="00507F62" w:rsidRPr="00E8656C">
              <w:rPr>
                <w:rFonts w:cs="Arial"/>
                <w:sz w:val="18"/>
              </w:rPr>
              <w:t>.0</w:t>
            </w:r>
          </w:p>
        </w:tc>
        <w:tc>
          <w:tcPr>
            <w:tcW w:w="1587" w:type="dxa"/>
            <w:noWrap/>
            <w:vAlign w:val="center"/>
            <w:hideMark/>
          </w:tcPr>
          <w:p w14:paraId="570B1D88" w14:textId="517FA1B2" w:rsidR="00507F62" w:rsidRPr="00E8656C" w:rsidRDefault="00BB76D2" w:rsidP="0066499D">
            <w:pPr>
              <w:spacing w:before="60" w:after="60"/>
              <w:jc w:val="center"/>
              <w:rPr>
                <w:rFonts w:eastAsia="Times New Roman" w:cs="Arial"/>
                <w:sz w:val="18"/>
                <w:lang w:eastAsia="en-AU"/>
              </w:rPr>
            </w:pPr>
            <w:r w:rsidRPr="00E8656C">
              <w:rPr>
                <w:rFonts w:cs="Arial"/>
                <w:sz w:val="18"/>
              </w:rPr>
              <w:t>80</w:t>
            </w:r>
            <w:r w:rsidR="00507F62" w:rsidRPr="00E8656C">
              <w:rPr>
                <w:rFonts w:cs="Arial"/>
                <w:sz w:val="18"/>
              </w:rPr>
              <w:t>.2</w:t>
            </w:r>
          </w:p>
        </w:tc>
        <w:tc>
          <w:tcPr>
            <w:tcW w:w="1587" w:type="dxa"/>
            <w:noWrap/>
            <w:vAlign w:val="center"/>
            <w:hideMark/>
          </w:tcPr>
          <w:p w14:paraId="6078D8D9" w14:textId="2F943974" w:rsidR="00507F62" w:rsidRPr="00E8656C" w:rsidRDefault="00507F62" w:rsidP="0066499D">
            <w:pPr>
              <w:spacing w:before="60" w:after="60"/>
              <w:jc w:val="center"/>
              <w:rPr>
                <w:rFonts w:eastAsia="Times New Roman" w:cs="Arial"/>
                <w:sz w:val="18"/>
                <w:lang w:eastAsia="en-AU"/>
              </w:rPr>
            </w:pPr>
            <w:r w:rsidRPr="00E8656C">
              <w:rPr>
                <w:rFonts w:cs="Arial"/>
                <w:sz w:val="18"/>
              </w:rPr>
              <w:t>72.</w:t>
            </w:r>
            <w:r w:rsidR="00BB76D2" w:rsidRPr="00E8656C">
              <w:rPr>
                <w:rFonts w:cs="Arial"/>
                <w:sz w:val="18"/>
              </w:rPr>
              <w:t>3</w:t>
            </w:r>
          </w:p>
        </w:tc>
        <w:tc>
          <w:tcPr>
            <w:tcW w:w="1587" w:type="dxa"/>
            <w:noWrap/>
            <w:vAlign w:val="center"/>
            <w:hideMark/>
          </w:tcPr>
          <w:p w14:paraId="1723F2FF" w14:textId="427F7DB1" w:rsidR="00507F62" w:rsidRPr="00E8656C" w:rsidRDefault="00BB76D2" w:rsidP="0066499D">
            <w:pPr>
              <w:spacing w:before="60" w:after="60"/>
              <w:jc w:val="center"/>
              <w:rPr>
                <w:rFonts w:eastAsia="Times New Roman" w:cs="Arial"/>
                <w:sz w:val="18"/>
                <w:lang w:eastAsia="en-AU"/>
              </w:rPr>
            </w:pPr>
            <w:r w:rsidRPr="00E8656C">
              <w:rPr>
                <w:rFonts w:cs="Arial"/>
                <w:sz w:val="18"/>
              </w:rPr>
              <w:t>80.8</w:t>
            </w:r>
          </w:p>
        </w:tc>
        <w:tc>
          <w:tcPr>
            <w:tcW w:w="1587" w:type="dxa"/>
            <w:noWrap/>
            <w:vAlign w:val="center"/>
            <w:hideMark/>
          </w:tcPr>
          <w:p w14:paraId="592DE545" w14:textId="6921DA53" w:rsidR="00507F62" w:rsidRPr="00E8656C" w:rsidRDefault="00BB76D2" w:rsidP="0066499D">
            <w:pPr>
              <w:spacing w:before="60" w:after="60"/>
              <w:jc w:val="center"/>
              <w:rPr>
                <w:rFonts w:eastAsia="Times New Roman" w:cs="Arial"/>
                <w:sz w:val="18"/>
                <w:lang w:eastAsia="en-AU"/>
              </w:rPr>
            </w:pPr>
            <w:r w:rsidRPr="00E8656C">
              <w:rPr>
                <w:rFonts w:cs="Arial"/>
                <w:sz w:val="18"/>
              </w:rPr>
              <w:t>78.3</w:t>
            </w:r>
          </w:p>
        </w:tc>
      </w:tr>
      <w:tr w:rsidR="004D7A82" w:rsidRPr="00E8656C" w14:paraId="2B0D07B5" w14:textId="77777777" w:rsidTr="00D15EDE">
        <w:trPr>
          <w:trHeight w:val="288"/>
        </w:trPr>
        <w:tc>
          <w:tcPr>
            <w:tcW w:w="4706" w:type="dxa"/>
            <w:noWrap/>
            <w:hideMark/>
          </w:tcPr>
          <w:p w14:paraId="2809399B"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Tourism, hospitality, personal services, sport and recreation</w:t>
            </w:r>
          </w:p>
        </w:tc>
        <w:tc>
          <w:tcPr>
            <w:tcW w:w="1587" w:type="dxa"/>
            <w:noWrap/>
            <w:vAlign w:val="center"/>
            <w:hideMark/>
          </w:tcPr>
          <w:p w14:paraId="04F3C69B" w14:textId="6861BB88" w:rsidR="00507F62" w:rsidRPr="00E8656C" w:rsidRDefault="00507F62" w:rsidP="0066499D">
            <w:pPr>
              <w:spacing w:before="60" w:after="60"/>
              <w:jc w:val="center"/>
              <w:rPr>
                <w:rFonts w:eastAsia="Times New Roman" w:cs="Arial"/>
                <w:sz w:val="18"/>
                <w:lang w:eastAsia="en-AU"/>
              </w:rPr>
            </w:pPr>
            <w:r w:rsidRPr="00E8656C">
              <w:rPr>
                <w:rFonts w:cs="Arial"/>
                <w:sz w:val="18"/>
              </w:rPr>
              <w:t>85.</w:t>
            </w:r>
            <w:r w:rsidR="00BB76D2" w:rsidRPr="00E8656C">
              <w:rPr>
                <w:rFonts w:cs="Arial"/>
                <w:sz w:val="18"/>
              </w:rPr>
              <w:t>9</w:t>
            </w:r>
          </w:p>
        </w:tc>
        <w:tc>
          <w:tcPr>
            <w:tcW w:w="1587" w:type="dxa"/>
            <w:noWrap/>
            <w:vAlign w:val="center"/>
            <w:hideMark/>
          </w:tcPr>
          <w:p w14:paraId="1716CCE0" w14:textId="094A7B4F" w:rsidR="00507F62" w:rsidRPr="00E8656C" w:rsidRDefault="00BB76D2" w:rsidP="0066499D">
            <w:pPr>
              <w:spacing w:before="60" w:after="60"/>
              <w:jc w:val="center"/>
              <w:rPr>
                <w:rFonts w:eastAsia="Times New Roman" w:cs="Arial"/>
                <w:sz w:val="18"/>
                <w:lang w:eastAsia="en-AU"/>
              </w:rPr>
            </w:pPr>
            <w:r w:rsidRPr="00E8656C">
              <w:rPr>
                <w:rFonts w:cs="Arial"/>
                <w:sz w:val="18"/>
              </w:rPr>
              <w:t>72.7</w:t>
            </w:r>
          </w:p>
        </w:tc>
        <w:tc>
          <w:tcPr>
            <w:tcW w:w="1587" w:type="dxa"/>
            <w:noWrap/>
            <w:vAlign w:val="center"/>
            <w:hideMark/>
          </w:tcPr>
          <w:p w14:paraId="60BE796D" w14:textId="23283784" w:rsidR="00507F62" w:rsidRPr="00E8656C" w:rsidRDefault="00BB76D2" w:rsidP="0066499D">
            <w:pPr>
              <w:spacing w:before="60" w:after="60"/>
              <w:jc w:val="center"/>
              <w:rPr>
                <w:rFonts w:eastAsia="Times New Roman" w:cs="Arial"/>
                <w:sz w:val="18"/>
                <w:lang w:eastAsia="en-AU"/>
              </w:rPr>
            </w:pPr>
            <w:r w:rsidRPr="00E8656C">
              <w:rPr>
                <w:rFonts w:cs="Arial"/>
                <w:sz w:val="18"/>
              </w:rPr>
              <w:t>86.4</w:t>
            </w:r>
          </w:p>
        </w:tc>
        <w:tc>
          <w:tcPr>
            <w:tcW w:w="1587" w:type="dxa"/>
            <w:noWrap/>
            <w:vAlign w:val="center"/>
            <w:hideMark/>
          </w:tcPr>
          <w:p w14:paraId="06453274" w14:textId="1E5CB47C" w:rsidR="00507F62" w:rsidRPr="00E8656C" w:rsidRDefault="00BB76D2" w:rsidP="0066499D">
            <w:pPr>
              <w:spacing w:before="60" w:after="60"/>
              <w:jc w:val="center"/>
              <w:rPr>
                <w:rFonts w:eastAsia="Times New Roman" w:cs="Arial"/>
                <w:sz w:val="18"/>
                <w:lang w:eastAsia="en-AU"/>
              </w:rPr>
            </w:pPr>
            <w:r w:rsidRPr="00E8656C">
              <w:rPr>
                <w:rFonts w:cs="Arial"/>
                <w:sz w:val="18"/>
              </w:rPr>
              <w:t>79.6</w:t>
            </w:r>
          </w:p>
        </w:tc>
        <w:tc>
          <w:tcPr>
            <w:tcW w:w="1587" w:type="dxa"/>
            <w:noWrap/>
            <w:vAlign w:val="center"/>
            <w:hideMark/>
          </w:tcPr>
          <w:p w14:paraId="27AD362D" w14:textId="3239900C" w:rsidR="00507F62" w:rsidRPr="00E8656C" w:rsidRDefault="00BB76D2" w:rsidP="0066499D">
            <w:pPr>
              <w:spacing w:before="60" w:after="60"/>
              <w:jc w:val="center"/>
              <w:rPr>
                <w:rFonts w:eastAsia="Times New Roman" w:cs="Arial"/>
                <w:sz w:val="18"/>
                <w:lang w:eastAsia="en-AU"/>
              </w:rPr>
            </w:pPr>
            <w:r w:rsidRPr="00E8656C">
              <w:rPr>
                <w:rFonts w:cs="Arial"/>
                <w:sz w:val="18"/>
              </w:rPr>
              <w:t>84.0</w:t>
            </w:r>
          </w:p>
        </w:tc>
        <w:tc>
          <w:tcPr>
            <w:tcW w:w="1587" w:type="dxa"/>
            <w:noWrap/>
            <w:vAlign w:val="center"/>
            <w:hideMark/>
          </w:tcPr>
          <w:p w14:paraId="3B04325E" w14:textId="75F52917" w:rsidR="00507F62" w:rsidRPr="00E8656C" w:rsidRDefault="00BB76D2" w:rsidP="0066499D">
            <w:pPr>
              <w:spacing w:before="60" w:after="60"/>
              <w:jc w:val="center"/>
              <w:rPr>
                <w:rFonts w:eastAsia="Times New Roman" w:cs="Arial"/>
                <w:sz w:val="18"/>
                <w:lang w:eastAsia="en-AU"/>
              </w:rPr>
            </w:pPr>
            <w:r w:rsidRPr="00E8656C">
              <w:rPr>
                <w:rFonts w:cs="Arial"/>
                <w:sz w:val="18"/>
              </w:rPr>
              <w:t>80.9</w:t>
            </w:r>
          </w:p>
        </w:tc>
      </w:tr>
      <w:tr w:rsidR="004D7A82" w:rsidRPr="00E8656C" w14:paraId="029F8DDF" w14:textId="77777777" w:rsidTr="00D15EDE">
        <w:trPr>
          <w:trHeight w:val="288"/>
        </w:trPr>
        <w:tc>
          <w:tcPr>
            <w:tcW w:w="4706" w:type="dxa"/>
            <w:noWrap/>
            <w:hideMark/>
          </w:tcPr>
          <w:p w14:paraId="2DED7024" w14:textId="77777777" w:rsidR="00507F62" w:rsidRPr="00E8656C" w:rsidRDefault="00507F62" w:rsidP="0066499D">
            <w:pPr>
              <w:spacing w:before="60" w:after="60"/>
              <w:rPr>
                <w:rFonts w:eastAsia="Times New Roman" w:cs="Arial"/>
                <w:sz w:val="18"/>
                <w:lang w:eastAsia="en-AU"/>
              </w:rPr>
            </w:pPr>
            <w:r w:rsidRPr="00E8656C">
              <w:rPr>
                <w:rFonts w:eastAsia="Times New Roman" w:cs="Arial"/>
                <w:sz w:val="18"/>
                <w:lang w:eastAsia="en-AU"/>
              </w:rPr>
              <w:t>Veterinary science</w:t>
            </w:r>
          </w:p>
        </w:tc>
        <w:tc>
          <w:tcPr>
            <w:tcW w:w="1587" w:type="dxa"/>
            <w:noWrap/>
            <w:vAlign w:val="center"/>
            <w:hideMark/>
          </w:tcPr>
          <w:p w14:paraId="08F3D033" w14:textId="1459BFAB" w:rsidR="00507F62" w:rsidRPr="00E8656C" w:rsidRDefault="00BB76D2" w:rsidP="0066499D">
            <w:pPr>
              <w:spacing w:before="60" w:after="60"/>
              <w:jc w:val="center"/>
              <w:rPr>
                <w:rFonts w:eastAsia="Times New Roman" w:cs="Arial"/>
                <w:sz w:val="18"/>
                <w:lang w:eastAsia="en-AU"/>
              </w:rPr>
            </w:pPr>
            <w:r w:rsidRPr="00E8656C">
              <w:rPr>
                <w:rFonts w:cs="Arial"/>
                <w:sz w:val="18"/>
              </w:rPr>
              <w:t>82.3</w:t>
            </w:r>
          </w:p>
        </w:tc>
        <w:tc>
          <w:tcPr>
            <w:tcW w:w="1587" w:type="dxa"/>
            <w:noWrap/>
            <w:vAlign w:val="center"/>
            <w:hideMark/>
          </w:tcPr>
          <w:p w14:paraId="0C86F412" w14:textId="66E1717C" w:rsidR="00507F62" w:rsidRPr="00E8656C" w:rsidRDefault="00BB76D2" w:rsidP="0066499D">
            <w:pPr>
              <w:spacing w:before="60" w:after="60"/>
              <w:jc w:val="center"/>
              <w:rPr>
                <w:rFonts w:eastAsia="Times New Roman" w:cs="Arial"/>
                <w:sz w:val="18"/>
                <w:lang w:eastAsia="en-AU"/>
              </w:rPr>
            </w:pPr>
            <w:r w:rsidRPr="00E8656C">
              <w:rPr>
                <w:rFonts w:cs="Arial"/>
                <w:sz w:val="18"/>
              </w:rPr>
              <w:t>70.4</w:t>
            </w:r>
          </w:p>
        </w:tc>
        <w:tc>
          <w:tcPr>
            <w:tcW w:w="1587" w:type="dxa"/>
            <w:noWrap/>
            <w:vAlign w:val="center"/>
            <w:hideMark/>
          </w:tcPr>
          <w:p w14:paraId="304E0B37" w14:textId="2795D70B" w:rsidR="00507F62" w:rsidRPr="00E8656C" w:rsidRDefault="00BB76D2" w:rsidP="0066499D">
            <w:pPr>
              <w:spacing w:before="60" w:after="60"/>
              <w:jc w:val="center"/>
              <w:rPr>
                <w:rFonts w:eastAsia="Times New Roman" w:cs="Arial"/>
                <w:sz w:val="18"/>
                <w:lang w:eastAsia="en-AU"/>
              </w:rPr>
            </w:pPr>
            <w:r w:rsidRPr="00E8656C">
              <w:rPr>
                <w:rFonts w:cs="Arial"/>
                <w:sz w:val="18"/>
              </w:rPr>
              <w:t>82.1</w:t>
            </w:r>
          </w:p>
        </w:tc>
        <w:tc>
          <w:tcPr>
            <w:tcW w:w="1587" w:type="dxa"/>
            <w:noWrap/>
            <w:vAlign w:val="center"/>
            <w:hideMark/>
          </w:tcPr>
          <w:p w14:paraId="3D110B0E" w14:textId="2F8A0502" w:rsidR="00507F62" w:rsidRPr="00E8656C" w:rsidRDefault="00BB76D2" w:rsidP="0066499D">
            <w:pPr>
              <w:spacing w:before="60" w:after="60"/>
              <w:jc w:val="center"/>
              <w:rPr>
                <w:rFonts w:eastAsia="Times New Roman" w:cs="Arial"/>
                <w:sz w:val="18"/>
                <w:lang w:eastAsia="en-AU"/>
              </w:rPr>
            </w:pPr>
            <w:r w:rsidRPr="00E8656C">
              <w:rPr>
                <w:rFonts w:cs="Arial"/>
                <w:sz w:val="18"/>
              </w:rPr>
              <w:t>69.6</w:t>
            </w:r>
          </w:p>
        </w:tc>
        <w:tc>
          <w:tcPr>
            <w:tcW w:w="1587" w:type="dxa"/>
            <w:noWrap/>
            <w:vAlign w:val="center"/>
            <w:hideMark/>
          </w:tcPr>
          <w:p w14:paraId="51E1FC44" w14:textId="53D92729" w:rsidR="00507F62" w:rsidRPr="00E8656C" w:rsidRDefault="00BB76D2" w:rsidP="0066499D">
            <w:pPr>
              <w:spacing w:before="60" w:after="60"/>
              <w:jc w:val="center"/>
              <w:rPr>
                <w:rFonts w:eastAsia="Times New Roman" w:cs="Arial"/>
                <w:sz w:val="18"/>
                <w:lang w:eastAsia="en-AU"/>
              </w:rPr>
            </w:pPr>
            <w:r w:rsidRPr="00E8656C">
              <w:rPr>
                <w:rFonts w:cs="Arial"/>
                <w:sz w:val="18"/>
              </w:rPr>
              <w:t>85.6</w:t>
            </w:r>
          </w:p>
        </w:tc>
        <w:tc>
          <w:tcPr>
            <w:tcW w:w="1587" w:type="dxa"/>
            <w:noWrap/>
            <w:vAlign w:val="center"/>
            <w:hideMark/>
          </w:tcPr>
          <w:p w14:paraId="659790EC" w14:textId="056F478E" w:rsidR="00507F62" w:rsidRPr="00E8656C" w:rsidRDefault="00BB76D2" w:rsidP="0066499D">
            <w:pPr>
              <w:spacing w:before="60" w:after="60"/>
              <w:jc w:val="center"/>
              <w:rPr>
                <w:rFonts w:eastAsia="Times New Roman" w:cs="Arial"/>
                <w:sz w:val="18"/>
                <w:lang w:eastAsia="en-AU"/>
              </w:rPr>
            </w:pPr>
            <w:r w:rsidRPr="00E8656C">
              <w:rPr>
                <w:rFonts w:cs="Arial"/>
                <w:sz w:val="18"/>
              </w:rPr>
              <w:t>82.5</w:t>
            </w:r>
          </w:p>
        </w:tc>
      </w:tr>
      <w:tr w:rsidR="0066499D" w:rsidRPr="00E8656C" w14:paraId="6EFBB33E" w14:textId="77777777" w:rsidTr="00D15EDE">
        <w:trPr>
          <w:trHeight w:val="288"/>
        </w:trPr>
        <w:tc>
          <w:tcPr>
            <w:tcW w:w="4706" w:type="dxa"/>
            <w:noWrap/>
            <w:hideMark/>
          </w:tcPr>
          <w:p w14:paraId="3E125936" w14:textId="77777777" w:rsidR="00507F62" w:rsidRPr="00E8656C" w:rsidRDefault="00507F62" w:rsidP="0066499D">
            <w:pPr>
              <w:spacing w:before="60" w:after="60"/>
              <w:rPr>
                <w:rFonts w:eastAsia="Times New Roman" w:cs="Arial"/>
                <w:b/>
                <w:sz w:val="18"/>
                <w:lang w:eastAsia="en-AU"/>
              </w:rPr>
            </w:pPr>
            <w:r w:rsidRPr="00E8656C">
              <w:rPr>
                <w:rFonts w:eastAsia="Times New Roman" w:cs="Arial"/>
                <w:b/>
                <w:sz w:val="18"/>
                <w:lang w:eastAsia="en-AU"/>
              </w:rPr>
              <w:t>Total</w:t>
            </w:r>
          </w:p>
        </w:tc>
        <w:tc>
          <w:tcPr>
            <w:tcW w:w="1587" w:type="dxa"/>
            <w:noWrap/>
            <w:vAlign w:val="center"/>
            <w:hideMark/>
          </w:tcPr>
          <w:p w14:paraId="60F5451C" w14:textId="67AF5742" w:rsidR="00507F62" w:rsidRPr="00E8656C" w:rsidRDefault="00BB76D2" w:rsidP="0066499D">
            <w:pPr>
              <w:spacing w:before="60" w:after="60"/>
              <w:jc w:val="center"/>
              <w:rPr>
                <w:rFonts w:eastAsia="Times New Roman" w:cs="Arial"/>
                <w:b/>
                <w:sz w:val="18"/>
                <w:lang w:eastAsia="en-AU"/>
              </w:rPr>
            </w:pPr>
            <w:r w:rsidRPr="00E8656C">
              <w:rPr>
                <w:rFonts w:cs="Arial"/>
                <w:b/>
                <w:sz w:val="18"/>
              </w:rPr>
              <w:t>81.0</w:t>
            </w:r>
          </w:p>
        </w:tc>
        <w:tc>
          <w:tcPr>
            <w:tcW w:w="1587" w:type="dxa"/>
            <w:noWrap/>
            <w:vAlign w:val="center"/>
            <w:hideMark/>
          </w:tcPr>
          <w:p w14:paraId="3C692182" w14:textId="18601038" w:rsidR="00507F62" w:rsidRPr="00E8656C" w:rsidRDefault="00BB76D2" w:rsidP="0066499D">
            <w:pPr>
              <w:spacing w:before="60" w:after="60"/>
              <w:jc w:val="center"/>
              <w:rPr>
                <w:rFonts w:eastAsia="Times New Roman" w:cs="Arial"/>
                <w:b/>
                <w:sz w:val="18"/>
                <w:lang w:eastAsia="en-AU"/>
              </w:rPr>
            </w:pPr>
            <w:r w:rsidRPr="00E8656C">
              <w:rPr>
                <w:rFonts w:cs="Arial"/>
                <w:b/>
                <w:sz w:val="18"/>
              </w:rPr>
              <w:t>60.2</w:t>
            </w:r>
          </w:p>
        </w:tc>
        <w:tc>
          <w:tcPr>
            <w:tcW w:w="1587" w:type="dxa"/>
            <w:noWrap/>
            <w:vAlign w:val="center"/>
            <w:hideMark/>
          </w:tcPr>
          <w:p w14:paraId="28374601" w14:textId="158FD187" w:rsidR="00507F62" w:rsidRPr="00E8656C" w:rsidRDefault="00BB76D2" w:rsidP="0066499D">
            <w:pPr>
              <w:spacing w:before="60" w:after="60"/>
              <w:jc w:val="center"/>
              <w:rPr>
                <w:rFonts w:eastAsia="Times New Roman" w:cs="Arial"/>
                <w:b/>
                <w:sz w:val="18"/>
                <w:lang w:eastAsia="en-AU"/>
              </w:rPr>
            </w:pPr>
            <w:r w:rsidRPr="00E8656C">
              <w:rPr>
                <w:rFonts w:cs="Arial"/>
                <w:b/>
                <w:sz w:val="18"/>
              </w:rPr>
              <w:t>80.3</w:t>
            </w:r>
          </w:p>
        </w:tc>
        <w:tc>
          <w:tcPr>
            <w:tcW w:w="1587" w:type="dxa"/>
            <w:noWrap/>
            <w:vAlign w:val="center"/>
            <w:hideMark/>
          </w:tcPr>
          <w:p w14:paraId="6B855CAB" w14:textId="66D3AA42" w:rsidR="00507F62" w:rsidRPr="00E8656C" w:rsidRDefault="00BB76D2" w:rsidP="0066499D">
            <w:pPr>
              <w:spacing w:before="60" w:after="60"/>
              <w:jc w:val="center"/>
              <w:rPr>
                <w:rFonts w:eastAsia="Times New Roman" w:cs="Arial"/>
                <w:b/>
                <w:sz w:val="18"/>
                <w:lang w:eastAsia="en-AU"/>
              </w:rPr>
            </w:pPr>
            <w:r w:rsidRPr="00E8656C">
              <w:rPr>
                <w:rFonts w:cs="Arial"/>
                <w:b/>
                <w:sz w:val="18"/>
              </w:rPr>
              <w:t>71.2</w:t>
            </w:r>
          </w:p>
        </w:tc>
        <w:tc>
          <w:tcPr>
            <w:tcW w:w="1587" w:type="dxa"/>
            <w:noWrap/>
            <w:vAlign w:val="center"/>
            <w:hideMark/>
          </w:tcPr>
          <w:p w14:paraId="7640F0D2" w14:textId="2BF266C9" w:rsidR="00507F62" w:rsidRPr="00E8656C" w:rsidRDefault="00BB76D2" w:rsidP="0066499D">
            <w:pPr>
              <w:spacing w:before="60" w:after="60"/>
              <w:jc w:val="center"/>
              <w:rPr>
                <w:rFonts w:eastAsia="Times New Roman" w:cs="Arial"/>
                <w:b/>
                <w:sz w:val="18"/>
                <w:lang w:eastAsia="en-AU"/>
              </w:rPr>
            </w:pPr>
            <w:r w:rsidRPr="00E8656C">
              <w:rPr>
                <w:rFonts w:cs="Arial"/>
                <w:b/>
                <w:sz w:val="18"/>
              </w:rPr>
              <w:t>82.8</w:t>
            </w:r>
          </w:p>
        </w:tc>
        <w:tc>
          <w:tcPr>
            <w:tcW w:w="1587" w:type="dxa"/>
            <w:noWrap/>
            <w:vAlign w:val="center"/>
            <w:hideMark/>
          </w:tcPr>
          <w:p w14:paraId="3463AD4A" w14:textId="68B61490" w:rsidR="00507F62" w:rsidRPr="00E8656C" w:rsidRDefault="00507F62" w:rsidP="0066499D">
            <w:pPr>
              <w:spacing w:before="60" w:after="60"/>
              <w:jc w:val="center"/>
              <w:rPr>
                <w:rFonts w:eastAsia="Times New Roman" w:cs="Arial"/>
                <w:b/>
                <w:sz w:val="18"/>
                <w:lang w:eastAsia="en-AU"/>
              </w:rPr>
            </w:pPr>
            <w:r w:rsidRPr="00E8656C">
              <w:rPr>
                <w:rFonts w:cs="Arial"/>
                <w:b/>
                <w:sz w:val="18"/>
              </w:rPr>
              <w:t>76.</w:t>
            </w:r>
            <w:r w:rsidR="00BB76D2" w:rsidRPr="00E8656C">
              <w:rPr>
                <w:rFonts w:cs="Arial"/>
                <w:b/>
                <w:sz w:val="18"/>
              </w:rPr>
              <w:t>5</w:t>
            </w:r>
          </w:p>
        </w:tc>
      </w:tr>
    </w:tbl>
    <w:p w14:paraId="265CAAFA" w14:textId="3521DA2B" w:rsidR="00EC1350" w:rsidRPr="00E8656C" w:rsidRDefault="00EC1350" w:rsidP="009A18D6">
      <w:pPr>
        <w:pStyle w:val="Heading4"/>
        <w:rPr>
          <w:rFonts w:cs="Arial"/>
          <w:color w:val="auto"/>
          <w:lang w:val="en-GB" w:eastAsia="en-GB"/>
        </w:rPr>
      </w:pPr>
      <w:r w:rsidRPr="00E8656C">
        <w:rPr>
          <w:rFonts w:cs="Arial"/>
          <w:color w:val="auto"/>
          <w:lang w:val="en-GB" w:eastAsia="en-GB"/>
        </w:rPr>
        <w:t>Postgraduate coursework study area results</w:t>
      </w:r>
    </w:p>
    <w:p w14:paraId="1E463D46" w14:textId="545428D8" w:rsidR="00CD5F83" w:rsidRPr="00E8656C" w:rsidRDefault="00DA37A5" w:rsidP="0066499D">
      <w:pPr>
        <w:pStyle w:val="Body"/>
        <w:rPr>
          <w:rFonts w:cs="Arial"/>
        </w:rPr>
      </w:pPr>
      <w:r w:rsidRPr="00E8656C">
        <w:rPr>
          <w:rFonts w:eastAsiaTheme="minorHAnsi" w:cs="Arial"/>
          <w:lang w:eastAsia="en-GB"/>
        </w:rPr>
        <w:t>P</w:t>
      </w:r>
      <w:r w:rsidR="008A2391" w:rsidRPr="00E8656C">
        <w:rPr>
          <w:rFonts w:eastAsiaTheme="minorHAnsi" w:cs="Arial"/>
          <w:lang w:eastAsia="en-GB"/>
        </w:rPr>
        <w:t xml:space="preserve">ostgraduate coursework student ratings for focus areas </w:t>
      </w:r>
      <w:r w:rsidRPr="00E8656C">
        <w:rPr>
          <w:rFonts w:eastAsiaTheme="minorHAnsi" w:cs="Arial"/>
          <w:lang w:eastAsia="en-GB"/>
        </w:rPr>
        <w:t xml:space="preserve">also </w:t>
      </w:r>
      <w:r w:rsidR="008A2391" w:rsidRPr="00E8656C">
        <w:rPr>
          <w:rFonts w:eastAsiaTheme="minorHAnsi" w:cs="Arial"/>
          <w:lang w:eastAsia="en-GB"/>
        </w:rPr>
        <w:t>var</w:t>
      </w:r>
      <w:r w:rsidR="003E6462" w:rsidRPr="00E8656C">
        <w:rPr>
          <w:rFonts w:eastAsiaTheme="minorHAnsi" w:cs="Arial"/>
          <w:lang w:eastAsia="en-GB"/>
        </w:rPr>
        <w:t>ied</w:t>
      </w:r>
      <w:r w:rsidR="008A2391" w:rsidRPr="00E8656C">
        <w:rPr>
          <w:rFonts w:eastAsiaTheme="minorHAnsi" w:cs="Arial"/>
          <w:lang w:eastAsia="en-GB"/>
        </w:rPr>
        <w:t xml:space="preserve"> substantially between study areas. </w:t>
      </w:r>
      <w:r w:rsidR="00214A38" w:rsidRPr="00E8656C">
        <w:rPr>
          <w:rFonts w:eastAsiaTheme="minorHAnsi" w:cs="Arial"/>
          <w:lang w:eastAsia="en-GB"/>
        </w:rPr>
        <w:t>For example, in 2024</w:t>
      </w:r>
      <w:r w:rsidR="008A2391" w:rsidRPr="00E8656C">
        <w:rPr>
          <w:rFonts w:eastAsiaTheme="minorHAnsi" w:cs="Arial"/>
          <w:lang w:eastAsia="en-GB"/>
        </w:rPr>
        <w:t>, there was a</w:t>
      </w:r>
      <w:r w:rsidR="008A2391" w:rsidRPr="00E8656C">
        <w:rPr>
          <w:rFonts w:eastAsiaTheme="minorHAnsi" w:cs="Arial"/>
          <w:lang w:val="en-GB" w:eastAsia="en-GB"/>
        </w:rPr>
        <w:t xml:space="preserve"> 40.7 percentage point difference</w:t>
      </w:r>
      <w:r w:rsidR="008A2391" w:rsidRPr="00E8656C">
        <w:rPr>
          <w:rFonts w:eastAsiaTheme="minorHAnsi" w:cs="Arial"/>
          <w:sz w:val="21"/>
          <w:szCs w:val="21"/>
          <w:shd w:val="clear" w:color="auto" w:fill="FAFAFA"/>
        </w:rPr>
        <w:t xml:space="preserve"> </w:t>
      </w:r>
      <w:r w:rsidR="008A2391" w:rsidRPr="00E8656C">
        <w:rPr>
          <w:rFonts w:eastAsiaTheme="minorHAnsi" w:cs="Arial"/>
          <w:lang w:eastAsia="en-GB"/>
        </w:rPr>
        <w:t xml:space="preserve">in Peer Engagement ratings between the highest-rated study area, Tourism, </w:t>
      </w:r>
      <w:r w:rsidR="00AF78C2" w:rsidRPr="00E8656C">
        <w:rPr>
          <w:rFonts w:eastAsiaTheme="minorHAnsi" w:cs="Arial"/>
          <w:lang w:eastAsia="en-GB"/>
        </w:rPr>
        <w:t>h</w:t>
      </w:r>
      <w:r w:rsidR="008A2391" w:rsidRPr="00E8656C">
        <w:rPr>
          <w:rFonts w:eastAsiaTheme="minorHAnsi" w:cs="Arial"/>
          <w:lang w:eastAsia="en-GB"/>
        </w:rPr>
        <w:t xml:space="preserve">ospitality, </w:t>
      </w:r>
      <w:r w:rsidR="00AF78C2" w:rsidRPr="00E8656C">
        <w:rPr>
          <w:rFonts w:eastAsiaTheme="minorHAnsi" w:cs="Arial"/>
          <w:lang w:eastAsia="en-GB"/>
        </w:rPr>
        <w:t>p</w:t>
      </w:r>
      <w:r w:rsidR="008A2391" w:rsidRPr="00E8656C">
        <w:rPr>
          <w:rFonts w:eastAsiaTheme="minorHAnsi" w:cs="Arial"/>
          <w:lang w:eastAsia="en-GB"/>
        </w:rPr>
        <w:t xml:space="preserve">ersonal </w:t>
      </w:r>
      <w:r w:rsidR="00AF78C2" w:rsidRPr="00E8656C">
        <w:rPr>
          <w:rFonts w:eastAsiaTheme="minorHAnsi" w:cs="Arial"/>
          <w:lang w:eastAsia="en-GB"/>
        </w:rPr>
        <w:t>s</w:t>
      </w:r>
      <w:r w:rsidR="008A2391" w:rsidRPr="00E8656C">
        <w:rPr>
          <w:rFonts w:eastAsiaTheme="minorHAnsi" w:cs="Arial"/>
          <w:lang w:eastAsia="en-GB"/>
        </w:rPr>
        <w:t xml:space="preserve">ervices, </w:t>
      </w:r>
      <w:r w:rsidR="00AF78C2" w:rsidRPr="00E8656C">
        <w:rPr>
          <w:rFonts w:eastAsiaTheme="minorHAnsi" w:cs="Arial"/>
          <w:lang w:eastAsia="en-GB"/>
        </w:rPr>
        <w:t>s</w:t>
      </w:r>
      <w:r w:rsidR="008A2391" w:rsidRPr="00E8656C">
        <w:rPr>
          <w:rFonts w:eastAsiaTheme="minorHAnsi" w:cs="Arial"/>
          <w:lang w:eastAsia="en-GB"/>
        </w:rPr>
        <w:t xml:space="preserve">port, and </w:t>
      </w:r>
      <w:r w:rsidR="00AF78C2" w:rsidRPr="00E8656C">
        <w:rPr>
          <w:rFonts w:eastAsiaTheme="minorHAnsi" w:cs="Arial"/>
          <w:lang w:eastAsia="en-GB"/>
        </w:rPr>
        <w:t>r</w:t>
      </w:r>
      <w:r w:rsidR="008A2391" w:rsidRPr="00E8656C">
        <w:rPr>
          <w:rFonts w:eastAsiaTheme="minorHAnsi" w:cs="Arial"/>
          <w:lang w:eastAsia="en-GB"/>
        </w:rPr>
        <w:t>ecreation, and the lowest-rated study area, Nursing</w:t>
      </w:r>
      <w:r w:rsidR="00685160" w:rsidRPr="00E8656C">
        <w:rPr>
          <w:rFonts w:eastAsiaTheme="minorHAnsi" w:cs="Arial"/>
          <w:lang w:eastAsia="en-GB"/>
        </w:rPr>
        <w:t xml:space="preserve"> (</w:t>
      </w:r>
      <w:r w:rsidR="00860476" w:rsidRPr="00E8656C">
        <w:rPr>
          <w:rFonts w:eastAsiaTheme="minorHAnsi" w:cs="Arial"/>
          <w:b/>
          <w:bCs/>
          <w:lang w:eastAsia="en-GB"/>
        </w:rPr>
        <w:fldChar w:fldCharType="begin"/>
      </w:r>
      <w:r w:rsidR="00860476" w:rsidRPr="00E8656C">
        <w:rPr>
          <w:rFonts w:eastAsiaTheme="minorHAnsi" w:cs="Arial"/>
          <w:b/>
          <w:bCs/>
          <w:lang w:eastAsia="en-GB"/>
        </w:rPr>
        <w:instrText xml:space="preserve"> REF _Ref196824778 \h  \* MERGEFORMAT </w:instrText>
      </w:r>
      <w:r w:rsidR="00860476" w:rsidRPr="00E8656C">
        <w:rPr>
          <w:rFonts w:eastAsiaTheme="minorHAnsi" w:cs="Arial"/>
          <w:b/>
          <w:bCs/>
          <w:lang w:eastAsia="en-GB"/>
        </w:rPr>
      </w:r>
      <w:r w:rsidR="00860476" w:rsidRPr="00E8656C">
        <w:rPr>
          <w:rFonts w:eastAsiaTheme="minorHAnsi" w:cs="Arial"/>
          <w:b/>
          <w:bCs/>
          <w:lang w:eastAsia="en-GB"/>
        </w:rPr>
        <w:fldChar w:fldCharType="separate"/>
      </w:r>
      <w:r w:rsidR="00860476" w:rsidRPr="00E8656C">
        <w:rPr>
          <w:rFonts w:cs="Arial"/>
          <w:b/>
          <w:bCs/>
        </w:rPr>
        <w:t xml:space="preserve">Table </w:t>
      </w:r>
      <w:r w:rsidR="00860476" w:rsidRPr="00E8656C">
        <w:rPr>
          <w:rFonts w:cs="Arial"/>
          <w:b/>
          <w:bCs/>
          <w:noProof/>
        </w:rPr>
        <w:t>2</w:t>
      </w:r>
      <w:r w:rsidR="00860476" w:rsidRPr="00E8656C">
        <w:rPr>
          <w:rFonts w:eastAsiaTheme="minorHAnsi" w:cs="Arial"/>
          <w:b/>
          <w:bCs/>
          <w:lang w:eastAsia="en-GB"/>
        </w:rPr>
        <w:fldChar w:fldCharType="end"/>
      </w:r>
      <w:r w:rsidR="00685160" w:rsidRPr="00E8656C">
        <w:rPr>
          <w:rFonts w:eastAsiaTheme="minorHAnsi" w:cs="Arial"/>
          <w:lang w:eastAsia="en-GB"/>
        </w:rPr>
        <w:t>)</w:t>
      </w:r>
      <w:r w:rsidR="008A2391" w:rsidRPr="00E8656C">
        <w:rPr>
          <w:rFonts w:eastAsiaTheme="minorHAnsi" w:cs="Arial"/>
          <w:lang w:eastAsia="en-GB"/>
        </w:rPr>
        <w:t xml:space="preserve">. This variation may be related to differences in study mode, with over 50 per cent of postgraduate coursework Nursing students studying externally, compared to </w:t>
      </w:r>
      <w:r w:rsidR="008A2391" w:rsidRPr="00E8656C">
        <w:rPr>
          <w:rFonts w:eastAsiaTheme="minorHAnsi" w:cs="Arial"/>
          <w:lang w:eastAsia="en-GB"/>
        </w:rPr>
        <w:lastRenderedPageBreak/>
        <w:t>around 21 per cent in Tourism, Hospitality, Personal Services, Sport, and Recreation.</w:t>
      </w:r>
      <w:r w:rsidR="00A62127" w:rsidRPr="00E8656C">
        <w:rPr>
          <w:rFonts w:eastAsiaTheme="minorHAnsi" w:cs="Arial"/>
          <w:lang w:eastAsia="en-GB"/>
        </w:rPr>
        <w:t xml:space="preserve"> </w:t>
      </w:r>
      <w:r w:rsidR="00AC3658" w:rsidRPr="00E8656C">
        <w:rPr>
          <w:rFonts w:eastAsiaTheme="minorHAnsi" w:cs="Arial"/>
          <w:lang w:eastAsia="en-GB"/>
        </w:rPr>
        <w:t xml:space="preserve">Study area size may </w:t>
      </w:r>
      <w:r w:rsidR="00A96DA2" w:rsidRPr="00E8656C">
        <w:rPr>
          <w:rFonts w:eastAsiaTheme="minorHAnsi" w:cs="Arial"/>
          <w:lang w:eastAsia="en-GB"/>
        </w:rPr>
        <w:t xml:space="preserve">also </w:t>
      </w:r>
      <w:r w:rsidR="00834036" w:rsidRPr="00E8656C">
        <w:rPr>
          <w:rFonts w:eastAsiaTheme="minorHAnsi" w:cs="Arial"/>
          <w:lang w:eastAsia="en-GB"/>
        </w:rPr>
        <w:t>play a part in explaining the difference</w:t>
      </w:r>
      <w:r w:rsidR="00AC0208" w:rsidRPr="00E8656C">
        <w:rPr>
          <w:rFonts w:eastAsiaTheme="minorHAnsi" w:cs="Arial"/>
          <w:lang w:eastAsia="en-GB"/>
        </w:rPr>
        <w:t xml:space="preserve"> (Nursing is one of the large</w:t>
      </w:r>
      <w:r w:rsidR="00E9170D" w:rsidRPr="00E8656C">
        <w:rPr>
          <w:rFonts w:eastAsiaTheme="minorHAnsi" w:cs="Arial"/>
          <w:lang w:eastAsia="en-GB"/>
        </w:rPr>
        <w:t>r</w:t>
      </w:r>
      <w:r w:rsidR="00AC0208" w:rsidRPr="00E8656C">
        <w:rPr>
          <w:rFonts w:eastAsiaTheme="minorHAnsi" w:cs="Arial"/>
          <w:lang w:eastAsia="en-GB"/>
        </w:rPr>
        <w:t xml:space="preserve"> study areas)</w:t>
      </w:r>
      <w:r w:rsidR="00834036" w:rsidRPr="00E8656C">
        <w:rPr>
          <w:rFonts w:eastAsiaTheme="minorHAnsi" w:cs="Arial"/>
          <w:lang w:eastAsia="en-GB"/>
        </w:rPr>
        <w:t>.</w:t>
      </w:r>
      <w:r w:rsidR="006F7F90" w:rsidRPr="00E8656C">
        <w:rPr>
          <w:rFonts w:eastAsiaTheme="minorHAnsi" w:cs="Arial"/>
          <w:lang w:eastAsia="en-GB"/>
        </w:rPr>
        <w:t xml:space="preserve"> </w:t>
      </w:r>
      <w:r w:rsidR="0066499D" w:rsidRPr="00E8656C">
        <w:rPr>
          <w:rFonts w:eastAsiaTheme="minorHAnsi" w:cs="Arial"/>
          <w:lang w:eastAsia="en-GB"/>
        </w:rPr>
        <w:t xml:space="preserve"> </w:t>
      </w:r>
      <w:r w:rsidR="008A2391" w:rsidRPr="00E8656C">
        <w:rPr>
          <w:rFonts w:cs="Arial"/>
        </w:rPr>
        <w:t>It should also be noted that broad disciplinary aggregations often hide much of the detail that is relevant to schools, faculties</w:t>
      </w:r>
      <w:r w:rsidR="003D626B" w:rsidRPr="00E8656C">
        <w:rPr>
          <w:rFonts w:cs="Arial"/>
        </w:rPr>
        <w:t>,</w:t>
      </w:r>
      <w:r w:rsidR="008A2391" w:rsidRPr="00E8656C">
        <w:rPr>
          <w:rFonts w:cs="Arial"/>
        </w:rPr>
        <w:t xml:space="preserve"> and academic departments. More detailed SES results disaggregated by 45 study areas are available from the QILT website in the additional tables associated with this report.</w:t>
      </w:r>
      <w:r w:rsidR="000947B0" w:rsidRPr="00E8656C">
        <w:rPr>
          <w:rStyle w:val="FootnoteReference"/>
          <w:rFonts w:cs="Arial"/>
        </w:rPr>
        <w:footnoteReference w:id="9"/>
      </w:r>
      <w:r w:rsidR="005C1EA5" w:rsidRPr="00E8656C">
        <w:rPr>
          <w:rFonts w:cs="Arial"/>
        </w:rPr>
        <w:t xml:space="preserve"> </w:t>
      </w:r>
    </w:p>
    <w:p w14:paraId="6FCB9F8E" w14:textId="07FF4103" w:rsidR="005C695D" w:rsidRPr="00E8656C" w:rsidRDefault="00860476" w:rsidP="00695177">
      <w:pPr>
        <w:pStyle w:val="Caption"/>
      </w:pPr>
      <w:bookmarkStart w:id="71" w:name="_Ref196824778"/>
      <w:bookmarkStart w:id="72" w:name="_Toc201065419"/>
      <w:r w:rsidRPr="00E8656C">
        <w:t xml:space="preserve">Table </w:t>
      </w:r>
      <w:r w:rsidR="00BA0CC0" w:rsidRPr="00E8656C">
        <w:fldChar w:fldCharType="begin"/>
      </w:r>
      <w:r w:rsidR="00BA0CC0" w:rsidRPr="00E8656C">
        <w:instrText xml:space="preserve"> SEQ Table \* ARABIC </w:instrText>
      </w:r>
      <w:r w:rsidR="00BA0CC0" w:rsidRPr="00E8656C">
        <w:fldChar w:fldCharType="separate"/>
      </w:r>
      <w:r w:rsidR="00BA0CC0" w:rsidRPr="00E8656C">
        <w:rPr>
          <w:noProof/>
        </w:rPr>
        <w:t>2</w:t>
      </w:r>
      <w:r w:rsidR="00BA0CC0" w:rsidRPr="00E8656C">
        <w:rPr>
          <w:noProof/>
        </w:rPr>
        <w:fldChar w:fldCharType="end"/>
      </w:r>
      <w:bookmarkEnd w:id="71"/>
      <w:r w:rsidR="0066499D" w:rsidRPr="00E8656C">
        <w:rPr>
          <w:noProof/>
        </w:rPr>
        <w:tab/>
      </w:r>
      <w:r w:rsidR="005C695D" w:rsidRPr="00E8656C">
        <w:t>The postgraduate coursework student experience by study area, 2024 (% positive rating)</w:t>
      </w:r>
      <w:bookmarkEnd w:id="72"/>
    </w:p>
    <w:tbl>
      <w:tblPr>
        <w:tblStyle w:val="TableGrid1"/>
        <w:tblW w:w="14228" w:type="dxa"/>
        <w:tblLook w:val="04A0" w:firstRow="1" w:lastRow="0" w:firstColumn="1" w:lastColumn="0" w:noHBand="0" w:noVBand="1"/>
      </w:tblPr>
      <w:tblGrid>
        <w:gridCol w:w="4706"/>
        <w:gridCol w:w="1587"/>
        <w:gridCol w:w="1587"/>
        <w:gridCol w:w="1587"/>
        <w:gridCol w:w="1587"/>
        <w:gridCol w:w="1587"/>
        <w:gridCol w:w="1587"/>
      </w:tblGrid>
      <w:tr w:rsidR="004D7A82" w:rsidRPr="00E8656C" w14:paraId="6ECD9EE3" w14:textId="77777777" w:rsidTr="0066499D">
        <w:trPr>
          <w:trHeight w:val="645"/>
          <w:tblHeader/>
        </w:trPr>
        <w:tc>
          <w:tcPr>
            <w:tcW w:w="4706" w:type="dxa"/>
            <w:vAlign w:val="center"/>
            <w:hideMark/>
          </w:tcPr>
          <w:p w14:paraId="0ADA848C" w14:textId="27EC1487" w:rsidR="00986467" w:rsidRPr="00E8656C" w:rsidRDefault="006E021B" w:rsidP="0066499D">
            <w:pPr>
              <w:spacing w:before="60" w:after="60"/>
              <w:rPr>
                <w:rFonts w:eastAsia="Times New Roman" w:cs="Arial"/>
                <w:b/>
                <w:sz w:val="18"/>
                <w:lang w:eastAsia="en-AU"/>
              </w:rPr>
            </w:pPr>
            <w:bookmarkStart w:id="73" w:name="Title_2"/>
            <w:bookmarkEnd w:id="73"/>
            <w:r w:rsidRPr="00E8656C">
              <w:rPr>
                <w:rFonts w:eastAsia="Times New Roman" w:cs="Arial"/>
                <w:b/>
                <w:bCs/>
                <w:sz w:val="18"/>
                <w:lang w:eastAsia="en-AU"/>
              </w:rPr>
              <w:t>Study area</w:t>
            </w:r>
            <w:r w:rsidR="00724137" w:rsidRPr="00E8656C">
              <w:rPr>
                <w:rFonts w:eastAsia="Times New Roman" w:cs="Arial"/>
                <w:b/>
                <w:bCs/>
                <w:sz w:val="18"/>
                <w:lang w:eastAsia="en-AU"/>
              </w:rPr>
              <w:t> </w:t>
            </w:r>
          </w:p>
        </w:tc>
        <w:tc>
          <w:tcPr>
            <w:tcW w:w="1587" w:type="dxa"/>
            <w:vAlign w:val="center"/>
            <w:hideMark/>
          </w:tcPr>
          <w:p w14:paraId="7C1BB896" w14:textId="07943DA0" w:rsidR="00986467" w:rsidRPr="00E8656C" w:rsidRDefault="00986467" w:rsidP="0066499D">
            <w:pPr>
              <w:spacing w:before="60" w:after="60"/>
              <w:jc w:val="center"/>
              <w:rPr>
                <w:rFonts w:eastAsia="Times New Roman" w:cs="Arial"/>
                <w:b/>
                <w:sz w:val="18"/>
                <w:lang w:eastAsia="en-AU"/>
              </w:rPr>
            </w:pPr>
            <w:r w:rsidRPr="00E8656C">
              <w:rPr>
                <w:rFonts w:eastAsia="Times New Roman" w:cs="Arial"/>
                <w:b/>
                <w:sz w:val="18"/>
                <w:lang w:eastAsia="en-AU"/>
              </w:rPr>
              <w:t>Skills Development</w:t>
            </w:r>
          </w:p>
        </w:tc>
        <w:tc>
          <w:tcPr>
            <w:tcW w:w="1587" w:type="dxa"/>
            <w:vAlign w:val="center"/>
            <w:hideMark/>
          </w:tcPr>
          <w:p w14:paraId="4E854881" w14:textId="173B35A1" w:rsidR="00986467" w:rsidRPr="00E8656C" w:rsidRDefault="00986467" w:rsidP="0066499D">
            <w:pPr>
              <w:spacing w:before="60" w:after="60"/>
              <w:jc w:val="center"/>
              <w:rPr>
                <w:rFonts w:eastAsia="Times New Roman" w:cs="Arial"/>
                <w:b/>
                <w:sz w:val="18"/>
                <w:lang w:eastAsia="en-AU"/>
              </w:rPr>
            </w:pPr>
            <w:r w:rsidRPr="00E8656C">
              <w:rPr>
                <w:rFonts w:eastAsia="Times New Roman" w:cs="Arial"/>
                <w:b/>
                <w:sz w:val="18"/>
                <w:lang w:eastAsia="en-AU"/>
              </w:rPr>
              <w:t>Peer Engagement</w:t>
            </w:r>
          </w:p>
        </w:tc>
        <w:tc>
          <w:tcPr>
            <w:tcW w:w="1587" w:type="dxa"/>
            <w:vAlign w:val="center"/>
            <w:hideMark/>
          </w:tcPr>
          <w:p w14:paraId="6A3B59FF" w14:textId="79E0B5DF" w:rsidR="00986467" w:rsidRPr="00E8656C" w:rsidRDefault="00986467" w:rsidP="0066499D">
            <w:pPr>
              <w:spacing w:before="60" w:after="60"/>
              <w:jc w:val="center"/>
              <w:rPr>
                <w:rFonts w:eastAsia="Times New Roman" w:cs="Arial"/>
                <w:b/>
                <w:sz w:val="18"/>
                <w:lang w:eastAsia="en-AU"/>
              </w:rPr>
            </w:pPr>
            <w:r w:rsidRPr="00E8656C">
              <w:rPr>
                <w:rFonts w:eastAsia="Times New Roman" w:cs="Arial"/>
                <w:b/>
                <w:sz w:val="18"/>
                <w:lang w:eastAsia="en-AU"/>
              </w:rPr>
              <w:t>Teaching Quality and Engagement</w:t>
            </w:r>
          </w:p>
        </w:tc>
        <w:tc>
          <w:tcPr>
            <w:tcW w:w="1587" w:type="dxa"/>
            <w:vAlign w:val="center"/>
            <w:hideMark/>
          </w:tcPr>
          <w:p w14:paraId="01F88360" w14:textId="1E58CC46" w:rsidR="00986467" w:rsidRPr="00E8656C" w:rsidRDefault="00986467" w:rsidP="0066499D">
            <w:pPr>
              <w:spacing w:before="60" w:after="60"/>
              <w:jc w:val="center"/>
              <w:rPr>
                <w:rFonts w:eastAsia="Times New Roman" w:cs="Arial"/>
                <w:b/>
                <w:sz w:val="18"/>
                <w:lang w:eastAsia="en-AU"/>
              </w:rPr>
            </w:pPr>
            <w:r w:rsidRPr="00E8656C">
              <w:rPr>
                <w:rFonts w:eastAsia="Times New Roman" w:cs="Arial"/>
                <w:b/>
                <w:sz w:val="18"/>
                <w:lang w:eastAsia="en-AU"/>
              </w:rPr>
              <w:t>Student Support and Services</w:t>
            </w:r>
          </w:p>
        </w:tc>
        <w:tc>
          <w:tcPr>
            <w:tcW w:w="1587" w:type="dxa"/>
            <w:vAlign w:val="center"/>
            <w:hideMark/>
          </w:tcPr>
          <w:p w14:paraId="35D4B764" w14:textId="63B123AD" w:rsidR="00986467" w:rsidRPr="00E8656C" w:rsidRDefault="00986467" w:rsidP="0066499D">
            <w:pPr>
              <w:spacing w:before="60" w:after="60"/>
              <w:jc w:val="center"/>
              <w:rPr>
                <w:rFonts w:eastAsia="Times New Roman" w:cs="Arial"/>
                <w:b/>
                <w:sz w:val="18"/>
                <w:lang w:eastAsia="en-AU"/>
              </w:rPr>
            </w:pPr>
            <w:r w:rsidRPr="00E8656C">
              <w:rPr>
                <w:rFonts w:eastAsia="Times New Roman" w:cs="Arial"/>
                <w:b/>
                <w:sz w:val="18"/>
                <w:lang w:eastAsia="en-AU"/>
              </w:rPr>
              <w:t>Learning Resources</w:t>
            </w:r>
          </w:p>
        </w:tc>
        <w:tc>
          <w:tcPr>
            <w:tcW w:w="1587" w:type="dxa"/>
            <w:vAlign w:val="center"/>
            <w:hideMark/>
          </w:tcPr>
          <w:p w14:paraId="3C8C560A" w14:textId="675D20AA" w:rsidR="00986467" w:rsidRPr="00E8656C" w:rsidRDefault="006E021B" w:rsidP="0066499D">
            <w:pPr>
              <w:spacing w:before="60" w:after="60"/>
              <w:jc w:val="center"/>
              <w:rPr>
                <w:rFonts w:eastAsia="Times New Roman" w:cs="Arial"/>
                <w:b/>
                <w:sz w:val="18"/>
                <w:lang w:eastAsia="en-AU"/>
              </w:rPr>
            </w:pPr>
            <w:r w:rsidRPr="00E8656C">
              <w:rPr>
                <w:rFonts w:eastAsia="Times New Roman" w:cs="Arial"/>
                <w:b/>
                <w:bCs/>
                <w:sz w:val="18"/>
                <w:lang w:eastAsia="en-AU"/>
              </w:rPr>
              <w:t>Overall</w:t>
            </w:r>
            <w:r w:rsidR="00724137" w:rsidRPr="00E8656C">
              <w:rPr>
                <w:rFonts w:eastAsia="Times New Roman" w:cs="Arial"/>
                <w:b/>
                <w:bCs/>
                <w:sz w:val="18"/>
                <w:lang w:eastAsia="en-AU"/>
              </w:rPr>
              <w:t xml:space="preserve"> </w:t>
            </w:r>
            <w:r w:rsidRPr="00E8656C">
              <w:rPr>
                <w:rFonts w:eastAsia="Times New Roman" w:cs="Arial"/>
                <w:b/>
                <w:bCs/>
                <w:sz w:val="18"/>
                <w:lang w:eastAsia="en-AU"/>
              </w:rPr>
              <w:t>E</w:t>
            </w:r>
            <w:r w:rsidR="00724137" w:rsidRPr="00E8656C">
              <w:rPr>
                <w:rFonts w:eastAsia="Times New Roman" w:cs="Arial"/>
                <w:b/>
                <w:bCs/>
                <w:sz w:val="18"/>
                <w:lang w:eastAsia="en-AU"/>
              </w:rPr>
              <w:t xml:space="preserve">ducational </w:t>
            </w:r>
            <w:r w:rsidRPr="00E8656C">
              <w:rPr>
                <w:rFonts w:eastAsia="Times New Roman" w:cs="Arial"/>
                <w:b/>
                <w:bCs/>
                <w:sz w:val="18"/>
                <w:lang w:eastAsia="en-AU"/>
              </w:rPr>
              <w:t>E</w:t>
            </w:r>
            <w:r w:rsidR="00724137" w:rsidRPr="00E8656C">
              <w:rPr>
                <w:rFonts w:eastAsia="Times New Roman" w:cs="Arial"/>
                <w:b/>
                <w:bCs/>
                <w:sz w:val="18"/>
                <w:lang w:eastAsia="en-AU"/>
              </w:rPr>
              <w:t>xperience</w:t>
            </w:r>
          </w:p>
        </w:tc>
      </w:tr>
      <w:tr w:rsidR="004D7A82" w:rsidRPr="00E8656C" w14:paraId="4C37BDA9" w14:textId="77777777" w:rsidTr="00151785">
        <w:trPr>
          <w:trHeight w:val="288"/>
        </w:trPr>
        <w:tc>
          <w:tcPr>
            <w:tcW w:w="4706" w:type="dxa"/>
            <w:noWrap/>
            <w:hideMark/>
          </w:tcPr>
          <w:p w14:paraId="615561D3"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Agriculture and environmental studies</w:t>
            </w:r>
          </w:p>
        </w:tc>
        <w:tc>
          <w:tcPr>
            <w:tcW w:w="1587" w:type="dxa"/>
            <w:noWrap/>
            <w:vAlign w:val="center"/>
            <w:hideMark/>
          </w:tcPr>
          <w:p w14:paraId="2396C321"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86.0</w:t>
            </w:r>
          </w:p>
        </w:tc>
        <w:tc>
          <w:tcPr>
            <w:tcW w:w="1587" w:type="dxa"/>
            <w:noWrap/>
            <w:vAlign w:val="center"/>
            <w:hideMark/>
          </w:tcPr>
          <w:p w14:paraId="69C89CE8"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64.7</w:t>
            </w:r>
          </w:p>
        </w:tc>
        <w:tc>
          <w:tcPr>
            <w:tcW w:w="1587" w:type="dxa"/>
            <w:noWrap/>
            <w:vAlign w:val="center"/>
            <w:hideMark/>
          </w:tcPr>
          <w:p w14:paraId="50385AE7"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87.1</w:t>
            </w:r>
          </w:p>
        </w:tc>
        <w:tc>
          <w:tcPr>
            <w:tcW w:w="1587" w:type="dxa"/>
            <w:noWrap/>
            <w:vAlign w:val="center"/>
            <w:hideMark/>
          </w:tcPr>
          <w:p w14:paraId="1D043BF8"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81.0</w:t>
            </w:r>
          </w:p>
        </w:tc>
        <w:tc>
          <w:tcPr>
            <w:tcW w:w="1587" w:type="dxa"/>
            <w:noWrap/>
            <w:vAlign w:val="center"/>
            <w:hideMark/>
          </w:tcPr>
          <w:p w14:paraId="467D49B9"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90.9</w:t>
            </w:r>
          </w:p>
        </w:tc>
        <w:tc>
          <w:tcPr>
            <w:tcW w:w="1587" w:type="dxa"/>
            <w:noWrap/>
            <w:vAlign w:val="center"/>
            <w:hideMark/>
          </w:tcPr>
          <w:p w14:paraId="4F8213A0"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79.0</w:t>
            </w:r>
          </w:p>
        </w:tc>
      </w:tr>
      <w:tr w:rsidR="004D7A82" w:rsidRPr="00E8656C" w14:paraId="20DC5BC2" w14:textId="77777777" w:rsidTr="00151785">
        <w:trPr>
          <w:trHeight w:val="288"/>
        </w:trPr>
        <w:tc>
          <w:tcPr>
            <w:tcW w:w="4706" w:type="dxa"/>
            <w:noWrap/>
            <w:hideMark/>
          </w:tcPr>
          <w:p w14:paraId="1173E2C0"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Architecture and built environment</w:t>
            </w:r>
          </w:p>
        </w:tc>
        <w:tc>
          <w:tcPr>
            <w:tcW w:w="1587" w:type="dxa"/>
            <w:noWrap/>
            <w:vAlign w:val="center"/>
            <w:hideMark/>
          </w:tcPr>
          <w:p w14:paraId="25CE97E0"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81.2</w:t>
            </w:r>
          </w:p>
        </w:tc>
        <w:tc>
          <w:tcPr>
            <w:tcW w:w="1587" w:type="dxa"/>
            <w:noWrap/>
            <w:vAlign w:val="center"/>
            <w:hideMark/>
          </w:tcPr>
          <w:p w14:paraId="01A521BA"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71.9</w:t>
            </w:r>
          </w:p>
        </w:tc>
        <w:tc>
          <w:tcPr>
            <w:tcW w:w="1587" w:type="dxa"/>
            <w:noWrap/>
            <w:vAlign w:val="center"/>
            <w:hideMark/>
          </w:tcPr>
          <w:p w14:paraId="370B9CA3"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79.6</w:t>
            </w:r>
          </w:p>
        </w:tc>
        <w:tc>
          <w:tcPr>
            <w:tcW w:w="1587" w:type="dxa"/>
            <w:noWrap/>
            <w:vAlign w:val="center"/>
            <w:hideMark/>
          </w:tcPr>
          <w:p w14:paraId="5384D84E"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70.8</w:t>
            </w:r>
          </w:p>
        </w:tc>
        <w:tc>
          <w:tcPr>
            <w:tcW w:w="1587" w:type="dxa"/>
            <w:noWrap/>
            <w:vAlign w:val="center"/>
            <w:hideMark/>
          </w:tcPr>
          <w:p w14:paraId="2A6B0B65"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80.5</w:t>
            </w:r>
          </w:p>
        </w:tc>
        <w:tc>
          <w:tcPr>
            <w:tcW w:w="1587" w:type="dxa"/>
            <w:noWrap/>
            <w:vAlign w:val="center"/>
            <w:hideMark/>
          </w:tcPr>
          <w:p w14:paraId="67A0DA1C"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72.7</w:t>
            </w:r>
          </w:p>
        </w:tc>
      </w:tr>
      <w:tr w:rsidR="004D7A82" w:rsidRPr="00E8656C" w14:paraId="20FBAA0D" w14:textId="77777777" w:rsidTr="00151785">
        <w:trPr>
          <w:trHeight w:val="288"/>
        </w:trPr>
        <w:tc>
          <w:tcPr>
            <w:tcW w:w="4706" w:type="dxa"/>
            <w:noWrap/>
            <w:hideMark/>
          </w:tcPr>
          <w:p w14:paraId="40B8F76B"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Business and management</w:t>
            </w:r>
          </w:p>
        </w:tc>
        <w:tc>
          <w:tcPr>
            <w:tcW w:w="1587" w:type="dxa"/>
            <w:noWrap/>
            <w:vAlign w:val="center"/>
            <w:hideMark/>
          </w:tcPr>
          <w:p w14:paraId="12F8AAD3"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84.8</w:t>
            </w:r>
          </w:p>
        </w:tc>
        <w:tc>
          <w:tcPr>
            <w:tcW w:w="1587" w:type="dxa"/>
            <w:noWrap/>
            <w:vAlign w:val="center"/>
            <w:hideMark/>
          </w:tcPr>
          <w:p w14:paraId="68BE2A28"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69.7</w:t>
            </w:r>
          </w:p>
        </w:tc>
        <w:tc>
          <w:tcPr>
            <w:tcW w:w="1587" w:type="dxa"/>
            <w:noWrap/>
            <w:vAlign w:val="center"/>
            <w:hideMark/>
          </w:tcPr>
          <w:p w14:paraId="626421A3"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84.2</w:t>
            </w:r>
          </w:p>
        </w:tc>
        <w:tc>
          <w:tcPr>
            <w:tcW w:w="1587" w:type="dxa"/>
            <w:noWrap/>
            <w:vAlign w:val="center"/>
            <w:hideMark/>
          </w:tcPr>
          <w:p w14:paraId="366B53A4"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80.7</w:t>
            </w:r>
          </w:p>
        </w:tc>
        <w:tc>
          <w:tcPr>
            <w:tcW w:w="1587" w:type="dxa"/>
            <w:noWrap/>
            <w:vAlign w:val="center"/>
            <w:hideMark/>
          </w:tcPr>
          <w:p w14:paraId="4E7483DC"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86.6</w:t>
            </w:r>
          </w:p>
        </w:tc>
        <w:tc>
          <w:tcPr>
            <w:tcW w:w="1587" w:type="dxa"/>
            <w:noWrap/>
            <w:vAlign w:val="center"/>
            <w:hideMark/>
          </w:tcPr>
          <w:p w14:paraId="66F35B1F"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78.2</w:t>
            </w:r>
          </w:p>
        </w:tc>
      </w:tr>
      <w:tr w:rsidR="004D7A82" w:rsidRPr="00E8656C" w14:paraId="09566B2F" w14:textId="77777777" w:rsidTr="00151785">
        <w:trPr>
          <w:trHeight w:val="288"/>
        </w:trPr>
        <w:tc>
          <w:tcPr>
            <w:tcW w:w="4706" w:type="dxa"/>
            <w:noWrap/>
            <w:hideMark/>
          </w:tcPr>
          <w:p w14:paraId="71B77CE0"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Communications</w:t>
            </w:r>
          </w:p>
        </w:tc>
        <w:tc>
          <w:tcPr>
            <w:tcW w:w="1587" w:type="dxa"/>
            <w:noWrap/>
            <w:vAlign w:val="center"/>
            <w:hideMark/>
          </w:tcPr>
          <w:p w14:paraId="273E9A82"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85.6</w:t>
            </w:r>
          </w:p>
        </w:tc>
        <w:tc>
          <w:tcPr>
            <w:tcW w:w="1587" w:type="dxa"/>
            <w:noWrap/>
            <w:vAlign w:val="center"/>
            <w:hideMark/>
          </w:tcPr>
          <w:p w14:paraId="27BA2DE4"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72.0</w:t>
            </w:r>
          </w:p>
        </w:tc>
        <w:tc>
          <w:tcPr>
            <w:tcW w:w="1587" w:type="dxa"/>
            <w:noWrap/>
            <w:vAlign w:val="center"/>
            <w:hideMark/>
          </w:tcPr>
          <w:p w14:paraId="2C7F544D"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87.4</w:t>
            </w:r>
          </w:p>
        </w:tc>
        <w:tc>
          <w:tcPr>
            <w:tcW w:w="1587" w:type="dxa"/>
            <w:noWrap/>
            <w:vAlign w:val="center"/>
            <w:hideMark/>
          </w:tcPr>
          <w:p w14:paraId="2BD1EAF6"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75.1</w:t>
            </w:r>
          </w:p>
        </w:tc>
        <w:tc>
          <w:tcPr>
            <w:tcW w:w="1587" w:type="dxa"/>
            <w:noWrap/>
            <w:vAlign w:val="center"/>
            <w:hideMark/>
          </w:tcPr>
          <w:p w14:paraId="2F2FA2CE"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90.5</w:t>
            </w:r>
          </w:p>
        </w:tc>
        <w:tc>
          <w:tcPr>
            <w:tcW w:w="1587" w:type="dxa"/>
            <w:noWrap/>
            <w:vAlign w:val="center"/>
            <w:hideMark/>
          </w:tcPr>
          <w:p w14:paraId="51857E98"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77.1</w:t>
            </w:r>
          </w:p>
        </w:tc>
      </w:tr>
      <w:tr w:rsidR="004D7A82" w:rsidRPr="00E8656C" w14:paraId="15829BBE" w14:textId="77777777" w:rsidTr="00151785">
        <w:trPr>
          <w:trHeight w:val="288"/>
        </w:trPr>
        <w:tc>
          <w:tcPr>
            <w:tcW w:w="4706" w:type="dxa"/>
            <w:noWrap/>
            <w:hideMark/>
          </w:tcPr>
          <w:p w14:paraId="535A9502"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Computing and information systems</w:t>
            </w:r>
          </w:p>
        </w:tc>
        <w:tc>
          <w:tcPr>
            <w:tcW w:w="1587" w:type="dxa"/>
            <w:noWrap/>
            <w:vAlign w:val="center"/>
            <w:hideMark/>
          </w:tcPr>
          <w:p w14:paraId="55134AA3"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80.5</w:t>
            </w:r>
          </w:p>
        </w:tc>
        <w:tc>
          <w:tcPr>
            <w:tcW w:w="1587" w:type="dxa"/>
            <w:noWrap/>
            <w:vAlign w:val="center"/>
            <w:hideMark/>
          </w:tcPr>
          <w:p w14:paraId="6023320B"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71.5</w:t>
            </w:r>
          </w:p>
        </w:tc>
        <w:tc>
          <w:tcPr>
            <w:tcW w:w="1587" w:type="dxa"/>
            <w:noWrap/>
            <w:vAlign w:val="center"/>
            <w:hideMark/>
          </w:tcPr>
          <w:p w14:paraId="4143C03D"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78.6</w:t>
            </w:r>
          </w:p>
        </w:tc>
        <w:tc>
          <w:tcPr>
            <w:tcW w:w="1587" w:type="dxa"/>
            <w:noWrap/>
            <w:vAlign w:val="center"/>
            <w:hideMark/>
          </w:tcPr>
          <w:p w14:paraId="5F32C1BE"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78.4</w:t>
            </w:r>
          </w:p>
        </w:tc>
        <w:tc>
          <w:tcPr>
            <w:tcW w:w="1587" w:type="dxa"/>
            <w:noWrap/>
            <w:vAlign w:val="center"/>
            <w:hideMark/>
          </w:tcPr>
          <w:p w14:paraId="393F9135"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84.8</w:t>
            </w:r>
          </w:p>
        </w:tc>
        <w:tc>
          <w:tcPr>
            <w:tcW w:w="1587" w:type="dxa"/>
            <w:noWrap/>
            <w:vAlign w:val="center"/>
            <w:hideMark/>
          </w:tcPr>
          <w:p w14:paraId="56B26968"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71.6</w:t>
            </w:r>
          </w:p>
        </w:tc>
      </w:tr>
      <w:tr w:rsidR="004D7A82" w:rsidRPr="00E8656C" w14:paraId="0E329576" w14:textId="77777777" w:rsidTr="00151785">
        <w:trPr>
          <w:trHeight w:val="288"/>
        </w:trPr>
        <w:tc>
          <w:tcPr>
            <w:tcW w:w="4706" w:type="dxa"/>
            <w:noWrap/>
            <w:hideMark/>
          </w:tcPr>
          <w:p w14:paraId="4E9D7D26"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Creative arts</w:t>
            </w:r>
          </w:p>
        </w:tc>
        <w:tc>
          <w:tcPr>
            <w:tcW w:w="1587" w:type="dxa"/>
            <w:noWrap/>
            <w:vAlign w:val="center"/>
            <w:hideMark/>
          </w:tcPr>
          <w:p w14:paraId="0AD6EC55"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84.3</w:t>
            </w:r>
          </w:p>
        </w:tc>
        <w:tc>
          <w:tcPr>
            <w:tcW w:w="1587" w:type="dxa"/>
            <w:noWrap/>
            <w:vAlign w:val="center"/>
            <w:hideMark/>
          </w:tcPr>
          <w:p w14:paraId="72351DF7"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72.7</w:t>
            </w:r>
          </w:p>
        </w:tc>
        <w:tc>
          <w:tcPr>
            <w:tcW w:w="1587" w:type="dxa"/>
            <w:noWrap/>
            <w:vAlign w:val="center"/>
            <w:hideMark/>
          </w:tcPr>
          <w:p w14:paraId="7ACB898F"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85.5</w:t>
            </w:r>
          </w:p>
        </w:tc>
        <w:tc>
          <w:tcPr>
            <w:tcW w:w="1587" w:type="dxa"/>
            <w:noWrap/>
            <w:vAlign w:val="center"/>
            <w:hideMark/>
          </w:tcPr>
          <w:p w14:paraId="6D692477"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67.2</w:t>
            </w:r>
          </w:p>
        </w:tc>
        <w:tc>
          <w:tcPr>
            <w:tcW w:w="1587" w:type="dxa"/>
            <w:noWrap/>
            <w:vAlign w:val="center"/>
            <w:hideMark/>
          </w:tcPr>
          <w:p w14:paraId="75A8CA42"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85.0</w:t>
            </w:r>
          </w:p>
        </w:tc>
        <w:tc>
          <w:tcPr>
            <w:tcW w:w="1587" w:type="dxa"/>
            <w:noWrap/>
            <w:vAlign w:val="center"/>
            <w:hideMark/>
          </w:tcPr>
          <w:p w14:paraId="67644EDE"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75.6</w:t>
            </w:r>
          </w:p>
        </w:tc>
      </w:tr>
      <w:tr w:rsidR="004D7A82" w:rsidRPr="00E8656C" w14:paraId="4CBC49DD" w14:textId="77777777" w:rsidTr="00151785">
        <w:trPr>
          <w:trHeight w:val="288"/>
        </w:trPr>
        <w:tc>
          <w:tcPr>
            <w:tcW w:w="4706" w:type="dxa"/>
            <w:noWrap/>
            <w:hideMark/>
          </w:tcPr>
          <w:p w14:paraId="459C782E"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Dentistry</w:t>
            </w:r>
          </w:p>
        </w:tc>
        <w:tc>
          <w:tcPr>
            <w:tcW w:w="1587" w:type="dxa"/>
            <w:noWrap/>
            <w:vAlign w:val="center"/>
            <w:hideMark/>
          </w:tcPr>
          <w:p w14:paraId="1EBB4BEA"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78.7</w:t>
            </w:r>
          </w:p>
        </w:tc>
        <w:tc>
          <w:tcPr>
            <w:tcW w:w="1587" w:type="dxa"/>
            <w:noWrap/>
            <w:vAlign w:val="center"/>
            <w:hideMark/>
          </w:tcPr>
          <w:p w14:paraId="125C0343"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69.2</w:t>
            </w:r>
          </w:p>
        </w:tc>
        <w:tc>
          <w:tcPr>
            <w:tcW w:w="1587" w:type="dxa"/>
            <w:noWrap/>
            <w:vAlign w:val="center"/>
            <w:hideMark/>
          </w:tcPr>
          <w:p w14:paraId="6EF5DE1B"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55.6</w:t>
            </w:r>
          </w:p>
        </w:tc>
        <w:tc>
          <w:tcPr>
            <w:tcW w:w="1587" w:type="dxa"/>
            <w:noWrap/>
            <w:vAlign w:val="center"/>
            <w:hideMark/>
          </w:tcPr>
          <w:p w14:paraId="6956978F"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33.9</w:t>
            </w:r>
          </w:p>
        </w:tc>
        <w:tc>
          <w:tcPr>
            <w:tcW w:w="1587" w:type="dxa"/>
            <w:noWrap/>
            <w:vAlign w:val="center"/>
            <w:hideMark/>
          </w:tcPr>
          <w:p w14:paraId="3A013C90"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51.3</w:t>
            </w:r>
          </w:p>
        </w:tc>
        <w:tc>
          <w:tcPr>
            <w:tcW w:w="1587" w:type="dxa"/>
            <w:noWrap/>
            <w:vAlign w:val="center"/>
            <w:hideMark/>
          </w:tcPr>
          <w:p w14:paraId="5C7D4491"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52.5</w:t>
            </w:r>
          </w:p>
        </w:tc>
      </w:tr>
      <w:tr w:rsidR="004D7A82" w:rsidRPr="00E8656C" w14:paraId="3E763918" w14:textId="77777777" w:rsidTr="00151785">
        <w:trPr>
          <w:trHeight w:val="288"/>
        </w:trPr>
        <w:tc>
          <w:tcPr>
            <w:tcW w:w="4706" w:type="dxa"/>
            <w:noWrap/>
            <w:hideMark/>
          </w:tcPr>
          <w:p w14:paraId="6E6A7F4B"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Engineering</w:t>
            </w:r>
          </w:p>
        </w:tc>
        <w:tc>
          <w:tcPr>
            <w:tcW w:w="1587" w:type="dxa"/>
            <w:noWrap/>
            <w:vAlign w:val="center"/>
            <w:hideMark/>
          </w:tcPr>
          <w:p w14:paraId="06A2628D"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84.3</w:t>
            </w:r>
          </w:p>
        </w:tc>
        <w:tc>
          <w:tcPr>
            <w:tcW w:w="1587" w:type="dxa"/>
            <w:noWrap/>
            <w:vAlign w:val="center"/>
            <w:hideMark/>
          </w:tcPr>
          <w:p w14:paraId="1EAB69E8"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72.8</w:t>
            </w:r>
          </w:p>
        </w:tc>
        <w:tc>
          <w:tcPr>
            <w:tcW w:w="1587" w:type="dxa"/>
            <w:noWrap/>
            <w:vAlign w:val="center"/>
            <w:hideMark/>
          </w:tcPr>
          <w:p w14:paraId="310AA2FA"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83.0</w:t>
            </w:r>
          </w:p>
        </w:tc>
        <w:tc>
          <w:tcPr>
            <w:tcW w:w="1587" w:type="dxa"/>
            <w:noWrap/>
            <w:vAlign w:val="center"/>
            <w:hideMark/>
          </w:tcPr>
          <w:p w14:paraId="001B256B"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79.3</w:t>
            </w:r>
          </w:p>
        </w:tc>
        <w:tc>
          <w:tcPr>
            <w:tcW w:w="1587" w:type="dxa"/>
            <w:noWrap/>
            <w:vAlign w:val="center"/>
            <w:hideMark/>
          </w:tcPr>
          <w:p w14:paraId="2C77301F"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89.9</w:t>
            </w:r>
          </w:p>
        </w:tc>
        <w:tc>
          <w:tcPr>
            <w:tcW w:w="1587" w:type="dxa"/>
            <w:noWrap/>
            <w:vAlign w:val="center"/>
            <w:hideMark/>
          </w:tcPr>
          <w:p w14:paraId="737DDC38"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74.7</w:t>
            </w:r>
          </w:p>
        </w:tc>
      </w:tr>
      <w:tr w:rsidR="004D7A82" w:rsidRPr="00E8656C" w14:paraId="4B9FEF99" w14:textId="77777777" w:rsidTr="00151785">
        <w:trPr>
          <w:trHeight w:val="288"/>
        </w:trPr>
        <w:tc>
          <w:tcPr>
            <w:tcW w:w="4706" w:type="dxa"/>
            <w:noWrap/>
            <w:hideMark/>
          </w:tcPr>
          <w:p w14:paraId="58792529"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Health services and support</w:t>
            </w:r>
          </w:p>
        </w:tc>
        <w:tc>
          <w:tcPr>
            <w:tcW w:w="1587" w:type="dxa"/>
            <w:noWrap/>
            <w:vAlign w:val="center"/>
            <w:hideMark/>
          </w:tcPr>
          <w:p w14:paraId="3A936EC3"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86.3</w:t>
            </w:r>
          </w:p>
        </w:tc>
        <w:tc>
          <w:tcPr>
            <w:tcW w:w="1587" w:type="dxa"/>
            <w:noWrap/>
            <w:vAlign w:val="center"/>
            <w:hideMark/>
          </w:tcPr>
          <w:p w14:paraId="450CF2A6"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51.1</w:t>
            </w:r>
          </w:p>
        </w:tc>
        <w:tc>
          <w:tcPr>
            <w:tcW w:w="1587" w:type="dxa"/>
            <w:noWrap/>
            <w:vAlign w:val="center"/>
            <w:hideMark/>
          </w:tcPr>
          <w:p w14:paraId="1CC5B2E8"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87.6</w:t>
            </w:r>
          </w:p>
        </w:tc>
        <w:tc>
          <w:tcPr>
            <w:tcW w:w="1587" w:type="dxa"/>
            <w:noWrap/>
            <w:vAlign w:val="center"/>
            <w:hideMark/>
          </w:tcPr>
          <w:p w14:paraId="676D37A2"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76.8</w:t>
            </w:r>
          </w:p>
        </w:tc>
        <w:tc>
          <w:tcPr>
            <w:tcW w:w="1587" w:type="dxa"/>
            <w:noWrap/>
            <w:vAlign w:val="center"/>
            <w:hideMark/>
          </w:tcPr>
          <w:p w14:paraId="63FC3B62"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85.7</w:t>
            </w:r>
          </w:p>
        </w:tc>
        <w:tc>
          <w:tcPr>
            <w:tcW w:w="1587" w:type="dxa"/>
            <w:noWrap/>
            <w:vAlign w:val="center"/>
            <w:hideMark/>
          </w:tcPr>
          <w:p w14:paraId="5E7F1044"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81.6</w:t>
            </w:r>
          </w:p>
        </w:tc>
      </w:tr>
      <w:tr w:rsidR="004D7A82" w:rsidRPr="00E8656C" w14:paraId="6B43BB08" w14:textId="77777777" w:rsidTr="00151785">
        <w:trPr>
          <w:trHeight w:val="288"/>
        </w:trPr>
        <w:tc>
          <w:tcPr>
            <w:tcW w:w="4706" w:type="dxa"/>
            <w:noWrap/>
            <w:hideMark/>
          </w:tcPr>
          <w:p w14:paraId="51B793D4"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Humanities, culture and social sciences</w:t>
            </w:r>
          </w:p>
        </w:tc>
        <w:tc>
          <w:tcPr>
            <w:tcW w:w="1587" w:type="dxa"/>
            <w:noWrap/>
            <w:vAlign w:val="center"/>
            <w:hideMark/>
          </w:tcPr>
          <w:p w14:paraId="0AAEFE4A"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86.3</w:t>
            </w:r>
          </w:p>
        </w:tc>
        <w:tc>
          <w:tcPr>
            <w:tcW w:w="1587" w:type="dxa"/>
            <w:noWrap/>
            <w:vAlign w:val="center"/>
            <w:hideMark/>
          </w:tcPr>
          <w:p w14:paraId="765E214A"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56.3</w:t>
            </w:r>
          </w:p>
        </w:tc>
        <w:tc>
          <w:tcPr>
            <w:tcW w:w="1587" w:type="dxa"/>
            <w:noWrap/>
            <w:vAlign w:val="center"/>
            <w:hideMark/>
          </w:tcPr>
          <w:p w14:paraId="14300DDE"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90.5</w:t>
            </w:r>
          </w:p>
        </w:tc>
        <w:tc>
          <w:tcPr>
            <w:tcW w:w="1587" w:type="dxa"/>
            <w:noWrap/>
            <w:vAlign w:val="center"/>
            <w:hideMark/>
          </w:tcPr>
          <w:p w14:paraId="1290CC67"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80.4</w:t>
            </w:r>
          </w:p>
        </w:tc>
        <w:tc>
          <w:tcPr>
            <w:tcW w:w="1587" w:type="dxa"/>
            <w:noWrap/>
            <w:vAlign w:val="center"/>
            <w:hideMark/>
          </w:tcPr>
          <w:p w14:paraId="57FE3B39"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91.9</w:t>
            </w:r>
          </w:p>
        </w:tc>
        <w:tc>
          <w:tcPr>
            <w:tcW w:w="1587" w:type="dxa"/>
            <w:noWrap/>
            <w:vAlign w:val="center"/>
            <w:hideMark/>
          </w:tcPr>
          <w:p w14:paraId="4F32CF33"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84.8</w:t>
            </w:r>
          </w:p>
        </w:tc>
      </w:tr>
      <w:tr w:rsidR="004D7A82" w:rsidRPr="00E8656C" w14:paraId="4ED72C9E" w14:textId="77777777" w:rsidTr="00151785">
        <w:trPr>
          <w:trHeight w:val="288"/>
        </w:trPr>
        <w:tc>
          <w:tcPr>
            <w:tcW w:w="4706" w:type="dxa"/>
            <w:noWrap/>
            <w:hideMark/>
          </w:tcPr>
          <w:p w14:paraId="206B0424"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Law and paralegal studies</w:t>
            </w:r>
          </w:p>
        </w:tc>
        <w:tc>
          <w:tcPr>
            <w:tcW w:w="1587" w:type="dxa"/>
            <w:noWrap/>
            <w:vAlign w:val="center"/>
            <w:hideMark/>
          </w:tcPr>
          <w:p w14:paraId="448A91A6"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80.7</w:t>
            </w:r>
          </w:p>
        </w:tc>
        <w:tc>
          <w:tcPr>
            <w:tcW w:w="1587" w:type="dxa"/>
            <w:noWrap/>
            <w:vAlign w:val="center"/>
            <w:hideMark/>
          </w:tcPr>
          <w:p w14:paraId="13026C77"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47.8</w:t>
            </w:r>
          </w:p>
        </w:tc>
        <w:tc>
          <w:tcPr>
            <w:tcW w:w="1587" w:type="dxa"/>
            <w:noWrap/>
            <w:vAlign w:val="center"/>
            <w:hideMark/>
          </w:tcPr>
          <w:p w14:paraId="5F07DEEE"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82.4</w:t>
            </w:r>
          </w:p>
        </w:tc>
        <w:tc>
          <w:tcPr>
            <w:tcW w:w="1587" w:type="dxa"/>
            <w:noWrap/>
            <w:vAlign w:val="center"/>
            <w:hideMark/>
          </w:tcPr>
          <w:p w14:paraId="4C003829"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68.5</w:t>
            </w:r>
          </w:p>
        </w:tc>
        <w:tc>
          <w:tcPr>
            <w:tcW w:w="1587" w:type="dxa"/>
            <w:noWrap/>
            <w:vAlign w:val="center"/>
            <w:hideMark/>
          </w:tcPr>
          <w:p w14:paraId="3F7765B8"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80.4</w:t>
            </w:r>
          </w:p>
        </w:tc>
        <w:tc>
          <w:tcPr>
            <w:tcW w:w="1587" w:type="dxa"/>
            <w:noWrap/>
            <w:vAlign w:val="center"/>
            <w:hideMark/>
          </w:tcPr>
          <w:p w14:paraId="6286221A"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74.4</w:t>
            </w:r>
          </w:p>
        </w:tc>
      </w:tr>
      <w:tr w:rsidR="004D7A82" w:rsidRPr="00E8656C" w14:paraId="7B5A91CE" w14:textId="77777777" w:rsidTr="00151785">
        <w:trPr>
          <w:trHeight w:val="288"/>
        </w:trPr>
        <w:tc>
          <w:tcPr>
            <w:tcW w:w="4706" w:type="dxa"/>
            <w:noWrap/>
            <w:hideMark/>
          </w:tcPr>
          <w:p w14:paraId="2FD775D4"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Medicine</w:t>
            </w:r>
          </w:p>
        </w:tc>
        <w:tc>
          <w:tcPr>
            <w:tcW w:w="1587" w:type="dxa"/>
            <w:noWrap/>
            <w:vAlign w:val="center"/>
            <w:hideMark/>
          </w:tcPr>
          <w:p w14:paraId="77D003FA"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81.4</w:t>
            </w:r>
          </w:p>
        </w:tc>
        <w:tc>
          <w:tcPr>
            <w:tcW w:w="1587" w:type="dxa"/>
            <w:noWrap/>
            <w:vAlign w:val="center"/>
            <w:hideMark/>
          </w:tcPr>
          <w:p w14:paraId="02359658"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65.1</w:t>
            </w:r>
          </w:p>
        </w:tc>
        <w:tc>
          <w:tcPr>
            <w:tcW w:w="1587" w:type="dxa"/>
            <w:noWrap/>
            <w:vAlign w:val="center"/>
            <w:hideMark/>
          </w:tcPr>
          <w:p w14:paraId="5CD55FA5"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72.1</w:t>
            </w:r>
          </w:p>
        </w:tc>
        <w:tc>
          <w:tcPr>
            <w:tcW w:w="1587" w:type="dxa"/>
            <w:noWrap/>
            <w:vAlign w:val="center"/>
            <w:hideMark/>
          </w:tcPr>
          <w:p w14:paraId="00C32732"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56.1</w:t>
            </w:r>
          </w:p>
        </w:tc>
        <w:tc>
          <w:tcPr>
            <w:tcW w:w="1587" w:type="dxa"/>
            <w:noWrap/>
            <w:vAlign w:val="center"/>
            <w:hideMark/>
          </w:tcPr>
          <w:p w14:paraId="59C36302"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65.8</w:t>
            </w:r>
          </w:p>
        </w:tc>
        <w:tc>
          <w:tcPr>
            <w:tcW w:w="1587" w:type="dxa"/>
            <w:noWrap/>
            <w:vAlign w:val="center"/>
            <w:hideMark/>
          </w:tcPr>
          <w:p w14:paraId="37BA2642"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69.7</w:t>
            </w:r>
          </w:p>
        </w:tc>
      </w:tr>
      <w:tr w:rsidR="004D7A82" w:rsidRPr="00E8656C" w14:paraId="65CF5B26" w14:textId="77777777" w:rsidTr="00151785">
        <w:trPr>
          <w:trHeight w:val="288"/>
        </w:trPr>
        <w:tc>
          <w:tcPr>
            <w:tcW w:w="4706" w:type="dxa"/>
            <w:noWrap/>
            <w:hideMark/>
          </w:tcPr>
          <w:p w14:paraId="5C989840"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Nursing</w:t>
            </w:r>
          </w:p>
        </w:tc>
        <w:tc>
          <w:tcPr>
            <w:tcW w:w="1587" w:type="dxa"/>
            <w:noWrap/>
            <w:vAlign w:val="center"/>
            <w:hideMark/>
          </w:tcPr>
          <w:p w14:paraId="6515B85F"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82.0</w:t>
            </w:r>
          </w:p>
        </w:tc>
        <w:tc>
          <w:tcPr>
            <w:tcW w:w="1587" w:type="dxa"/>
            <w:noWrap/>
            <w:vAlign w:val="center"/>
            <w:hideMark/>
          </w:tcPr>
          <w:p w14:paraId="0D4F0EA6"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36.4</w:t>
            </w:r>
          </w:p>
        </w:tc>
        <w:tc>
          <w:tcPr>
            <w:tcW w:w="1587" w:type="dxa"/>
            <w:noWrap/>
            <w:vAlign w:val="center"/>
            <w:hideMark/>
          </w:tcPr>
          <w:p w14:paraId="2CF1ACA1"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81.0</w:t>
            </w:r>
          </w:p>
        </w:tc>
        <w:tc>
          <w:tcPr>
            <w:tcW w:w="1587" w:type="dxa"/>
            <w:noWrap/>
            <w:vAlign w:val="center"/>
            <w:hideMark/>
          </w:tcPr>
          <w:p w14:paraId="4E786A6A"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76.7</w:t>
            </w:r>
          </w:p>
        </w:tc>
        <w:tc>
          <w:tcPr>
            <w:tcW w:w="1587" w:type="dxa"/>
            <w:noWrap/>
            <w:vAlign w:val="center"/>
            <w:hideMark/>
          </w:tcPr>
          <w:p w14:paraId="7C973ABF"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84.8</w:t>
            </w:r>
          </w:p>
        </w:tc>
        <w:tc>
          <w:tcPr>
            <w:tcW w:w="1587" w:type="dxa"/>
            <w:noWrap/>
            <w:vAlign w:val="center"/>
            <w:hideMark/>
          </w:tcPr>
          <w:p w14:paraId="50B5B436"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78.0</w:t>
            </w:r>
          </w:p>
        </w:tc>
      </w:tr>
      <w:tr w:rsidR="004D7A82" w:rsidRPr="00E8656C" w14:paraId="053DEBF1" w14:textId="77777777" w:rsidTr="00151785">
        <w:trPr>
          <w:trHeight w:val="288"/>
        </w:trPr>
        <w:tc>
          <w:tcPr>
            <w:tcW w:w="4706" w:type="dxa"/>
            <w:noWrap/>
            <w:hideMark/>
          </w:tcPr>
          <w:p w14:paraId="5EE8B158"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Pharmacy</w:t>
            </w:r>
          </w:p>
        </w:tc>
        <w:tc>
          <w:tcPr>
            <w:tcW w:w="1587" w:type="dxa"/>
            <w:noWrap/>
            <w:vAlign w:val="center"/>
            <w:hideMark/>
          </w:tcPr>
          <w:p w14:paraId="1FE8766E"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88.5</w:t>
            </w:r>
          </w:p>
        </w:tc>
        <w:tc>
          <w:tcPr>
            <w:tcW w:w="1587" w:type="dxa"/>
            <w:noWrap/>
            <w:vAlign w:val="center"/>
            <w:hideMark/>
          </w:tcPr>
          <w:p w14:paraId="34141E4C"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74.0</w:t>
            </w:r>
          </w:p>
        </w:tc>
        <w:tc>
          <w:tcPr>
            <w:tcW w:w="1587" w:type="dxa"/>
            <w:noWrap/>
            <w:vAlign w:val="center"/>
            <w:hideMark/>
          </w:tcPr>
          <w:p w14:paraId="02DB1644"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85.5</w:t>
            </w:r>
          </w:p>
        </w:tc>
        <w:tc>
          <w:tcPr>
            <w:tcW w:w="1587" w:type="dxa"/>
            <w:noWrap/>
            <w:vAlign w:val="center"/>
            <w:hideMark/>
          </w:tcPr>
          <w:p w14:paraId="29F1DB36"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84.1</w:t>
            </w:r>
          </w:p>
        </w:tc>
        <w:tc>
          <w:tcPr>
            <w:tcW w:w="1587" w:type="dxa"/>
            <w:noWrap/>
            <w:vAlign w:val="center"/>
            <w:hideMark/>
          </w:tcPr>
          <w:p w14:paraId="3E737C6A"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88.1</w:t>
            </w:r>
          </w:p>
        </w:tc>
        <w:tc>
          <w:tcPr>
            <w:tcW w:w="1587" w:type="dxa"/>
            <w:noWrap/>
            <w:vAlign w:val="center"/>
            <w:hideMark/>
          </w:tcPr>
          <w:p w14:paraId="6F78B829"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76.0</w:t>
            </w:r>
          </w:p>
        </w:tc>
      </w:tr>
      <w:tr w:rsidR="004D7A82" w:rsidRPr="00E8656C" w14:paraId="45913D55" w14:textId="77777777" w:rsidTr="00151785">
        <w:trPr>
          <w:trHeight w:val="288"/>
        </w:trPr>
        <w:tc>
          <w:tcPr>
            <w:tcW w:w="4706" w:type="dxa"/>
            <w:noWrap/>
            <w:hideMark/>
          </w:tcPr>
          <w:p w14:paraId="33913785"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Psychology</w:t>
            </w:r>
          </w:p>
        </w:tc>
        <w:tc>
          <w:tcPr>
            <w:tcW w:w="1587" w:type="dxa"/>
            <w:noWrap/>
            <w:vAlign w:val="center"/>
            <w:hideMark/>
          </w:tcPr>
          <w:p w14:paraId="650BC148"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82.0</w:t>
            </w:r>
          </w:p>
        </w:tc>
        <w:tc>
          <w:tcPr>
            <w:tcW w:w="1587" w:type="dxa"/>
            <w:noWrap/>
            <w:vAlign w:val="center"/>
            <w:hideMark/>
          </w:tcPr>
          <w:p w14:paraId="0F02CA71"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50.4</w:t>
            </w:r>
          </w:p>
        </w:tc>
        <w:tc>
          <w:tcPr>
            <w:tcW w:w="1587" w:type="dxa"/>
            <w:noWrap/>
            <w:vAlign w:val="center"/>
            <w:hideMark/>
          </w:tcPr>
          <w:p w14:paraId="791CF803"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82.0</w:t>
            </w:r>
          </w:p>
        </w:tc>
        <w:tc>
          <w:tcPr>
            <w:tcW w:w="1587" w:type="dxa"/>
            <w:noWrap/>
            <w:vAlign w:val="center"/>
            <w:hideMark/>
          </w:tcPr>
          <w:p w14:paraId="6763764F"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69.1</w:t>
            </w:r>
          </w:p>
        </w:tc>
        <w:tc>
          <w:tcPr>
            <w:tcW w:w="1587" w:type="dxa"/>
            <w:noWrap/>
            <w:vAlign w:val="center"/>
            <w:hideMark/>
          </w:tcPr>
          <w:p w14:paraId="6DBEB234"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77.0</w:t>
            </w:r>
          </w:p>
        </w:tc>
        <w:tc>
          <w:tcPr>
            <w:tcW w:w="1587" w:type="dxa"/>
            <w:noWrap/>
            <w:vAlign w:val="center"/>
            <w:hideMark/>
          </w:tcPr>
          <w:p w14:paraId="47C7583F"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77.0</w:t>
            </w:r>
          </w:p>
        </w:tc>
      </w:tr>
      <w:tr w:rsidR="004D7A82" w:rsidRPr="00E8656C" w14:paraId="65A24CDD" w14:textId="77777777" w:rsidTr="00151785">
        <w:trPr>
          <w:trHeight w:val="288"/>
        </w:trPr>
        <w:tc>
          <w:tcPr>
            <w:tcW w:w="4706" w:type="dxa"/>
            <w:noWrap/>
            <w:hideMark/>
          </w:tcPr>
          <w:p w14:paraId="6FEAB48D"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Rehabilitation</w:t>
            </w:r>
          </w:p>
        </w:tc>
        <w:tc>
          <w:tcPr>
            <w:tcW w:w="1587" w:type="dxa"/>
            <w:noWrap/>
            <w:vAlign w:val="center"/>
            <w:hideMark/>
          </w:tcPr>
          <w:p w14:paraId="1A1D7ACA"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84.8</w:t>
            </w:r>
          </w:p>
        </w:tc>
        <w:tc>
          <w:tcPr>
            <w:tcW w:w="1587" w:type="dxa"/>
            <w:noWrap/>
            <w:vAlign w:val="center"/>
            <w:hideMark/>
          </w:tcPr>
          <w:p w14:paraId="77FC4AB5"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75.8</w:t>
            </w:r>
          </w:p>
        </w:tc>
        <w:tc>
          <w:tcPr>
            <w:tcW w:w="1587" w:type="dxa"/>
            <w:noWrap/>
            <w:vAlign w:val="center"/>
            <w:hideMark/>
          </w:tcPr>
          <w:p w14:paraId="24CAEBDB"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77.8</w:t>
            </w:r>
          </w:p>
        </w:tc>
        <w:tc>
          <w:tcPr>
            <w:tcW w:w="1587" w:type="dxa"/>
            <w:noWrap/>
            <w:vAlign w:val="center"/>
            <w:hideMark/>
          </w:tcPr>
          <w:p w14:paraId="17C6EBD4"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61.6</w:t>
            </w:r>
          </w:p>
        </w:tc>
        <w:tc>
          <w:tcPr>
            <w:tcW w:w="1587" w:type="dxa"/>
            <w:noWrap/>
            <w:vAlign w:val="center"/>
            <w:hideMark/>
          </w:tcPr>
          <w:p w14:paraId="4551F17E"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80.6</w:t>
            </w:r>
          </w:p>
        </w:tc>
        <w:tc>
          <w:tcPr>
            <w:tcW w:w="1587" w:type="dxa"/>
            <w:noWrap/>
            <w:vAlign w:val="center"/>
            <w:hideMark/>
          </w:tcPr>
          <w:p w14:paraId="73AA4191"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70.8</w:t>
            </w:r>
          </w:p>
        </w:tc>
      </w:tr>
      <w:tr w:rsidR="004D7A82" w:rsidRPr="00E8656C" w14:paraId="2230AC64" w14:textId="77777777" w:rsidTr="00151785">
        <w:trPr>
          <w:trHeight w:val="288"/>
        </w:trPr>
        <w:tc>
          <w:tcPr>
            <w:tcW w:w="4706" w:type="dxa"/>
            <w:noWrap/>
            <w:hideMark/>
          </w:tcPr>
          <w:p w14:paraId="1E6B976C"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Science and mathematics</w:t>
            </w:r>
          </w:p>
        </w:tc>
        <w:tc>
          <w:tcPr>
            <w:tcW w:w="1587" w:type="dxa"/>
            <w:noWrap/>
            <w:vAlign w:val="center"/>
            <w:hideMark/>
          </w:tcPr>
          <w:p w14:paraId="209CDB9C"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83.5</w:t>
            </w:r>
          </w:p>
        </w:tc>
        <w:tc>
          <w:tcPr>
            <w:tcW w:w="1587" w:type="dxa"/>
            <w:noWrap/>
            <w:vAlign w:val="center"/>
            <w:hideMark/>
          </w:tcPr>
          <w:p w14:paraId="3CA1AD30"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62.5</w:t>
            </w:r>
          </w:p>
        </w:tc>
        <w:tc>
          <w:tcPr>
            <w:tcW w:w="1587" w:type="dxa"/>
            <w:noWrap/>
            <w:vAlign w:val="center"/>
            <w:hideMark/>
          </w:tcPr>
          <w:p w14:paraId="217DE926"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84.3</w:t>
            </w:r>
          </w:p>
        </w:tc>
        <w:tc>
          <w:tcPr>
            <w:tcW w:w="1587" w:type="dxa"/>
            <w:noWrap/>
            <w:vAlign w:val="center"/>
            <w:hideMark/>
          </w:tcPr>
          <w:p w14:paraId="7666210E"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77.3</w:t>
            </w:r>
          </w:p>
        </w:tc>
        <w:tc>
          <w:tcPr>
            <w:tcW w:w="1587" w:type="dxa"/>
            <w:noWrap/>
            <w:vAlign w:val="center"/>
            <w:hideMark/>
          </w:tcPr>
          <w:p w14:paraId="470F1683"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88.7</w:t>
            </w:r>
          </w:p>
        </w:tc>
        <w:tc>
          <w:tcPr>
            <w:tcW w:w="1587" w:type="dxa"/>
            <w:noWrap/>
            <w:vAlign w:val="center"/>
            <w:hideMark/>
          </w:tcPr>
          <w:p w14:paraId="28DF8651"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77.6</w:t>
            </w:r>
          </w:p>
        </w:tc>
      </w:tr>
      <w:tr w:rsidR="004D7A82" w:rsidRPr="00E8656C" w14:paraId="2183BB0D" w14:textId="77777777" w:rsidTr="00151785">
        <w:trPr>
          <w:trHeight w:val="288"/>
        </w:trPr>
        <w:tc>
          <w:tcPr>
            <w:tcW w:w="4706" w:type="dxa"/>
            <w:noWrap/>
            <w:hideMark/>
          </w:tcPr>
          <w:p w14:paraId="40523F6F"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Social work</w:t>
            </w:r>
          </w:p>
        </w:tc>
        <w:tc>
          <w:tcPr>
            <w:tcW w:w="1587" w:type="dxa"/>
            <w:noWrap/>
            <w:vAlign w:val="center"/>
            <w:hideMark/>
          </w:tcPr>
          <w:p w14:paraId="2E586DA0"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84.5</w:t>
            </w:r>
          </w:p>
        </w:tc>
        <w:tc>
          <w:tcPr>
            <w:tcW w:w="1587" w:type="dxa"/>
            <w:noWrap/>
            <w:vAlign w:val="center"/>
            <w:hideMark/>
          </w:tcPr>
          <w:p w14:paraId="117266F9"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62.8</w:t>
            </w:r>
          </w:p>
        </w:tc>
        <w:tc>
          <w:tcPr>
            <w:tcW w:w="1587" w:type="dxa"/>
            <w:noWrap/>
            <w:vAlign w:val="center"/>
            <w:hideMark/>
          </w:tcPr>
          <w:p w14:paraId="6CE51BBF"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82.2</w:t>
            </w:r>
          </w:p>
        </w:tc>
        <w:tc>
          <w:tcPr>
            <w:tcW w:w="1587" w:type="dxa"/>
            <w:noWrap/>
            <w:vAlign w:val="center"/>
            <w:hideMark/>
          </w:tcPr>
          <w:p w14:paraId="2C665E8E"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73.0</w:t>
            </w:r>
          </w:p>
        </w:tc>
        <w:tc>
          <w:tcPr>
            <w:tcW w:w="1587" w:type="dxa"/>
            <w:noWrap/>
            <w:vAlign w:val="center"/>
            <w:hideMark/>
          </w:tcPr>
          <w:p w14:paraId="6E464447"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81.8</w:t>
            </w:r>
          </w:p>
        </w:tc>
        <w:tc>
          <w:tcPr>
            <w:tcW w:w="1587" w:type="dxa"/>
            <w:noWrap/>
            <w:vAlign w:val="center"/>
            <w:hideMark/>
          </w:tcPr>
          <w:p w14:paraId="18B637B4"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76.8</w:t>
            </w:r>
          </w:p>
        </w:tc>
      </w:tr>
      <w:tr w:rsidR="004D7A82" w:rsidRPr="00E8656C" w14:paraId="32915328" w14:textId="77777777" w:rsidTr="00151785">
        <w:trPr>
          <w:trHeight w:val="288"/>
        </w:trPr>
        <w:tc>
          <w:tcPr>
            <w:tcW w:w="4706" w:type="dxa"/>
            <w:noWrap/>
            <w:hideMark/>
          </w:tcPr>
          <w:p w14:paraId="55ABA036"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Teacher education</w:t>
            </w:r>
          </w:p>
        </w:tc>
        <w:tc>
          <w:tcPr>
            <w:tcW w:w="1587" w:type="dxa"/>
            <w:noWrap/>
            <w:vAlign w:val="center"/>
            <w:hideMark/>
          </w:tcPr>
          <w:p w14:paraId="342E2430"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78.7</w:t>
            </w:r>
          </w:p>
        </w:tc>
        <w:tc>
          <w:tcPr>
            <w:tcW w:w="1587" w:type="dxa"/>
            <w:noWrap/>
            <w:vAlign w:val="center"/>
            <w:hideMark/>
          </w:tcPr>
          <w:p w14:paraId="692F26D8"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48.0</w:t>
            </w:r>
          </w:p>
        </w:tc>
        <w:tc>
          <w:tcPr>
            <w:tcW w:w="1587" w:type="dxa"/>
            <w:noWrap/>
            <w:vAlign w:val="center"/>
            <w:hideMark/>
          </w:tcPr>
          <w:p w14:paraId="50F20B67"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81.2</w:t>
            </w:r>
          </w:p>
        </w:tc>
        <w:tc>
          <w:tcPr>
            <w:tcW w:w="1587" w:type="dxa"/>
            <w:noWrap/>
            <w:vAlign w:val="center"/>
            <w:hideMark/>
          </w:tcPr>
          <w:p w14:paraId="70AC4D93"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72.0</w:t>
            </w:r>
          </w:p>
        </w:tc>
        <w:tc>
          <w:tcPr>
            <w:tcW w:w="1587" w:type="dxa"/>
            <w:noWrap/>
            <w:vAlign w:val="center"/>
            <w:hideMark/>
          </w:tcPr>
          <w:p w14:paraId="1D28F478"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82.7</w:t>
            </w:r>
          </w:p>
        </w:tc>
        <w:tc>
          <w:tcPr>
            <w:tcW w:w="1587" w:type="dxa"/>
            <w:noWrap/>
            <w:vAlign w:val="center"/>
            <w:hideMark/>
          </w:tcPr>
          <w:p w14:paraId="47376102"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76.1</w:t>
            </w:r>
          </w:p>
        </w:tc>
      </w:tr>
      <w:tr w:rsidR="004D7A82" w:rsidRPr="00E8656C" w14:paraId="3C6D305B" w14:textId="77777777" w:rsidTr="00151785">
        <w:trPr>
          <w:trHeight w:val="288"/>
        </w:trPr>
        <w:tc>
          <w:tcPr>
            <w:tcW w:w="4706" w:type="dxa"/>
            <w:noWrap/>
            <w:hideMark/>
          </w:tcPr>
          <w:p w14:paraId="0C2FFFAC"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Tourism, hospitality, personal services, sport and recreation</w:t>
            </w:r>
          </w:p>
        </w:tc>
        <w:tc>
          <w:tcPr>
            <w:tcW w:w="1587" w:type="dxa"/>
            <w:noWrap/>
            <w:vAlign w:val="center"/>
            <w:hideMark/>
          </w:tcPr>
          <w:p w14:paraId="287030AB"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85.1</w:t>
            </w:r>
          </w:p>
        </w:tc>
        <w:tc>
          <w:tcPr>
            <w:tcW w:w="1587" w:type="dxa"/>
            <w:noWrap/>
            <w:vAlign w:val="center"/>
            <w:hideMark/>
          </w:tcPr>
          <w:p w14:paraId="7307D906"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77.1</w:t>
            </w:r>
          </w:p>
        </w:tc>
        <w:tc>
          <w:tcPr>
            <w:tcW w:w="1587" w:type="dxa"/>
            <w:noWrap/>
            <w:vAlign w:val="center"/>
            <w:hideMark/>
          </w:tcPr>
          <w:p w14:paraId="0F1DB145"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87.5</w:t>
            </w:r>
          </w:p>
        </w:tc>
        <w:tc>
          <w:tcPr>
            <w:tcW w:w="1587" w:type="dxa"/>
            <w:noWrap/>
            <w:vAlign w:val="center"/>
            <w:hideMark/>
          </w:tcPr>
          <w:p w14:paraId="012661BD"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84.4</w:t>
            </w:r>
          </w:p>
        </w:tc>
        <w:tc>
          <w:tcPr>
            <w:tcW w:w="1587" w:type="dxa"/>
            <w:noWrap/>
            <w:vAlign w:val="center"/>
            <w:hideMark/>
          </w:tcPr>
          <w:p w14:paraId="38802F95"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95.3</w:t>
            </w:r>
          </w:p>
        </w:tc>
        <w:tc>
          <w:tcPr>
            <w:tcW w:w="1587" w:type="dxa"/>
            <w:noWrap/>
            <w:vAlign w:val="center"/>
            <w:hideMark/>
          </w:tcPr>
          <w:p w14:paraId="28AE2925"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76.0</w:t>
            </w:r>
          </w:p>
        </w:tc>
      </w:tr>
      <w:tr w:rsidR="004D7A82" w:rsidRPr="00E8656C" w14:paraId="42EF859A" w14:textId="77777777" w:rsidTr="00151785">
        <w:trPr>
          <w:trHeight w:val="288"/>
        </w:trPr>
        <w:tc>
          <w:tcPr>
            <w:tcW w:w="4706" w:type="dxa"/>
            <w:noWrap/>
            <w:hideMark/>
          </w:tcPr>
          <w:p w14:paraId="43E4EA93" w14:textId="77777777" w:rsidR="00986467" w:rsidRPr="00E8656C" w:rsidRDefault="00986467" w:rsidP="0066499D">
            <w:pPr>
              <w:spacing w:before="60" w:after="60"/>
              <w:rPr>
                <w:rFonts w:eastAsia="Times New Roman" w:cs="Arial"/>
                <w:sz w:val="18"/>
                <w:lang w:eastAsia="en-AU"/>
              </w:rPr>
            </w:pPr>
            <w:r w:rsidRPr="00E8656C">
              <w:rPr>
                <w:rFonts w:eastAsia="Times New Roman" w:cs="Arial"/>
                <w:sz w:val="18"/>
                <w:lang w:eastAsia="en-AU"/>
              </w:rPr>
              <w:t>Veterinary science</w:t>
            </w:r>
          </w:p>
        </w:tc>
        <w:tc>
          <w:tcPr>
            <w:tcW w:w="1587" w:type="dxa"/>
            <w:noWrap/>
            <w:vAlign w:val="center"/>
            <w:hideMark/>
          </w:tcPr>
          <w:p w14:paraId="4007E93C"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85.9</w:t>
            </w:r>
          </w:p>
        </w:tc>
        <w:tc>
          <w:tcPr>
            <w:tcW w:w="1587" w:type="dxa"/>
            <w:noWrap/>
            <w:vAlign w:val="center"/>
            <w:hideMark/>
          </w:tcPr>
          <w:p w14:paraId="0A8B88DA"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76.5</w:t>
            </w:r>
          </w:p>
        </w:tc>
        <w:tc>
          <w:tcPr>
            <w:tcW w:w="1587" w:type="dxa"/>
            <w:noWrap/>
            <w:vAlign w:val="center"/>
            <w:hideMark/>
          </w:tcPr>
          <w:p w14:paraId="260DD5CF"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79.0</w:t>
            </w:r>
          </w:p>
        </w:tc>
        <w:tc>
          <w:tcPr>
            <w:tcW w:w="1587" w:type="dxa"/>
            <w:noWrap/>
            <w:vAlign w:val="center"/>
            <w:hideMark/>
          </w:tcPr>
          <w:p w14:paraId="7BD02C07"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47.8</w:t>
            </w:r>
          </w:p>
        </w:tc>
        <w:tc>
          <w:tcPr>
            <w:tcW w:w="1587" w:type="dxa"/>
            <w:noWrap/>
            <w:vAlign w:val="center"/>
            <w:hideMark/>
          </w:tcPr>
          <w:p w14:paraId="7C3613D5"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78.0</w:t>
            </w:r>
          </w:p>
        </w:tc>
        <w:tc>
          <w:tcPr>
            <w:tcW w:w="1587" w:type="dxa"/>
            <w:noWrap/>
            <w:vAlign w:val="center"/>
            <w:hideMark/>
          </w:tcPr>
          <w:p w14:paraId="41A3C5FE" w14:textId="77777777" w:rsidR="00986467" w:rsidRPr="00E8656C" w:rsidRDefault="00986467" w:rsidP="0066499D">
            <w:pPr>
              <w:spacing w:before="60" w:after="60"/>
              <w:jc w:val="center"/>
              <w:rPr>
                <w:rFonts w:eastAsia="Times New Roman" w:cs="Arial"/>
                <w:sz w:val="18"/>
                <w:lang w:eastAsia="en-AU"/>
              </w:rPr>
            </w:pPr>
            <w:r w:rsidRPr="00E8656C">
              <w:rPr>
                <w:rFonts w:eastAsia="Times New Roman" w:cs="Arial"/>
                <w:sz w:val="18"/>
                <w:lang w:eastAsia="en-AU"/>
              </w:rPr>
              <w:t>71.0</w:t>
            </w:r>
          </w:p>
        </w:tc>
      </w:tr>
      <w:tr w:rsidR="004D7A82" w:rsidRPr="00E8656C" w14:paraId="08716FA3" w14:textId="77777777" w:rsidTr="00151785">
        <w:trPr>
          <w:trHeight w:val="288"/>
        </w:trPr>
        <w:tc>
          <w:tcPr>
            <w:tcW w:w="4706" w:type="dxa"/>
            <w:noWrap/>
            <w:hideMark/>
          </w:tcPr>
          <w:p w14:paraId="79E54719" w14:textId="77777777" w:rsidR="00986467" w:rsidRPr="00E8656C" w:rsidRDefault="00986467" w:rsidP="0066499D">
            <w:pPr>
              <w:spacing w:before="60" w:after="60"/>
              <w:rPr>
                <w:rFonts w:eastAsia="Times New Roman" w:cs="Arial"/>
                <w:b/>
                <w:sz w:val="18"/>
                <w:lang w:eastAsia="en-AU"/>
              </w:rPr>
            </w:pPr>
            <w:r w:rsidRPr="00E8656C">
              <w:rPr>
                <w:rFonts w:eastAsia="Times New Roman" w:cs="Arial"/>
                <w:b/>
                <w:sz w:val="18"/>
                <w:lang w:eastAsia="en-AU"/>
              </w:rPr>
              <w:t>Total</w:t>
            </w:r>
          </w:p>
        </w:tc>
        <w:tc>
          <w:tcPr>
            <w:tcW w:w="1587" w:type="dxa"/>
            <w:noWrap/>
            <w:vAlign w:val="center"/>
            <w:hideMark/>
          </w:tcPr>
          <w:p w14:paraId="6BE58855" w14:textId="77777777" w:rsidR="00986467" w:rsidRPr="00E8656C" w:rsidRDefault="00986467" w:rsidP="0066499D">
            <w:pPr>
              <w:spacing w:before="60" w:after="60"/>
              <w:jc w:val="center"/>
              <w:rPr>
                <w:rFonts w:eastAsia="Times New Roman" w:cs="Arial"/>
                <w:b/>
                <w:sz w:val="18"/>
                <w:lang w:eastAsia="en-AU"/>
              </w:rPr>
            </w:pPr>
            <w:r w:rsidRPr="00E8656C">
              <w:rPr>
                <w:rFonts w:eastAsia="Times New Roman" w:cs="Arial"/>
                <w:b/>
                <w:sz w:val="18"/>
                <w:lang w:eastAsia="en-AU"/>
              </w:rPr>
              <w:t>83.1</w:t>
            </w:r>
          </w:p>
        </w:tc>
        <w:tc>
          <w:tcPr>
            <w:tcW w:w="1587" w:type="dxa"/>
            <w:noWrap/>
            <w:vAlign w:val="center"/>
            <w:hideMark/>
          </w:tcPr>
          <w:p w14:paraId="5FAC27A1" w14:textId="77777777" w:rsidR="00986467" w:rsidRPr="00E8656C" w:rsidRDefault="00986467" w:rsidP="0066499D">
            <w:pPr>
              <w:spacing w:before="60" w:after="60"/>
              <w:jc w:val="center"/>
              <w:rPr>
                <w:rFonts w:eastAsia="Times New Roman" w:cs="Arial"/>
                <w:b/>
                <w:sz w:val="18"/>
                <w:lang w:eastAsia="en-AU"/>
              </w:rPr>
            </w:pPr>
            <w:r w:rsidRPr="00E8656C">
              <w:rPr>
                <w:rFonts w:eastAsia="Times New Roman" w:cs="Arial"/>
                <w:b/>
                <w:sz w:val="18"/>
                <w:lang w:eastAsia="en-AU"/>
              </w:rPr>
              <w:t>62.1</w:t>
            </w:r>
          </w:p>
        </w:tc>
        <w:tc>
          <w:tcPr>
            <w:tcW w:w="1587" w:type="dxa"/>
            <w:noWrap/>
            <w:vAlign w:val="center"/>
            <w:hideMark/>
          </w:tcPr>
          <w:p w14:paraId="6A7923FA" w14:textId="77777777" w:rsidR="00986467" w:rsidRPr="00E8656C" w:rsidRDefault="00986467" w:rsidP="0066499D">
            <w:pPr>
              <w:spacing w:before="60" w:after="60"/>
              <w:jc w:val="center"/>
              <w:rPr>
                <w:rFonts w:eastAsia="Times New Roman" w:cs="Arial"/>
                <w:b/>
                <w:sz w:val="18"/>
                <w:lang w:eastAsia="en-AU"/>
              </w:rPr>
            </w:pPr>
            <w:r w:rsidRPr="00E8656C">
              <w:rPr>
                <w:rFonts w:eastAsia="Times New Roman" w:cs="Arial"/>
                <w:b/>
                <w:sz w:val="18"/>
                <w:lang w:eastAsia="en-AU"/>
              </w:rPr>
              <w:t>82.8</w:t>
            </w:r>
          </w:p>
        </w:tc>
        <w:tc>
          <w:tcPr>
            <w:tcW w:w="1587" w:type="dxa"/>
            <w:noWrap/>
            <w:vAlign w:val="center"/>
            <w:hideMark/>
          </w:tcPr>
          <w:p w14:paraId="44661B84" w14:textId="77777777" w:rsidR="00986467" w:rsidRPr="00E8656C" w:rsidRDefault="00986467" w:rsidP="0066499D">
            <w:pPr>
              <w:spacing w:before="60" w:after="60"/>
              <w:jc w:val="center"/>
              <w:rPr>
                <w:rFonts w:eastAsia="Times New Roman" w:cs="Arial"/>
                <w:b/>
                <w:sz w:val="18"/>
                <w:lang w:eastAsia="en-AU"/>
              </w:rPr>
            </w:pPr>
            <w:r w:rsidRPr="00E8656C">
              <w:rPr>
                <w:rFonts w:eastAsia="Times New Roman" w:cs="Arial"/>
                <w:b/>
                <w:sz w:val="18"/>
                <w:lang w:eastAsia="en-AU"/>
              </w:rPr>
              <w:t>76.6</w:t>
            </w:r>
          </w:p>
        </w:tc>
        <w:tc>
          <w:tcPr>
            <w:tcW w:w="1587" w:type="dxa"/>
            <w:noWrap/>
            <w:vAlign w:val="center"/>
            <w:hideMark/>
          </w:tcPr>
          <w:p w14:paraId="1C3A6DCC" w14:textId="77777777" w:rsidR="00986467" w:rsidRPr="00E8656C" w:rsidRDefault="00986467" w:rsidP="0066499D">
            <w:pPr>
              <w:spacing w:before="60" w:after="60"/>
              <w:jc w:val="center"/>
              <w:rPr>
                <w:rFonts w:eastAsia="Times New Roman" w:cs="Arial"/>
                <w:b/>
                <w:sz w:val="18"/>
                <w:lang w:eastAsia="en-AU"/>
              </w:rPr>
            </w:pPr>
            <w:r w:rsidRPr="00E8656C">
              <w:rPr>
                <w:rFonts w:eastAsia="Times New Roman" w:cs="Arial"/>
                <w:b/>
                <w:sz w:val="18"/>
                <w:lang w:eastAsia="en-AU"/>
              </w:rPr>
              <w:t>85.0</w:t>
            </w:r>
          </w:p>
        </w:tc>
        <w:tc>
          <w:tcPr>
            <w:tcW w:w="1587" w:type="dxa"/>
            <w:noWrap/>
            <w:vAlign w:val="center"/>
            <w:hideMark/>
          </w:tcPr>
          <w:p w14:paraId="0892F298" w14:textId="77777777" w:rsidR="00986467" w:rsidRPr="00E8656C" w:rsidRDefault="00986467" w:rsidP="0066499D">
            <w:pPr>
              <w:spacing w:before="60" w:after="60"/>
              <w:jc w:val="center"/>
              <w:rPr>
                <w:rFonts w:eastAsia="Times New Roman" w:cs="Arial"/>
                <w:b/>
                <w:sz w:val="18"/>
                <w:lang w:eastAsia="en-AU"/>
              </w:rPr>
            </w:pPr>
            <w:r w:rsidRPr="00E8656C">
              <w:rPr>
                <w:rFonts w:eastAsia="Times New Roman" w:cs="Arial"/>
                <w:b/>
                <w:sz w:val="18"/>
                <w:lang w:eastAsia="en-AU"/>
              </w:rPr>
              <w:t>76.7</w:t>
            </w:r>
          </w:p>
        </w:tc>
      </w:tr>
    </w:tbl>
    <w:p w14:paraId="47CAA266" w14:textId="77777777" w:rsidR="00A567BB" w:rsidRPr="00E8656C" w:rsidRDefault="00A567BB" w:rsidP="00EA5AA7">
      <w:pPr>
        <w:pStyle w:val="Body"/>
        <w:rPr>
          <w:rFonts w:cs="Arial"/>
          <w:lang w:val="en-GB"/>
        </w:rPr>
        <w:sectPr w:rsidR="00A567BB" w:rsidRPr="00E8656C" w:rsidSect="007511B5">
          <w:headerReference w:type="default" r:id="rId56"/>
          <w:footerReference w:type="default" r:id="rId57"/>
          <w:pgSz w:w="16840" w:h="11900" w:orient="landscape"/>
          <w:pgMar w:top="720" w:right="720" w:bottom="720" w:left="720" w:header="397" w:footer="170" w:gutter="0"/>
          <w:cols w:space="708"/>
          <w:docGrid w:linePitch="360"/>
        </w:sectPr>
      </w:pPr>
    </w:p>
    <w:p w14:paraId="315D2804" w14:textId="77777777" w:rsidR="005A5905" w:rsidRPr="00E8656C" w:rsidRDefault="005A5905" w:rsidP="00AA7E2D">
      <w:pPr>
        <w:pStyle w:val="Heading2"/>
        <w:rPr>
          <w:color w:val="auto"/>
        </w:rPr>
      </w:pPr>
      <w:bookmarkStart w:id="74" w:name="_Toc207802602"/>
      <w:r w:rsidRPr="00E8656C">
        <w:rPr>
          <w:color w:val="auto"/>
        </w:rPr>
        <w:lastRenderedPageBreak/>
        <w:t>Institution</w:t>
      </w:r>
      <w:bookmarkEnd w:id="74"/>
    </w:p>
    <w:p w14:paraId="3FED25D8" w14:textId="0FC9E544" w:rsidR="003928CD" w:rsidRPr="00E8656C" w:rsidRDefault="007672B4" w:rsidP="007672B4">
      <w:pPr>
        <w:pStyle w:val="Body"/>
        <w:rPr>
          <w:rFonts w:cs="Arial"/>
        </w:rPr>
      </w:pPr>
      <w:r w:rsidRPr="00E8656C">
        <w:rPr>
          <w:rFonts w:cs="Arial"/>
        </w:rPr>
        <w:t xml:space="preserve">The results presented in this section are at the whole of institution level which may hide differences between institutions in particular </w:t>
      </w:r>
      <w:r w:rsidR="003928CD" w:rsidRPr="00E8656C">
        <w:rPr>
          <w:rFonts w:cs="Arial"/>
        </w:rPr>
        <w:t xml:space="preserve">demographic and equity groups, </w:t>
      </w:r>
      <w:r w:rsidRPr="00E8656C">
        <w:rPr>
          <w:rFonts w:cs="Arial"/>
        </w:rPr>
        <w:t xml:space="preserve">study areas, study modes and </w:t>
      </w:r>
      <w:r w:rsidR="003928CD" w:rsidRPr="00E8656C">
        <w:rPr>
          <w:rFonts w:cs="Arial"/>
        </w:rPr>
        <w:t>locations</w:t>
      </w:r>
      <w:r w:rsidRPr="00E8656C">
        <w:rPr>
          <w:rFonts w:cs="Arial"/>
        </w:rPr>
        <w:t xml:space="preserve">. </w:t>
      </w:r>
    </w:p>
    <w:p w14:paraId="5734E3F2" w14:textId="1C2EC933" w:rsidR="007672B4" w:rsidRPr="00E8656C" w:rsidRDefault="007672B4" w:rsidP="007672B4">
      <w:pPr>
        <w:pStyle w:val="Body"/>
        <w:rPr>
          <w:rFonts w:cs="Arial"/>
        </w:rPr>
      </w:pPr>
      <w:r w:rsidRPr="00E8656C">
        <w:rPr>
          <w:rFonts w:cs="Arial"/>
        </w:rPr>
        <w:t xml:space="preserve">Further detail is available on the </w:t>
      </w:r>
      <w:proofErr w:type="spellStart"/>
      <w:r w:rsidRPr="00E8656C">
        <w:rPr>
          <w:rFonts w:cs="Arial"/>
        </w:rPr>
        <w:t>ComparED</w:t>
      </w:r>
      <w:proofErr w:type="spellEnd"/>
      <w:r w:rsidRPr="00E8656C">
        <w:rPr>
          <w:rFonts w:cs="Arial"/>
        </w:rPr>
        <w:t xml:space="preserve"> website where comparisons of the </w:t>
      </w:r>
      <w:proofErr w:type="gramStart"/>
      <w:r w:rsidRPr="00E8656C">
        <w:rPr>
          <w:rFonts w:cs="Arial"/>
        </w:rPr>
        <w:t>main focus</w:t>
      </w:r>
      <w:proofErr w:type="gramEnd"/>
      <w:r w:rsidRPr="00E8656C">
        <w:rPr>
          <w:rFonts w:cs="Arial"/>
        </w:rPr>
        <w:t xml:space="preserve"> area indicators can </w:t>
      </w:r>
      <w:r w:rsidR="003928CD" w:rsidRPr="00E8656C">
        <w:rPr>
          <w:rFonts w:cs="Arial"/>
        </w:rPr>
        <w:t>b</w:t>
      </w:r>
      <w:r w:rsidRPr="00E8656C">
        <w:rPr>
          <w:rFonts w:cs="Arial"/>
        </w:rPr>
        <w:t xml:space="preserve">e compared by institution and study area. Additional comparisons of </w:t>
      </w:r>
      <w:r w:rsidR="00C0057D" w:rsidRPr="00E8656C">
        <w:rPr>
          <w:rFonts w:cs="Arial"/>
        </w:rPr>
        <w:t xml:space="preserve">annual </w:t>
      </w:r>
      <w:r w:rsidRPr="00E8656C">
        <w:rPr>
          <w:rFonts w:cs="Arial"/>
        </w:rPr>
        <w:t>institutional results</w:t>
      </w:r>
      <w:r w:rsidR="003928CD" w:rsidRPr="00E8656C">
        <w:rPr>
          <w:rFonts w:cs="Arial"/>
        </w:rPr>
        <w:t xml:space="preserve"> with breakdowns of citizenship status, study modes and course levels are available from the </w:t>
      </w:r>
      <w:r w:rsidR="00C0057D" w:rsidRPr="00E8656C">
        <w:rPr>
          <w:rFonts w:cs="Arial"/>
        </w:rPr>
        <w:t xml:space="preserve">SES page on the </w:t>
      </w:r>
      <w:r w:rsidR="003928CD" w:rsidRPr="00E8656C">
        <w:rPr>
          <w:rFonts w:cs="Arial"/>
        </w:rPr>
        <w:t>QILT website.</w:t>
      </w:r>
    </w:p>
    <w:p w14:paraId="3F6C872C" w14:textId="46B814C2" w:rsidR="003928CD" w:rsidRPr="00E8656C" w:rsidRDefault="003928CD" w:rsidP="00F661DF">
      <w:pPr>
        <w:pStyle w:val="Body"/>
        <w:rPr>
          <w:rFonts w:cs="Arial"/>
        </w:rPr>
      </w:pPr>
      <w:r w:rsidRPr="00E8656C">
        <w:rPr>
          <w:rFonts w:cs="Arial"/>
        </w:rPr>
        <w:t>It is strongly recommended that institutions engage with their individual QILT results and benchmarks to identify areas for improvement and monitor the efficacy of strategies undertaken to address identified issues.</w:t>
      </w:r>
    </w:p>
    <w:p w14:paraId="5DD4E14A" w14:textId="67663610" w:rsidR="005A5905" w:rsidRPr="00E8656C" w:rsidRDefault="005A5905" w:rsidP="00EE68B9">
      <w:pPr>
        <w:pStyle w:val="Heading3"/>
        <w:ind w:left="993"/>
        <w:rPr>
          <w:color w:val="auto"/>
        </w:rPr>
      </w:pPr>
      <w:bookmarkStart w:id="75" w:name="_Toc207802603"/>
      <w:r w:rsidRPr="00E8656C">
        <w:rPr>
          <w:color w:val="auto"/>
        </w:rPr>
        <w:t>Higher education provider type</w:t>
      </w:r>
      <w:bookmarkEnd w:id="75"/>
    </w:p>
    <w:p w14:paraId="6D410296" w14:textId="77777777" w:rsidR="00A571ED" w:rsidRPr="00E8656C" w:rsidRDefault="00E969D2" w:rsidP="00C970DA">
      <w:pPr>
        <w:pStyle w:val="Body"/>
        <w:rPr>
          <w:rFonts w:cs="Arial"/>
        </w:rPr>
      </w:pPr>
      <w:r w:rsidRPr="00E8656C">
        <w:rPr>
          <w:rFonts w:cs="Arial"/>
        </w:rPr>
        <w:t>Student ratings at NUHEIs are generally higher than at universities for both undergraduate and postgraduate coursework students, except for Learning Resources, which are consistently rated lower.</w:t>
      </w:r>
    </w:p>
    <w:p w14:paraId="02366D8A" w14:textId="6B990EE4" w:rsidR="00A56D28" w:rsidRPr="00E8656C" w:rsidRDefault="00052918" w:rsidP="00A56D28">
      <w:pPr>
        <w:pStyle w:val="Heading4"/>
        <w:rPr>
          <w:rFonts w:cs="Arial"/>
          <w:color w:val="auto"/>
        </w:rPr>
      </w:pPr>
      <w:r w:rsidRPr="00E8656C">
        <w:rPr>
          <w:rFonts w:cs="Arial"/>
          <w:color w:val="auto"/>
        </w:rPr>
        <w:t>U</w:t>
      </w:r>
      <w:r w:rsidR="00A56D28" w:rsidRPr="00E8656C">
        <w:rPr>
          <w:rFonts w:cs="Arial"/>
          <w:color w:val="auto"/>
        </w:rPr>
        <w:t>ndergraduate results</w:t>
      </w:r>
      <w:r w:rsidRPr="00E8656C">
        <w:rPr>
          <w:rFonts w:cs="Arial"/>
          <w:color w:val="auto"/>
        </w:rPr>
        <w:t xml:space="preserve"> by </w:t>
      </w:r>
      <w:r w:rsidR="000B0F3E" w:rsidRPr="00E8656C">
        <w:rPr>
          <w:rFonts w:cs="Arial"/>
          <w:color w:val="auto"/>
        </w:rPr>
        <w:t>institution type</w:t>
      </w:r>
    </w:p>
    <w:p w14:paraId="1D4E28B1" w14:textId="46FA51DB" w:rsidR="00CE3B34" w:rsidRPr="00E8656C" w:rsidRDefault="00CE3B34" w:rsidP="00CE3B34">
      <w:pPr>
        <w:pStyle w:val="Body"/>
        <w:rPr>
          <w:rFonts w:cs="Arial"/>
        </w:rPr>
      </w:pPr>
      <w:r w:rsidRPr="00E8656C">
        <w:rPr>
          <w:rFonts w:cs="Arial"/>
        </w:rPr>
        <w:t>The largest gap in undergraduate student ratings between NUHEIs and universities was in Peer Engagement, with NUHEI ratings being 11.8 percentage points higher</w:t>
      </w:r>
      <w:r w:rsidR="00B222D2" w:rsidRPr="00E8656C">
        <w:rPr>
          <w:rFonts w:cs="Arial"/>
        </w:rPr>
        <w:t xml:space="preserve"> (</w:t>
      </w:r>
      <w:r w:rsidR="00B222D2" w:rsidRPr="00E8656C">
        <w:rPr>
          <w:rFonts w:cs="Arial"/>
          <w:b/>
          <w:bCs/>
        </w:rPr>
        <w:fldChar w:fldCharType="begin"/>
      </w:r>
      <w:r w:rsidR="00B222D2" w:rsidRPr="00E8656C">
        <w:rPr>
          <w:rFonts w:cs="Arial"/>
          <w:b/>
          <w:bCs/>
        </w:rPr>
        <w:instrText xml:space="preserve"> REF _Ref167717184 \h  \* MERGEFORMAT </w:instrText>
      </w:r>
      <w:r w:rsidR="00B222D2" w:rsidRPr="00E8656C">
        <w:rPr>
          <w:rFonts w:cs="Arial"/>
          <w:b/>
          <w:bCs/>
        </w:rPr>
      </w:r>
      <w:r w:rsidR="00B222D2" w:rsidRPr="00E8656C">
        <w:rPr>
          <w:rFonts w:cs="Arial"/>
          <w:b/>
          <w:bCs/>
        </w:rPr>
        <w:fldChar w:fldCharType="separate"/>
      </w:r>
      <w:r w:rsidR="00AD12D7" w:rsidRPr="00E8656C">
        <w:rPr>
          <w:rFonts w:cs="Arial"/>
          <w:b/>
          <w:bCs/>
        </w:rPr>
        <w:t xml:space="preserve">Figure </w:t>
      </w:r>
      <w:r w:rsidR="00D0552F" w:rsidRPr="00E8656C">
        <w:rPr>
          <w:rFonts w:cs="Arial"/>
          <w:b/>
          <w:bCs/>
          <w:noProof/>
        </w:rPr>
        <w:t>17</w:t>
      </w:r>
      <w:r w:rsidR="00B222D2" w:rsidRPr="00E8656C">
        <w:rPr>
          <w:rFonts w:cs="Arial"/>
          <w:b/>
          <w:bCs/>
        </w:rPr>
        <w:fldChar w:fldCharType="end"/>
      </w:r>
      <w:r w:rsidR="00B222D2" w:rsidRPr="00E8656C">
        <w:rPr>
          <w:rFonts w:cs="Arial"/>
        </w:rPr>
        <w:t>)</w:t>
      </w:r>
      <w:r w:rsidRPr="00E8656C">
        <w:rPr>
          <w:rFonts w:cs="Arial"/>
        </w:rPr>
        <w:t xml:space="preserve">. Student Support and Services </w:t>
      </w:r>
      <w:r w:rsidR="00D85069" w:rsidRPr="00E8656C">
        <w:rPr>
          <w:rFonts w:cs="Arial"/>
        </w:rPr>
        <w:t>wa</w:t>
      </w:r>
      <w:r w:rsidRPr="00E8656C">
        <w:rPr>
          <w:rFonts w:cs="Arial"/>
        </w:rPr>
        <w:t>s rated higher at NUHEIs by 6.4 percentage points.</w:t>
      </w:r>
    </w:p>
    <w:p w14:paraId="1AEC2CB2" w14:textId="4DBA4070" w:rsidR="0005757F" w:rsidRPr="00E8656C" w:rsidRDefault="00B134B4" w:rsidP="00FA2AF9">
      <w:pPr>
        <w:pStyle w:val="Body"/>
        <w:rPr>
          <w:rFonts w:cs="Arial"/>
        </w:rPr>
      </w:pPr>
      <w:r w:rsidRPr="00E8656C">
        <w:rPr>
          <w:rFonts w:cs="Arial"/>
        </w:rPr>
        <w:t xml:space="preserve">NUHEI </w:t>
      </w:r>
      <w:r w:rsidR="00E879E5" w:rsidRPr="00E8656C">
        <w:rPr>
          <w:rFonts w:cs="Arial"/>
        </w:rPr>
        <w:t xml:space="preserve">undergraduate students </w:t>
      </w:r>
      <w:r w:rsidRPr="00E8656C">
        <w:rPr>
          <w:rFonts w:cs="Arial"/>
        </w:rPr>
        <w:t xml:space="preserve">rated Skills Development, Teaching Quality and Engagement and Overall Educational Experience higher than university students, with </w:t>
      </w:r>
      <w:r w:rsidR="00252EC8" w:rsidRPr="00E8656C">
        <w:rPr>
          <w:rFonts w:cs="Arial"/>
        </w:rPr>
        <w:t xml:space="preserve">smaller </w:t>
      </w:r>
      <w:r w:rsidRPr="00E8656C">
        <w:rPr>
          <w:rFonts w:cs="Arial"/>
        </w:rPr>
        <w:t>differences ranging from 1</w:t>
      </w:r>
      <w:r w:rsidR="00CE6527" w:rsidRPr="00E8656C">
        <w:rPr>
          <w:rFonts w:cs="Arial"/>
        </w:rPr>
        <w:t>.2</w:t>
      </w:r>
      <w:r w:rsidRPr="00E8656C">
        <w:rPr>
          <w:rFonts w:cs="Arial"/>
        </w:rPr>
        <w:t xml:space="preserve"> to </w:t>
      </w:r>
      <w:r w:rsidR="00817C70" w:rsidRPr="00E8656C">
        <w:rPr>
          <w:rFonts w:cs="Arial"/>
        </w:rPr>
        <w:t>3.8</w:t>
      </w:r>
      <w:r w:rsidRPr="00E8656C">
        <w:rPr>
          <w:rFonts w:cs="Arial"/>
        </w:rPr>
        <w:t xml:space="preserve"> percentage points.</w:t>
      </w:r>
      <w:r w:rsidR="009B224D" w:rsidRPr="00E8656C">
        <w:rPr>
          <w:rFonts w:cs="Arial"/>
        </w:rPr>
        <w:t xml:space="preserve"> </w:t>
      </w:r>
    </w:p>
    <w:p w14:paraId="7A582E19" w14:textId="3C264337" w:rsidR="00D25F55" w:rsidRPr="00E8656C" w:rsidRDefault="003831BD" w:rsidP="00FA2AF9">
      <w:pPr>
        <w:pStyle w:val="Body"/>
        <w:rPr>
          <w:rFonts w:cs="Arial"/>
        </w:rPr>
      </w:pPr>
      <w:r w:rsidRPr="00E8656C">
        <w:rPr>
          <w:rFonts w:cs="Arial"/>
        </w:rPr>
        <w:t xml:space="preserve">In contrast, </w:t>
      </w:r>
      <w:r w:rsidR="000A433F" w:rsidRPr="00E8656C">
        <w:rPr>
          <w:rFonts w:cs="Arial"/>
        </w:rPr>
        <w:t xml:space="preserve">undergraduate </w:t>
      </w:r>
      <w:r w:rsidR="009B224D" w:rsidRPr="00E8656C">
        <w:rPr>
          <w:rFonts w:cs="Arial"/>
        </w:rPr>
        <w:t>university students rated Learning Resources higher than NUHEI students by 6.9 percentage points.</w:t>
      </w:r>
    </w:p>
    <w:p w14:paraId="22ED79D6" w14:textId="77777777" w:rsidR="00D25F55" w:rsidRPr="00E8656C" w:rsidRDefault="00D25F55">
      <w:pPr>
        <w:spacing w:after="160" w:line="259" w:lineRule="auto"/>
        <w:rPr>
          <w:rFonts w:eastAsia="Times New Roman" w:cs="Arial"/>
          <w:szCs w:val="20"/>
        </w:rPr>
      </w:pPr>
      <w:r w:rsidRPr="00E8656C">
        <w:rPr>
          <w:rFonts w:cs="Arial"/>
        </w:rPr>
        <w:br w:type="page"/>
      </w:r>
    </w:p>
    <w:p w14:paraId="3A17B1B3" w14:textId="6337686D" w:rsidR="005A5905" w:rsidRPr="00E8656C" w:rsidRDefault="005A5905" w:rsidP="00695177">
      <w:pPr>
        <w:pStyle w:val="Caption"/>
      </w:pPr>
      <w:bookmarkStart w:id="76" w:name="_Ref167717184"/>
      <w:bookmarkStart w:id="77" w:name="_Toc201065567"/>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17</w:t>
      </w:r>
      <w:r w:rsidR="00EA0581" w:rsidRPr="00E8656C">
        <w:rPr>
          <w:noProof/>
        </w:rPr>
        <w:fldChar w:fldCharType="end"/>
      </w:r>
      <w:bookmarkEnd w:id="76"/>
      <w:r w:rsidR="0066499D" w:rsidRPr="00E8656C">
        <w:tab/>
      </w:r>
      <w:r w:rsidRPr="00E8656C">
        <w:t xml:space="preserve">Undergraduate </w:t>
      </w:r>
      <w:r w:rsidR="003C4E9B" w:rsidRPr="00E8656C">
        <w:t>student</w:t>
      </w:r>
      <w:r w:rsidRPr="00E8656C">
        <w:t xml:space="preserve"> experience by institution type, 201</w:t>
      </w:r>
      <w:r w:rsidR="003C4E9B" w:rsidRPr="00E8656C">
        <w:t>9</w:t>
      </w:r>
      <w:r w:rsidR="0059773B" w:rsidRPr="00E8656C">
        <w:t>–</w:t>
      </w:r>
      <w:r w:rsidR="00293CD6" w:rsidRPr="00E8656C">
        <w:t>24</w:t>
      </w:r>
      <w:r w:rsidRPr="00E8656C">
        <w:t xml:space="preserve"> (% positive rating)</w:t>
      </w:r>
      <w:bookmarkEnd w:id="77"/>
    </w:p>
    <w:p w14:paraId="0C4CAF04" w14:textId="37A9BF25" w:rsidR="00FB0C8F" w:rsidRPr="00E8656C" w:rsidRDefault="00FB0C8F" w:rsidP="00841C94">
      <w:pPr>
        <w:pStyle w:val="Body"/>
        <w:rPr>
          <w:rFonts w:cs="Arial"/>
          <w:sz w:val="18"/>
          <w:szCs w:val="18"/>
        </w:rPr>
      </w:pPr>
      <w:r w:rsidRPr="00E8656C">
        <w:rPr>
          <w:rFonts w:cs="Arial"/>
          <w:sz w:val="18"/>
          <w:szCs w:val="18"/>
          <w:lang w:eastAsia="en-AU"/>
        </w:rPr>
        <w:t>(Source: FOCUS_UG_ALL_17-YY_HEPTYPE)</w:t>
      </w:r>
    </w:p>
    <w:p w14:paraId="0B47CD59" w14:textId="30B39DEC" w:rsidR="007B532B" w:rsidRPr="00E8656C" w:rsidRDefault="004F012C" w:rsidP="007B532B">
      <w:pPr>
        <w:pStyle w:val="Body"/>
        <w:rPr>
          <w:rFonts w:cs="Arial"/>
        </w:rPr>
      </w:pPr>
      <w:r w:rsidRPr="00E8656C">
        <w:rPr>
          <w:rFonts w:cs="Arial"/>
          <w:noProof/>
        </w:rPr>
        <w:drawing>
          <wp:inline distT="0" distB="0" distL="0" distR="0" wp14:anchorId="75BE267F" wp14:editId="36532CE5">
            <wp:extent cx="2027583" cy="194294"/>
            <wp:effectExtent l="0" t="0" r="0" b="0"/>
            <wp:docPr id="10" name="Picture 9">
              <a:extLst xmlns:a="http://schemas.openxmlformats.org/drawingml/2006/main">
                <a:ext uri="{FF2B5EF4-FFF2-40B4-BE49-F238E27FC236}">
                  <a16:creationId xmlns:a16="http://schemas.microsoft.com/office/drawing/2014/main" id="{4882B9BF-87C6-2A49-383D-614FB69B0B74}"/>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4882B9BF-87C6-2A49-383D-614FB69B0B74}"/>
                        </a:ext>
                        <a:ext uri="{C183D7F6-B498-43B3-948B-1728B52AA6E4}">
                          <adec:decorative xmlns:adec="http://schemas.microsoft.com/office/drawing/2017/decorative" val="1"/>
                        </a:ext>
                      </a:extLst>
                    </pic:cNvPr>
                    <pic:cNvPicPr>
                      <a:picLocks noChangeAspect="1"/>
                    </pic:cNvPicPr>
                  </pic:nvPicPr>
                  <pic:blipFill rotWithShape="1">
                    <a:blip r:embed="rId58"/>
                    <a:srcRect t="9374" b="18756"/>
                    <a:stretch/>
                  </pic:blipFill>
                  <pic:spPr>
                    <a:xfrm>
                      <a:off x="0" y="0"/>
                      <a:ext cx="2068266" cy="198192"/>
                    </a:xfrm>
                    <a:prstGeom prst="rect">
                      <a:avLst/>
                    </a:prstGeom>
                  </pic:spPr>
                </pic:pic>
              </a:graphicData>
            </a:graphic>
          </wp:inline>
        </w:drawing>
      </w:r>
    </w:p>
    <w:p w14:paraId="74B7B75F" w14:textId="1677C615" w:rsidR="008B3E68" w:rsidRPr="00E8656C" w:rsidRDefault="007E7808" w:rsidP="007B532B">
      <w:pPr>
        <w:pStyle w:val="Body"/>
        <w:rPr>
          <w:rFonts w:cs="Arial"/>
        </w:rPr>
      </w:pPr>
      <w:r w:rsidRPr="00E8656C">
        <w:rPr>
          <w:rFonts w:cs="Arial"/>
          <w:noProof/>
        </w:rPr>
        <w:drawing>
          <wp:inline distT="0" distB="0" distL="0" distR="0" wp14:anchorId="0BF6DE30" wp14:editId="0FBFE457">
            <wp:extent cx="3240000" cy="1692000"/>
            <wp:effectExtent l="0" t="0" r="0" b="3810"/>
            <wp:docPr id="2007235942" name="Chart 1">
              <a:extLst xmlns:a="http://schemas.openxmlformats.org/drawingml/2006/main">
                <a:ext uri="{FF2B5EF4-FFF2-40B4-BE49-F238E27FC236}">
                  <a16:creationId xmlns:a16="http://schemas.microsoft.com/office/drawing/2014/main" id="{5B04C820-C885-CB01-5D70-C4DCFD65D33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Pr="00E8656C">
        <w:rPr>
          <w:rFonts w:cs="Arial"/>
          <w:noProof/>
        </w:rPr>
        <w:drawing>
          <wp:inline distT="0" distB="0" distL="0" distR="0" wp14:anchorId="2C723666" wp14:editId="4FA79008">
            <wp:extent cx="3240000" cy="1692000"/>
            <wp:effectExtent l="0" t="0" r="0" b="3810"/>
            <wp:docPr id="165044379" name="Chart 2">
              <a:extLst xmlns:a="http://schemas.openxmlformats.org/drawingml/2006/main">
                <a:ext uri="{FF2B5EF4-FFF2-40B4-BE49-F238E27FC236}">
                  <a16:creationId xmlns:a16="http://schemas.microsoft.com/office/drawing/2014/main" id="{00C5CDC6-2725-4723-81C8-C9484E73FCE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Pr="00E8656C">
        <w:rPr>
          <w:rFonts w:cs="Arial"/>
          <w:noProof/>
        </w:rPr>
        <w:drawing>
          <wp:inline distT="0" distB="0" distL="0" distR="0" wp14:anchorId="214BD665" wp14:editId="6A4D661C">
            <wp:extent cx="3240000" cy="1692000"/>
            <wp:effectExtent l="0" t="0" r="0" b="3810"/>
            <wp:docPr id="850731295" name="Chart 3">
              <a:extLst xmlns:a="http://schemas.openxmlformats.org/drawingml/2006/main">
                <a:ext uri="{FF2B5EF4-FFF2-40B4-BE49-F238E27FC236}">
                  <a16:creationId xmlns:a16="http://schemas.microsoft.com/office/drawing/2014/main" id="{0103B798-BA62-4FB3-BFD6-F9E00DA6677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Pr="00E8656C">
        <w:rPr>
          <w:rFonts w:cs="Arial"/>
          <w:noProof/>
        </w:rPr>
        <w:drawing>
          <wp:inline distT="0" distB="0" distL="0" distR="0" wp14:anchorId="62B09974" wp14:editId="2FEE162C">
            <wp:extent cx="3240000" cy="1692000"/>
            <wp:effectExtent l="0" t="0" r="0" b="3810"/>
            <wp:docPr id="1813875606" name="Chart 4">
              <a:extLst xmlns:a="http://schemas.openxmlformats.org/drawingml/2006/main">
                <a:ext uri="{FF2B5EF4-FFF2-40B4-BE49-F238E27FC236}">
                  <a16:creationId xmlns:a16="http://schemas.microsoft.com/office/drawing/2014/main" id="{694F1975-841C-427B-AD99-3C5129A42C5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E8656C">
        <w:rPr>
          <w:rFonts w:cs="Arial"/>
          <w:noProof/>
        </w:rPr>
        <w:drawing>
          <wp:inline distT="0" distB="0" distL="0" distR="0" wp14:anchorId="79671E01" wp14:editId="25B708C2">
            <wp:extent cx="3240000" cy="1692000"/>
            <wp:effectExtent l="0" t="0" r="0" b="3810"/>
            <wp:docPr id="457719230" name="Chart 5">
              <a:extLst xmlns:a="http://schemas.openxmlformats.org/drawingml/2006/main">
                <a:ext uri="{FF2B5EF4-FFF2-40B4-BE49-F238E27FC236}">
                  <a16:creationId xmlns:a16="http://schemas.microsoft.com/office/drawing/2014/main" id="{61F0E1E7-9244-47E7-89EB-C2DA513D0B49}"/>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Pr="00E8656C">
        <w:rPr>
          <w:rFonts w:cs="Arial"/>
          <w:noProof/>
        </w:rPr>
        <w:drawing>
          <wp:inline distT="0" distB="0" distL="0" distR="0" wp14:anchorId="35F4FC15" wp14:editId="5BD56CAD">
            <wp:extent cx="3240000" cy="1692000"/>
            <wp:effectExtent l="0" t="0" r="0" b="3810"/>
            <wp:docPr id="162558142" name="Chart 6">
              <a:extLst xmlns:a="http://schemas.openxmlformats.org/drawingml/2006/main">
                <a:ext uri="{FF2B5EF4-FFF2-40B4-BE49-F238E27FC236}">
                  <a16:creationId xmlns:a16="http://schemas.microsoft.com/office/drawing/2014/main" id="{9426B9AA-C8AB-47A5-B999-38660DD0374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0DC6754" w14:textId="2B95A4C6" w:rsidR="005A5905" w:rsidRPr="00E8656C" w:rsidRDefault="00E974AC" w:rsidP="005B0799">
      <w:pPr>
        <w:pStyle w:val="FigureNote"/>
        <w:rPr>
          <w:rFonts w:cs="Arial"/>
          <w:sz w:val="18"/>
          <w:szCs w:val="24"/>
        </w:rPr>
      </w:pPr>
      <w:r w:rsidRPr="00E8656C">
        <w:rPr>
          <w:rFonts w:cs="Arial"/>
          <w:sz w:val="18"/>
          <w:szCs w:val="24"/>
        </w:rPr>
        <w:t xml:space="preserve">Note that the dotted lines between 2022 and 2023 indicate the change in underlying items of the Peer Engagement and Student Support and Services focus areas. </w:t>
      </w:r>
      <w:r w:rsidRPr="00E8656C">
        <w:rPr>
          <w:rStyle w:val="ui-provider"/>
          <w:rFonts w:cs="Arial"/>
          <w:sz w:val="18"/>
          <w:szCs w:val="24"/>
        </w:rPr>
        <w:t>When comparing year-on-year changes, it is recommended that modifications to underlying questionnaire items be taken into consideration when interpreting results.</w:t>
      </w:r>
      <w:r w:rsidRPr="00E8656C">
        <w:rPr>
          <w:rFonts w:cs="Arial"/>
          <w:sz w:val="18"/>
          <w:szCs w:val="24"/>
        </w:rPr>
        <w:t xml:space="preserve"> For more information about these changes, refer to</w:t>
      </w:r>
      <w:r w:rsidR="0005015D" w:rsidRPr="00E8656C">
        <w:rPr>
          <w:rFonts w:cs="Arial"/>
          <w:sz w:val="18"/>
          <w:szCs w:val="24"/>
        </w:rPr>
        <w:t xml:space="preserve"> </w:t>
      </w:r>
      <w:r w:rsidR="005B0799" w:rsidRPr="00E8656C">
        <w:rPr>
          <w:rFonts w:cs="Arial"/>
          <w:sz w:val="18"/>
          <w:szCs w:val="24"/>
        </w:rPr>
        <w:t>the</w:t>
      </w:r>
      <w:r w:rsidR="0005015D" w:rsidRPr="00E8656C">
        <w:rPr>
          <w:rFonts w:cs="Arial"/>
          <w:sz w:val="18"/>
          <w:szCs w:val="24"/>
        </w:rPr>
        <w:t xml:space="preserve"> 202</w:t>
      </w:r>
      <w:r w:rsidR="007B0DE3" w:rsidRPr="00E8656C">
        <w:rPr>
          <w:rFonts w:cs="Arial"/>
          <w:sz w:val="18"/>
          <w:szCs w:val="24"/>
        </w:rPr>
        <w:t>3</w:t>
      </w:r>
      <w:r w:rsidR="0005015D" w:rsidRPr="00E8656C">
        <w:rPr>
          <w:rFonts w:cs="Arial"/>
          <w:sz w:val="18"/>
          <w:szCs w:val="24"/>
        </w:rPr>
        <w:t xml:space="preserve"> </w:t>
      </w:r>
      <w:r w:rsidR="005B0799" w:rsidRPr="00E8656C">
        <w:rPr>
          <w:rFonts w:cs="Arial"/>
          <w:sz w:val="18"/>
          <w:szCs w:val="24"/>
        </w:rPr>
        <w:t xml:space="preserve">SES </w:t>
      </w:r>
      <w:r w:rsidR="0005015D" w:rsidRPr="00E8656C">
        <w:rPr>
          <w:rFonts w:cs="Arial"/>
          <w:sz w:val="18"/>
          <w:szCs w:val="24"/>
        </w:rPr>
        <w:t>National Report</w:t>
      </w:r>
      <w:r w:rsidR="005B0799" w:rsidRPr="00E8656C">
        <w:rPr>
          <w:rFonts w:cs="Arial"/>
          <w:sz w:val="18"/>
          <w:szCs w:val="24"/>
        </w:rPr>
        <w:t>.</w:t>
      </w:r>
    </w:p>
    <w:p w14:paraId="7F30A8D5" w14:textId="69DD2E12" w:rsidR="00D0552F" w:rsidRPr="00E8656C" w:rsidRDefault="00D0552F" w:rsidP="00695177">
      <w:pPr>
        <w:pStyle w:val="Caption"/>
        <w:rPr>
          <w:lang w:val="en-GB"/>
        </w:rPr>
      </w:pPr>
      <w:bookmarkStart w:id="78" w:name="_Ref167867597"/>
      <w:bookmarkStart w:id="79" w:name="_Ref193728629"/>
      <w:r w:rsidRPr="00E8656C">
        <w:rPr>
          <w:lang w:val="en-GB"/>
        </w:rPr>
        <w:t>Postgraduate coursework results by institution type</w:t>
      </w:r>
    </w:p>
    <w:p w14:paraId="08C9F53C" w14:textId="4BA2280F" w:rsidR="00D0552F" w:rsidRPr="00E8656C" w:rsidRDefault="00D0552F" w:rsidP="00D0552F">
      <w:pPr>
        <w:pStyle w:val="Body"/>
        <w:rPr>
          <w:rFonts w:cs="Arial"/>
        </w:rPr>
      </w:pPr>
      <w:r w:rsidRPr="00E8656C">
        <w:rPr>
          <w:rFonts w:cs="Arial"/>
        </w:rPr>
        <w:t>Similar to results for undergraduates, NUHEI postgraduate coursework students rated Skills Development, Peer Engagement, Student Support and Services, Teaching Quality and Engagement, and Overall Educational Experience higher than their counterparts at universities (</w:t>
      </w:r>
      <w:r w:rsidR="00E81E5F" w:rsidRPr="00E8656C">
        <w:rPr>
          <w:rFonts w:cs="Arial"/>
          <w:b/>
          <w:bCs/>
        </w:rPr>
        <w:fldChar w:fldCharType="begin"/>
      </w:r>
      <w:r w:rsidR="00E81E5F" w:rsidRPr="00E8656C">
        <w:rPr>
          <w:rFonts w:cs="Arial"/>
          <w:b/>
          <w:bCs/>
        </w:rPr>
        <w:instrText xml:space="preserve"> REF _Ref197338074 \h </w:instrText>
      </w:r>
      <w:r w:rsidR="0066499D" w:rsidRPr="00E8656C">
        <w:rPr>
          <w:rFonts w:cs="Arial"/>
          <w:b/>
          <w:bCs/>
        </w:rPr>
        <w:instrText xml:space="preserve"> \* MERGEFORMAT </w:instrText>
      </w:r>
      <w:r w:rsidR="00E81E5F" w:rsidRPr="00E8656C">
        <w:rPr>
          <w:rFonts w:cs="Arial"/>
          <w:b/>
          <w:bCs/>
        </w:rPr>
      </w:r>
      <w:r w:rsidR="00E81E5F" w:rsidRPr="00E8656C">
        <w:rPr>
          <w:rFonts w:cs="Arial"/>
          <w:b/>
          <w:bCs/>
        </w:rPr>
        <w:fldChar w:fldCharType="separate"/>
      </w:r>
      <w:r w:rsidR="00E81E5F" w:rsidRPr="00E8656C">
        <w:rPr>
          <w:rFonts w:cs="Arial"/>
        </w:rPr>
        <w:t xml:space="preserve">Figure </w:t>
      </w:r>
      <w:r w:rsidR="00E81E5F" w:rsidRPr="00E8656C">
        <w:rPr>
          <w:rFonts w:cs="Arial"/>
          <w:noProof/>
        </w:rPr>
        <w:t>18</w:t>
      </w:r>
      <w:r w:rsidR="00E81E5F" w:rsidRPr="00E8656C">
        <w:rPr>
          <w:rFonts w:cs="Arial"/>
          <w:b/>
          <w:bCs/>
        </w:rPr>
        <w:fldChar w:fldCharType="end"/>
      </w:r>
      <w:r w:rsidRPr="00E8656C">
        <w:rPr>
          <w:rFonts w:cs="Arial"/>
        </w:rPr>
        <w:t xml:space="preserve">) with differences ranging from 2.4 to 6.3 percentage points. </w:t>
      </w:r>
    </w:p>
    <w:p w14:paraId="46D1AA08" w14:textId="77777777" w:rsidR="00D0552F" w:rsidRPr="00E8656C" w:rsidRDefault="00D0552F" w:rsidP="00D0552F">
      <w:pPr>
        <w:pStyle w:val="Body"/>
        <w:rPr>
          <w:rFonts w:cs="Arial"/>
        </w:rPr>
      </w:pPr>
      <w:r w:rsidRPr="00E8656C">
        <w:rPr>
          <w:rFonts w:cs="Arial"/>
        </w:rPr>
        <w:t>University students have consistently rated Learning Resources higher than NUHEI students since 2022. In 2024, university students rated Learning Resources 4.0 percentage points higher than their NUHEI counterparts.</w:t>
      </w:r>
    </w:p>
    <w:p w14:paraId="7474C753" w14:textId="41B06C60" w:rsidR="00D25F55" w:rsidRPr="00E8656C" w:rsidRDefault="00D0552F" w:rsidP="00D0552F">
      <w:pPr>
        <w:pStyle w:val="Body"/>
        <w:rPr>
          <w:rFonts w:cs="Arial"/>
        </w:rPr>
      </w:pPr>
      <w:r w:rsidRPr="00E8656C">
        <w:rPr>
          <w:rFonts w:cs="Arial"/>
        </w:rPr>
        <w:t xml:space="preserve">Note that course offerings, study area profiles, and student population composition can impact institution results. </w:t>
      </w:r>
    </w:p>
    <w:p w14:paraId="283A73EC" w14:textId="77777777" w:rsidR="00D25F55" w:rsidRPr="00E8656C" w:rsidRDefault="00D25F55">
      <w:pPr>
        <w:spacing w:after="160" w:line="259" w:lineRule="auto"/>
        <w:rPr>
          <w:rFonts w:eastAsia="Times New Roman" w:cs="Arial"/>
          <w:szCs w:val="20"/>
        </w:rPr>
      </w:pPr>
      <w:r w:rsidRPr="00E8656C">
        <w:rPr>
          <w:rFonts w:cs="Arial"/>
        </w:rPr>
        <w:br w:type="page"/>
      </w:r>
    </w:p>
    <w:p w14:paraId="5D7A92A4" w14:textId="3298173A" w:rsidR="00B5688E" w:rsidRPr="00E8656C" w:rsidRDefault="00B5688E" w:rsidP="00695177">
      <w:pPr>
        <w:pStyle w:val="Caption"/>
      </w:pPr>
      <w:bookmarkStart w:id="80" w:name="_Ref197338074"/>
      <w:bookmarkStart w:id="81" w:name="_Toc201065568"/>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18</w:t>
      </w:r>
      <w:r w:rsidR="00EA0581" w:rsidRPr="00E8656C">
        <w:rPr>
          <w:noProof/>
        </w:rPr>
        <w:fldChar w:fldCharType="end"/>
      </w:r>
      <w:bookmarkEnd w:id="78"/>
      <w:bookmarkEnd w:id="79"/>
      <w:bookmarkEnd w:id="80"/>
      <w:r w:rsidR="0066499D" w:rsidRPr="00E8656C">
        <w:tab/>
      </w:r>
      <w:r w:rsidRPr="00E8656C">
        <w:t>Postgraduate coursework student experience by institution type, 2019</w:t>
      </w:r>
      <w:r w:rsidR="0059773B" w:rsidRPr="00E8656C">
        <w:t>–</w:t>
      </w:r>
      <w:r w:rsidR="00293CD6" w:rsidRPr="00E8656C">
        <w:t>24</w:t>
      </w:r>
      <w:r w:rsidRPr="00E8656C">
        <w:t xml:space="preserve"> (% positive rating)</w:t>
      </w:r>
      <w:bookmarkEnd w:id="81"/>
    </w:p>
    <w:p w14:paraId="72870112" w14:textId="0B01B1D5" w:rsidR="00F566DA" w:rsidRPr="00E8656C" w:rsidRDefault="00F566DA" w:rsidP="00841C94">
      <w:pPr>
        <w:pStyle w:val="Body"/>
        <w:rPr>
          <w:rFonts w:cs="Arial"/>
          <w:sz w:val="18"/>
          <w:szCs w:val="18"/>
        </w:rPr>
      </w:pPr>
      <w:r w:rsidRPr="00E8656C">
        <w:rPr>
          <w:rFonts w:cs="Arial"/>
          <w:sz w:val="18"/>
          <w:szCs w:val="18"/>
          <w:lang w:eastAsia="en-AU"/>
        </w:rPr>
        <w:t xml:space="preserve">(Source: </w:t>
      </w:r>
      <w:r w:rsidR="00B76261" w:rsidRPr="00E8656C">
        <w:rPr>
          <w:rFonts w:cs="Arial"/>
          <w:sz w:val="18"/>
          <w:szCs w:val="18"/>
          <w:lang w:eastAsia="en-AU"/>
        </w:rPr>
        <w:t>FOCUS_PG_ALL_17-YY_HEPTYPE)</w:t>
      </w:r>
    </w:p>
    <w:p w14:paraId="380A370C" w14:textId="4BD1027F" w:rsidR="00136104" w:rsidRPr="00E8656C" w:rsidRDefault="008B5204" w:rsidP="00841C94">
      <w:pPr>
        <w:pStyle w:val="Body"/>
        <w:rPr>
          <w:rFonts w:cs="Arial"/>
          <w:sz w:val="18"/>
          <w:szCs w:val="18"/>
        </w:rPr>
      </w:pPr>
      <w:r w:rsidRPr="00E8656C">
        <w:rPr>
          <w:rFonts w:cs="Arial"/>
          <w:noProof/>
        </w:rPr>
        <w:drawing>
          <wp:inline distT="0" distB="0" distL="0" distR="0" wp14:anchorId="2C59A1E6" wp14:editId="0F0F299D">
            <wp:extent cx="2027583" cy="194294"/>
            <wp:effectExtent l="0" t="0" r="0" b="0"/>
            <wp:docPr id="1635809274" name="Picture 9">
              <a:extLst xmlns:a="http://schemas.openxmlformats.org/drawingml/2006/main">
                <a:ext uri="{FF2B5EF4-FFF2-40B4-BE49-F238E27FC236}">
                  <a16:creationId xmlns:a16="http://schemas.microsoft.com/office/drawing/2014/main" id="{4882B9BF-87C6-2A49-383D-614FB69B0B74}"/>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09274" name="Picture 9">
                      <a:extLst>
                        <a:ext uri="{FF2B5EF4-FFF2-40B4-BE49-F238E27FC236}">
                          <a16:creationId xmlns:a16="http://schemas.microsoft.com/office/drawing/2014/main" id="{4882B9BF-87C6-2A49-383D-614FB69B0B74}"/>
                        </a:ext>
                        <a:ext uri="{C183D7F6-B498-43B3-948B-1728B52AA6E4}">
                          <adec:decorative xmlns:adec="http://schemas.microsoft.com/office/drawing/2017/decorative" val="1"/>
                        </a:ext>
                      </a:extLst>
                    </pic:cNvPr>
                    <pic:cNvPicPr>
                      <a:picLocks noChangeAspect="1"/>
                    </pic:cNvPicPr>
                  </pic:nvPicPr>
                  <pic:blipFill rotWithShape="1">
                    <a:blip r:embed="rId58"/>
                    <a:srcRect t="9374" b="18756"/>
                    <a:stretch/>
                  </pic:blipFill>
                  <pic:spPr>
                    <a:xfrm>
                      <a:off x="0" y="0"/>
                      <a:ext cx="2068266" cy="198192"/>
                    </a:xfrm>
                    <a:prstGeom prst="rect">
                      <a:avLst/>
                    </a:prstGeom>
                  </pic:spPr>
                </pic:pic>
              </a:graphicData>
            </a:graphic>
          </wp:inline>
        </w:drawing>
      </w:r>
    </w:p>
    <w:p w14:paraId="140CD3DF" w14:textId="40ED44AA" w:rsidR="00B5688E" w:rsidRPr="00E8656C" w:rsidRDefault="00027EBB" w:rsidP="00B5688E">
      <w:pPr>
        <w:pStyle w:val="Body"/>
        <w:rPr>
          <w:rFonts w:cs="Arial"/>
          <w:lang w:eastAsia="en-AU"/>
        </w:rPr>
      </w:pPr>
      <w:r w:rsidRPr="00E8656C">
        <w:rPr>
          <w:rFonts w:cs="Arial"/>
          <w:noProof/>
        </w:rPr>
        <w:drawing>
          <wp:inline distT="0" distB="0" distL="0" distR="0" wp14:anchorId="629F001C" wp14:editId="79D7C121">
            <wp:extent cx="3240000" cy="1692000"/>
            <wp:effectExtent l="0" t="0" r="0" b="3810"/>
            <wp:docPr id="1164466327" name="Chart 1">
              <a:extLst xmlns:a="http://schemas.openxmlformats.org/drawingml/2006/main">
                <a:ext uri="{FF2B5EF4-FFF2-40B4-BE49-F238E27FC236}">
                  <a16:creationId xmlns:a16="http://schemas.microsoft.com/office/drawing/2014/main" id="{590154E4-00CE-C852-4CB6-1A210594B7D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00A30DD9" w:rsidRPr="00E8656C">
        <w:rPr>
          <w:rFonts w:cs="Arial"/>
          <w:noProof/>
        </w:rPr>
        <w:drawing>
          <wp:inline distT="0" distB="0" distL="0" distR="0" wp14:anchorId="6916BDF1" wp14:editId="65191A34">
            <wp:extent cx="3240000" cy="1692000"/>
            <wp:effectExtent l="0" t="0" r="0" b="3810"/>
            <wp:docPr id="1565327057" name="Chart 1">
              <a:extLst xmlns:a="http://schemas.openxmlformats.org/drawingml/2006/main">
                <a:ext uri="{FF2B5EF4-FFF2-40B4-BE49-F238E27FC236}">
                  <a16:creationId xmlns:a16="http://schemas.microsoft.com/office/drawing/2014/main" id="{7876BF92-3C5D-E659-319F-E44D36AA2AA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00BD7E88" w:rsidRPr="00E8656C">
        <w:rPr>
          <w:rFonts w:cs="Arial"/>
          <w:noProof/>
        </w:rPr>
        <w:drawing>
          <wp:inline distT="0" distB="0" distL="0" distR="0" wp14:anchorId="15923810" wp14:editId="53BC3504">
            <wp:extent cx="3240000" cy="1692000"/>
            <wp:effectExtent l="0" t="0" r="0" b="3810"/>
            <wp:docPr id="1297145053" name="Chart 3">
              <a:extLst xmlns:a="http://schemas.openxmlformats.org/drawingml/2006/main">
                <a:ext uri="{FF2B5EF4-FFF2-40B4-BE49-F238E27FC236}">
                  <a16:creationId xmlns:a16="http://schemas.microsoft.com/office/drawing/2014/main" id="{D9730E74-2E08-3AB0-3ED6-0A899A89CE1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00735F5D" w:rsidRPr="00E8656C">
        <w:rPr>
          <w:rFonts w:cs="Arial"/>
          <w:noProof/>
        </w:rPr>
        <w:drawing>
          <wp:inline distT="0" distB="0" distL="0" distR="0" wp14:anchorId="151DBB9B" wp14:editId="764AB124">
            <wp:extent cx="3240000" cy="1692000"/>
            <wp:effectExtent l="0" t="0" r="0" b="3810"/>
            <wp:docPr id="1188440110" name="Chart 1">
              <a:extLst xmlns:a="http://schemas.openxmlformats.org/drawingml/2006/main">
                <a:ext uri="{FF2B5EF4-FFF2-40B4-BE49-F238E27FC236}">
                  <a16:creationId xmlns:a16="http://schemas.microsoft.com/office/drawing/2014/main" id="{02D856DA-5F68-2852-32CE-8AC554CA4AC6}"/>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00735F5D" w:rsidRPr="00E8656C">
        <w:rPr>
          <w:rFonts w:cs="Arial"/>
          <w:noProof/>
        </w:rPr>
        <w:drawing>
          <wp:inline distT="0" distB="0" distL="0" distR="0" wp14:anchorId="7AAFD13E" wp14:editId="2A7AB85A">
            <wp:extent cx="3240000" cy="1692000"/>
            <wp:effectExtent l="0" t="0" r="0" b="3810"/>
            <wp:docPr id="1107255828" name="Chart 1">
              <a:extLst xmlns:a="http://schemas.openxmlformats.org/drawingml/2006/main">
                <a:ext uri="{FF2B5EF4-FFF2-40B4-BE49-F238E27FC236}">
                  <a16:creationId xmlns:a16="http://schemas.microsoft.com/office/drawing/2014/main" id="{02D28D73-A2CB-0C29-3A42-C1D577DCCB35}"/>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00477483" w:rsidRPr="00E8656C">
        <w:rPr>
          <w:rFonts w:cs="Arial"/>
          <w:noProof/>
        </w:rPr>
        <w:drawing>
          <wp:inline distT="0" distB="0" distL="0" distR="0" wp14:anchorId="4E4001E5" wp14:editId="40FF1B5A">
            <wp:extent cx="3240000" cy="1692000"/>
            <wp:effectExtent l="0" t="0" r="0" b="3810"/>
            <wp:docPr id="360806304" name="Chart 1">
              <a:extLst xmlns:a="http://schemas.openxmlformats.org/drawingml/2006/main">
                <a:ext uri="{FF2B5EF4-FFF2-40B4-BE49-F238E27FC236}">
                  <a16:creationId xmlns:a16="http://schemas.microsoft.com/office/drawing/2014/main" id="{CE4693F6-E011-09E6-4FFB-C4088CD4DAF6}"/>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9B25EE1" w14:textId="5B0C377F" w:rsidR="00E974AC" w:rsidRPr="00E8656C" w:rsidRDefault="00E974AC" w:rsidP="00A0734C">
      <w:pPr>
        <w:pStyle w:val="FigureNote"/>
        <w:rPr>
          <w:rFonts w:cs="Arial"/>
          <w:sz w:val="18"/>
          <w:szCs w:val="24"/>
        </w:rPr>
        <w:sectPr w:rsidR="00E974AC" w:rsidRPr="00E8656C" w:rsidSect="00CB2CE6">
          <w:headerReference w:type="default" r:id="rId71"/>
          <w:pgSz w:w="11900" w:h="16840"/>
          <w:pgMar w:top="720" w:right="720" w:bottom="720" w:left="720" w:header="397" w:footer="170" w:gutter="0"/>
          <w:cols w:space="708"/>
          <w:docGrid w:linePitch="360"/>
        </w:sectPr>
      </w:pPr>
      <w:r w:rsidRPr="00E8656C">
        <w:rPr>
          <w:rFonts w:cs="Arial"/>
          <w:sz w:val="18"/>
          <w:szCs w:val="24"/>
        </w:rPr>
        <w:t xml:space="preserve">Note that the dotted lines between 2022 and 2023 indicate the change in underlying items of the Peer Engagement and Student Support and Services focus areas. </w:t>
      </w:r>
      <w:r w:rsidRPr="00E8656C">
        <w:rPr>
          <w:rStyle w:val="ui-provider"/>
          <w:rFonts w:cs="Arial"/>
          <w:sz w:val="18"/>
          <w:szCs w:val="24"/>
        </w:rPr>
        <w:t>When comparing year-on-year changes, it is recommended that modifications to underlying questionnaire items be taken into consideration when interpreting results.</w:t>
      </w:r>
      <w:r w:rsidRPr="00E8656C">
        <w:rPr>
          <w:rFonts w:cs="Arial"/>
          <w:sz w:val="18"/>
          <w:szCs w:val="24"/>
        </w:rPr>
        <w:t xml:space="preserve"> For more information about these changes, refer to </w:t>
      </w:r>
      <w:r w:rsidR="007B0DE3" w:rsidRPr="00E8656C">
        <w:rPr>
          <w:rFonts w:cs="Arial"/>
          <w:sz w:val="18"/>
          <w:szCs w:val="24"/>
        </w:rPr>
        <w:t>the 2023 SES National Report</w:t>
      </w:r>
      <w:r w:rsidR="00A0734C" w:rsidRPr="00E8656C">
        <w:rPr>
          <w:rFonts w:cs="Arial"/>
          <w:sz w:val="18"/>
          <w:szCs w:val="24"/>
        </w:rPr>
        <w:t>.</w:t>
      </w:r>
    </w:p>
    <w:p w14:paraId="61FB7218" w14:textId="52EAB1BF" w:rsidR="00E80F2E" w:rsidRPr="00E8656C" w:rsidRDefault="00E82457" w:rsidP="00E80F2E">
      <w:pPr>
        <w:pStyle w:val="Body"/>
        <w:rPr>
          <w:rFonts w:cs="Arial"/>
        </w:rPr>
      </w:pPr>
      <w:r w:rsidRPr="00E8656C">
        <w:rPr>
          <w:rFonts w:cs="Arial"/>
        </w:rPr>
        <w:lastRenderedPageBreak/>
        <w:t xml:space="preserve">There are </w:t>
      </w:r>
      <w:r w:rsidR="00E763EB" w:rsidRPr="00E8656C">
        <w:rPr>
          <w:rFonts w:cs="Arial"/>
        </w:rPr>
        <w:t xml:space="preserve">differences in ratings of the Overall Educational Experience between </w:t>
      </w:r>
      <w:r w:rsidR="00E62AD4" w:rsidRPr="00E8656C">
        <w:rPr>
          <w:rFonts w:cs="Arial"/>
        </w:rPr>
        <w:t xml:space="preserve">various </w:t>
      </w:r>
      <w:r w:rsidR="00E763EB" w:rsidRPr="00E8656C">
        <w:rPr>
          <w:rFonts w:cs="Arial"/>
        </w:rPr>
        <w:t>universit</w:t>
      </w:r>
      <w:r w:rsidR="00E62AD4" w:rsidRPr="00E8656C">
        <w:rPr>
          <w:rFonts w:cs="Arial"/>
        </w:rPr>
        <w:t>ies</w:t>
      </w:r>
      <w:r w:rsidR="00E763EB" w:rsidRPr="00E8656C">
        <w:rPr>
          <w:rFonts w:cs="Arial"/>
        </w:rPr>
        <w:t xml:space="preserve"> and NUHEI</w:t>
      </w:r>
      <w:r w:rsidR="00E62AD4" w:rsidRPr="00E8656C">
        <w:rPr>
          <w:rFonts w:cs="Arial"/>
        </w:rPr>
        <w:t>s</w:t>
      </w:r>
      <w:r w:rsidR="008F58D1" w:rsidRPr="00E8656C">
        <w:rPr>
          <w:rFonts w:cs="Arial"/>
        </w:rPr>
        <w:t xml:space="preserve"> which are presented in the next section. However, p</w:t>
      </w:r>
      <w:r w:rsidR="00E80F2E" w:rsidRPr="00E8656C">
        <w:rPr>
          <w:rFonts w:cs="Arial"/>
        </w:rPr>
        <w:t xml:space="preserve">lease note that when looking at institution results, where </w:t>
      </w:r>
      <w:r w:rsidR="00985A7F" w:rsidRPr="00E8656C">
        <w:rPr>
          <w:rFonts w:cs="Arial"/>
        </w:rPr>
        <w:t xml:space="preserve">confidence </w:t>
      </w:r>
      <w:r w:rsidR="00E80F2E" w:rsidRPr="00E8656C">
        <w:rPr>
          <w:rFonts w:cs="Arial"/>
        </w:rPr>
        <w:t xml:space="preserve">intervals overlap, it cannot be inferred that an institution is or is not different to another to a statistical certainty. However, where intervals do not overlap, there is 90 per cent confidence that there is a difference between them. </w:t>
      </w:r>
    </w:p>
    <w:p w14:paraId="3E514B4A" w14:textId="77777777" w:rsidR="005A5905" w:rsidRPr="00E8656C" w:rsidRDefault="005A5905" w:rsidP="00D74143">
      <w:pPr>
        <w:pStyle w:val="Heading3"/>
        <w:rPr>
          <w:color w:val="auto"/>
        </w:rPr>
      </w:pPr>
      <w:bookmarkStart w:id="82" w:name="_Toc207802604"/>
      <w:r w:rsidRPr="00E8656C">
        <w:rPr>
          <w:color w:val="auto"/>
        </w:rPr>
        <w:t>Universities</w:t>
      </w:r>
      <w:bookmarkEnd w:id="82"/>
    </w:p>
    <w:p w14:paraId="748ED07F" w14:textId="5709765E" w:rsidR="00FE513C" w:rsidRPr="00E8656C" w:rsidRDefault="00E253DC" w:rsidP="005A5905">
      <w:pPr>
        <w:pStyle w:val="Body"/>
        <w:rPr>
          <w:rFonts w:cs="Arial"/>
        </w:rPr>
      </w:pPr>
      <w:r w:rsidRPr="00E8656C">
        <w:rPr>
          <w:rFonts w:cs="Arial"/>
        </w:rPr>
        <w:t xml:space="preserve">Overall, there </w:t>
      </w:r>
      <w:r w:rsidR="001137A4" w:rsidRPr="00E8656C">
        <w:rPr>
          <w:rFonts w:cs="Arial"/>
        </w:rPr>
        <w:t>was</w:t>
      </w:r>
      <w:r w:rsidRPr="00E8656C">
        <w:rPr>
          <w:rFonts w:cs="Arial"/>
        </w:rPr>
        <w:t xml:space="preserve"> some variation in undergraduate student ratings of </w:t>
      </w:r>
      <w:r w:rsidR="00B5040E" w:rsidRPr="00E8656C">
        <w:rPr>
          <w:rFonts w:cs="Arial"/>
        </w:rPr>
        <w:t>Overall Educational Experience</w:t>
      </w:r>
      <w:r w:rsidRPr="00E8656C">
        <w:rPr>
          <w:rFonts w:cs="Arial"/>
        </w:rPr>
        <w:t xml:space="preserve"> </w:t>
      </w:r>
      <w:r w:rsidR="006227EF" w:rsidRPr="00E8656C">
        <w:rPr>
          <w:rFonts w:cs="Arial"/>
        </w:rPr>
        <w:t xml:space="preserve">at universities </w:t>
      </w:r>
      <w:r w:rsidRPr="00E8656C">
        <w:rPr>
          <w:rFonts w:cs="Arial"/>
        </w:rPr>
        <w:t>in 2024. The University of Divinity, Avondale University, and Bond University</w:t>
      </w:r>
      <w:r w:rsidR="009E1622" w:rsidRPr="00E8656C">
        <w:rPr>
          <w:rFonts w:cs="Arial"/>
        </w:rPr>
        <w:t xml:space="preserve"> (</w:t>
      </w:r>
      <w:r w:rsidRPr="00E8656C">
        <w:rPr>
          <w:rFonts w:cs="Arial"/>
        </w:rPr>
        <w:t>all relatively small institutions</w:t>
      </w:r>
      <w:r w:rsidR="009E1622" w:rsidRPr="00E8656C">
        <w:rPr>
          <w:rFonts w:cs="Arial"/>
        </w:rPr>
        <w:t xml:space="preserve">) </w:t>
      </w:r>
      <w:r w:rsidRPr="00E8656C">
        <w:rPr>
          <w:rFonts w:cs="Arial"/>
        </w:rPr>
        <w:t xml:space="preserve">performed substantially better than other universities, as shown in </w:t>
      </w:r>
      <w:r w:rsidR="001477A4" w:rsidRPr="00E8656C">
        <w:rPr>
          <w:rFonts w:cs="Arial"/>
          <w:b/>
          <w:bCs/>
        </w:rPr>
        <w:fldChar w:fldCharType="begin"/>
      </w:r>
      <w:r w:rsidR="001477A4" w:rsidRPr="00E8656C">
        <w:rPr>
          <w:rFonts w:cs="Arial"/>
          <w:b/>
          <w:bCs/>
        </w:rPr>
        <w:instrText xml:space="preserve"> REF _Ref166236846 \h  \* MERGEFORMAT </w:instrText>
      </w:r>
      <w:r w:rsidR="001477A4" w:rsidRPr="00E8656C">
        <w:rPr>
          <w:rFonts w:cs="Arial"/>
          <w:b/>
          <w:bCs/>
        </w:rPr>
      </w:r>
      <w:r w:rsidR="001477A4" w:rsidRPr="00E8656C">
        <w:rPr>
          <w:rFonts w:cs="Arial"/>
          <w:b/>
          <w:bCs/>
        </w:rPr>
        <w:fldChar w:fldCharType="separate"/>
      </w:r>
      <w:r w:rsidR="00AD12D7" w:rsidRPr="00E8656C">
        <w:rPr>
          <w:rFonts w:cs="Arial"/>
          <w:b/>
          <w:bCs/>
        </w:rPr>
        <w:t xml:space="preserve">Figure </w:t>
      </w:r>
      <w:r w:rsidR="00165095" w:rsidRPr="00E8656C">
        <w:rPr>
          <w:rFonts w:cs="Arial"/>
          <w:b/>
          <w:bCs/>
          <w:noProof/>
        </w:rPr>
        <w:t>19</w:t>
      </w:r>
      <w:r w:rsidR="001477A4" w:rsidRPr="00E8656C">
        <w:rPr>
          <w:rFonts w:cs="Arial"/>
          <w:b/>
          <w:bCs/>
        </w:rPr>
        <w:fldChar w:fldCharType="end"/>
      </w:r>
      <w:r w:rsidR="005A5905" w:rsidRPr="00E8656C">
        <w:rPr>
          <w:rFonts w:cs="Arial"/>
        </w:rPr>
        <w:t xml:space="preserve">. </w:t>
      </w:r>
    </w:p>
    <w:p w14:paraId="3B739365" w14:textId="6CAF5102" w:rsidR="00B5040E" w:rsidRPr="00E8656C" w:rsidRDefault="00B5040E" w:rsidP="005A5905">
      <w:pPr>
        <w:pStyle w:val="Body"/>
        <w:rPr>
          <w:rFonts w:cs="Arial"/>
        </w:rPr>
      </w:pPr>
      <w:r w:rsidRPr="00E8656C">
        <w:rPr>
          <w:rFonts w:cs="Arial"/>
        </w:rPr>
        <w:t xml:space="preserve">Conversely, the University of New South Wales, </w:t>
      </w:r>
      <w:r w:rsidR="00FC1637" w:rsidRPr="00E8656C">
        <w:rPr>
          <w:rFonts w:cs="Arial"/>
        </w:rPr>
        <w:t xml:space="preserve">the </w:t>
      </w:r>
      <w:r w:rsidRPr="00E8656C">
        <w:rPr>
          <w:rFonts w:cs="Arial"/>
        </w:rPr>
        <w:t xml:space="preserve">University of Southern Queensland, </w:t>
      </w:r>
      <w:r w:rsidR="00A72BB6" w:rsidRPr="00E8656C">
        <w:rPr>
          <w:rFonts w:cs="Arial"/>
        </w:rPr>
        <w:t>T</w:t>
      </w:r>
      <w:r w:rsidRPr="00E8656C">
        <w:rPr>
          <w:rFonts w:cs="Arial"/>
        </w:rPr>
        <w:t xml:space="preserve">he University of Sydney, and </w:t>
      </w:r>
      <w:r w:rsidR="00A72BB6" w:rsidRPr="00E8656C">
        <w:rPr>
          <w:rFonts w:cs="Arial"/>
        </w:rPr>
        <w:t>T</w:t>
      </w:r>
      <w:r w:rsidRPr="00E8656C">
        <w:rPr>
          <w:rFonts w:cs="Arial"/>
        </w:rPr>
        <w:t xml:space="preserve">he University of Melbourne had the lowest ratings for </w:t>
      </w:r>
      <w:r w:rsidR="00E87C53" w:rsidRPr="00E8656C">
        <w:rPr>
          <w:rFonts w:cs="Arial"/>
        </w:rPr>
        <w:t>Overall Educational Experience</w:t>
      </w:r>
      <w:r w:rsidR="00F81BAD" w:rsidRPr="00E8656C">
        <w:rPr>
          <w:rFonts w:cs="Arial"/>
        </w:rPr>
        <w:t xml:space="preserve"> </w:t>
      </w:r>
      <w:r w:rsidR="00C75430" w:rsidRPr="00E8656C">
        <w:rPr>
          <w:rFonts w:cs="Arial"/>
        </w:rPr>
        <w:t>by</w:t>
      </w:r>
      <w:r w:rsidR="00F81BAD" w:rsidRPr="00E8656C">
        <w:rPr>
          <w:rFonts w:cs="Arial"/>
        </w:rPr>
        <w:t xml:space="preserve"> undergraduate students</w:t>
      </w:r>
      <w:r w:rsidRPr="00E8656C">
        <w:rPr>
          <w:rFonts w:cs="Arial"/>
        </w:rPr>
        <w:t>.</w:t>
      </w:r>
    </w:p>
    <w:p w14:paraId="0B0B0E8F" w14:textId="4BB500B5" w:rsidR="005A5905" w:rsidRPr="00E8656C" w:rsidRDefault="005A5905" w:rsidP="005A5905">
      <w:pPr>
        <w:pStyle w:val="Body"/>
        <w:rPr>
          <w:rFonts w:cs="Arial"/>
        </w:rPr>
      </w:pPr>
      <w:r w:rsidRPr="00E8656C">
        <w:rPr>
          <w:rFonts w:cs="Arial"/>
        </w:rPr>
        <w:t>For postgraduate coursework student ratings, as seen in</w:t>
      </w:r>
      <w:r w:rsidR="00B86544" w:rsidRPr="00E8656C">
        <w:rPr>
          <w:rFonts w:cs="Arial"/>
        </w:rPr>
        <w:t xml:space="preserve"> </w:t>
      </w:r>
      <w:r w:rsidR="00B86544" w:rsidRPr="00E8656C">
        <w:rPr>
          <w:rFonts w:cs="Arial"/>
          <w:b/>
          <w:bCs/>
        </w:rPr>
        <w:fldChar w:fldCharType="begin"/>
      </w:r>
      <w:r w:rsidR="00B86544" w:rsidRPr="00E8656C">
        <w:rPr>
          <w:rFonts w:cs="Arial"/>
          <w:b/>
          <w:bCs/>
        </w:rPr>
        <w:instrText xml:space="preserve"> REF _Ref166236767 \h  \* MERGEFORMAT </w:instrText>
      </w:r>
      <w:r w:rsidR="00B86544" w:rsidRPr="00E8656C">
        <w:rPr>
          <w:rFonts w:cs="Arial"/>
          <w:b/>
          <w:bCs/>
        </w:rPr>
      </w:r>
      <w:r w:rsidR="00B86544" w:rsidRPr="00E8656C">
        <w:rPr>
          <w:rFonts w:cs="Arial"/>
          <w:b/>
          <w:bCs/>
        </w:rPr>
        <w:fldChar w:fldCharType="separate"/>
      </w:r>
      <w:r w:rsidR="005234D0" w:rsidRPr="00E8656C">
        <w:rPr>
          <w:rFonts w:cs="Arial"/>
          <w:b/>
          <w:bCs/>
        </w:rPr>
        <w:t xml:space="preserve">Figure </w:t>
      </w:r>
      <w:r w:rsidR="00165095" w:rsidRPr="00E8656C">
        <w:rPr>
          <w:rFonts w:cs="Arial"/>
          <w:b/>
          <w:bCs/>
          <w:noProof/>
        </w:rPr>
        <w:t>20</w:t>
      </w:r>
      <w:r w:rsidR="00B86544" w:rsidRPr="00E8656C">
        <w:rPr>
          <w:rFonts w:cs="Arial"/>
          <w:b/>
          <w:bCs/>
        </w:rPr>
        <w:fldChar w:fldCharType="end"/>
      </w:r>
      <w:r w:rsidR="00E80F2E" w:rsidRPr="00E8656C">
        <w:rPr>
          <w:rFonts w:cs="Arial"/>
        </w:rPr>
        <w:t>,</w:t>
      </w:r>
      <w:r w:rsidRPr="00E8656C">
        <w:rPr>
          <w:rFonts w:cs="Arial"/>
        </w:rPr>
        <w:t xml:space="preserve"> </w:t>
      </w:r>
      <w:r w:rsidR="00C270EE" w:rsidRPr="00E8656C">
        <w:rPr>
          <w:rFonts w:cs="Arial"/>
        </w:rPr>
        <w:t xml:space="preserve">Avondale </w:t>
      </w:r>
      <w:r w:rsidR="000245E3" w:rsidRPr="00E8656C">
        <w:rPr>
          <w:rFonts w:cs="Arial"/>
        </w:rPr>
        <w:t xml:space="preserve">University </w:t>
      </w:r>
      <w:r w:rsidRPr="00E8656C">
        <w:rPr>
          <w:rFonts w:cs="Arial"/>
        </w:rPr>
        <w:t>ha</w:t>
      </w:r>
      <w:r w:rsidR="00E80F2E" w:rsidRPr="00E8656C">
        <w:rPr>
          <w:rFonts w:cs="Arial"/>
        </w:rPr>
        <w:t>d</w:t>
      </w:r>
      <w:r w:rsidRPr="00E8656C">
        <w:rPr>
          <w:rFonts w:cs="Arial"/>
        </w:rPr>
        <w:t xml:space="preserve"> </w:t>
      </w:r>
      <w:r w:rsidR="00E80F2E" w:rsidRPr="00E8656C">
        <w:rPr>
          <w:rFonts w:cs="Arial"/>
        </w:rPr>
        <w:t>the</w:t>
      </w:r>
      <w:r w:rsidRPr="00E8656C">
        <w:rPr>
          <w:rFonts w:cs="Arial"/>
        </w:rPr>
        <w:t xml:space="preserve"> highest</w:t>
      </w:r>
      <w:r w:rsidR="00E80F2E" w:rsidRPr="00E8656C">
        <w:rPr>
          <w:rFonts w:cs="Arial"/>
        </w:rPr>
        <w:t xml:space="preserve"> rating</w:t>
      </w:r>
      <w:r w:rsidRPr="00E8656C">
        <w:rPr>
          <w:rFonts w:cs="Arial"/>
        </w:rPr>
        <w:t xml:space="preserve"> for </w:t>
      </w:r>
      <w:r w:rsidR="001A68F8" w:rsidRPr="00E8656C">
        <w:rPr>
          <w:rFonts w:cs="Arial"/>
        </w:rPr>
        <w:t xml:space="preserve">Overall Educational </w:t>
      </w:r>
      <w:r w:rsidR="00211334" w:rsidRPr="00E8656C">
        <w:rPr>
          <w:rFonts w:cs="Arial"/>
        </w:rPr>
        <w:t>Experience</w:t>
      </w:r>
      <w:r w:rsidR="00F83FD2" w:rsidRPr="00E8656C">
        <w:rPr>
          <w:rFonts w:cs="Arial"/>
        </w:rPr>
        <w:t xml:space="preserve"> in </w:t>
      </w:r>
      <w:r w:rsidR="000245E3" w:rsidRPr="00E8656C">
        <w:rPr>
          <w:rFonts w:cs="Arial"/>
        </w:rPr>
        <w:t>2024</w:t>
      </w:r>
      <w:r w:rsidRPr="00E8656C">
        <w:rPr>
          <w:rFonts w:cs="Arial"/>
        </w:rPr>
        <w:t xml:space="preserve">, </w:t>
      </w:r>
      <w:r w:rsidR="00F83FD2" w:rsidRPr="00E8656C">
        <w:rPr>
          <w:rFonts w:cs="Arial"/>
        </w:rPr>
        <w:t>while</w:t>
      </w:r>
      <w:r w:rsidRPr="00E8656C">
        <w:rPr>
          <w:rFonts w:cs="Arial"/>
        </w:rPr>
        <w:t xml:space="preserve"> </w:t>
      </w:r>
      <w:r w:rsidR="00F83FD2" w:rsidRPr="00E8656C">
        <w:rPr>
          <w:rFonts w:cs="Arial"/>
        </w:rPr>
        <w:t>T</w:t>
      </w:r>
      <w:r w:rsidRPr="00E8656C">
        <w:rPr>
          <w:rFonts w:cs="Arial"/>
        </w:rPr>
        <w:t xml:space="preserve">he University of </w:t>
      </w:r>
      <w:r w:rsidR="000245E3" w:rsidRPr="00E8656C">
        <w:rPr>
          <w:rFonts w:cs="Arial"/>
        </w:rPr>
        <w:t xml:space="preserve">Notre Dame Australia </w:t>
      </w:r>
      <w:r w:rsidRPr="00E8656C">
        <w:rPr>
          <w:rFonts w:cs="Arial"/>
        </w:rPr>
        <w:t>record</w:t>
      </w:r>
      <w:r w:rsidR="00F83FD2" w:rsidRPr="00E8656C">
        <w:rPr>
          <w:rFonts w:cs="Arial"/>
        </w:rPr>
        <w:t>ed</w:t>
      </w:r>
      <w:r w:rsidRPr="00E8656C">
        <w:rPr>
          <w:rFonts w:cs="Arial"/>
        </w:rPr>
        <w:t xml:space="preserve"> the lowest positive response.</w:t>
      </w:r>
      <w:r w:rsidRPr="00E8656C" w:rsidDel="000245E3">
        <w:rPr>
          <w:rFonts w:cs="Arial"/>
        </w:rPr>
        <w:t xml:space="preserve"> </w:t>
      </w:r>
      <w:r w:rsidRPr="00E8656C">
        <w:rPr>
          <w:rFonts w:cs="Arial"/>
        </w:rPr>
        <w:t xml:space="preserve">Confidence intervals for postgraduate coursework results are larger than for undergraduates due to </w:t>
      </w:r>
      <w:r w:rsidR="00E66842" w:rsidRPr="00E8656C">
        <w:rPr>
          <w:rFonts w:cs="Arial"/>
        </w:rPr>
        <w:t xml:space="preserve">a </w:t>
      </w:r>
      <w:r w:rsidR="00F83FD2" w:rsidRPr="00E8656C">
        <w:rPr>
          <w:rFonts w:cs="Arial"/>
        </w:rPr>
        <w:t>smaller</w:t>
      </w:r>
      <w:r w:rsidRPr="00E8656C">
        <w:rPr>
          <w:rFonts w:cs="Arial"/>
        </w:rPr>
        <w:t xml:space="preserve"> </w:t>
      </w:r>
      <w:r w:rsidR="00835FC6" w:rsidRPr="00E8656C">
        <w:rPr>
          <w:rFonts w:cs="Arial"/>
        </w:rPr>
        <w:t>number</w:t>
      </w:r>
      <w:r w:rsidRPr="00E8656C">
        <w:rPr>
          <w:rFonts w:cs="Arial"/>
        </w:rPr>
        <w:t xml:space="preserve"> of responses. </w:t>
      </w:r>
    </w:p>
    <w:p w14:paraId="423A3D7F" w14:textId="77777777" w:rsidR="005A5905" w:rsidRPr="00E8656C" w:rsidRDefault="005A5905" w:rsidP="005A5905">
      <w:pPr>
        <w:pStyle w:val="Body"/>
        <w:rPr>
          <w:rFonts w:cs="Arial"/>
        </w:rPr>
      </w:pPr>
    </w:p>
    <w:p w14:paraId="4F55F7CB" w14:textId="77777777" w:rsidR="005A5905" w:rsidRPr="00E8656C" w:rsidRDefault="005A5905" w:rsidP="005A5905">
      <w:pPr>
        <w:pStyle w:val="Body"/>
        <w:rPr>
          <w:rFonts w:cs="Arial"/>
        </w:rPr>
        <w:sectPr w:rsidR="005A5905" w:rsidRPr="00E8656C" w:rsidSect="00C3360C">
          <w:headerReference w:type="default" r:id="rId72"/>
          <w:pgSz w:w="11900" w:h="16840"/>
          <w:pgMar w:top="720" w:right="720" w:bottom="720" w:left="720" w:header="397" w:footer="170" w:gutter="0"/>
          <w:cols w:space="708"/>
          <w:docGrid w:linePitch="360"/>
        </w:sectPr>
      </w:pPr>
      <w:bookmarkStart w:id="83" w:name="_Ref89430832"/>
      <w:bookmarkStart w:id="84" w:name="_Ref58424051"/>
    </w:p>
    <w:p w14:paraId="30100B9A" w14:textId="0FFD9AC6" w:rsidR="005A5905" w:rsidRPr="00E8656C" w:rsidRDefault="005A5905" w:rsidP="00695177">
      <w:pPr>
        <w:pStyle w:val="Caption"/>
      </w:pPr>
      <w:bookmarkStart w:id="85" w:name="_Ref166236846"/>
      <w:bookmarkStart w:id="86" w:name="_Toc201065569"/>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19</w:t>
      </w:r>
      <w:r w:rsidR="00EA0581" w:rsidRPr="00E8656C">
        <w:rPr>
          <w:noProof/>
        </w:rPr>
        <w:fldChar w:fldCharType="end"/>
      </w:r>
      <w:bookmarkEnd w:id="83"/>
      <w:bookmarkEnd w:id="85"/>
      <w:r w:rsidR="0066499D" w:rsidRPr="00E8656C">
        <w:tab/>
      </w:r>
      <w:r w:rsidR="0099096C" w:rsidRPr="00E8656C">
        <w:t>Overall Educational Experience</w:t>
      </w:r>
      <w:r w:rsidRPr="00E8656C">
        <w:t xml:space="preserve"> for undergraduate university students, 202</w:t>
      </w:r>
      <w:r w:rsidR="00F128D7" w:rsidRPr="00E8656C">
        <w:t>4</w:t>
      </w:r>
      <w:r w:rsidRPr="00E8656C">
        <w:t xml:space="preserve"> (% positive rating)</w:t>
      </w:r>
      <w:bookmarkEnd w:id="86"/>
      <w:r w:rsidRPr="00E8656C">
        <w:t xml:space="preserve"> </w:t>
      </w:r>
    </w:p>
    <w:p w14:paraId="19598A29" w14:textId="45C788DA" w:rsidR="005A2012" w:rsidRPr="00E8656C" w:rsidRDefault="005A2012" w:rsidP="00A01584">
      <w:pPr>
        <w:pStyle w:val="Body"/>
        <w:rPr>
          <w:rFonts w:cs="Arial"/>
        </w:rPr>
      </w:pPr>
      <w:r w:rsidRPr="00E8656C">
        <w:rPr>
          <w:rFonts w:cs="Arial"/>
          <w:lang w:eastAsia="en-AU"/>
        </w:rPr>
        <w:t>(Source: FOCUS_UG_UNI_1Y_INST_CI)</w:t>
      </w:r>
    </w:p>
    <w:p w14:paraId="7299D926" w14:textId="089F0CA4" w:rsidR="005A5905" w:rsidRPr="00E8656C" w:rsidRDefault="002F29A8" w:rsidP="005A5905">
      <w:pPr>
        <w:pStyle w:val="Body"/>
        <w:rPr>
          <w:rFonts w:cs="Arial"/>
          <w:b/>
          <w:iCs/>
          <w:lang w:val="en-GB"/>
        </w:rPr>
      </w:pPr>
      <w:r w:rsidRPr="00E8656C">
        <w:rPr>
          <w:rFonts w:cs="Arial"/>
          <w:noProof/>
        </w:rPr>
        <w:drawing>
          <wp:inline distT="0" distB="0" distL="0" distR="0" wp14:anchorId="58B49A10" wp14:editId="0F27662A">
            <wp:extent cx="9321800" cy="4874260"/>
            <wp:effectExtent l="0" t="0" r="0" b="2540"/>
            <wp:docPr id="1618204698" name="Chart 1">
              <a:extLst xmlns:a="http://schemas.openxmlformats.org/drawingml/2006/main">
                <a:ext uri="{FF2B5EF4-FFF2-40B4-BE49-F238E27FC236}">
                  <a16:creationId xmlns:a16="http://schemas.microsoft.com/office/drawing/2014/main" id="{6DDF5D6D-1791-B1D1-A847-3996853D397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00F128D7" w:rsidRPr="00E8656C">
        <w:rPr>
          <w:rFonts w:cs="Arial"/>
          <w:b/>
          <w:iCs/>
          <w:lang w:val="en-GB"/>
        </w:rPr>
        <w:t xml:space="preserve"> </w:t>
      </w:r>
      <w:r w:rsidR="005A5905" w:rsidRPr="00E8656C">
        <w:rPr>
          <w:rFonts w:cs="Arial"/>
          <w:b/>
          <w:iCs/>
          <w:lang w:val="en-GB"/>
        </w:rPr>
        <w:br w:type="page"/>
      </w:r>
    </w:p>
    <w:p w14:paraId="132C8E94" w14:textId="77777777" w:rsidR="005A5905" w:rsidRPr="00E8656C" w:rsidRDefault="005A5905" w:rsidP="005A5905">
      <w:pPr>
        <w:pStyle w:val="Body"/>
        <w:rPr>
          <w:rFonts w:cs="Arial"/>
          <w:b/>
          <w:iCs/>
          <w:lang w:val="en-GB"/>
        </w:rPr>
        <w:sectPr w:rsidR="005A5905" w:rsidRPr="00E8656C" w:rsidSect="00E80F2E">
          <w:headerReference w:type="default" r:id="rId74"/>
          <w:pgSz w:w="16840" w:h="11900" w:orient="landscape"/>
          <w:pgMar w:top="1440" w:right="1080" w:bottom="1440" w:left="1080" w:header="397" w:footer="170" w:gutter="0"/>
          <w:cols w:space="708"/>
          <w:docGrid w:linePitch="360"/>
        </w:sectPr>
      </w:pPr>
    </w:p>
    <w:p w14:paraId="2F667C56" w14:textId="0B8A5AE1" w:rsidR="005A5905" w:rsidRPr="00E8656C" w:rsidRDefault="005A5905" w:rsidP="00695177">
      <w:pPr>
        <w:pStyle w:val="Caption"/>
      </w:pPr>
      <w:bookmarkStart w:id="87" w:name="_Ref166236767"/>
      <w:bookmarkStart w:id="88" w:name="_Toc201065570"/>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20</w:t>
      </w:r>
      <w:r w:rsidR="00EA0581" w:rsidRPr="00E8656C">
        <w:rPr>
          <w:noProof/>
        </w:rPr>
        <w:fldChar w:fldCharType="end"/>
      </w:r>
      <w:bookmarkEnd w:id="87"/>
      <w:r w:rsidR="0066499D" w:rsidRPr="00E8656C">
        <w:tab/>
      </w:r>
      <w:r w:rsidR="0099096C" w:rsidRPr="00E8656C">
        <w:t>Overall Educational Experience</w:t>
      </w:r>
      <w:r w:rsidRPr="00E8656C">
        <w:t xml:space="preserve"> for postgraduate coursework university students, 202</w:t>
      </w:r>
      <w:r w:rsidR="00CD28DC" w:rsidRPr="00E8656C">
        <w:t>4</w:t>
      </w:r>
      <w:r w:rsidRPr="00E8656C">
        <w:t xml:space="preserve"> (% positive rating)</w:t>
      </w:r>
      <w:bookmarkEnd w:id="88"/>
    </w:p>
    <w:p w14:paraId="0B228E95" w14:textId="0481DF9E" w:rsidR="005A2012" w:rsidRPr="00E8656C" w:rsidRDefault="005A2012" w:rsidP="00A01584">
      <w:pPr>
        <w:pStyle w:val="Body"/>
        <w:rPr>
          <w:rFonts w:cs="Arial"/>
        </w:rPr>
      </w:pPr>
      <w:r w:rsidRPr="00E8656C">
        <w:rPr>
          <w:rFonts w:cs="Arial"/>
          <w:bCs/>
          <w:iCs/>
          <w:lang w:val="en-GB"/>
        </w:rPr>
        <w:t xml:space="preserve">(Source: </w:t>
      </w:r>
      <w:r w:rsidR="00B86544" w:rsidRPr="00E8656C">
        <w:rPr>
          <w:rFonts w:cs="Arial"/>
          <w:bCs/>
          <w:iCs/>
          <w:lang w:val="en-GB"/>
        </w:rPr>
        <w:t>FOCUS_PGC_UNI_1Y_INST_CI)</w:t>
      </w:r>
    </w:p>
    <w:p w14:paraId="18B5CB45" w14:textId="77777777" w:rsidR="005A5905" w:rsidRPr="00E8656C" w:rsidRDefault="005A5905" w:rsidP="005A5905">
      <w:pPr>
        <w:pStyle w:val="Body"/>
        <w:rPr>
          <w:rFonts w:cs="Arial"/>
          <w:b/>
          <w:iCs/>
          <w:lang w:val="en-GB"/>
        </w:rPr>
      </w:pPr>
    </w:p>
    <w:p w14:paraId="09BCCE68" w14:textId="4C03553C" w:rsidR="00CD28DC" w:rsidRPr="00E8656C" w:rsidRDefault="00A856FF" w:rsidP="005A5905">
      <w:pPr>
        <w:pStyle w:val="Body"/>
        <w:rPr>
          <w:rFonts w:cs="Arial"/>
          <w:b/>
          <w:iCs/>
          <w:lang w:val="en-GB"/>
        </w:rPr>
        <w:sectPr w:rsidR="00CD28DC" w:rsidRPr="00E8656C" w:rsidSect="00606543">
          <w:headerReference w:type="default" r:id="rId75"/>
          <w:type w:val="continuous"/>
          <w:pgSz w:w="16840" w:h="11900" w:orient="landscape"/>
          <w:pgMar w:top="720" w:right="720" w:bottom="720" w:left="720" w:header="397" w:footer="170" w:gutter="0"/>
          <w:cols w:space="708"/>
          <w:docGrid w:linePitch="360"/>
        </w:sectPr>
      </w:pPr>
      <w:r w:rsidRPr="00E8656C">
        <w:rPr>
          <w:rFonts w:cs="Arial"/>
          <w:noProof/>
        </w:rPr>
        <w:drawing>
          <wp:inline distT="0" distB="0" distL="0" distR="0" wp14:anchorId="36E9BE1B" wp14:editId="55CD332B">
            <wp:extent cx="9779000" cy="5153660"/>
            <wp:effectExtent l="0" t="0" r="0" b="8890"/>
            <wp:docPr id="1976907357" name="Chart 1">
              <a:extLst xmlns:a="http://schemas.openxmlformats.org/drawingml/2006/main">
                <a:ext uri="{FF2B5EF4-FFF2-40B4-BE49-F238E27FC236}">
                  <a16:creationId xmlns:a16="http://schemas.microsoft.com/office/drawing/2014/main" id="{C38A2548-CDBD-2E13-521B-5CC1855BAE35}"/>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0F8D04E" w14:textId="3E885029" w:rsidR="005A5905" w:rsidRPr="00E8656C" w:rsidRDefault="005A5905" w:rsidP="00C23A5A">
      <w:pPr>
        <w:pStyle w:val="Heading3"/>
        <w:rPr>
          <w:color w:val="auto"/>
        </w:rPr>
      </w:pPr>
      <w:bookmarkStart w:id="89" w:name="_Toc207802605"/>
      <w:bookmarkStart w:id="90" w:name="_Hlk58233114"/>
      <w:bookmarkEnd w:id="84"/>
      <w:r w:rsidRPr="00E8656C">
        <w:rPr>
          <w:color w:val="auto"/>
        </w:rPr>
        <w:lastRenderedPageBreak/>
        <w:t>NUH</w:t>
      </w:r>
      <w:r w:rsidR="00F83FD2" w:rsidRPr="00E8656C">
        <w:rPr>
          <w:color w:val="auto"/>
        </w:rPr>
        <w:t>E</w:t>
      </w:r>
      <w:r w:rsidRPr="00E8656C">
        <w:rPr>
          <w:color w:val="auto"/>
        </w:rPr>
        <w:t>Is</w:t>
      </w:r>
      <w:bookmarkEnd w:id="89"/>
      <w:r w:rsidRPr="00E8656C">
        <w:rPr>
          <w:color w:val="auto"/>
        </w:rPr>
        <w:t xml:space="preserve"> </w:t>
      </w:r>
    </w:p>
    <w:p w14:paraId="767D40EF" w14:textId="288093AE" w:rsidR="00334E75" w:rsidRPr="00E8656C" w:rsidRDefault="000A5B51" w:rsidP="00334E75">
      <w:pPr>
        <w:pStyle w:val="Body"/>
        <w:rPr>
          <w:rFonts w:cs="Arial"/>
        </w:rPr>
      </w:pPr>
      <w:bookmarkStart w:id="91" w:name="_Hlk183511188"/>
      <w:bookmarkEnd w:id="90"/>
      <w:r w:rsidRPr="00E8656C">
        <w:rPr>
          <w:rFonts w:cs="Arial"/>
        </w:rPr>
        <w:t xml:space="preserve">Since the number of students enrolled in individual NUHEIs is much smaller than at universities, </w:t>
      </w:r>
      <w:r w:rsidR="001A442C" w:rsidRPr="00E8656C">
        <w:rPr>
          <w:rFonts w:cs="Arial"/>
        </w:rPr>
        <w:t>the</w:t>
      </w:r>
      <w:r w:rsidRPr="00E8656C">
        <w:rPr>
          <w:rFonts w:cs="Arial"/>
        </w:rPr>
        <w:t xml:space="preserve"> </w:t>
      </w:r>
      <w:r w:rsidR="001A442C" w:rsidRPr="00E8656C">
        <w:rPr>
          <w:rFonts w:cs="Arial"/>
        </w:rPr>
        <w:t xml:space="preserve">NUHEI </w:t>
      </w:r>
      <w:r w:rsidR="00D77420" w:rsidRPr="00E8656C">
        <w:rPr>
          <w:rFonts w:cs="Arial"/>
        </w:rPr>
        <w:t>results</w:t>
      </w:r>
      <w:r w:rsidRPr="00E8656C">
        <w:rPr>
          <w:rFonts w:cs="Arial"/>
        </w:rPr>
        <w:t xml:space="preserve"> </w:t>
      </w:r>
      <w:r w:rsidR="001A442C" w:rsidRPr="00E8656C">
        <w:rPr>
          <w:rFonts w:cs="Arial"/>
        </w:rPr>
        <w:t xml:space="preserve">in </w:t>
      </w:r>
      <w:r w:rsidR="003B78AF" w:rsidRPr="00E8656C">
        <w:rPr>
          <w:rFonts w:cs="Arial"/>
          <w:b/>
          <w:bCs/>
        </w:rPr>
        <w:fldChar w:fldCharType="begin"/>
      </w:r>
      <w:r w:rsidR="003B78AF" w:rsidRPr="00E8656C">
        <w:rPr>
          <w:rFonts w:cs="Arial"/>
          <w:b/>
          <w:bCs/>
        </w:rPr>
        <w:instrText xml:space="preserve"> REF _Ref175677425 \h  \* MERGEFORMAT </w:instrText>
      </w:r>
      <w:r w:rsidR="003B78AF" w:rsidRPr="00E8656C">
        <w:rPr>
          <w:rFonts w:cs="Arial"/>
          <w:b/>
          <w:bCs/>
        </w:rPr>
      </w:r>
      <w:r w:rsidR="003B78AF" w:rsidRPr="00E8656C">
        <w:rPr>
          <w:rFonts w:cs="Arial"/>
          <w:b/>
          <w:bCs/>
        </w:rPr>
        <w:fldChar w:fldCharType="separate"/>
      </w:r>
      <w:r w:rsidR="003B78AF" w:rsidRPr="00E8656C">
        <w:rPr>
          <w:rFonts w:cs="Arial"/>
          <w:b/>
          <w:bCs/>
        </w:rPr>
        <w:t xml:space="preserve">Figure </w:t>
      </w:r>
      <w:r w:rsidR="00165095" w:rsidRPr="00E8656C">
        <w:rPr>
          <w:rFonts w:cs="Arial"/>
          <w:b/>
          <w:bCs/>
          <w:noProof/>
        </w:rPr>
        <w:t>21</w:t>
      </w:r>
      <w:r w:rsidR="003B78AF" w:rsidRPr="00E8656C">
        <w:rPr>
          <w:rFonts w:cs="Arial"/>
          <w:b/>
          <w:bCs/>
        </w:rPr>
        <w:fldChar w:fldCharType="end"/>
      </w:r>
      <w:r w:rsidR="003B78AF" w:rsidRPr="00E8656C">
        <w:rPr>
          <w:rFonts w:cs="Arial"/>
        </w:rPr>
        <w:t xml:space="preserve"> </w:t>
      </w:r>
      <w:r w:rsidR="00336D95" w:rsidRPr="00E8656C">
        <w:rPr>
          <w:rFonts w:cs="Arial"/>
        </w:rPr>
        <w:t xml:space="preserve">and </w:t>
      </w:r>
      <w:r w:rsidR="003B78AF" w:rsidRPr="00E8656C">
        <w:rPr>
          <w:rFonts w:cs="Arial"/>
          <w:b/>
          <w:bCs/>
        </w:rPr>
        <w:fldChar w:fldCharType="begin"/>
      </w:r>
      <w:r w:rsidR="003B78AF" w:rsidRPr="00E8656C">
        <w:rPr>
          <w:rFonts w:cs="Arial"/>
          <w:b/>
          <w:bCs/>
        </w:rPr>
        <w:instrText xml:space="preserve"> REF _Ref195539901 \h  \* MERGEFORMAT </w:instrText>
      </w:r>
      <w:r w:rsidR="003B78AF" w:rsidRPr="00E8656C">
        <w:rPr>
          <w:rFonts w:cs="Arial"/>
          <w:b/>
          <w:bCs/>
        </w:rPr>
      </w:r>
      <w:r w:rsidR="003B78AF" w:rsidRPr="00E8656C">
        <w:rPr>
          <w:rFonts w:cs="Arial"/>
          <w:b/>
          <w:bCs/>
        </w:rPr>
        <w:fldChar w:fldCharType="separate"/>
      </w:r>
      <w:r w:rsidR="003B78AF" w:rsidRPr="00E8656C">
        <w:rPr>
          <w:rFonts w:cs="Arial"/>
          <w:b/>
          <w:bCs/>
        </w:rPr>
        <w:t xml:space="preserve">Figure </w:t>
      </w:r>
      <w:r w:rsidR="00165095" w:rsidRPr="00E8656C">
        <w:rPr>
          <w:rFonts w:cs="Arial"/>
          <w:b/>
          <w:bCs/>
          <w:noProof/>
        </w:rPr>
        <w:t>22</w:t>
      </w:r>
      <w:r w:rsidR="003B78AF" w:rsidRPr="00E8656C">
        <w:rPr>
          <w:rFonts w:cs="Arial"/>
          <w:b/>
          <w:bCs/>
        </w:rPr>
        <w:fldChar w:fldCharType="end"/>
      </w:r>
      <w:r w:rsidR="00D5436D" w:rsidRPr="00E8656C">
        <w:rPr>
          <w:rFonts w:cs="Arial"/>
          <w:b/>
          <w:bCs/>
        </w:rPr>
        <w:t xml:space="preserve"> </w:t>
      </w:r>
      <w:r w:rsidR="001A442C" w:rsidRPr="00E8656C">
        <w:rPr>
          <w:rFonts w:cs="Arial"/>
        </w:rPr>
        <w:t>use</w:t>
      </w:r>
      <w:r w:rsidRPr="00E8656C">
        <w:rPr>
          <w:rFonts w:cs="Arial"/>
        </w:rPr>
        <w:t xml:space="preserve"> data pooled across two survey years. Consequently, results for NUHEIs are not directly comparable to those for universities. </w:t>
      </w:r>
      <w:r w:rsidR="00334E75" w:rsidRPr="00E8656C">
        <w:rPr>
          <w:rFonts w:cs="Arial"/>
        </w:rPr>
        <w:t>Additionally, results based on fewer than 25 survey responses have not been published.</w:t>
      </w:r>
    </w:p>
    <w:p w14:paraId="3E311406" w14:textId="0C3AF077" w:rsidR="00334E75" w:rsidRPr="00E8656C" w:rsidRDefault="00334E75" w:rsidP="00334E75">
      <w:pPr>
        <w:pStyle w:val="Body"/>
        <w:rPr>
          <w:rFonts w:cs="Arial"/>
        </w:rPr>
      </w:pPr>
      <w:r w:rsidRPr="00E8656C">
        <w:rPr>
          <w:rFonts w:cs="Arial"/>
        </w:rPr>
        <w:t xml:space="preserve">Despite pooling data across two survey years, the confidence intervals for some NUHEIs remain </w:t>
      </w:r>
      <w:r w:rsidR="00B1222D" w:rsidRPr="00E8656C">
        <w:rPr>
          <w:rFonts w:cs="Arial"/>
        </w:rPr>
        <w:t>wide</w:t>
      </w:r>
      <w:r w:rsidR="00AB25C1" w:rsidRPr="00E8656C">
        <w:rPr>
          <w:rFonts w:cs="Arial"/>
        </w:rPr>
        <w:t xml:space="preserve">. </w:t>
      </w:r>
      <w:r w:rsidRPr="00E8656C">
        <w:rPr>
          <w:rFonts w:cs="Arial"/>
        </w:rPr>
        <w:t>Nonetheless, there are NUHEIs where students rated their Overall Educational Experience significantly higher than in other institutions.</w:t>
      </w:r>
    </w:p>
    <w:p w14:paraId="1D04001E" w14:textId="34A6D78E" w:rsidR="00811376" w:rsidRPr="00E8656C" w:rsidRDefault="00811376" w:rsidP="00C019D8">
      <w:pPr>
        <w:pStyle w:val="Body"/>
        <w:rPr>
          <w:rFonts w:cs="Arial"/>
        </w:rPr>
      </w:pPr>
      <w:r w:rsidRPr="00E8656C">
        <w:rPr>
          <w:rFonts w:cs="Arial"/>
        </w:rPr>
        <w:t xml:space="preserve">In </w:t>
      </w:r>
      <w:r w:rsidR="007A11DC" w:rsidRPr="00E8656C">
        <w:rPr>
          <w:rFonts w:cs="Arial"/>
        </w:rPr>
        <w:t>2023</w:t>
      </w:r>
      <w:r w:rsidR="0059773B" w:rsidRPr="00E8656C">
        <w:rPr>
          <w:rFonts w:cs="Arial"/>
        </w:rPr>
        <w:t>–24</w:t>
      </w:r>
      <w:r w:rsidRPr="00E8656C">
        <w:rPr>
          <w:rFonts w:cs="Arial"/>
        </w:rPr>
        <w:t>, 16 NUHEIs had over 90</w:t>
      </w:r>
      <w:r w:rsidR="00E85EC4" w:rsidRPr="00E8656C">
        <w:rPr>
          <w:rFonts w:cs="Arial"/>
        </w:rPr>
        <w:t xml:space="preserve"> per cent</w:t>
      </w:r>
      <w:r w:rsidRPr="00E8656C">
        <w:rPr>
          <w:rFonts w:cs="Arial"/>
        </w:rPr>
        <w:t xml:space="preserve"> of undergraduate students rat</w:t>
      </w:r>
      <w:r w:rsidR="00AE7D1C" w:rsidRPr="00E8656C">
        <w:rPr>
          <w:rFonts w:cs="Arial"/>
        </w:rPr>
        <w:t>ing</w:t>
      </w:r>
      <w:r w:rsidRPr="00E8656C">
        <w:rPr>
          <w:rFonts w:cs="Arial"/>
        </w:rPr>
        <w:t xml:space="preserve"> the</w:t>
      </w:r>
      <w:r w:rsidR="00C65F2B" w:rsidRPr="00E8656C">
        <w:rPr>
          <w:rFonts w:cs="Arial"/>
        </w:rPr>
        <w:t>ir</w:t>
      </w:r>
      <w:r w:rsidRPr="00E8656C">
        <w:rPr>
          <w:rFonts w:cs="Arial"/>
        </w:rPr>
        <w:t xml:space="preserve"> </w:t>
      </w:r>
      <w:r w:rsidR="00E85EC4" w:rsidRPr="00E8656C">
        <w:rPr>
          <w:rFonts w:cs="Arial"/>
        </w:rPr>
        <w:t>Overall Educational Experience</w:t>
      </w:r>
      <w:r w:rsidRPr="00E8656C">
        <w:rPr>
          <w:rFonts w:cs="Arial"/>
        </w:rPr>
        <w:t xml:space="preserve"> positively</w:t>
      </w:r>
      <w:r w:rsidR="00AE7D1C" w:rsidRPr="00E8656C">
        <w:rPr>
          <w:rFonts w:cs="Arial"/>
        </w:rPr>
        <w:t>;</w:t>
      </w:r>
      <w:r w:rsidRPr="00E8656C">
        <w:rPr>
          <w:rFonts w:cs="Arial"/>
        </w:rPr>
        <w:t xml:space="preserve"> with the </w:t>
      </w:r>
      <w:proofErr w:type="spellStart"/>
      <w:r w:rsidRPr="00E8656C">
        <w:rPr>
          <w:rFonts w:cs="Arial"/>
        </w:rPr>
        <w:t>Cairnmiller</w:t>
      </w:r>
      <w:proofErr w:type="spellEnd"/>
      <w:r w:rsidRPr="00E8656C">
        <w:rPr>
          <w:rFonts w:cs="Arial"/>
        </w:rPr>
        <w:t xml:space="preserve"> Institute achieving 100% and several others over 95%. Conversely, 17 institutions had scores below 70%, including SP Jain School of Management, Kent Institute Australia, Think Education</w:t>
      </w:r>
      <w:r w:rsidR="0003474E" w:rsidRPr="00E8656C">
        <w:rPr>
          <w:rFonts w:cs="Arial"/>
        </w:rPr>
        <w:t xml:space="preserve"> Group</w:t>
      </w:r>
      <w:r w:rsidRPr="00E8656C">
        <w:rPr>
          <w:rFonts w:cs="Arial"/>
        </w:rPr>
        <w:t xml:space="preserve">, and Crown Institute of Higher Education, </w:t>
      </w:r>
      <w:r w:rsidR="00AE7D1C" w:rsidRPr="00E8656C">
        <w:rPr>
          <w:rFonts w:cs="Arial"/>
        </w:rPr>
        <w:t xml:space="preserve">which </w:t>
      </w:r>
      <w:r w:rsidR="00C65F2B" w:rsidRPr="00E8656C">
        <w:rPr>
          <w:rFonts w:cs="Arial"/>
        </w:rPr>
        <w:t xml:space="preserve">all </w:t>
      </w:r>
      <w:r w:rsidRPr="00E8656C">
        <w:rPr>
          <w:rFonts w:cs="Arial"/>
        </w:rPr>
        <w:t>had ratings below 65%.</w:t>
      </w:r>
      <w:r w:rsidR="00A60CC4" w:rsidRPr="00E8656C">
        <w:rPr>
          <w:rFonts w:cs="Arial"/>
        </w:rPr>
        <w:t xml:space="preserve"> </w:t>
      </w:r>
      <w:r w:rsidR="00CA4EB4" w:rsidRPr="00E8656C">
        <w:rPr>
          <w:rFonts w:cs="Arial"/>
          <w:b/>
          <w:bCs/>
        </w:rPr>
        <w:fldChar w:fldCharType="begin"/>
      </w:r>
      <w:r w:rsidR="00CA4EB4" w:rsidRPr="00E8656C">
        <w:rPr>
          <w:rFonts w:cs="Arial"/>
          <w:b/>
          <w:bCs/>
        </w:rPr>
        <w:instrText xml:space="preserve"> REF _Ref175677425 \h  \* MERGEFORMAT </w:instrText>
      </w:r>
      <w:r w:rsidR="00CA4EB4" w:rsidRPr="00E8656C">
        <w:rPr>
          <w:rFonts w:cs="Arial"/>
          <w:b/>
          <w:bCs/>
        </w:rPr>
      </w:r>
      <w:r w:rsidR="00CA4EB4" w:rsidRPr="00E8656C">
        <w:rPr>
          <w:rFonts w:cs="Arial"/>
          <w:b/>
          <w:bCs/>
        </w:rPr>
        <w:fldChar w:fldCharType="separate"/>
      </w:r>
      <w:r w:rsidR="00D77420" w:rsidRPr="00E8656C">
        <w:rPr>
          <w:rFonts w:cs="Arial"/>
          <w:b/>
          <w:bCs/>
        </w:rPr>
        <w:t xml:space="preserve">Figure </w:t>
      </w:r>
      <w:r w:rsidR="00165095" w:rsidRPr="00E8656C">
        <w:rPr>
          <w:rFonts w:cs="Arial"/>
          <w:b/>
          <w:bCs/>
          <w:noProof/>
        </w:rPr>
        <w:t>21</w:t>
      </w:r>
      <w:r w:rsidR="00CA4EB4" w:rsidRPr="00E8656C">
        <w:rPr>
          <w:rFonts w:cs="Arial"/>
          <w:b/>
          <w:bCs/>
        </w:rPr>
        <w:fldChar w:fldCharType="end"/>
      </w:r>
      <w:r w:rsidR="00CA4EB4" w:rsidRPr="00E8656C">
        <w:rPr>
          <w:rFonts w:cs="Arial"/>
          <w:b/>
          <w:bCs/>
        </w:rPr>
        <w:t xml:space="preserve"> </w:t>
      </w:r>
      <w:r w:rsidRPr="00E8656C">
        <w:rPr>
          <w:rFonts w:cs="Arial"/>
        </w:rPr>
        <w:t xml:space="preserve">shows clear differences between higher and lower scoring institutions, indicating </w:t>
      </w:r>
      <w:r w:rsidR="00CC018D" w:rsidRPr="00E8656C">
        <w:rPr>
          <w:rFonts w:cs="Arial"/>
        </w:rPr>
        <w:t xml:space="preserve">wide </w:t>
      </w:r>
      <w:r w:rsidRPr="00E8656C">
        <w:rPr>
          <w:rFonts w:cs="Arial"/>
        </w:rPr>
        <w:t>variation in student ratings.</w:t>
      </w:r>
    </w:p>
    <w:p w14:paraId="789B0B16" w14:textId="0FCF7168" w:rsidR="002F61DC" w:rsidRPr="00E8656C" w:rsidRDefault="00A72E53" w:rsidP="005A5905">
      <w:pPr>
        <w:pStyle w:val="Body"/>
        <w:rPr>
          <w:rFonts w:cs="Arial"/>
        </w:rPr>
      </w:pPr>
      <w:r w:rsidRPr="00E8656C">
        <w:rPr>
          <w:rFonts w:cs="Arial"/>
        </w:rPr>
        <w:t>Postgraduate coursework student ratings of the</w:t>
      </w:r>
      <w:r w:rsidR="00F525E3" w:rsidRPr="00E8656C">
        <w:rPr>
          <w:rFonts w:cs="Arial"/>
        </w:rPr>
        <w:t>ir Overall Educational Experience</w:t>
      </w:r>
      <w:r w:rsidRPr="00E8656C">
        <w:rPr>
          <w:rFonts w:cs="Arial"/>
        </w:rPr>
        <w:t xml:space="preserve"> </w:t>
      </w:r>
      <w:r w:rsidR="0054665C" w:rsidRPr="00E8656C">
        <w:rPr>
          <w:rFonts w:cs="Arial"/>
        </w:rPr>
        <w:t xml:space="preserve">tend to </w:t>
      </w:r>
      <w:r w:rsidRPr="00E8656C">
        <w:rPr>
          <w:rFonts w:cs="Arial"/>
        </w:rPr>
        <w:t>have larger confidence intervals due to the small number of responses</w:t>
      </w:r>
      <w:r w:rsidR="00F525E3" w:rsidRPr="00E8656C">
        <w:rPr>
          <w:rFonts w:cs="Arial"/>
        </w:rPr>
        <w:t xml:space="preserve"> (</w:t>
      </w:r>
      <w:r w:rsidR="00CA4EB4" w:rsidRPr="00E8656C">
        <w:rPr>
          <w:rFonts w:cs="Arial"/>
          <w:b/>
          <w:bCs/>
        </w:rPr>
        <w:fldChar w:fldCharType="begin"/>
      </w:r>
      <w:r w:rsidR="00CA4EB4" w:rsidRPr="00E8656C">
        <w:rPr>
          <w:rFonts w:cs="Arial"/>
          <w:b/>
          <w:bCs/>
        </w:rPr>
        <w:instrText xml:space="preserve"> REF _Ref195539901 \h  \* MERGEFORMAT </w:instrText>
      </w:r>
      <w:r w:rsidR="00CA4EB4" w:rsidRPr="00E8656C">
        <w:rPr>
          <w:rFonts w:cs="Arial"/>
          <w:b/>
          <w:bCs/>
        </w:rPr>
      </w:r>
      <w:r w:rsidR="00CA4EB4" w:rsidRPr="00E8656C">
        <w:rPr>
          <w:rFonts w:cs="Arial"/>
          <w:b/>
          <w:bCs/>
        </w:rPr>
        <w:fldChar w:fldCharType="separate"/>
      </w:r>
      <w:r w:rsidR="00CA4EB4" w:rsidRPr="00E8656C">
        <w:rPr>
          <w:rFonts w:cs="Arial"/>
          <w:b/>
          <w:bCs/>
        </w:rPr>
        <w:t xml:space="preserve">Figure </w:t>
      </w:r>
      <w:r w:rsidR="00165095" w:rsidRPr="00E8656C">
        <w:rPr>
          <w:rFonts w:cs="Arial"/>
          <w:b/>
          <w:bCs/>
          <w:noProof/>
        </w:rPr>
        <w:t>22</w:t>
      </w:r>
      <w:r w:rsidR="00CA4EB4" w:rsidRPr="00E8656C">
        <w:rPr>
          <w:rFonts w:cs="Arial"/>
          <w:b/>
          <w:bCs/>
        </w:rPr>
        <w:fldChar w:fldCharType="end"/>
      </w:r>
      <w:r w:rsidR="003C5DDE" w:rsidRPr="00E8656C">
        <w:rPr>
          <w:rFonts w:cs="Arial"/>
        </w:rPr>
        <w:t>)</w:t>
      </w:r>
      <w:r w:rsidRPr="00E8656C">
        <w:rPr>
          <w:rFonts w:cs="Arial"/>
        </w:rPr>
        <w:t>. The Leaders Institute, Nan Tien Institute, The MIECAT Institute, and the Australian College of Theology had the highest positive ratings aggregated over 2023</w:t>
      </w:r>
      <w:r w:rsidR="0059773B" w:rsidRPr="00E8656C">
        <w:rPr>
          <w:rFonts w:cs="Arial"/>
        </w:rPr>
        <w:t>–</w:t>
      </w:r>
      <w:r w:rsidR="00293CD6" w:rsidRPr="00E8656C">
        <w:rPr>
          <w:rFonts w:cs="Arial"/>
        </w:rPr>
        <w:t>24</w:t>
      </w:r>
      <w:r w:rsidRPr="00E8656C">
        <w:rPr>
          <w:rFonts w:cs="Arial"/>
        </w:rPr>
        <w:t>. Conversely, Southern Cross Education Institute (Higher Education), ISN Psychology, Chartered Accountants Australia and New Zealand, and The JMC Academy recorded relatively low scores.</w:t>
      </w:r>
      <w:bookmarkEnd w:id="91"/>
    </w:p>
    <w:p w14:paraId="35E45304" w14:textId="77777777" w:rsidR="002F61DC" w:rsidRPr="00E8656C" w:rsidRDefault="002F61DC" w:rsidP="005A5905">
      <w:pPr>
        <w:pStyle w:val="Body"/>
        <w:rPr>
          <w:rFonts w:cs="Arial"/>
        </w:rPr>
        <w:sectPr w:rsidR="002F61DC" w:rsidRPr="00E8656C" w:rsidSect="00606543">
          <w:headerReference w:type="default" r:id="rId77"/>
          <w:type w:val="continuous"/>
          <w:pgSz w:w="11900" w:h="16840"/>
          <w:pgMar w:top="720" w:right="720" w:bottom="720" w:left="720" w:header="397" w:footer="170" w:gutter="0"/>
          <w:cols w:space="708"/>
          <w:docGrid w:linePitch="360"/>
        </w:sectPr>
      </w:pPr>
    </w:p>
    <w:p w14:paraId="11057A8C" w14:textId="50F3E21B" w:rsidR="003C5871" w:rsidRPr="00E8656C" w:rsidRDefault="003C5871" w:rsidP="00695177">
      <w:pPr>
        <w:pStyle w:val="Caption"/>
      </w:pPr>
      <w:bookmarkStart w:id="92" w:name="_Ref175677425"/>
      <w:bookmarkStart w:id="93" w:name="_Toc201065571"/>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21</w:t>
      </w:r>
      <w:r w:rsidR="00EA0581" w:rsidRPr="00E8656C">
        <w:rPr>
          <w:noProof/>
        </w:rPr>
        <w:fldChar w:fldCharType="end"/>
      </w:r>
      <w:bookmarkEnd w:id="92"/>
      <w:r w:rsidR="0066499D" w:rsidRPr="00E8656C">
        <w:tab/>
      </w:r>
      <w:r w:rsidR="0099096C" w:rsidRPr="00E8656C">
        <w:t>Overall Educational Experience</w:t>
      </w:r>
      <w:r w:rsidRPr="00E8656C">
        <w:t xml:space="preserve"> for</w:t>
      </w:r>
      <w:r w:rsidR="007B2FAF" w:rsidRPr="00E8656C">
        <w:t xml:space="preserve"> undergraduate</w:t>
      </w:r>
      <w:r w:rsidRPr="00E8656C">
        <w:t xml:space="preserve"> </w:t>
      </w:r>
      <w:r w:rsidR="007B2FAF" w:rsidRPr="00E8656C">
        <w:t>non-university</w:t>
      </w:r>
      <w:r w:rsidRPr="00E8656C">
        <w:t xml:space="preserve"> </w:t>
      </w:r>
      <w:r w:rsidR="004C53CF" w:rsidRPr="00E8656C">
        <w:t xml:space="preserve">higher education institution (NUHEI) </w:t>
      </w:r>
      <w:r w:rsidRPr="00E8656C">
        <w:t xml:space="preserve">students, </w:t>
      </w:r>
      <w:r w:rsidR="004C53CF" w:rsidRPr="00E8656C">
        <w:t>pooled 202</w:t>
      </w:r>
      <w:r w:rsidR="002F61DC" w:rsidRPr="00E8656C">
        <w:t>3</w:t>
      </w:r>
      <w:r w:rsidR="0059773B" w:rsidRPr="00E8656C">
        <w:t>–</w:t>
      </w:r>
      <w:r w:rsidR="00293CD6" w:rsidRPr="00E8656C">
        <w:t>24</w:t>
      </w:r>
      <w:r w:rsidRPr="00E8656C">
        <w:t xml:space="preserve"> (% positive rating)</w:t>
      </w:r>
      <w:bookmarkEnd w:id="93"/>
    </w:p>
    <w:p w14:paraId="472E2B49" w14:textId="7E265F53" w:rsidR="00961AC5" w:rsidRPr="00E8656C" w:rsidRDefault="00961AC5" w:rsidP="00A01584">
      <w:pPr>
        <w:pStyle w:val="Body"/>
        <w:rPr>
          <w:rFonts w:cs="Arial"/>
        </w:rPr>
      </w:pPr>
      <w:r w:rsidRPr="00E8656C">
        <w:rPr>
          <w:rFonts w:cs="Arial"/>
          <w:lang w:eastAsia="en-AU"/>
        </w:rPr>
        <w:t xml:space="preserve">(Source: </w:t>
      </w:r>
      <w:r w:rsidR="009E3DE2" w:rsidRPr="00E8656C">
        <w:rPr>
          <w:rFonts w:cs="Arial"/>
          <w:lang w:eastAsia="en-AU"/>
        </w:rPr>
        <w:t>FOCUS_UG_NUHEI_2YP_INST_CI</w:t>
      </w:r>
      <w:r w:rsidR="001107D1" w:rsidRPr="00E8656C">
        <w:rPr>
          <w:rFonts w:cs="Arial"/>
          <w:lang w:eastAsia="en-AU"/>
        </w:rPr>
        <w:t>)</w:t>
      </w:r>
    </w:p>
    <w:p w14:paraId="6FCED51E" w14:textId="3123020E" w:rsidR="003C5871" w:rsidRPr="00E8656C" w:rsidRDefault="002F61DC" w:rsidP="00F46431">
      <w:pPr>
        <w:pStyle w:val="Body"/>
        <w:keepNext/>
        <w:rPr>
          <w:rFonts w:cs="Arial"/>
        </w:rPr>
      </w:pPr>
      <w:r w:rsidRPr="00E8656C">
        <w:rPr>
          <w:rFonts w:cs="Arial"/>
          <w:noProof/>
        </w:rPr>
        <w:drawing>
          <wp:inline distT="0" distB="0" distL="0" distR="0" wp14:anchorId="271299D2" wp14:editId="7C31AC64">
            <wp:extent cx="10179050" cy="5181600"/>
            <wp:effectExtent l="0" t="0" r="0" b="0"/>
            <wp:docPr id="288902966" name="Chart 1">
              <a:extLst xmlns:a="http://schemas.openxmlformats.org/drawingml/2006/main">
                <a:ext uri="{FF2B5EF4-FFF2-40B4-BE49-F238E27FC236}">
                  <a16:creationId xmlns:a16="http://schemas.microsoft.com/office/drawing/2014/main" id="{2DC9BBBD-18C5-7993-61E1-1532766FFDB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7AC62EF" w14:textId="77777777" w:rsidR="002F61DC" w:rsidRPr="00E8656C" w:rsidRDefault="002F61DC">
      <w:pPr>
        <w:spacing w:after="160" w:line="259" w:lineRule="auto"/>
        <w:rPr>
          <w:rFonts w:eastAsia="Times New Roman" w:cs="Arial"/>
          <w:b/>
          <w:bCs/>
          <w:sz w:val="21"/>
          <w:szCs w:val="21"/>
          <w:lang w:eastAsia="en-AU"/>
        </w:rPr>
      </w:pPr>
      <w:r w:rsidRPr="00E8656C">
        <w:rPr>
          <w:rFonts w:cs="Arial"/>
        </w:rPr>
        <w:br w:type="page"/>
      </w:r>
    </w:p>
    <w:p w14:paraId="6F8E5893" w14:textId="3FAE8CA7" w:rsidR="007B2FAF" w:rsidRPr="00E8656C" w:rsidRDefault="007B2FAF" w:rsidP="00695177">
      <w:pPr>
        <w:pStyle w:val="Caption"/>
      </w:pPr>
      <w:bookmarkStart w:id="94" w:name="_Ref195539901"/>
      <w:bookmarkStart w:id="95" w:name="_Toc201065572"/>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22</w:t>
      </w:r>
      <w:r w:rsidR="00EA0581" w:rsidRPr="00E8656C">
        <w:rPr>
          <w:noProof/>
        </w:rPr>
        <w:fldChar w:fldCharType="end"/>
      </w:r>
      <w:bookmarkEnd w:id="94"/>
      <w:r w:rsidR="0066499D" w:rsidRPr="00E8656C">
        <w:tab/>
      </w:r>
      <w:r w:rsidR="0099096C" w:rsidRPr="00E8656C">
        <w:t>Overall Educational Experience</w:t>
      </w:r>
      <w:r w:rsidR="004C53CF" w:rsidRPr="00E8656C">
        <w:t xml:space="preserve"> for postgraduate coursework non-university higher education institution (NUHEI) students, pooled 202</w:t>
      </w:r>
      <w:r w:rsidR="00AD2A6C" w:rsidRPr="00E8656C">
        <w:t>3</w:t>
      </w:r>
      <w:r w:rsidR="0059773B" w:rsidRPr="00E8656C">
        <w:t>–</w:t>
      </w:r>
      <w:r w:rsidR="00293CD6" w:rsidRPr="00E8656C">
        <w:t>24</w:t>
      </w:r>
      <w:r w:rsidR="004C53CF" w:rsidRPr="00E8656C">
        <w:t xml:space="preserve"> (% positive rating)</w:t>
      </w:r>
      <w:bookmarkEnd w:id="95"/>
    </w:p>
    <w:p w14:paraId="36B60B8E" w14:textId="5839F696" w:rsidR="00914C72" w:rsidRPr="00E8656C" w:rsidRDefault="00380967" w:rsidP="00165095">
      <w:pPr>
        <w:pStyle w:val="Body"/>
        <w:rPr>
          <w:rFonts w:cs="Arial"/>
        </w:rPr>
        <w:sectPr w:rsidR="00914C72" w:rsidRPr="00E8656C" w:rsidSect="003C5871">
          <w:headerReference w:type="default" r:id="rId79"/>
          <w:pgSz w:w="16840" w:h="11900" w:orient="landscape"/>
          <w:pgMar w:top="720" w:right="720" w:bottom="720" w:left="720" w:header="397" w:footer="170" w:gutter="0"/>
          <w:cols w:space="708"/>
          <w:docGrid w:linePitch="360"/>
        </w:sectPr>
      </w:pPr>
      <w:r w:rsidRPr="00E8656C">
        <w:rPr>
          <w:rFonts w:cs="Arial"/>
          <w:sz w:val="18"/>
          <w:szCs w:val="18"/>
          <w:lang w:eastAsia="en-AU"/>
        </w:rPr>
        <w:t xml:space="preserve">(Source: </w:t>
      </w:r>
      <w:r w:rsidR="00A04BB1" w:rsidRPr="00E8656C">
        <w:rPr>
          <w:rFonts w:cs="Arial"/>
          <w:sz w:val="18"/>
          <w:szCs w:val="18"/>
          <w:lang w:eastAsia="en-AU"/>
        </w:rPr>
        <w:t>FOCUS_PGC_NUHEI_2YP_INST_CI</w:t>
      </w:r>
      <w:r w:rsidRPr="00E8656C">
        <w:rPr>
          <w:rFonts w:cs="Arial"/>
          <w:sz w:val="18"/>
          <w:szCs w:val="18"/>
          <w:lang w:eastAsia="en-AU"/>
        </w:rPr>
        <w:t>)</w:t>
      </w:r>
      <w:r w:rsidR="00822692" w:rsidRPr="00E8656C">
        <w:rPr>
          <w:rFonts w:cs="Arial"/>
          <w:noProof/>
        </w:rPr>
        <w:drawing>
          <wp:inline distT="0" distB="0" distL="0" distR="0" wp14:anchorId="1078A45E" wp14:editId="2656B4F1">
            <wp:extent cx="9591675" cy="5934075"/>
            <wp:effectExtent l="0" t="0" r="0" b="0"/>
            <wp:docPr id="960102184" name="Chart 1">
              <a:extLst xmlns:a="http://schemas.openxmlformats.org/drawingml/2006/main">
                <a:ext uri="{FF2B5EF4-FFF2-40B4-BE49-F238E27FC236}">
                  <a16:creationId xmlns:a16="http://schemas.microsoft.com/office/drawing/2014/main" id="{7DDBB909-B4FC-146A-B7AD-6E2866FD529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A1D9E91" w14:textId="1AAF66A5" w:rsidR="00BF2833" w:rsidRPr="00E8656C" w:rsidRDefault="00BF2833" w:rsidP="00503CCB">
      <w:pPr>
        <w:pStyle w:val="Heading1"/>
        <w:rPr>
          <w:rFonts w:cs="Arial"/>
          <w:color w:val="auto"/>
        </w:rPr>
      </w:pPr>
      <w:bookmarkStart w:id="96" w:name="_Toc207802606"/>
      <w:r w:rsidRPr="00E8656C">
        <w:rPr>
          <w:rFonts w:cs="Arial"/>
          <w:color w:val="auto"/>
        </w:rPr>
        <w:lastRenderedPageBreak/>
        <w:t xml:space="preserve">Other </w:t>
      </w:r>
      <w:r w:rsidR="00235208" w:rsidRPr="00E8656C">
        <w:rPr>
          <w:rFonts w:cs="Arial"/>
          <w:color w:val="auto"/>
        </w:rPr>
        <w:t>aspects</w:t>
      </w:r>
      <w:r w:rsidR="00D663B4" w:rsidRPr="00E8656C">
        <w:rPr>
          <w:rFonts w:cs="Arial"/>
          <w:color w:val="auto"/>
        </w:rPr>
        <w:t xml:space="preserve"> of the student experience</w:t>
      </w:r>
      <w:bookmarkEnd w:id="96"/>
    </w:p>
    <w:p w14:paraId="6F31B7D3" w14:textId="1AB8DE9C" w:rsidR="00504C1F" w:rsidRPr="00E8656C" w:rsidRDefault="00504C1F" w:rsidP="00504C1F">
      <w:pPr>
        <w:pStyle w:val="Body"/>
        <w:rPr>
          <w:rFonts w:cs="Arial"/>
        </w:rPr>
      </w:pPr>
      <w:r w:rsidRPr="00E8656C">
        <w:rPr>
          <w:rFonts w:cs="Arial"/>
        </w:rPr>
        <w:t xml:space="preserve">This section </w:t>
      </w:r>
      <w:r w:rsidR="00A977CB" w:rsidRPr="00E8656C">
        <w:rPr>
          <w:rFonts w:cs="Arial"/>
        </w:rPr>
        <w:t xml:space="preserve">explores aspects of the educational experience beyond the five focus areas including </w:t>
      </w:r>
      <w:r w:rsidRPr="00E8656C">
        <w:rPr>
          <w:rFonts w:cs="Arial"/>
        </w:rPr>
        <w:t xml:space="preserve">students' sense of belonging to their institution, </w:t>
      </w:r>
      <w:r w:rsidR="005C7FE3" w:rsidRPr="00E8656C">
        <w:rPr>
          <w:rFonts w:cs="Arial"/>
        </w:rPr>
        <w:t xml:space="preserve">whether they </w:t>
      </w:r>
      <w:r w:rsidRPr="00E8656C">
        <w:rPr>
          <w:rFonts w:cs="Arial"/>
        </w:rPr>
        <w:t>consider</w:t>
      </w:r>
      <w:r w:rsidR="005C7FE3" w:rsidRPr="00E8656C">
        <w:rPr>
          <w:rFonts w:cs="Arial"/>
        </w:rPr>
        <w:t>ed</w:t>
      </w:r>
      <w:r w:rsidRPr="00E8656C">
        <w:rPr>
          <w:rFonts w:cs="Arial"/>
        </w:rPr>
        <w:t xml:space="preserve"> leaving </w:t>
      </w:r>
      <w:r w:rsidR="005C7FE3" w:rsidRPr="00E8656C">
        <w:rPr>
          <w:rFonts w:cs="Arial"/>
        </w:rPr>
        <w:t xml:space="preserve">their institution </w:t>
      </w:r>
      <w:r w:rsidRPr="00E8656C">
        <w:rPr>
          <w:rFonts w:cs="Arial"/>
        </w:rPr>
        <w:t xml:space="preserve">within the </w:t>
      </w:r>
      <w:r w:rsidR="00AE64C8" w:rsidRPr="00E8656C">
        <w:rPr>
          <w:rFonts w:cs="Arial"/>
        </w:rPr>
        <w:t>survey</w:t>
      </w:r>
      <w:r w:rsidRPr="00E8656C">
        <w:rPr>
          <w:rFonts w:cs="Arial"/>
        </w:rPr>
        <w:t xml:space="preserve"> year, and the main reasons for such consideration.</w:t>
      </w:r>
    </w:p>
    <w:p w14:paraId="616600E7" w14:textId="4017C233" w:rsidR="00504C1F" w:rsidRPr="00E8656C" w:rsidRDefault="00504C1F" w:rsidP="00504C1F">
      <w:pPr>
        <w:pStyle w:val="Body"/>
        <w:rPr>
          <w:rFonts w:cs="Arial"/>
        </w:rPr>
      </w:pPr>
      <w:r w:rsidRPr="00E8656C">
        <w:rPr>
          <w:rFonts w:cs="Arial"/>
        </w:rPr>
        <w:t xml:space="preserve">Additionally, this section addresses student ratings of 'Freedom of Expression,' which includes </w:t>
      </w:r>
      <w:r w:rsidR="0037014D" w:rsidRPr="00E8656C">
        <w:rPr>
          <w:rFonts w:cs="Arial"/>
        </w:rPr>
        <w:t xml:space="preserve">perceptions of </w:t>
      </w:r>
      <w:r w:rsidR="00E016EA" w:rsidRPr="00E8656C">
        <w:rPr>
          <w:rFonts w:cs="Arial"/>
        </w:rPr>
        <w:t>whether students</w:t>
      </w:r>
      <w:r w:rsidRPr="00E8656C">
        <w:rPr>
          <w:rFonts w:cs="Arial"/>
        </w:rPr>
        <w:t xml:space="preserve"> and academics </w:t>
      </w:r>
      <w:r w:rsidR="003060D2" w:rsidRPr="00E8656C">
        <w:rPr>
          <w:rFonts w:cs="Arial"/>
        </w:rPr>
        <w:t>are</w:t>
      </w:r>
      <w:r w:rsidRPr="00E8656C">
        <w:rPr>
          <w:rFonts w:cs="Arial"/>
        </w:rPr>
        <w:t xml:space="preserve"> free to express their views and whether students feel free from discrimination, harm, or hatred.</w:t>
      </w:r>
    </w:p>
    <w:p w14:paraId="0ABD826C" w14:textId="6F885155" w:rsidR="00284016" w:rsidRPr="00E8656C" w:rsidRDefault="00284016" w:rsidP="00AA7E2D">
      <w:pPr>
        <w:pStyle w:val="Heading2"/>
        <w:rPr>
          <w:color w:val="auto"/>
        </w:rPr>
      </w:pPr>
      <w:bookmarkStart w:id="97" w:name="_Toc207802607"/>
      <w:r w:rsidRPr="00E8656C">
        <w:rPr>
          <w:color w:val="auto"/>
        </w:rPr>
        <w:t xml:space="preserve">Sense of </w:t>
      </w:r>
      <w:r w:rsidR="002B0A61" w:rsidRPr="00E8656C">
        <w:rPr>
          <w:color w:val="auto"/>
        </w:rPr>
        <w:t>b</w:t>
      </w:r>
      <w:r w:rsidRPr="00E8656C">
        <w:rPr>
          <w:color w:val="auto"/>
        </w:rPr>
        <w:t>elonging</w:t>
      </w:r>
      <w:bookmarkEnd w:id="97"/>
    </w:p>
    <w:p w14:paraId="2341252E" w14:textId="405B05EB" w:rsidR="00284016" w:rsidRPr="00E8656C" w:rsidRDefault="00284016" w:rsidP="00284016">
      <w:pPr>
        <w:pStyle w:val="Body"/>
        <w:rPr>
          <w:rFonts w:cs="Arial"/>
        </w:rPr>
      </w:pPr>
      <w:r w:rsidRPr="00E8656C">
        <w:rPr>
          <w:rFonts w:cs="Arial"/>
        </w:rPr>
        <w:t xml:space="preserve">Sense of </w:t>
      </w:r>
      <w:r w:rsidR="00266068" w:rsidRPr="00E8656C">
        <w:rPr>
          <w:rFonts w:cs="Arial"/>
        </w:rPr>
        <w:t>b</w:t>
      </w:r>
      <w:r w:rsidRPr="00E8656C">
        <w:rPr>
          <w:rFonts w:cs="Arial"/>
        </w:rPr>
        <w:t>elonging relates to feelings of connectedness, inclusion and being accepted and valued by others</w:t>
      </w:r>
      <w:r w:rsidR="00365FA4" w:rsidRPr="00E8656C">
        <w:rPr>
          <w:rFonts w:cs="Arial"/>
        </w:rPr>
        <w:t>.</w:t>
      </w:r>
      <w:r w:rsidRPr="00E8656C">
        <w:rPr>
          <w:rStyle w:val="FootnoteReference"/>
          <w:rFonts w:cs="Arial"/>
        </w:rPr>
        <w:footnoteReference w:id="10"/>
      </w:r>
      <w:r w:rsidRPr="00E8656C">
        <w:rPr>
          <w:rFonts w:cs="Arial"/>
        </w:rPr>
        <w:t xml:space="preserve"> Research has shown that a student’s sense of belonging among peers and at the institution is linked with academic achievement, personal wellbeing, student satisfaction and attrition</w:t>
      </w:r>
      <w:r w:rsidR="00365FA4" w:rsidRPr="00E8656C">
        <w:rPr>
          <w:rFonts w:cs="Arial"/>
        </w:rPr>
        <w:t>.</w:t>
      </w:r>
      <w:r w:rsidRPr="00E8656C">
        <w:rPr>
          <w:rStyle w:val="FootnoteReference"/>
          <w:rFonts w:cs="Arial"/>
        </w:rPr>
        <w:footnoteReference w:id="11"/>
      </w:r>
      <w:r w:rsidRPr="00E8656C">
        <w:rPr>
          <w:rFonts w:cs="Arial"/>
        </w:rPr>
        <w:t xml:space="preserve"> </w:t>
      </w:r>
      <w:r w:rsidR="009A5192" w:rsidRPr="00E8656C">
        <w:rPr>
          <w:rFonts w:cs="Arial"/>
        </w:rPr>
        <w:t xml:space="preserve">This item was included in the Peer Engagement </w:t>
      </w:r>
      <w:r w:rsidR="001D14E4" w:rsidRPr="00E8656C">
        <w:rPr>
          <w:rFonts w:cs="Arial"/>
        </w:rPr>
        <w:t>focus area prior to 2023 but has been a stand-alone question in the SES in 2023 and 2024.</w:t>
      </w:r>
    </w:p>
    <w:p w14:paraId="06AF2D5B" w14:textId="096BAE7D" w:rsidR="0034386D" w:rsidRPr="00E8656C" w:rsidRDefault="0034386D" w:rsidP="00284016">
      <w:pPr>
        <w:pStyle w:val="Body"/>
        <w:rPr>
          <w:rFonts w:cs="Arial"/>
        </w:rPr>
      </w:pPr>
      <w:r w:rsidRPr="00E8656C">
        <w:rPr>
          <w:rFonts w:cs="Arial"/>
        </w:rPr>
        <w:t xml:space="preserve">This sense of belonging is highly associated with students’ overall educational experience and items from the Student Support and Services, such as orientation and induction activities and Teaching Quality and Engagement focus </w:t>
      </w:r>
      <w:proofErr w:type="gramStart"/>
      <w:r w:rsidRPr="00E8656C">
        <w:rPr>
          <w:rFonts w:cs="Arial"/>
        </w:rPr>
        <w:t>areas in particular</w:t>
      </w:r>
      <w:proofErr w:type="gramEnd"/>
      <w:r w:rsidRPr="00E8656C">
        <w:rPr>
          <w:rFonts w:cs="Arial"/>
        </w:rPr>
        <w:t>.</w:t>
      </w:r>
    </w:p>
    <w:p w14:paraId="4AB7D4F5" w14:textId="4CDD32F4" w:rsidR="009D20C1" w:rsidRPr="00E8656C" w:rsidRDefault="00D453E3" w:rsidP="009D20C1">
      <w:pPr>
        <w:pStyle w:val="Body"/>
        <w:rPr>
          <w:rFonts w:cs="Arial"/>
        </w:rPr>
      </w:pPr>
      <w:r w:rsidRPr="00E8656C">
        <w:rPr>
          <w:rFonts w:cs="Arial"/>
        </w:rPr>
        <w:t xml:space="preserve">Overall, students’ ratings of their sense of belonging to their institution </w:t>
      </w:r>
      <w:r w:rsidR="008B0CDA" w:rsidRPr="00E8656C">
        <w:rPr>
          <w:rFonts w:cs="Arial"/>
        </w:rPr>
        <w:t>has remained</w:t>
      </w:r>
      <w:r w:rsidR="00531F35" w:rsidRPr="00E8656C">
        <w:rPr>
          <w:rFonts w:cs="Arial"/>
        </w:rPr>
        <w:t xml:space="preserve"> relatively low compared to other measures of the student experience. </w:t>
      </w:r>
      <w:r w:rsidR="00405E47" w:rsidRPr="00E8656C">
        <w:rPr>
          <w:rFonts w:cs="Arial"/>
        </w:rPr>
        <w:t>Positive</w:t>
      </w:r>
      <w:r w:rsidR="009D20C1" w:rsidRPr="00E8656C">
        <w:rPr>
          <w:rFonts w:cs="Arial"/>
        </w:rPr>
        <w:t xml:space="preserve"> ratings of </w:t>
      </w:r>
      <w:r w:rsidR="00405E47" w:rsidRPr="00E8656C">
        <w:rPr>
          <w:rFonts w:cs="Arial"/>
        </w:rPr>
        <w:t>student</w:t>
      </w:r>
      <w:r w:rsidR="005D4904" w:rsidRPr="00E8656C">
        <w:rPr>
          <w:rFonts w:cs="Arial"/>
        </w:rPr>
        <w:t xml:space="preserve">s’ </w:t>
      </w:r>
      <w:r w:rsidR="00405E47" w:rsidRPr="00E8656C">
        <w:rPr>
          <w:rFonts w:cs="Arial"/>
        </w:rPr>
        <w:t>s</w:t>
      </w:r>
      <w:r w:rsidR="009D20C1" w:rsidRPr="00E8656C">
        <w:rPr>
          <w:rFonts w:cs="Arial"/>
        </w:rPr>
        <w:t xml:space="preserve">ense of </w:t>
      </w:r>
      <w:r w:rsidR="005D4904" w:rsidRPr="00E8656C">
        <w:rPr>
          <w:rFonts w:cs="Arial"/>
        </w:rPr>
        <w:t>b</w:t>
      </w:r>
      <w:r w:rsidR="009D20C1" w:rsidRPr="00E8656C">
        <w:rPr>
          <w:rFonts w:cs="Arial"/>
        </w:rPr>
        <w:t xml:space="preserve">elonging </w:t>
      </w:r>
      <w:r w:rsidR="005D4904" w:rsidRPr="00E8656C">
        <w:rPr>
          <w:rFonts w:cs="Arial"/>
        </w:rPr>
        <w:t>to their institution</w:t>
      </w:r>
      <w:r w:rsidR="009D20C1" w:rsidRPr="00E8656C">
        <w:rPr>
          <w:rFonts w:cs="Arial"/>
        </w:rPr>
        <w:t xml:space="preserve"> dropped significantly in 2020 </w:t>
      </w:r>
      <w:r w:rsidR="007745DB" w:rsidRPr="00E8656C">
        <w:rPr>
          <w:rFonts w:cs="Arial"/>
        </w:rPr>
        <w:t>during</w:t>
      </w:r>
      <w:r w:rsidR="009D20C1" w:rsidRPr="00E8656C">
        <w:rPr>
          <w:rFonts w:cs="Arial"/>
        </w:rPr>
        <w:t xml:space="preserve"> the COVID-19 pandemic</w:t>
      </w:r>
      <w:r w:rsidR="00A03B86" w:rsidRPr="00E8656C">
        <w:rPr>
          <w:rFonts w:cs="Arial"/>
        </w:rPr>
        <w:t xml:space="preserve"> (</w:t>
      </w:r>
      <w:r w:rsidR="001C1184" w:rsidRPr="00E8656C">
        <w:rPr>
          <w:rFonts w:cs="Arial"/>
          <w:b/>
          <w:bCs/>
        </w:rPr>
        <w:fldChar w:fldCharType="begin"/>
      </w:r>
      <w:r w:rsidR="001C1184" w:rsidRPr="00E8656C">
        <w:rPr>
          <w:rFonts w:cs="Arial"/>
          <w:b/>
          <w:bCs/>
        </w:rPr>
        <w:instrText xml:space="preserve"> REF _Ref197080055 \h  \* MERGEFORMAT </w:instrText>
      </w:r>
      <w:r w:rsidR="001C1184" w:rsidRPr="00E8656C">
        <w:rPr>
          <w:rFonts w:cs="Arial"/>
          <w:b/>
          <w:bCs/>
        </w:rPr>
      </w:r>
      <w:r w:rsidR="001C1184" w:rsidRPr="00E8656C">
        <w:rPr>
          <w:rFonts w:cs="Arial"/>
          <w:b/>
          <w:bCs/>
        </w:rPr>
        <w:fldChar w:fldCharType="separate"/>
      </w:r>
      <w:r w:rsidR="001C1184" w:rsidRPr="00E8656C">
        <w:rPr>
          <w:rFonts w:cs="Arial"/>
          <w:b/>
          <w:bCs/>
        </w:rPr>
        <w:t xml:space="preserve">Figure </w:t>
      </w:r>
      <w:r w:rsidR="001C1184" w:rsidRPr="00E8656C">
        <w:rPr>
          <w:rFonts w:cs="Arial"/>
          <w:b/>
          <w:bCs/>
          <w:noProof/>
        </w:rPr>
        <w:t>23</w:t>
      </w:r>
      <w:r w:rsidR="001C1184" w:rsidRPr="00E8656C">
        <w:rPr>
          <w:rFonts w:cs="Arial"/>
          <w:b/>
          <w:bCs/>
        </w:rPr>
        <w:fldChar w:fldCharType="end"/>
      </w:r>
      <w:r w:rsidR="00163455" w:rsidRPr="00E8656C">
        <w:rPr>
          <w:rFonts w:cs="Arial"/>
        </w:rPr>
        <w:t>)</w:t>
      </w:r>
      <w:r w:rsidR="009D20C1" w:rsidRPr="00E8656C">
        <w:rPr>
          <w:rFonts w:cs="Arial"/>
        </w:rPr>
        <w:t>. Undergraduate ratings have not returned to the pre-2020 average of 52</w:t>
      </w:r>
      <w:r w:rsidR="005263C7" w:rsidRPr="00E8656C">
        <w:rPr>
          <w:rFonts w:cs="Arial"/>
        </w:rPr>
        <w:t>.0</w:t>
      </w:r>
      <w:r w:rsidR="00F3381E" w:rsidRPr="00E8656C">
        <w:rPr>
          <w:rFonts w:cs="Arial"/>
        </w:rPr>
        <w:t xml:space="preserve"> per cent</w:t>
      </w:r>
      <w:r w:rsidR="009D20C1" w:rsidRPr="00E8656C">
        <w:rPr>
          <w:rFonts w:cs="Arial"/>
        </w:rPr>
        <w:t>. Consistent ratings from 2022 to 2024 suggest challenges in fostering belonging post-pandemic, as many pandemic-era practices remain.</w:t>
      </w:r>
      <w:r w:rsidR="00927DC9" w:rsidRPr="00E8656C">
        <w:rPr>
          <w:rFonts w:cs="Arial"/>
        </w:rPr>
        <w:t xml:space="preserve"> </w:t>
      </w:r>
    </w:p>
    <w:p w14:paraId="09718928" w14:textId="73E37C2F" w:rsidR="009D20C1" w:rsidRPr="00E8656C" w:rsidRDefault="009D20C1" w:rsidP="009D20C1">
      <w:pPr>
        <w:pStyle w:val="Body"/>
        <w:rPr>
          <w:rFonts w:cs="Arial"/>
        </w:rPr>
      </w:pPr>
      <w:r w:rsidRPr="00E8656C">
        <w:rPr>
          <w:rFonts w:cs="Arial"/>
        </w:rPr>
        <w:t xml:space="preserve">For postgraduate coursework students, ratings declined in </w:t>
      </w:r>
      <w:r w:rsidR="00256A58" w:rsidRPr="00E8656C">
        <w:rPr>
          <w:rFonts w:cs="Arial"/>
        </w:rPr>
        <w:t xml:space="preserve">2020 and </w:t>
      </w:r>
      <w:r w:rsidRPr="00E8656C">
        <w:rPr>
          <w:rFonts w:cs="Arial"/>
        </w:rPr>
        <w:t xml:space="preserve">2021, likely due to </w:t>
      </w:r>
      <w:r w:rsidR="0018406E" w:rsidRPr="00E8656C">
        <w:rPr>
          <w:rFonts w:cs="Arial"/>
        </w:rPr>
        <w:t xml:space="preserve">a larger proportion of </w:t>
      </w:r>
      <w:r w:rsidRPr="00E8656C">
        <w:rPr>
          <w:rFonts w:cs="Arial"/>
        </w:rPr>
        <w:t>international students being overseas. Since 2021, postgraduate ratings have improved, reaching 51.9</w:t>
      </w:r>
      <w:r w:rsidR="00585DF7" w:rsidRPr="00E8656C">
        <w:rPr>
          <w:rFonts w:cs="Arial"/>
        </w:rPr>
        <w:t xml:space="preserve"> per cent</w:t>
      </w:r>
      <w:r w:rsidRPr="00E8656C">
        <w:rPr>
          <w:rFonts w:cs="Arial"/>
        </w:rPr>
        <w:t xml:space="preserve"> in 2024</w:t>
      </w:r>
      <w:r w:rsidR="00F7020E" w:rsidRPr="00E8656C">
        <w:rPr>
          <w:rFonts w:cs="Arial"/>
        </w:rPr>
        <w:t xml:space="preserve"> and</w:t>
      </w:r>
      <w:r w:rsidRPr="00E8656C">
        <w:rPr>
          <w:rFonts w:cs="Arial"/>
        </w:rPr>
        <w:t xml:space="preserve"> surpassing the pre-2020 average of 50.3</w:t>
      </w:r>
      <w:r w:rsidR="00585DF7" w:rsidRPr="00E8656C">
        <w:rPr>
          <w:rFonts w:cs="Arial"/>
        </w:rPr>
        <w:t xml:space="preserve"> per cent</w:t>
      </w:r>
      <w:r w:rsidRPr="00E8656C">
        <w:rPr>
          <w:rFonts w:cs="Arial"/>
        </w:rPr>
        <w:t>.</w:t>
      </w:r>
    </w:p>
    <w:p w14:paraId="63A78850" w14:textId="3E04DDA8" w:rsidR="009D20C1" w:rsidRPr="00E8656C" w:rsidRDefault="009D20C1" w:rsidP="009D20C1">
      <w:pPr>
        <w:pStyle w:val="Body"/>
        <w:rPr>
          <w:rFonts w:cs="Arial"/>
        </w:rPr>
      </w:pPr>
      <w:r w:rsidRPr="00E8656C">
        <w:rPr>
          <w:rFonts w:cs="Arial"/>
        </w:rPr>
        <w:t xml:space="preserve">Historically, undergraduate and postgraduate coursework students have rated </w:t>
      </w:r>
      <w:r w:rsidR="00171071" w:rsidRPr="00E8656C">
        <w:rPr>
          <w:rFonts w:cs="Arial"/>
        </w:rPr>
        <w:t>their s</w:t>
      </w:r>
      <w:r w:rsidRPr="00E8656C">
        <w:rPr>
          <w:rFonts w:cs="Arial"/>
        </w:rPr>
        <w:t xml:space="preserve">ense of </w:t>
      </w:r>
      <w:r w:rsidR="00171071" w:rsidRPr="00E8656C">
        <w:rPr>
          <w:rFonts w:cs="Arial"/>
        </w:rPr>
        <w:t>b</w:t>
      </w:r>
      <w:r w:rsidRPr="00E8656C">
        <w:rPr>
          <w:rFonts w:cs="Arial"/>
        </w:rPr>
        <w:t xml:space="preserve">elonging </w:t>
      </w:r>
      <w:r w:rsidR="0022595E" w:rsidRPr="00E8656C">
        <w:rPr>
          <w:rFonts w:cs="Arial"/>
        </w:rPr>
        <w:t xml:space="preserve">to their institution </w:t>
      </w:r>
      <w:r w:rsidRPr="00E8656C">
        <w:rPr>
          <w:rFonts w:cs="Arial"/>
        </w:rPr>
        <w:t>similarly. However, the gap between the two groups widened to 5.3 percentage point</w:t>
      </w:r>
      <w:r w:rsidR="00AE1DA4" w:rsidRPr="00E8656C">
        <w:rPr>
          <w:rFonts w:cs="Arial"/>
        </w:rPr>
        <w:t>s</w:t>
      </w:r>
      <w:r w:rsidRPr="00E8656C">
        <w:rPr>
          <w:rFonts w:cs="Arial"/>
        </w:rPr>
        <w:t xml:space="preserve"> in 2024</w:t>
      </w:r>
      <w:r w:rsidR="00814378" w:rsidRPr="00E8656C">
        <w:rPr>
          <w:rFonts w:cs="Arial"/>
        </w:rPr>
        <w:t xml:space="preserve">. This </w:t>
      </w:r>
      <w:r w:rsidR="00082181" w:rsidRPr="00E8656C">
        <w:rPr>
          <w:rFonts w:cs="Arial"/>
        </w:rPr>
        <w:t xml:space="preserve">increase </w:t>
      </w:r>
      <w:r w:rsidR="00814378" w:rsidRPr="00E8656C">
        <w:rPr>
          <w:rFonts w:cs="Arial"/>
        </w:rPr>
        <w:t xml:space="preserve">may be partly </w:t>
      </w:r>
      <w:r w:rsidR="00963C67" w:rsidRPr="00E8656C">
        <w:rPr>
          <w:rFonts w:cs="Arial"/>
        </w:rPr>
        <w:t>explained</w:t>
      </w:r>
      <w:r w:rsidR="00844D7A" w:rsidRPr="00E8656C">
        <w:rPr>
          <w:rFonts w:cs="Arial"/>
        </w:rPr>
        <w:t xml:space="preserve"> by the increase in international postgraduate coursework students</w:t>
      </w:r>
      <w:r w:rsidR="006A6794" w:rsidRPr="00E8656C">
        <w:rPr>
          <w:rFonts w:cs="Arial"/>
        </w:rPr>
        <w:t xml:space="preserve">, </w:t>
      </w:r>
      <w:r w:rsidR="00844D7A" w:rsidRPr="00E8656C">
        <w:rPr>
          <w:rFonts w:cs="Arial"/>
        </w:rPr>
        <w:t xml:space="preserve">who tend to study </w:t>
      </w:r>
      <w:r w:rsidR="00FF6D86" w:rsidRPr="00E8656C">
        <w:rPr>
          <w:rFonts w:cs="Arial"/>
        </w:rPr>
        <w:t>in an internal/</w:t>
      </w:r>
      <w:r w:rsidR="00E4098D" w:rsidRPr="00E8656C">
        <w:rPr>
          <w:rFonts w:cs="Arial"/>
        </w:rPr>
        <w:t>multi-mode</w:t>
      </w:r>
      <w:r w:rsidRPr="00E8656C">
        <w:rPr>
          <w:rFonts w:cs="Arial"/>
        </w:rPr>
        <w:t>.</w:t>
      </w:r>
    </w:p>
    <w:p w14:paraId="3BE29218" w14:textId="77777777" w:rsidR="007521FC" w:rsidRPr="00E8656C" w:rsidRDefault="007521FC" w:rsidP="00695177">
      <w:pPr>
        <w:pStyle w:val="Caption"/>
      </w:pPr>
      <w:bookmarkStart w:id="98" w:name="_Ref166679987"/>
      <w:r w:rsidRPr="00E8656C">
        <w:br w:type="page"/>
      </w:r>
    </w:p>
    <w:p w14:paraId="42E21BCD" w14:textId="2650C1FD" w:rsidR="00557DA2" w:rsidRPr="00E8656C" w:rsidRDefault="00557DA2" w:rsidP="00695177">
      <w:pPr>
        <w:pStyle w:val="Caption"/>
      </w:pPr>
      <w:bookmarkStart w:id="99" w:name="_Ref197080055"/>
      <w:bookmarkStart w:id="100" w:name="_Toc201065573"/>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23</w:t>
      </w:r>
      <w:r w:rsidR="00EA0581" w:rsidRPr="00E8656C">
        <w:rPr>
          <w:noProof/>
        </w:rPr>
        <w:fldChar w:fldCharType="end"/>
      </w:r>
      <w:bookmarkEnd w:id="98"/>
      <w:bookmarkEnd w:id="99"/>
      <w:r w:rsidR="0066499D" w:rsidRPr="00E8656C">
        <w:tab/>
      </w:r>
      <w:r w:rsidRPr="00E8656C">
        <w:t>Sense of belonging to institution by course level, 2017</w:t>
      </w:r>
      <w:r w:rsidR="0059773B" w:rsidRPr="00E8656C">
        <w:t>–</w:t>
      </w:r>
      <w:r w:rsidR="00293CD6" w:rsidRPr="00E8656C">
        <w:t>24</w:t>
      </w:r>
      <w:r w:rsidRPr="00E8656C">
        <w:t xml:space="preserve"> (% positive rating*)</w:t>
      </w:r>
      <w:bookmarkEnd w:id="100"/>
    </w:p>
    <w:p w14:paraId="77515073" w14:textId="77777777" w:rsidR="00557DA2" w:rsidRPr="00E8656C" w:rsidRDefault="00557DA2" w:rsidP="00557DA2">
      <w:pPr>
        <w:pStyle w:val="Body"/>
        <w:rPr>
          <w:rFonts w:cs="Arial"/>
          <w:sz w:val="18"/>
          <w:szCs w:val="18"/>
          <w:lang w:eastAsia="en-AU"/>
        </w:rPr>
      </w:pPr>
      <w:r w:rsidRPr="00E8656C">
        <w:rPr>
          <w:rFonts w:cs="Arial"/>
          <w:sz w:val="18"/>
          <w:szCs w:val="18"/>
          <w:lang w:eastAsia="en-AU"/>
        </w:rPr>
        <w:t>(Source: BELONGSAT_ALL_ALL_17-YY)</w:t>
      </w:r>
    </w:p>
    <w:p w14:paraId="058848D6" w14:textId="0CC816AA" w:rsidR="00557DA2" w:rsidRPr="00E8656C" w:rsidRDefault="0096521E" w:rsidP="00695177">
      <w:pPr>
        <w:pStyle w:val="Body"/>
      </w:pPr>
      <w:r w:rsidRPr="00E8656C">
        <w:rPr>
          <w:noProof/>
        </w:rPr>
        <w:drawing>
          <wp:inline distT="0" distB="0" distL="0" distR="0" wp14:anchorId="731A3904" wp14:editId="032ED5AA">
            <wp:extent cx="6645910" cy="1966595"/>
            <wp:effectExtent l="0" t="0" r="2540" b="0"/>
            <wp:docPr id="308234611" name="Chart 1">
              <a:extLst xmlns:a="http://schemas.openxmlformats.org/drawingml/2006/main">
                <a:ext uri="{FF2B5EF4-FFF2-40B4-BE49-F238E27FC236}">
                  <a16:creationId xmlns:a16="http://schemas.microsoft.com/office/drawing/2014/main" id="{D7508636-F1BC-B0D1-75DD-8BEDEB1778E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85EF35C" w14:textId="5BAF59C2" w:rsidR="00557DA2" w:rsidRPr="00E8656C" w:rsidRDefault="00557DA2" w:rsidP="00557DA2">
      <w:pPr>
        <w:pStyle w:val="Note"/>
        <w:rPr>
          <w:rFonts w:ascii="Arial" w:hAnsi="Arial" w:cs="Arial"/>
          <w:spacing w:val="1"/>
          <w:sz w:val="18"/>
          <w:szCs w:val="18"/>
        </w:rPr>
      </w:pPr>
      <w:r w:rsidRPr="00E8656C">
        <w:rPr>
          <w:rFonts w:ascii="Arial" w:hAnsi="Arial" w:cs="Arial"/>
          <w:spacing w:val="1"/>
          <w:sz w:val="18"/>
          <w:szCs w:val="18"/>
        </w:rPr>
        <w:t xml:space="preserve">* The percent positive rating for sense of belonging represents the proportion of respondents who selected ‘Quite a bit’ or ‘Very much’ when asked ‘At your institution during &lt;survey year&gt;, to what extent have you had a sense of belonging to &lt;institution name&gt;?’ </w:t>
      </w:r>
    </w:p>
    <w:p w14:paraId="6B384893" w14:textId="319733C8" w:rsidR="00816907" w:rsidRPr="00E8656C" w:rsidRDefault="00897B85" w:rsidP="00AC09CB">
      <w:pPr>
        <w:pStyle w:val="Body"/>
        <w:rPr>
          <w:rFonts w:cs="Arial"/>
        </w:rPr>
      </w:pPr>
      <w:r w:rsidRPr="00E8656C">
        <w:rPr>
          <w:rFonts w:cs="Arial"/>
        </w:rPr>
        <w:t>In 2024, the greatest variation</w:t>
      </w:r>
      <w:r w:rsidR="004C3594" w:rsidRPr="00E8656C">
        <w:rPr>
          <w:rFonts w:cs="Arial"/>
        </w:rPr>
        <w:t xml:space="preserve"> in</w:t>
      </w:r>
      <w:r w:rsidRPr="00E8656C">
        <w:rPr>
          <w:rFonts w:cs="Arial"/>
        </w:rPr>
        <w:t xml:space="preserve"> </w:t>
      </w:r>
      <w:r w:rsidR="00A60AB6" w:rsidRPr="00E8656C">
        <w:rPr>
          <w:rFonts w:cs="Arial"/>
        </w:rPr>
        <w:t>undergraduate</w:t>
      </w:r>
      <w:r w:rsidR="00F54011" w:rsidRPr="00E8656C">
        <w:rPr>
          <w:rFonts w:cs="Arial"/>
        </w:rPr>
        <w:t xml:space="preserve"> </w:t>
      </w:r>
      <w:r w:rsidRPr="00E8656C">
        <w:rPr>
          <w:rFonts w:cs="Arial"/>
        </w:rPr>
        <w:t>ratings</w:t>
      </w:r>
      <w:r w:rsidR="00041ED4" w:rsidRPr="00E8656C">
        <w:rPr>
          <w:rFonts w:cs="Arial"/>
        </w:rPr>
        <w:t xml:space="preserve"> between </w:t>
      </w:r>
      <w:r w:rsidR="00164D35" w:rsidRPr="00E8656C">
        <w:rPr>
          <w:rFonts w:cs="Arial"/>
        </w:rPr>
        <w:t>sub-group</w:t>
      </w:r>
      <w:r w:rsidR="004C3594" w:rsidRPr="00E8656C">
        <w:rPr>
          <w:rFonts w:cs="Arial"/>
        </w:rPr>
        <w:t>s</w:t>
      </w:r>
      <w:r w:rsidRPr="00E8656C">
        <w:rPr>
          <w:rFonts w:cs="Arial"/>
        </w:rPr>
        <w:t xml:space="preserve"> </w:t>
      </w:r>
      <w:r w:rsidR="0027233D" w:rsidRPr="00E8656C">
        <w:rPr>
          <w:rFonts w:cs="Arial"/>
        </w:rPr>
        <w:t xml:space="preserve">was between </w:t>
      </w:r>
      <w:r w:rsidRPr="00E8656C">
        <w:rPr>
          <w:rFonts w:cs="Arial"/>
        </w:rPr>
        <w:t xml:space="preserve">students </w:t>
      </w:r>
      <w:r w:rsidR="004C6766" w:rsidRPr="00E8656C">
        <w:rPr>
          <w:rFonts w:cs="Arial"/>
        </w:rPr>
        <w:t xml:space="preserve">from </w:t>
      </w:r>
      <w:r w:rsidR="00F55D51" w:rsidRPr="00E8656C">
        <w:rPr>
          <w:rFonts w:cs="Arial"/>
        </w:rPr>
        <w:t xml:space="preserve">NUHEIs compared to </w:t>
      </w:r>
      <w:r w:rsidR="008E559E" w:rsidRPr="00E8656C">
        <w:rPr>
          <w:rFonts w:cs="Arial"/>
        </w:rPr>
        <w:t>those</w:t>
      </w:r>
      <w:r w:rsidR="00F55D51" w:rsidRPr="00E8656C">
        <w:rPr>
          <w:rFonts w:cs="Arial"/>
        </w:rPr>
        <w:t xml:space="preserve"> from universities, with university students reporting </w:t>
      </w:r>
      <w:r w:rsidR="006F12EE" w:rsidRPr="00E8656C">
        <w:rPr>
          <w:rFonts w:cs="Arial"/>
        </w:rPr>
        <w:t>a</w:t>
      </w:r>
      <w:r w:rsidR="00F55D51" w:rsidRPr="00E8656C">
        <w:rPr>
          <w:rFonts w:cs="Arial"/>
        </w:rPr>
        <w:t xml:space="preserve"> </w:t>
      </w:r>
      <w:r w:rsidR="00020176" w:rsidRPr="00E8656C">
        <w:rPr>
          <w:rFonts w:cs="Arial"/>
        </w:rPr>
        <w:t>lower</w:t>
      </w:r>
      <w:r w:rsidR="005B2FB3" w:rsidRPr="00E8656C">
        <w:rPr>
          <w:rFonts w:cs="Arial"/>
        </w:rPr>
        <w:t xml:space="preserve"> </w:t>
      </w:r>
      <w:r w:rsidR="006F12EE" w:rsidRPr="00E8656C">
        <w:rPr>
          <w:rFonts w:cs="Arial"/>
        </w:rPr>
        <w:t>s</w:t>
      </w:r>
      <w:r w:rsidR="005B2FB3" w:rsidRPr="00E8656C">
        <w:rPr>
          <w:rFonts w:cs="Arial"/>
        </w:rPr>
        <w:t xml:space="preserve">ense of </w:t>
      </w:r>
      <w:r w:rsidR="006F12EE" w:rsidRPr="00E8656C">
        <w:rPr>
          <w:rFonts w:cs="Arial"/>
        </w:rPr>
        <w:t>b</w:t>
      </w:r>
      <w:r w:rsidR="005B2FB3" w:rsidRPr="00E8656C">
        <w:rPr>
          <w:rFonts w:cs="Arial"/>
        </w:rPr>
        <w:t>elonging</w:t>
      </w:r>
      <w:r w:rsidR="006F12EE" w:rsidRPr="00E8656C">
        <w:rPr>
          <w:rFonts w:cs="Arial"/>
        </w:rPr>
        <w:t xml:space="preserve"> </w:t>
      </w:r>
      <w:r w:rsidR="00C45398" w:rsidRPr="00E8656C">
        <w:rPr>
          <w:rFonts w:cs="Arial"/>
        </w:rPr>
        <w:t xml:space="preserve">by </w:t>
      </w:r>
      <w:r w:rsidR="006F12EE" w:rsidRPr="00E8656C">
        <w:rPr>
          <w:rFonts w:cs="Arial"/>
        </w:rPr>
        <w:t>15.2 percentage points</w:t>
      </w:r>
      <w:r w:rsidR="00470A03" w:rsidRPr="00E8656C">
        <w:rPr>
          <w:rFonts w:cs="Arial"/>
        </w:rPr>
        <w:t xml:space="preserve"> (</w:t>
      </w:r>
      <w:r w:rsidR="0071632A" w:rsidRPr="00E8656C">
        <w:rPr>
          <w:rFonts w:cs="Arial"/>
          <w:b/>
          <w:bCs/>
        </w:rPr>
        <w:fldChar w:fldCharType="begin"/>
      </w:r>
      <w:r w:rsidR="0071632A" w:rsidRPr="00E8656C">
        <w:rPr>
          <w:rFonts w:cs="Arial"/>
          <w:b/>
          <w:bCs/>
        </w:rPr>
        <w:instrText xml:space="preserve"> REF _Ref195564615 \h  \* MERGEFORMAT </w:instrText>
      </w:r>
      <w:r w:rsidR="0071632A" w:rsidRPr="00E8656C">
        <w:rPr>
          <w:rFonts w:cs="Arial"/>
          <w:b/>
          <w:bCs/>
        </w:rPr>
      </w:r>
      <w:r w:rsidR="0071632A" w:rsidRPr="00E8656C">
        <w:rPr>
          <w:rFonts w:cs="Arial"/>
          <w:b/>
          <w:bCs/>
        </w:rPr>
        <w:fldChar w:fldCharType="separate"/>
      </w:r>
      <w:r w:rsidR="0071632A" w:rsidRPr="00E8656C">
        <w:rPr>
          <w:rFonts w:cs="Arial"/>
          <w:b/>
          <w:bCs/>
        </w:rPr>
        <w:t xml:space="preserve">Figure </w:t>
      </w:r>
      <w:r w:rsidR="00165095" w:rsidRPr="00E8656C">
        <w:rPr>
          <w:rFonts w:cs="Arial"/>
          <w:b/>
          <w:bCs/>
          <w:noProof/>
        </w:rPr>
        <w:t>24</w:t>
      </w:r>
      <w:r w:rsidR="0071632A" w:rsidRPr="00E8656C">
        <w:rPr>
          <w:rFonts w:cs="Arial"/>
          <w:b/>
          <w:bCs/>
        </w:rPr>
        <w:fldChar w:fldCharType="end"/>
      </w:r>
      <w:r w:rsidR="00470A03" w:rsidRPr="00E8656C">
        <w:rPr>
          <w:rFonts w:cs="Arial"/>
        </w:rPr>
        <w:t>)</w:t>
      </w:r>
      <w:r w:rsidRPr="00E8656C">
        <w:rPr>
          <w:rFonts w:cs="Arial"/>
        </w:rPr>
        <w:t xml:space="preserve">. </w:t>
      </w:r>
      <w:r w:rsidR="006C5410" w:rsidRPr="00E8656C">
        <w:rPr>
          <w:rFonts w:cs="Arial"/>
        </w:rPr>
        <w:t>This difference is also evident for postgraduate students</w:t>
      </w:r>
      <w:r w:rsidR="00241110" w:rsidRPr="00E8656C">
        <w:rPr>
          <w:rFonts w:cs="Arial"/>
        </w:rPr>
        <w:t>,</w:t>
      </w:r>
      <w:r w:rsidR="006C5410" w:rsidRPr="00E8656C">
        <w:rPr>
          <w:rFonts w:cs="Arial"/>
        </w:rPr>
        <w:t xml:space="preserve"> where </w:t>
      </w:r>
      <w:r w:rsidR="00920876" w:rsidRPr="00E8656C">
        <w:rPr>
          <w:rFonts w:cs="Arial"/>
        </w:rPr>
        <w:t xml:space="preserve">NUHEIs </w:t>
      </w:r>
      <w:r w:rsidR="00241110" w:rsidRPr="00E8656C">
        <w:rPr>
          <w:rFonts w:cs="Arial"/>
        </w:rPr>
        <w:t xml:space="preserve">students </w:t>
      </w:r>
      <w:r w:rsidR="00920876" w:rsidRPr="00E8656C">
        <w:rPr>
          <w:rFonts w:cs="Arial"/>
        </w:rPr>
        <w:t>rated their sense of belonging 11.6 percentage points</w:t>
      </w:r>
      <w:r w:rsidR="002410AC" w:rsidRPr="00E8656C">
        <w:rPr>
          <w:rFonts w:cs="Arial"/>
        </w:rPr>
        <w:t xml:space="preserve"> higher than university students</w:t>
      </w:r>
      <w:r w:rsidR="006C3C55" w:rsidRPr="00E8656C">
        <w:rPr>
          <w:rFonts w:cs="Arial"/>
        </w:rPr>
        <w:t xml:space="preserve"> (</w:t>
      </w:r>
      <w:r w:rsidR="006C3C55" w:rsidRPr="00E8656C">
        <w:rPr>
          <w:rFonts w:cs="Arial"/>
          <w:b/>
          <w:bCs/>
        </w:rPr>
        <w:fldChar w:fldCharType="begin"/>
      </w:r>
      <w:r w:rsidR="006C3C55" w:rsidRPr="00E8656C">
        <w:rPr>
          <w:rFonts w:cs="Arial"/>
          <w:b/>
          <w:bCs/>
        </w:rPr>
        <w:instrText xml:space="preserve"> REF _Ref196840474 \h  \* MERGEFORMAT </w:instrText>
      </w:r>
      <w:r w:rsidR="006C3C55" w:rsidRPr="00E8656C">
        <w:rPr>
          <w:rFonts w:cs="Arial"/>
          <w:b/>
          <w:bCs/>
        </w:rPr>
      </w:r>
      <w:r w:rsidR="006C3C55" w:rsidRPr="00E8656C">
        <w:rPr>
          <w:rFonts w:cs="Arial"/>
          <w:b/>
          <w:bCs/>
        </w:rPr>
        <w:fldChar w:fldCharType="separate"/>
      </w:r>
      <w:r w:rsidR="006C3C55" w:rsidRPr="00E8656C">
        <w:rPr>
          <w:rFonts w:cs="Arial"/>
          <w:b/>
          <w:bCs/>
        </w:rPr>
        <w:t xml:space="preserve">Figure </w:t>
      </w:r>
      <w:r w:rsidR="00165095" w:rsidRPr="00E8656C">
        <w:rPr>
          <w:rFonts w:cs="Arial"/>
          <w:b/>
          <w:bCs/>
          <w:noProof/>
        </w:rPr>
        <w:t>25</w:t>
      </w:r>
      <w:r w:rsidR="006C3C55" w:rsidRPr="00E8656C">
        <w:rPr>
          <w:rFonts w:cs="Arial"/>
          <w:b/>
          <w:bCs/>
        </w:rPr>
        <w:fldChar w:fldCharType="end"/>
      </w:r>
      <w:r w:rsidR="006C3C55" w:rsidRPr="00E8656C">
        <w:rPr>
          <w:rFonts w:cs="Arial"/>
        </w:rPr>
        <w:t>)</w:t>
      </w:r>
      <w:r w:rsidR="00920876" w:rsidRPr="00E8656C">
        <w:rPr>
          <w:rFonts w:cs="Arial"/>
        </w:rPr>
        <w:t xml:space="preserve">. </w:t>
      </w:r>
      <w:r w:rsidR="00E67A3E" w:rsidRPr="00E8656C">
        <w:rPr>
          <w:rFonts w:cs="Arial"/>
        </w:rPr>
        <w:t>This pattern persists w</w:t>
      </w:r>
      <w:r w:rsidR="00B56EFC" w:rsidRPr="00E8656C">
        <w:rPr>
          <w:rFonts w:cs="Arial"/>
        </w:rPr>
        <w:t xml:space="preserve">hen comparing international and domestic students from </w:t>
      </w:r>
      <w:r w:rsidR="002410AC" w:rsidRPr="00E8656C">
        <w:rPr>
          <w:rFonts w:cs="Arial"/>
        </w:rPr>
        <w:t xml:space="preserve">both </w:t>
      </w:r>
      <w:r w:rsidR="00B56EFC" w:rsidRPr="00E8656C">
        <w:rPr>
          <w:rFonts w:cs="Arial"/>
        </w:rPr>
        <w:t>universities and NUEHIs.</w:t>
      </w:r>
      <w:r w:rsidR="00920876" w:rsidRPr="00E8656C">
        <w:rPr>
          <w:rFonts w:cs="Arial"/>
        </w:rPr>
        <w:t xml:space="preserve"> </w:t>
      </w:r>
    </w:p>
    <w:p w14:paraId="3790D804" w14:textId="2930C3AE" w:rsidR="00CD4D08" w:rsidRPr="00E8656C" w:rsidRDefault="00260801" w:rsidP="00AC09CB">
      <w:pPr>
        <w:pStyle w:val="Body"/>
        <w:rPr>
          <w:rFonts w:cs="Arial"/>
        </w:rPr>
      </w:pPr>
      <w:r w:rsidRPr="00E8656C">
        <w:rPr>
          <w:rFonts w:cs="Arial"/>
        </w:rPr>
        <w:t>There was a gap in sense of belonging ratings between undergraduates whose home language was English and those whose home language was not, with a difference of 12.2 percentage points. This difference was also evident at the postgraduate coursework level, with a gap of 17.2 percentage points. These gaps persisted when comparing domestic students from non-English speaking backgrounds to those who spoke English at home</w:t>
      </w:r>
      <w:r w:rsidR="008B64AE" w:rsidRPr="00E8656C">
        <w:rPr>
          <w:rFonts w:cs="Arial"/>
        </w:rPr>
        <w:t>.</w:t>
      </w:r>
    </w:p>
    <w:p w14:paraId="17D93726" w14:textId="7229CCC7" w:rsidR="00897B85" w:rsidRPr="00E8656C" w:rsidRDefault="00847EC7" w:rsidP="00AC09CB">
      <w:pPr>
        <w:pStyle w:val="Body"/>
        <w:rPr>
          <w:rFonts w:cs="Arial"/>
        </w:rPr>
      </w:pPr>
      <w:r w:rsidRPr="00E8656C">
        <w:rPr>
          <w:rFonts w:cs="Arial"/>
        </w:rPr>
        <w:t>A</w:t>
      </w:r>
      <w:r w:rsidR="001E3B6C" w:rsidRPr="00E8656C">
        <w:rPr>
          <w:rFonts w:cs="Arial"/>
        </w:rPr>
        <w:t xml:space="preserve"> large difference</w:t>
      </w:r>
      <w:r w:rsidRPr="00E8656C">
        <w:rPr>
          <w:rFonts w:cs="Arial"/>
        </w:rPr>
        <w:t xml:space="preserve"> was observed</w:t>
      </w:r>
      <w:r w:rsidR="00C90F10" w:rsidRPr="00E8656C">
        <w:rPr>
          <w:rFonts w:cs="Arial"/>
        </w:rPr>
        <w:t xml:space="preserve"> between internal/</w:t>
      </w:r>
      <w:r w:rsidR="00E4098D" w:rsidRPr="00E8656C">
        <w:rPr>
          <w:rFonts w:cs="Arial"/>
        </w:rPr>
        <w:t>multi-mode</w:t>
      </w:r>
      <w:r w:rsidR="00556A9E" w:rsidRPr="00E8656C">
        <w:rPr>
          <w:rFonts w:cs="Arial"/>
        </w:rPr>
        <w:t xml:space="preserve"> </w:t>
      </w:r>
      <w:r w:rsidR="00C90F10" w:rsidRPr="00E8656C">
        <w:rPr>
          <w:rFonts w:cs="Arial"/>
        </w:rPr>
        <w:t>and external study mode</w:t>
      </w:r>
      <w:r w:rsidR="00727301" w:rsidRPr="00E8656C">
        <w:rPr>
          <w:rFonts w:cs="Arial"/>
        </w:rPr>
        <w:t>. E</w:t>
      </w:r>
      <w:r w:rsidR="00EB5E13" w:rsidRPr="00E8656C">
        <w:rPr>
          <w:rFonts w:cs="Arial"/>
        </w:rPr>
        <w:t xml:space="preserve">xternal </w:t>
      </w:r>
      <w:r w:rsidR="004B392F" w:rsidRPr="00E8656C">
        <w:rPr>
          <w:rFonts w:cs="Arial"/>
        </w:rPr>
        <w:t>undergraduates</w:t>
      </w:r>
      <w:r w:rsidR="00EB5E13" w:rsidRPr="00E8656C">
        <w:rPr>
          <w:rFonts w:cs="Arial"/>
        </w:rPr>
        <w:t xml:space="preserve"> rated their </w:t>
      </w:r>
      <w:r w:rsidR="004B392F" w:rsidRPr="00E8656C">
        <w:rPr>
          <w:rFonts w:cs="Arial"/>
        </w:rPr>
        <w:t>sense of belonging</w:t>
      </w:r>
      <w:r w:rsidR="00390D43" w:rsidRPr="00E8656C">
        <w:rPr>
          <w:rFonts w:cs="Arial"/>
        </w:rPr>
        <w:t xml:space="preserve"> </w:t>
      </w:r>
      <w:r w:rsidR="006F3B3F" w:rsidRPr="00E8656C">
        <w:rPr>
          <w:rFonts w:cs="Arial"/>
        </w:rPr>
        <w:t>9.0 percentage points</w:t>
      </w:r>
      <w:r w:rsidR="004B392F" w:rsidRPr="00E8656C">
        <w:rPr>
          <w:rFonts w:cs="Arial"/>
        </w:rPr>
        <w:t xml:space="preserve"> lower than internal/</w:t>
      </w:r>
      <w:r w:rsidR="00E4098D" w:rsidRPr="00E8656C">
        <w:rPr>
          <w:rFonts w:cs="Arial"/>
        </w:rPr>
        <w:t>multi-mode</w:t>
      </w:r>
      <w:r w:rsidR="004B392F" w:rsidRPr="00E8656C">
        <w:rPr>
          <w:rFonts w:cs="Arial"/>
        </w:rPr>
        <w:t xml:space="preserve"> students</w:t>
      </w:r>
      <w:r w:rsidR="0021638B" w:rsidRPr="00E8656C">
        <w:rPr>
          <w:rFonts w:cs="Arial"/>
        </w:rPr>
        <w:t xml:space="preserve">, </w:t>
      </w:r>
      <w:r w:rsidR="00F55440" w:rsidRPr="00E8656C">
        <w:rPr>
          <w:rFonts w:cs="Arial"/>
        </w:rPr>
        <w:t xml:space="preserve">and </w:t>
      </w:r>
      <w:r w:rsidR="0021638B" w:rsidRPr="00E8656C">
        <w:rPr>
          <w:rFonts w:cs="Arial"/>
        </w:rPr>
        <w:t xml:space="preserve">external </w:t>
      </w:r>
      <w:r w:rsidR="00F55440" w:rsidRPr="00E8656C">
        <w:rPr>
          <w:rFonts w:cs="Arial"/>
        </w:rPr>
        <w:t>postgraduate coursework</w:t>
      </w:r>
      <w:r w:rsidR="004F2A48" w:rsidRPr="00E8656C">
        <w:rPr>
          <w:rFonts w:cs="Arial"/>
        </w:rPr>
        <w:t xml:space="preserve"> students</w:t>
      </w:r>
      <w:r w:rsidR="00F55440" w:rsidRPr="00E8656C">
        <w:rPr>
          <w:rFonts w:cs="Arial"/>
        </w:rPr>
        <w:t xml:space="preserve"> </w:t>
      </w:r>
      <w:r w:rsidR="0021638B" w:rsidRPr="00E8656C">
        <w:rPr>
          <w:rFonts w:cs="Arial"/>
        </w:rPr>
        <w:t>rated it</w:t>
      </w:r>
      <w:r w:rsidR="00D8579D" w:rsidRPr="00E8656C">
        <w:rPr>
          <w:rFonts w:cs="Arial"/>
        </w:rPr>
        <w:t xml:space="preserve"> 21.3 percentage points lower</w:t>
      </w:r>
      <w:r w:rsidR="00C90F10" w:rsidRPr="00E8656C">
        <w:rPr>
          <w:rFonts w:cs="Arial"/>
        </w:rPr>
        <w:t>.</w:t>
      </w:r>
      <w:r w:rsidR="006F3B3F" w:rsidRPr="00E8656C">
        <w:rPr>
          <w:rFonts w:cs="Arial"/>
        </w:rPr>
        <w:t xml:space="preserve"> </w:t>
      </w:r>
      <w:r w:rsidR="00DB3782" w:rsidRPr="00E8656C">
        <w:rPr>
          <w:rFonts w:cs="Arial"/>
        </w:rPr>
        <w:t>Despite</w:t>
      </w:r>
      <w:r w:rsidR="00340697" w:rsidRPr="00E8656C">
        <w:rPr>
          <w:rFonts w:cs="Arial"/>
        </w:rPr>
        <w:t xml:space="preserve"> the lower ratings</w:t>
      </w:r>
      <w:r w:rsidR="00EB5E13" w:rsidRPr="00E8656C">
        <w:rPr>
          <w:rFonts w:cs="Arial"/>
        </w:rPr>
        <w:t>, the</w:t>
      </w:r>
      <w:r w:rsidR="00897B85" w:rsidRPr="00E8656C">
        <w:rPr>
          <w:rFonts w:cs="Arial"/>
        </w:rPr>
        <w:t xml:space="preserve"> stability of external student ratings from 2017 to 2024 suggests their </w:t>
      </w:r>
      <w:r w:rsidR="00E51C2A" w:rsidRPr="00E8656C">
        <w:rPr>
          <w:rFonts w:cs="Arial"/>
        </w:rPr>
        <w:t>s</w:t>
      </w:r>
      <w:r w:rsidR="00897B85" w:rsidRPr="00E8656C">
        <w:rPr>
          <w:rFonts w:cs="Arial"/>
        </w:rPr>
        <w:t xml:space="preserve">ense of </w:t>
      </w:r>
      <w:r w:rsidR="00E51C2A" w:rsidRPr="00E8656C">
        <w:rPr>
          <w:rFonts w:cs="Arial"/>
        </w:rPr>
        <w:t>b</w:t>
      </w:r>
      <w:r w:rsidR="00897B85" w:rsidRPr="00E8656C">
        <w:rPr>
          <w:rFonts w:cs="Arial"/>
        </w:rPr>
        <w:t>elonging was less impacted</w:t>
      </w:r>
      <w:r w:rsidR="00FB3F58" w:rsidRPr="00E8656C">
        <w:rPr>
          <w:rFonts w:cs="Arial"/>
        </w:rPr>
        <w:t xml:space="preserve"> </w:t>
      </w:r>
      <w:r w:rsidR="00897B85" w:rsidRPr="00E8656C">
        <w:rPr>
          <w:rFonts w:cs="Arial"/>
        </w:rPr>
        <w:t>by the shift to online learning during the pandemic.</w:t>
      </w:r>
      <w:r w:rsidR="000E7558" w:rsidRPr="00E8656C">
        <w:rPr>
          <w:rFonts w:cs="Arial"/>
        </w:rPr>
        <w:t xml:space="preserve"> </w:t>
      </w:r>
    </w:p>
    <w:p w14:paraId="7885BE4F" w14:textId="64F69B09" w:rsidR="00AC09CB" w:rsidRPr="00E8656C" w:rsidRDefault="00AC09CB" w:rsidP="00AC09CB">
      <w:pPr>
        <w:pStyle w:val="Body"/>
        <w:rPr>
          <w:rFonts w:cs="Arial"/>
        </w:rPr>
      </w:pPr>
      <w:r w:rsidRPr="00E8656C">
        <w:rPr>
          <w:rFonts w:cs="Arial"/>
        </w:rPr>
        <w:t xml:space="preserve">International students have consistently rated </w:t>
      </w:r>
      <w:r w:rsidR="00A67208" w:rsidRPr="00E8656C">
        <w:rPr>
          <w:rFonts w:cs="Arial"/>
        </w:rPr>
        <w:t xml:space="preserve">their </w:t>
      </w:r>
      <w:r w:rsidR="00320883" w:rsidRPr="00E8656C">
        <w:rPr>
          <w:rFonts w:cs="Arial"/>
        </w:rPr>
        <w:t>s</w:t>
      </w:r>
      <w:r w:rsidRPr="00E8656C">
        <w:rPr>
          <w:rFonts w:cs="Arial"/>
        </w:rPr>
        <w:t xml:space="preserve">ense of </w:t>
      </w:r>
      <w:r w:rsidR="00320883" w:rsidRPr="00E8656C">
        <w:rPr>
          <w:rFonts w:cs="Arial"/>
        </w:rPr>
        <w:t>b</w:t>
      </w:r>
      <w:r w:rsidRPr="00E8656C">
        <w:rPr>
          <w:rFonts w:cs="Arial"/>
        </w:rPr>
        <w:t xml:space="preserve">elonging more positively than domestic students. Since 2021, international </w:t>
      </w:r>
      <w:r w:rsidR="00B80F86" w:rsidRPr="00E8656C">
        <w:rPr>
          <w:rFonts w:cs="Arial"/>
        </w:rPr>
        <w:t xml:space="preserve">undergraduate </w:t>
      </w:r>
      <w:r w:rsidRPr="00E8656C">
        <w:rPr>
          <w:rFonts w:cs="Arial"/>
        </w:rPr>
        <w:t>student ratings have returned to pre-2020 levels, remaining around 57</w:t>
      </w:r>
      <w:r w:rsidR="001B60F6" w:rsidRPr="00E8656C">
        <w:rPr>
          <w:rFonts w:cs="Arial"/>
        </w:rPr>
        <w:t xml:space="preserve"> per cent</w:t>
      </w:r>
      <w:r w:rsidRPr="00E8656C">
        <w:rPr>
          <w:rFonts w:cs="Arial"/>
        </w:rPr>
        <w:t xml:space="preserve"> in 2023 and 2024. In contrast, only 44.1</w:t>
      </w:r>
      <w:r w:rsidR="001B60F6" w:rsidRPr="00E8656C">
        <w:rPr>
          <w:rFonts w:cs="Arial"/>
        </w:rPr>
        <w:t xml:space="preserve"> per cent</w:t>
      </w:r>
      <w:r w:rsidRPr="00E8656C">
        <w:rPr>
          <w:rFonts w:cs="Arial"/>
        </w:rPr>
        <w:t xml:space="preserve"> of domestic undergraduates rated </w:t>
      </w:r>
      <w:r w:rsidR="00B32C38" w:rsidRPr="00E8656C">
        <w:rPr>
          <w:rFonts w:cs="Arial"/>
        </w:rPr>
        <w:t>s</w:t>
      </w:r>
      <w:r w:rsidRPr="00E8656C">
        <w:rPr>
          <w:rFonts w:cs="Arial"/>
        </w:rPr>
        <w:t xml:space="preserve">ense of </w:t>
      </w:r>
      <w:r w:rsidR="00B32C38" w:rsidRPr="00E8656C">
        <w:rPr>
          <w:rFonts w:cs="Arial"/>
        </w:rPr>
        <w:t>b</w:t>
      </w:r>
      <w:r w:rsidRPr="00E8656C">
        <w:rPr>
          <w:rFonts w:cs="Arial"/>
        </w:rPr>
        <w:t>elonging positively in 2024, about 7 percentage points lower than pre-2020 levels.</w:t>
      </w:r>
      <w:r w:rsidR="0084283E" w:rsidRPr="00E8656C">
        <w:rPr>
          <w:rFonts w:cs="Arial"/>
        </w:rPr>
        <w:t xml:space="preserve"> This difference may be </w:t>
      </w:r>
      <w:r w:rsidR="00283474" w:rsidRPr="00E8656C">
        <w:rPr>
          <w:rFonts w:cs="Arial"/>
        </w:rPr>
        <w:t>associated with</w:t>
      </w:r>
      <w:r w:rsidR="00FD12CC" w:rsidRPr="00E8656C">
        <w:rPr>
          <w:rFonts w:cs="Arial"/>
        </w:rPr>
        <w:t xml:space="preserve"> </w:t>
      </w:r>
      <w:r w:rsidR="0084283E" w:rsidRPr="00E8656C">
        <w:rPr>
          <w:rFonts w:cs="Arial"/>
        </w:rPr>
        <w:t>international student</w:t>
      </w:r>
      <w:r w:rsidR="003050EE" w:rsidRPr="00E8656C">
        <w:rPr>
          <w:rFonts w:cs="Arial"/>
        </w:rPr>
        <w:t xml:space="preserve">s’ </w:t>
      </w:r>
      <w:r w:rsidR="00B52A12" w:rsidRPr="00E8656C">
        <w:rPr>
          <w:rFonts w:cs="Arial"/>
        </w:rPr>
        <w:t xml:space="preserve">greater reliance </w:t>
      </w:r>
      <w:r w:rsidR="003050EE" w:rsidRPr="00E8656C">
        <w:rPr>
          <w:rFonts w:cs="Arial"/>
        </w:rPr>
        <w:t>o</w:t>
      </w:r>
      <w:r w:rsidR="00152306" w:rsidRPr="00E8656C">
        <w:rPr>
          <w:rFonts w:cs="Arial"/>
        </w:rPr>
        <w:t>n</w:t>
      </w:r>
      <w:r w:rsidR="003050EE" w:rsidRPr="00E8656C">
        <w:rPr>
          <w:rFonts w:cs="Arial"/>
        </w:rPr>
        <w:t xml:space="preserve"> their institution for social, academic and study needs</w:t>
      </w:r>
      <w:r w:rsidR="00F76C62" w:rsidRPr="00E8656C">
        <w:rPr>
          <w:rFonts w:cs="Arial"/>
        </w:rPr>
        <w:t>, whereas</w:t>
      </w:r>
      <w:r w:rsidR="007D506F" w:rsidRPr="00E8656C">
        <w:rPr>
          <w:rFonts w:cs="Arial"/>
        </w:rPr>
        <w:t xml:space="preserve"> domestic students</w:t>
      </w:r>
      <w:r w:rsidR="00F76C62" w:rsidRPr="00E8656C">
        <w:rPr>
          <w:rFonts w:cs="Arial"/>
        </w:rPr>
        <w:t xml:space="preserve"> </w:t>
      </w:r>
      <w:r w:rsidR="007D506F" w:rsidRPr="00E8656C">
        <w:rPr>
          <w:rFonts w:cs="Arial"/>
        </w:rPr>
        <w:t xml:space="preserve">may </w:t>
      </w:r>
      <w:r w:rsidR="00FD12CC" w:rsidRPr="00E8656C">
        <w:rPr>
          <w:rFonts w:cs="Arial"/>
        </w:rPr>
        <w:t xml:space="preserve">potentially </w:t>
      </w:r>
      <w:r w:rsidR="007D506F" w:rsidRPr="00E8656C">
        <w:rPr>
          <w:rFonts w:cs="Arial"/>
        </w:rPr>
        <w:t xml:space="preserve">maintain </w:t>
      </w:r>
      <w:r w:rsidR="000D7FAC" w:rsidRPr="00E8656C">
        <w:rPr>
          <w:rFonts w:cs="Arial"/>
        </w:rPr>
        <w:t>stronger</w:t>
      </w:r>
      <w:r w:rsidR="007D506F" w:rsidRPr="00E8656C">
        <w:rPr>
          <w:rFonts w:cs="Arial"/>
        </w:rPr>
        <w:t xml:space="preserve"> external peer </w:t>
      </w:r>
      <w:r w:rsidR="00B2327B" w:rsidRPr="00E8656C">
        <w:rPr>
          <w:rFonts w:cs="Arial"/>
        </w:rPr>
        <w:t xml:space="preserve">network </w:t>
      </w:r>
      <w:r w:rsidR="000D7FAC" w:rsidRPr="00E8656C">
        <w:rPr>
          <w:rFonts w:cs="Arial"/>
        </w:rPr>
        <w:t>and access to support</w:t>
      </w:r>
      <w:r w:rsidR="007D506F" w:rsidRPr="00E8656C">
        <w:rPr>
          <w:rFonts w:cs="Arial"/>
        </w:rPr>
        <w:t>.</w:t>
      </w:r>
      <w:r w:rsidR="00653D41" w:rsidRPr="00E8656C">
        <w:rPr>
          <w:rFonts w:cs="Arial"/>
        </w:rPr>
        <w:t xml:space="preserve"> </w:t>
      </w:r>
      <w:r w:rsidR="000D7FAC" w:rsidRPr="00E8656C">
        <w:rPr>
          <w:rFonts w:cs="Arial"/>
        </w:rPr>
        <w:t xml:space="preserve">Additionally, </w:t>
      </w:r>
      <w:r w:rsidR="00561774" w:rsidRPr="00E8656C">
        <w:rPr>
          <w:rFonts w:cs="Arial"/>
        </w:rPr>
        <w:t>domestic students are more likely to study externally, which may limit opportunities to form connections with their institution and peers, as reflected in lower Peer Engagement ratings</w:t>
      </w:r>
      <w:r w:rsidR="00E929D5" w:rsidRPr="00E8656C">
        <w:rPr>
          <w:rFonts w:cs="Arial"/>
        </w:rPr>
        <w:t>.</w:t>
      </w:r>
    </w:p>
    <w:p w14:paraId="140C0E90" w14:textId="77777777" w:rsidR="00B2199C" w:rsidRPr="00E8656C" w:rsidRDefault="00AC09CB" w:rsidP="00AC09CB">
      <w:pPr>
        <w:pStyle w:val="Body"/>
        <w:rPr>
          <w:rFonts w:cs="Arial"/>
        </w:rPr>
      </w:pPr>
      <w:r w:rsidRPr="00E8656C">
        <w:rPr>
          <w:rFonts w:cs="Arial"/>
        </w:rPr>
        <w:t xml:space="preserve">Commencing </w:t>
      </w:r>
      <w:r w:rsidR="00093C01" w:rsidRPr="00E8656C">
        <w:rPr>
          <w:rFonts w:cs="Arial"/>
        </w:rPr>
        <w:t>undergraduates</w:t>
      </w:r>
      <w:r w:rsidRPr="00E8656C">
        <w:rPr>
          <w:rFonts w:cs="Arial"/>
        </w:rPr>
        <w:t xml:space="preserve"> generally rate </w:t>
      </w:r>
      <w:r w:rsidR="00093C01" w:rsidRPr="00E8656C">
        <w:rPr>
          <w:rFonts w:cs="Arial"/>
        </w:rPr>
        <w:t xml:space="preserve">their </w:t>
      </w:r>
      <w:r w:rsidR="007E465A" w:rsidRPr="00E8656C">
        <w:rPr>
          <w:rFonts w:cs="Arial"/>
        </w:rPr>
        <w:t>s</w:t>
      </w:r>
      <w:r w:rsidRPr="00E8656C">
        <w:rPr>
          <w:rFonts w:cs="Arial"/>
        </w:rPr>
        <w:t xml:space="preserve">ense of </w:t>
      </w:r>
      <w:r w:rsidR="007E465A" w:rsidRPr="00E8656C">
        <w:rPr>
          <w:rFonts w:cs="Arial"/>
        </w:rPr>
        <w:t>b</w:t>
      </w:r>
      <w:r w:rsidRPr="00E8656C">
        <w:rPr>
          <w:rFonts w:cs="Arial"/>
        </w:rPr>
        <w:t xml:space="preserve">elonging higher than later-year students. In 2024, positive ratings for </w:t>
      </w:r>
      <w:r w:rsidR="00093C01" w:rsidRPr="00E8656C">
        <w:rPr>
          <w:rFonts w:cs="Arial"/>
        </w:rPr>
        <w:t>undergraduates</w:t>
      </w:r>
      <w:r w:rsidRPr="00E8656C">
        <w:rPr>
          <w:rFonts w:cs="Arial"/>
        </w:rPr>
        <w:t xml:space="preserve"> remained below pre-2020 levels, with commencing student ratings approximately 5 percentage points lower and later-year student ratings about 6 percentage points behind pre-pandemic levels.</w:t>
      </w:r>
      <w:r w:rsidR="00927DC9" w:rsidRPr="00E8656C">
        <w:rPr>
          <w:rFonts w:cs="Arial"/>
        </w:rPr>
        <w:t xml:space="preserve"> </w:t>
      </w:r>
      <w:r w:rsidR="00D66F9A" w:rsidRPr="00E8656C">
        <w:rPr>
          <w:rFonts w:cs="Arial"/>
        </w:rPr>
        <w:t>These differences are less pronounced for postgraduate coursework students</w:t>
      </w:r>
      <w:r w:rsidR="003E7A7D" w:rsidRPr="00E8656C">
        <w:rPr>
          <w:rFonts w:cs="Arial"/>
        </w:rPr>
        <w:t>. M</w:t>
      </w:r>
      <w:r w:rsidR="00145908" w:rsidRPr="00E8656C">
        <w:rPr>
          <w:rFonts w:cs="Arial"/>
        </w:rPr>
        <w:t xml:space="preserve">any </w:t>
      </w:r>
      <w:r w:rsidR="004E495A" w:rsidRPr="00E8656C">
        <w:rPr>
          <w:rFonts w:cs="Arial"/>
        </w:rPr>
        <w:t>postgraduates have recent experience from their undergraduate studies and often study online. Additionally, the increase in international students, who tend to rate their sense of belonging more highly, contributes to this trend.</w:t>
      </w:r>
      <w:r w:rsidR="00031879" w:rsidRPr="00E8656C">
        <w:rPr>
          <w:rFonts w:cs="Arial"/>
        </w:rPr>
        <w:t xml:space="preserve"> </w:t>
      </w:r>
    </w:p>
    <w:p w14:paraId="41A08E7E" w14:textId="4A5FD50F" w:rsidR="00AC09CB" w:rsidRPr="00E8656C" w:rsidRDefault="005712D4" w:rsidP="00AC09CB">
      <w:pPr>
        <w:pStyle w:val="Body"/>
        <w:rPr>
          <w:rFonts w:cs="Arial"/>
        </w:rPr>
      </w:pPr>
      <w:r w:rsidRPr="00E8656C">
        <w:rPr>
          <w:rFonts w:cs="Arial"/>
        </w:rPr>
        <w:t>Undergraduates</w:t>
      </w:r>
      <w:r w:rsidR="00AC09CB" w:rsidRPr="00E8656C">
        <w:rPr>
          <w:rFonts w:cs="Arial"/>
        </w:rPr>
        <w:t xml:space="preserve"> with a reported disability rate</w:t>
      </w:r>
      <w:r w:rsidR="00FE6549" w:rsidRPr="00E8656C">
        <w:rPr>
          <w:rFonts w:cs="Arial"/>
        </w:rPr>
        <w:t xml:space="preserve"> their</w:t>
      </w:r>
      <w:r w:rsidR="00AC09CB" w:rsidRPr="00E8656C">
        <w:rPr>
          <w:rFonts w:cs="Arial"/>
        </w:rPr>
        <w:t xml:space="preserve"> </w:t>
      </w:r>
      <w:r w:rsidR="006C5512" w:rsidRPr="00E8656C">
        <w:rPr>
          <w:rFonts w:cs="Arial"/>
        </w:rPr>
        <w:t>s</w:t>
      </w:r>
      <w:r w:rsidR="00AC09CB" w:rsidRPr="00E8656C">
        <w:rPr>
          <w:rFonts w:cs="Arial"/>
        </w:rPr>
        <w:t xml:space="preserve">ense of </w:t>
      </w:r>
      <w:r w:rsidR="006C5512" w:rsidRPr="00E8656C">
        <w:rPr>
          <w:rFonts w:cs="Arial"/>
        </w:rPr>
        <w:t>b</w:t>
      </w:r>
      <w:r w:rsidR="00AC09CB" w:rsidRPr="00E8656C">
        <w:rPr>
          <w:rFonts w:cs="Arial"/>
        </w:rPr>
        <w:t xml:space="preserve">elonging lower than </w:t>
      </w:r>
      <w:r w:rsidR="006D7AEC" w:rsidRPr="00E8656C">
        <w:rPr>
          <w:rFonts w:cs="Arial"/>
        </w:rPr>
        <w:t>those</w:t>
      </w:r>
      <w:r w:rsidR="00020EB0" w:rsidRPr="00E8656C">
        <w:rPr>
          <w:rFonts w:cs="Arial"/>
        </w:rPr>
        <w:t xml:space="preserve"> who do not have a reported disability</w:t>
      </w:r>
      <w:r w:rsidR="00AC09CB" w:rsidRPr="00E8656C">
        <w:rPr>
          <w:rFonts w:cs="Arial"/>
        </w:rPr>
        <w:t>. This trend persisted in 2024, with a gap of 5.3 percentage points between the groups, following a slight narrowing in 2023.</w:t>
      </w:r>
      <w:r w:rsidRPr="00E8656C">
        <w:rPr>
          <w:rFonts w:cs="Arial"/>
        </w:rPr>
        <w:t xml:space="preserve">This trend is </w:t>
      </w:r>
      <w:r w:rsidR="001E438D" w:rsidRPr="00E8656C">
        <w:rPr>
          <w:rFonts w:cs="Arial"/>
        </w:rPr>
        <w:t xml:space="preserve">also observed for postgraduate coursework students with students with a reported disability rating their </w:t>
      </w:r>
      <w:r w:rsidR="001906B4" w:rsidRPr="00E8656C">
        <w:rPr>
          <w:rFonts w:cs="Arial"/>
        </w:rPr>
        <w:t>sense of belonging less positively than their counterparts by 5.6 per cent.</w:t>
      </w:r>
      <w:r w:rsidR="002A6CF6" w:rsidRPr="00E8656C">
        <w:rPr>
          <w:rFonts w:cs="Arial"/>
        </w:rPr>
        <w:t xml:space="preserve"> Given the persistence of this trend, this may be an area for focussed institutional improvement efforts such as in induction and orientation activities and other opportunities for students with disabilities to mix and work with their peers and feel more included.</w:t>
      </w:r>
    </w:p>
    <w:p w14:paraId="41EFE7BF" w14:textId="77777777" w:rsidR="00D675B6" w:rsidRPr="00E8656C" w:rsidRDefault="00D675B6" w:rsidP="00695177">
      <w:pPr>
        <w:pStyle w:val="Caption"/>
        <w:sectPr w:rsidR="00D675B6" w:rsidRPr="00E8656C" w:rsidSect="005D6A13">
          <w:headerReference w:type="default" r:id="rId82"/>
          <w:footerReference w:type="even" r:id="rId83"/>
          <w:pgSz w:w="11906" w:h="16838" w:code="9"/>
          <w:pgMar w:top="720" w:right="720" w:bottom="720" w:left="720" w:header="567" w:footer="567" w:gutter="0"/>
          <w:cols w:space="708"/>
          <w:docGrid w:linePitch="360"/>
        </w:sectPr>
      </w:pPr>
      <w:bookmarkStart w:id="101" w:name="_Ref193732542"/>
    </w:p>
    <w:p w14:paraId="607E00A4" w14:textId="201B8BCF" w:rsidR="00145E21" w:rsidRPr="00E8656C" w:rsidRDefault="00145E21" w:rsidP="00695177">
      <w:pPr>
        <w:pStyle w:val="Caption"/>
      </w:pPr>
      <w:bookmarkStart w:id="102" w:name="_Ref195564615"/>
      <w:bookmarkStart w:id="103" w:name="_Toc201065574"/>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24</w:t>
      </w:r>
      <w:r w:rsidR="00EA0581" w:rsidRPr="00E8656C">
        <w:rPr>
          <w:noProof/>
        </w:rPr>
        <w:fldChar w:fldCharType="end"/>
      </w:r>
      <w:bookmarkEnd w:id="101"/>
      <w:bookmarkEnd w:id="102"/>
      <w:r w:rsidR="0066499D" w:rsidRPr="00E8656C">
        <w:tab/>
      </w:r>
      <w:r w:rsidR="007811D4" w:rsidRPr="00E8656C">
        <w:t>S</w:t>
      </w:r>
      <w:r w:rsidRPr="00E8656C">
        <w:t>ense of belong</w:t>
      </w:r>
      <w:r w:rsidR="0051721F" w:rsidRPr="00E8656C">
        <w:t>ing</w:t>
      </w:r>
      <w:r w:rsidRPr="00E8656C">
        <w:t xml:space="preserve"> to institution by sub-group, </w:t>
      </w:r>
      <w:r w:rsidR="00311608" w:rsidRPr="00E8656C">
        <w:t>u</w:t>
      </w:r>
      <w:r w:rsidR="007811D4" w:rsidRPr="00E8656C">
        <w:t>ndergraduate</w:t>
      </w:r>
      <w:r w:rsidR="00311608" w:rsidRPr="00E8656C">
        <w:t>,</w:t>
      </w:r>
      <w:r w:rsidR="007811D4" w:rsidRPr="00E8656C">
        <w:t xml:space="preserve"> </w:t>
      </w:r>
      <w:r w:rsidRPr="00E8656C">
        <w:t>2017</w:t>
      </w:r>
      <w:r w:rsidR="00682A5B" w:rsidRPr="00E8656C">
        <w:t>–</w:t>
      </w:r>
      <w:r w:rsidRPr="00E8656C">
        <w:t>24 (% positive rating)</w:t>
      </w:r>
      <w:bookmarkEnd w:id="103"/>
    </w:p>
    <w:p w14:paraId="2B5E2F5A" w14:textId="77777777" w:rsidR="00303B81" w:rsidRPr="00E8656C" w:rsidRDefault="00303B81" w:rsidP="00303B81">
      <w:pPr>
        <w:rPr>
          <w:rFonts w:eastAsia="Times New Roman" w:cs="Arial"/>
          <w:sz w:val="18"/>
          <w:lang w:eastAsia="en-AU"/>
        </w:rPr>
      </w:pPr>
      <w:r w:rsidRPr="00E8656C">
        <w:rPr>
          <w:rFonts w:eastAsia="Times New Roman" w:cs="Arial"/>
          <w:sz w:val="18"/>
          <w:lang w:eastAsia="en-AU"/>
        </w:rPr>
        <w:t>(Source: BELONGSAT_UG_ALL_17-YY_SG)</w:t>
      </w:r>
    </w:p>
    <w:p w14:paraId="2D38DAB9" w14:textId="4001AB40" w:rsidR="00284016" w:rsidRPr="00E8656C" w:rsidRDefault="008A7458" w:rsidP="00284016">
      <w:pPr>
        <w:pStyle w:val="Body"/>
        <w:rPr>
          <w:rFonts w:eastAsiaTheme="minorEastAsia" w:cs="Arial"/>
        </w:rPr>
      </w:pPr>
      <w:r w:rsidRPr="00E8656C">
        <w:rPr>
          <w:rFonts w:cs="Arial"/>
          <w:noProof/>
        </w:rPr>
        <w:drawing>
          <wp:inline distT="0" distB="0" distL="0" distR="0" wp14:anchorId="2651A99F" wp14:editId="5BCF5858">
            <wp:extent cx="4589145" cy="1692000"/>
            <wp:effectExtent l="0" t="0" r="1905" b="3810"/>
            <wp:docPr id="1511841714" name="Chart 1">
              <a:extLst xmlns:a="http://schemas.openxmlformats.org/drawingml/2006/main">
                <a:ext uri="{FF2B5EF4-FFF2-40B4-BE49-F238E27FC236}">
                  <a16:creationId xmlns:a16="http://schemas.microsoft.com/office/drawing/2014/main" id="{2F970D4F-DC04-2B95-F92C-85FA0C00395F}"/>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00DF29D1" w:rsidRPr="00E8656C">
        <w:rPr>
          <w:rFonts w:cs="Arial"/>
          <w:noProof/>
        </w:rPr>
        <w:t xml:space="preserve"> </w:t>
      </w:r>
      <w:r w:rsidR="00DF29D1" w:rsidRPr="00E8656C">
        <w:rPr>
          <w:rFonts w:cs="Arial"/>
          <w:noProof/>
        </w:rPr>
        <w:drawing>
          <wp:inline distT="0" distB="0" distL="0" distR="0" wp14:anchorId="0F3E9173" wp14:editId="22A15509">
            <wp:extent cx="4585335" cy="1692000"/>
            <wp:effectExtent l="0" t="0" r="5715" b="3810"/>
            <wp:docPr id="20304190" name="Chart 1">
              <a:extLst xmlns:a="http://schemas.openxmlformats.org/drawingml/2006/main">
                <a:ext uri="{FF2B5EF4-FFF2-40B4-BE49-F238E27FC236}">
                  <a16:creationId xmlns:a16="http://schemas.microsoft.com/office/drawing/2014/main" id="{0D75A221-69E3-414F-9816-E74958F389B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0943945B" w14:textId="173C7E89" w:rsidR="00673C89" w:rsidRPr="00E8656C" w:rsidRDefault="00673C89" w:rsidP="00284016">
      <w:pPr>
        <w:pStyle w:val="Body"/>
        <w:rPr>
          <w:rFonts w:eastAsiaTheme="minorEastAsia" w:cs="Arial"/>
          <w:lang w:val="en-GB" w:eastAsia="en-GB"/>
        </w:rPr>
      </w:pPr>
      <w:r w:rsidRPr="00E8656C">
        <w:rPr>
          <w:rFonts w:cs="Arial"/>
          <w:noProof/>
        </w:rPr>
        <w:drawing>
          <wp:inline distT="0" distB="0" distL="0" distR="0" wp14:anchorId="19B9C426" wp14:editId="3C7D0122">
            <wp:extent cx="4598670" cy="1692000"/>
            <wp:effectExtent l="0" t="0" r="0" b="3810"/>
            <wp:docPr id="965462959" name="Chart 1">
              <a:extLst xmlns:a="http://schemas.openxmlformats.org/drawingml/2006/main">
                <a:ext uri="{FF2B5EF4-FFF2-40B4-BE49-F238E27FC236}">
                  <a16:creationId xmlns:a16="http://schemas.microsoft.com/office/drawing/2014/main" id="{EC9AD9F8-5302-4418-84BC-EB75BA3A6789}"/>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Pr="00E8656C">
        <w:rPr>
          <w:rFonts w:cs="Arial"/>
          <w:noProof/>
        </w:rPr>
        <w:t xml:space="preserve"> </w:t>
      </w:r>
      <w:r w:rsidRPr="00E8656C">
        <w:rPr>
          <w:rFonts w:cs="Arial"/>
          <w:noProof/>
        </w:rPr>
        <w:drawing>
          <wp:inline distT="0" distB="0" distL="0" distR="0" wp14:anchorId="05F78F8B" wp14:editId="22481263">
            <wp:extent cx="4577715" cy="1692000"/>
            <wp:effectExtent l="0" t="0" r="0" b="3810"/>
            <wp:docPr id="690321843" name="Chart 1">
              <a:extLst xmlns:a="http://schemas.openxmlformats.org/drawingml/2006/main">
                <a:ext uri="{FF2B5EF4-FFF2-40B4-BE49-F238E27FC236}">
                  <a16:creationId xmlns:a16="http://schemas.microsoft.com/office/drawing/2014/main" id="{6A320343-91ED-417D-99FB-C71438E8B37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547E269" w14:textId="279572FF" w:rsidR="00186E9C" w:rsidRPr="00E8656C" w:rsidRDefault="00865BFA" w:rsidP="00695177">
      <w:pPr>
        <w:pStyle w:val="Body"/>
        <w:rPr>
          <w:spacing w:val="1"/>
          <w:sz w:val="16"/>
          <w:szCs w:val="16"/>
        </w:rPr>
        <w:sectPr w:rsidR="00186E9C" w:rsidRPr="00E8656C" w:rsidSect="00D675B6">
          <w:pgSz w:w="16838" w:h="11906" w:orient="landscape" w:code="9"/>
          <w:pgMar w:top="720" w:right="720" w:bottom="720" w:left="720" w:header="567" w:footer="567" w:gutter="0"/>
          <w:cols w:space="708"/>
          <w:docGrid w:linePitch="360"/>
        </w:sectPr>
      </w:pPr>
      <w:r w:rsidRPr="00E8656C">
        <w:rPr>
          <w:noProof/>
        </w:rPr>
        <w:drawing>
          <wp:inline distT="0" distB="0" distL="0" distR="0" wp14:anchorId="17FF5116" wp14:editId="1BD57F60">
            <wp:extent cx="4552950" cy="1692000"/>
            <wp:effectExtent l="0" t="0" r="0" b="3810"/>
            <wp:docPr id="1372443488" name="Chart 1">
              <a:extLst xmlns:a="http://schemas.openxmlformats.org/drawingml/2006/main">
                <a:ext uri="{FF2B5EF4-FFF2-40B4-BE49-F238E27FC236}">
                  <a16:creationId xmlns:a16="http://schemas.microsoft.com/office/drawing/2014/main" id="{68212FB8-9A82-4584-9177-D1F6796F8B4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r w:rsidRPr="00E8656C">
        <w:rPr>
          <w:noProof/>
        </w:rPr>
        <w:t xml:space="preserve"> </w:t>
      </w:r>
      <w:r w:rsidRPr="00E8656C">
        <w:rPr>
          <w:noProof/>
        </w:rPr>
        <w:drawing>
          <wp:inline distT="0" distB="0" distL="0" distR="0" wp14:anchorId="6869DB92" wp14:editId="41F62AD2">
            <wp:extent cx="4552950" cy="1692000"/>
            <wp:effectExtent l="0" t="0" r="0" b="3810"/>
            <wp:docPr id="257607899" name="Chart 1">
              <a:extLst xmlns:a="http://schemas.openxmlformats.org/drawingml/2006/main">
                <a:ext uri="{FF2B5EF4-FFF2-40B4-BE49-F238E27FC236}">
                  <a16:creationId xmlns:a16="http://schemas.microsoft.com/office/drawing/2014/main" id="{D4DE7CC0-B041-4E74-A750-7E6B9F85F6F6}"/>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21C5A45F" w14:textId="17155280" w:rsidR="00186E9C" w:rsidRPr="00E8656C" w:rsidRDefault="00186E9C" w:rsidP="00695177">
      <w:pPr>
        <w:pStyle w:val="Caption"/>
      </w:pPr>
      <w:bookmarkStart w:id="104" w:name="_Ref196840474"/>
      <w:bookmarkStart w:id="105" w:name="_Toc201065575"/>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25</w:t>
      </w:r>
      <w:r w:rsidR="00EA0581" w:rsidRPr="00E8656C">
        <w:rPr>
          <w:noProof/>
        </w:rPr>
        <w:fldChar w:fldCharType="end"/>
      </w:r>
      <w:bookmarkEnd w:id="104"/>
      <w:r w:rsidR="00695177" w:rsidRPr="00E8656C">
        <w:tab/>
      </w:r>
      <w:r w:rsidR="007A24C8" w:rsidRPr="00E8656C">
        <w:t>S</w:t>
      </w:r>
      <w:r w:rsidRPr="00E8656C">
        <w:t xml:space="preserve">ense of belonging to institution by sub-group, </w:t>
      </w:r>
      <w:r w:rsidR="00A0027B" w:rsidRPr="00E8656C">
        <w:t xml:space="preserve">postgraduate coursework, </w:t>
      </w:r>
      <w:r w:rsidRPr="00E8656C">
        <w:t>2017–24 (% positive rating)</w:t>
      </w:r>
      <w:bookmarkEnd w:id="105"/>
    </w:p>
    <w:p w14:paraId="363F9C44" w14:textId="4BF78E0D" w:rsidR="00186E9C" w:rsidRPr="00E8656C" w:rsidRDefault="00186E9C" w:rsidP="00186E9C">
      <w:pPr>
        <w:rPr>
          <w:rFonts w:eastAsia="Times New Roman" w:cs="Arial"/>
          <w:sz w:val="18"/>
          <w:lang w:eastAsia="en-AU"/>
        </w:rPr>
      </w:pPr>
      <w:r w:rsidRPr="00E8656C">
        <w:rPr>
          <w:rFonts w:eastAsia="Times New Roman" w:cs="Arial"/>
          <w:sz w:val="18"/>
          <w:lang w:eastAsia="en-AU"/>
        </w:rPr>
        <w:t>(Source: BELONGSAT_</w:t>
      </w:r>
      <w:r w:rsidR="00B77880" w:rsidRPr="00E8656C">
        <w:rPr>
          <w:rFonts w:eastAsia="Times New Roman" w:cs="Arial"/>
          <w:sz w:val="18"/>
          <w:lang w:eastAsia="en-AU"/>
        </w:rPr>
        <w:t>PGC</w:t>
      </w:r>
      <w:r w:rsidRPr="00E8656C">
        <w:rPr>
          <w:rFonts w:eastAsia="Times New Roman" w:cs="Arial"/>
          <w:sz w:val="18"/>
          <w:lang w:eastAsia="en-AU"/>
        </w:rPr>
        <w:t>_ALL_17-YY_SG)</w:t>
      </w:r>
    </w:p>
    <w:p w14:paraId="415AA8AE" w14:textId="4CFB12BC" w:rsidR="00186E9C" w:rsidRPr="00E8656C" w:rsidRDefault="00186E9C" w:rsidP="00186E9C">
      <w:pPr>
        <w:pStyle w:val="Body"/>
        <w:rPr>
          <w:rFonts w:eastAsiaTheme="minorHAnsi" w:cs="Arial"/>
        </w:rPr>
      </w:pPr>
      <w:r w:rsidRPr="00E8656C">
        <w:rPr>
          <w:rFonts w:cs="Arial"/>
          <w:noProof/>
        </w:rPr>
        <w:t xml:space="preserve"> </w:t>
      </w:r>
      <w:r w:rsidR="00625070" w:rsidRPr="00E8656C">
        <w:rPr>
          <w:rFonts w:cs="Arial"/>
          <w:noProof/>
        </w:rPr>
        <w:drawing>
          <wp:inline distT="0" distB="0" distL="0" distR="0" wp14:anchorId="0AD593D3" wp14:editId="3650A412">
            <wp:extent cx="4589145" cy="1692000"/>
            <wp:effectExtent l="0" t="0" r="1905" b="3810"/>
            <wp:docPr id="235001955" name="Chart 1">
              <a:extLst xmlns:a="http://schemas.openxmlformats.org/drawingml/2006/main">
                <a:ext uri="{FF2B5EF4-FFF2-40B4-BE49-F238E27FC236}">
                  <a16:creationId xmlns:a16="http://schemas.microsoft.com/office/drawing/2014/main" id="{0DCED0C8-A466-40C1-85C4-F2E03FA3F77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00DB6008" w:rsidRPr="00E8656C">
        <w:rPr>
          <w:rFonts w:cs="Arial"/>
          <w:noProof/>
        </w:rPr>
        <w:t xml:space="preserve"> </w:t>
      </w:r>
      <w:r w:rsidR="00DD0642" w:rsidRPr="00E8656C">
        <w:rPr>
          <w:rFonts w:cs="Arial"/>
          <w:noProof/>
        </w:rPr>
        <w:drawing>
          <wp:inline distT="0" distB="0" distL="0" distR="0" wp14:anchorId="10657F55" wp14:editId="4EB32014">
            <wp:extent cx="4585335" cy="1692000"/>
            <wp:effectExtent l="0" t="0" r="5715" b="3810"/>
            <wp:docPr id="1782718068" name="Chart 1">
              <a:extLst xmlns:a="http://schemas.openxmlformats.org/drawingml/2006/main">
                <a:ext uri="{FF2B5EF4-FFF2-40B4-BE49-F238E27FC236}">
                  <a16:creationId xmlns:a16="http://schemas.microsoft.com/office/drawing/2014/main" id="{8DA6C7FB-F06D-4EF8-8398-C97E44D1EC2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53F1D140" w14:textId="35349768" w:rsidR="00234834" w:rsidRPr="00E8656C" w:rsidRDefault="006A4EB1" w:rsidP="00186E9C">
      <w:pPr>
        <w:pStyle w:val="Body"/>
        <w:rPr>
          <w:rFonts w:eastAsiaTheme="minorHAnsi" w:cs="Arial"/>
          <w:lang w:val="en-GB" w:eastAsia="en-GB"/>
        </w:rPr>
      </w:pPr>
      <w:r w:rsidRPr="00E8656C">
        <w:rPr>
          <w:rFonts w:cs="Arial"/>
          <w:noProof/>
        </w:rPr>
        <w:drawing>
          <wp:inline distT="0" distB="0" distL="0" distR="0" wp14:anchorId="4201725D" wp14:editId="48E27B6D">
            <wp:extent cx="4598670" cy="1692000"/>
            <wp:effectExtent l="0" t="0" r="0" b="3810"/>
            <wp:docPr id="190943931" name="Chart 1">
              <a:extLst xmlns:a="http://schemas.openxmlformats.org/drawingml/2006/main">
                <a:ext uri="{FF2B5EF4-FFF2-40B4-BE49-F238E27FC236}">
                  <a16:creationId xmlns:a16="http://schemas.microsoft.com/office/drawing/2014/main" id="{2BDD953D-5626-4D21-8A9B-1CFFA7379AD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r w:rsidRPr="00E8656C">
        <w:rPr>
          <w:rFonts w:cs="Arial"/>
          <w:noProof/>
        </w:rPr>
        <w:t xml:space="preserve"> </w:t>
      </w:r>
      <w:r w:rsidRPr="00E8656C">
        <w:rPr>
          <w:rFonts w:cs="Arial"/>
          <w:noProof/>
        </w:rPr>
        <w:drawing>
          <wp:inline distT="0" distB="0" distL="0" distR="0" wp14:anchorId="51F60C30" wp14:editId="33A5EE79">
            <wp:extent cx="4577715" cy="1692000"/>
            <wp:effectExtent l="0" t="0" r="0" b="3810"/>
            <wp:docPr id="472980539" name="Chart 1">
              <a:extLst xmlns:a="http://schemas.openxmlformats.org/drawingml/2006/main">
                <a:ext uri="{FF2B5EF4-FFF2-40B4-BE49-F238E27FC236}">
                  <a16:creationId xmlns:a16="http://schemas.microsoft.com/office/drawing/2014/main" id="{D63DC48A-9D2C-4D92-95AE-F1302501B95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sidR="00186E9C" w:rsidRPr="00E8656C">
        <w:rPr>
          <w:rFonts w:cs="Arial"/>
          <w:noProof/>
        </w:rPr>
        <w:t xml:space="preserve"> </w:t>
      </w:r>
    </w:p>
    <w:p w14:paraId="2B9A53AB" w14:textId="08E79C24" w:rsidR="00471C6C" w:rsidRPr="00E8656C" w:rsidRDefault="006A4DB5" w:rsidP="002C536E">
      <w:pPr>
        <w:pStyle w:val="Body"/>
        <w:sectPr w:rsidR="00471C6C" w:rsidRPr="00E8656C" w:rsidSect="00D675B6">
          <w:pgSz w:w="16838" w:h="11906" w:orient="landscape" w:code="9"/>
          <w:pgMar w:top="720" w:right="720" w:bottom="720" w:left="720" w:header="567" w:footer="567" w:gutter="0"/>
          <w:cols w:space="708"/>
          <w:docGrid w:linePitch="360"/>
        </w:sectPr>
      </w:pPr>
      <w:r w:rsidRPr="00E8656C">
        <w:rPr>
          <w:noProof/>
        </w:rPr>
        <w:drawing>
          <wp:inline distT="0" distB="0" distL="0" distR="0" wp14:anchorId="1CF79751" wp14:editId="7FBA64AE">
            <wp:extent cx="4552950" cy="1692000"/>
            <wp:effectExtent l="0" t="0" r="0" b="3810"/>
            <wp:docPr id="1330703961" name="Chart 1">
              <a:extLst xmlns:a="http://schemas.openxmlformats.org/drawingml/2006/main">
                <a:ext uri="{FF2B5EF4-FFF2-40B4-BE49-F238E27FC236}">
                  <a16:creationId xmlns:a16="http://schemas.microsoft.com/office/drawing/2014/main" id="{24E320D7-D9C9-4ECB-82C2-CA74B42FBD7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sidR="00B75792" w:rsidRPr="00E8656C">
        <w:rPr>
          <w:noProof/>
        </w:rPr>
        <w:t xml:space="preserve"> </w:t>
      </w:r>
      <w:r w:rsidR="00B75792" w:rsidRPr="00E8656C">
        <w:rPr>
          <w:noProof/>
        </w:rPr>
        <w:drawing>
          <wp:inline distT="0" distB="0" distL="0" distR="0" wp14:anchorId="05448417" wp14:editId="2CB5676A">
            <wp:extent cx="4552950" cy="1692000"/>
            <wp:effectExtent l="0" t="0" r="0" b="3810"/>
            <wp:docPr id="988310098" name="Chart 1">
              <a:extLst xmlns:a="http://schemas.openxmlformats.org/drawingml/2006/main">
                <a:ext uri="{FF2B5EF4-FFF2-40B4-BE49-F238E27FC236}">
                  <a16:creationId xmlns:a16="http://schemas.microsoft.com/office/drawing/2014/main" id="{E06EADF6-A51C-4DC1-A0B0-CBF99607BDF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8CD7BA7" w14:textId="127E15F9" w:rsidR="005A5905" w:rsidRPr="00E8656C" w:rsidRDefault="005A5905" w:rsidP="005F3653">
      <w:pPr>
        <w:pStyle w:val="Heading2"/>
        <w:rPr>
          <w:color w:val="auto"/>
        </w:rPr>
      </w:pPr>
      <w:bookmarkStart w:id="106" w:name="_Toc207802608"/>
      <w:r w:rsidRPr="00E8656C">
        <w:rPr>
          <w:color w:val="auto"/>
        </w:rPr>
        <w:lastRenderedPageBreak/>
        <w:t>Likelihood to consider leaving current institution</w:t>
      </w:r>
      <w:bookmarkEnd w:id="106"/>
    </w:p>
    <w:p w14:paraId="0E0DA3E4" w14:textId="364BFC4E" w:rsidR="005A5905" w:rsidRPr="00E8656C" w:rsidRDefault="005A5905" w:rsidP="005A5905">
      <w:pPr>
        <w:pStyle w:val="Body"/>
        <w:rPr>
          <w:rFonts w:cs="Arial"/>
        </w:rPr>
      </w:pPr>
      <w:r w:rsidRPr="00E8656C">
        <w:rPr>
          <w:rFonts w:cs="Arial"/>
        </w:rPr>
        <w:t xml:space="preserve">In addition to questions </w:t>
      </w:r>
      <w:r w:rsidR="00B92781" w:rsidRPr="00E8656C">
        <w:rPr>
          <w:rFonts w:cs="Arial"/>
        </w:rPr>
        <w:t>about</w:t>
      </w:r>
      <w:r w:rsidRPr="00E8656C">
        <w:rPr>
          <w:rFonts w:cs="Arial"/>
        </w:rPr>
        <w:t xml:space="preserve"> their higher education experience, students were also asked whether they had seriously considered leaving their current institution in </w:t>
      </w:r>
      <w:r w:rsidR="00471302" w:rsidRPr="00E8656C">
        <w:rPr>
          <w:rFonts w:cs="Arial"/>
        </w:rPr>
        <w:t xml:space="preserve">the survey year. </w:t>
      </w:r>
      <w:r w:rsidRPr="00E8656C">
        <w:rPr>
          <w:rFonts w:cs="Arial"/>
        </w:rPr>
        <w:t>Overall, 18.</w:t>
      </w:r>
      <w:r w:rsidR="00310A84" w:rsidRPr="00E8656C">
        <w:rPr>
          <w:rFonts w:cs="Arial"/>
        </w:rPr>
        <w:t>3</w:t>
      </w:r>
      <w:r w:rsidRPr="00E8656C">
        <w:rPr>
          <w:rFonts w:cs="Arial"/>
        </w:rPr>
        <w:t xml:space="preserve"> per cent of undergraduate students indicated that they had considered leaving in 202</w:t>
      </w:r>
      <w:r w:rsidR="006D04E2" w:rsidRPr="00E8656C">
        <w:rPr>
          <w:rFonts w:cs="Arial"/>
        </w:rPr>
        <w:t>4</w:t>
      </w:r>
      <w:r w:rsidRPr="00E8656C">
        <w:rPr>
          <w:rFonts w:cs="Arial"/>
        </w:rPr>
        <w:t>, the lowest since 2017. At the postgraduate coursework level, 16.</w:t>
      </w:r>
      <w:r w:rsidR="000A5FFF" w:rsidRPr="00E8656C">
        <w:rPr>
          <w:rFonts w:cs="Arial"/>
        </w:rPr>
        <w:t>0</w:t>
      </w:r>
      <w:r w:rsidRPr="00E8656C">
        <w:rPr>
          <w:rFonts w:cs="Arial"/>
        </w:rPr>
        <w:t xml:space="preserve"> per cent reported considered leaving in 202</w:t>
      </w:r>
      <w:r w:rsidR="000A5FFF" w:rsidRPr="00E8656C">
        <w:rPr>
          <w:rFonts w:cs="Arial"/>
        </w:rPr>
        <w:t>4</w:t>
      </w:r>
      <w:r w:rsidRPr="00E8656C">
        <w:rPr>
          <w:rFonts w:cs="Arial"/>
        </w:rPr>
        <w:t xml:space="preserve">, </w:t>
      </w:r>
      <w:r w:rsidR="000A5FFF" w:rsidRPr="00E8656C">
        <w:rPr>
          <w:rFonts w:cs="Arial"/>
        </w:rPr>
        <w:t>also</w:t>
      </w:r>
      <w:r w:rsidRPr="00E8656C">
        <w:rPr>
          <w:rFonts w:cs="Arial"/>
        </w:rPr>
        <w:t xml:space="preserve"> the lowest </w:t>
      </w:r>
      <w:r w:rsidR="002D0191" w:rsidRPr="00E8656C">
        <w:rPr>
          <w:rFonts w:cs="Arial"/>
        </w:rPr>
        <w:t xml:space="preserve">rate </w:t>
      </w:r>
      <w:r w:rsidRPr="00E8656C">
        <w:rPr>
          <w:rFonts w:cs="Arial"/>
        </w:rPr>
        <w:t>since 2017</w:t>
      </w:r>
      <w:r w:rsidR="008E5D06" w:rsidRPr="00E8656C">
        <w:rPr>
          <w:rFonts w:cs="Arial"/>
        </w:rPr>
        <w:t xml:space="preserve"> (</w:t>
      </w:r>
      <w:r w:rsidR="008E5D06" w:rsidRPr="00E8656C">
        <w:rPr>
          <w:rFonts w:cs="Arial"/>
          <w:b/>
          <w:bCs/>
        </w:rPr>
        <w:fldChar w:fldCharType="begin"/>
      </w:r>
      <w:r w:rsidR="008E5D06" w:rsidRPr="00E8656C">
        <w:rPr>
          <w:rFonts w:cs="Arial"/>
          <w:b/>
          <w:bCs/>
        </w:rPr>
        <w:instrText xml:space="preserve"> REF _Ref195572044 \h  \* MERGEFORMAT </w:instrText>
      </w:r>
      <w:r w:rsidR="008E5D06" w:rsidRPr="00E8656C">
        <w:rPr>
          <w:rFonts w:cs="Arial"/>
          <w:b/>
          <w:bCs/>
        </w:rPr>
      </w:r>
      <w:r w:rsidR="008E5D06" w:rsidRPr="00E8656C">
        <w:rPr>
          <w:rFonts w:cs="Arial"/>
          <w:b/>
          <w:bCs/>
        </w:rPr>
        <w:fldChar w:fldCharType="separate"/>
      </w:r>
      <w:r w:rsidR="008E5D06" w:rsidRPr="00E8656C">
        <w:rPr>
          <w:rFonts w:cs="Arial"/>
          <w:b/>
          <w:bCs/>
        </w:rPr>
        <w:t xml:space="preserve">Figure </w:t>
      </w:r>
      <w:r w:rsidR="00165095" w:rsidRPr="00E8656C">
        <w:rPr>
          <w:rFonts w:cs="Arial"/>
          <w:b/>
          <w:bCs/>
          <w:noProof/>
        </w:rPr>
        <w:t>26</w:t>
      </w:r>
      <w:r w:rsidR="008E5D06" w:rsidRPr="00E8656C">
        <w:rPr>
          <w:rFonts w:cs="Arial"/>
          <w:b/>
          <w:bCs/>
        </w:rPr>
        <w:fldChar w:fldCharType="end"/>
      </w:r>
      <w:r w:rsidR="008E5D06" w:rsidRPr="00E8656C">
        <w:rPr>
          <w:rFonts w:cs="Arial"/>
        </w:rPr>
        <w:t>)</w:t>
      </w:r>
      <w:r w:rsidRPr="00E8656C">
        <w:rPr>
          <w:rFonts w:cs="Arial"/>
        </w:rPr>
        <w:t xml:space="preserve">. </w:t>
      </w:r>
      <w:r w:rsidR="009535AA" w:rsidRPr="00E8656C">
        <w:rPr>
          <w:rFonts w:cs="Arial"/>
        </w:rPr>
        <w:t xml:space="preserve">While the SES asks about </w:t>
      </w:r>
      <w:r w:rsidR="00711C76" w:rsidRPr="00E8656C">
        <w:rPr>
          <w:rFonts w:cs="Arial"/>
        </w:rPr>
        <w:t>c</w:t>
      </w:r>
      <w:r w:rsidR="009535AA" w:rsidRPr="00E8656C">
        <w:rPr>
          <w:rFonts w:cs="Arial"/>
        </w:rPr>
        <w:t>onsideration of leaving rather than actual leaving behaviour, it may be a useful indicator of some challenges students faced during that year</w:t>
      </w:r>
      <w:r w:rsidRPr="00E8656C">
        <w:rPr>
          <w:rFonts w:cs="Arial"/>
        </w:rPr>
        <w:t xml:space="preserve">. </w:t>
      </w:r>
    </w:p>
    <w:p w14:paraId="3C551CB9" w14:textId="3CD3433A" w:rsidR="005A5905" w:rsidRPr="00E8656C" w:rsidRDefault="005A5905" w:rsidP="00695177">
      <w:pPr>
        <w:pStyle w:val="Caption"/>
      </w:pPr>
      <w:bookmarkStart w:id="107" w:name="_Ref195572044"/>
      <w:bookmarkStart w:id="108" w:name="_Toc201065576"/>
      <w:r w:rsidRPr="00E8656C">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26</w:t>
      </w:r>
      <w:r w:rsidR="00EA0581" w:rsidRPr="00E8656C">
        <w:rPr>
          <w:noProof/>
        </w:rPr>
        <w:fldChar w:fldCharType="end"/>
      </w:r>
      <w:bookmarkEnd w:id="107"/>
      <w:r w:rsidR="00695177" w:rsidRPr="00E8656C">
        <w:tab/>
      </w:r>
      <w:r w:rsidRPr="00E8656C">
        <w:t>Proportion of students who considered early departure from institution by course level, 2017</w:t>
      </w:r>
      <w:r w:rsidR="00367673" w:rsidRPr="00E8656C">
        <w:t>–</w:t>
      </w:r>
      <w:r w:rsidRPr="00E8656C">
        <w:t>2</w:t>
      </w:r>
      <w:r w:rsidR="00122C06" w:rsidRPr="00E8656C">
        <w:t>4</w:t>
      </w:r>
      <w:bookmarkEnd w:id="108"/>
    </w:p>
    <w:p w14:paraId="2509A961" w14:textId="1039E7B8" w:rsidR="008730C2" w:rsidRPr="00E8656C" w:rsidRDefault="008730C2" w:rsidP="00A01584">
      <w:pPr>
        <w:pStyle w:val="Body"/>
        <w:rPr>
          <w:rFonts w:cs="Arial"/>
        </w:rPr>
      </w:pPr>
      <w:r w:rsidRPr="00E8656C">
        <w:rPr>
          <w:rFonts w:cs="Arial"/>
          <w:lang w:eastAsia="en-AU"/>
        </w:rPr>
        <w:t xml:space="preserve">(Source: CONSID_UG_ALL_17-YY_SG, </w:t>
      </w:r>
      <w:r w:rsidR="00BD34ED" w:rsidRPr="00E8656C">
        <w:rPr>
          <w:rFonts w:cs="Arial"/>
          <w:lang w:eastAsia="en-AU"/>
        </w:rPr>
        <w:t>CONSID_PGC_ALL_17-YY_SG)</w:t>
      </w:r>
    </w:p>
    <w:p w14:paraId="283BB635" w14:textId="13965EB5" w:rsidR="005A5905" w:rsidRPr="00E8656C" w:rsidRDefault="00122C06" w:rsidP="005A5905">
      <w:pPr>
        <w:pStyle w:val="Body"/>
        <w:jc w:val="center"/>
        <w:rPr>
          <w:rFonts w:cs="Arial"/>
        </w:rPr>
      </w:pPr>
      <w:r w:rsidRPr="00E8656C">
        <w:rPr>
          <w:rFonts w:cs="Arial"/>
          <w:noProof/>
        </w:rPr>
        <w:drawing>
          <wp:inline distT="0" distB="0" distL="0" distR="0" wp14:anchorId="0ABBFA6F" wp14:editId="68844B7B">
            <wp:extent cx="6642100" cy="3252470"/>
            <wp:effectExtent l="0" t="0" r="6350" b="5080"/>
            <wp:docPr id="1294131201" name="Chart 1">
              <a:extLst xmlns:a="http://schemas.openxmlformats.org/drawingml/2006/main">
                <a:ext uri="{FF2B5EF4-FFF2-40B4-BE49-F238E27FC236}">
                  <a16:creationId xmlns:a16="http://schemas.microsoft.com/office/drawing/2014/main" id="{46DFB6F6-D5D2-44DA-BF25-896A557312B9}"/>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5C9D04B" w14:textId="55FAE4C2" w:rsidR="005A5905" w:rsidRPr="00E8656C" w:rsidRDefault="005A5905" w:rsidP="005A5905">
      <w:pPr>
        <w:pStyle w:val="Body"/>
        <w:rPr>
          <w:rFonts w:cs="Arial"/>
        </w:rPr>
      </w:pPr>
      <w:r w:rsidRPr="00E8656C">
        <w:rPr>
          <w:rFonts w:cs="Arial"/>
        </w:rPr>
        <w:t>Students who considered leaving their institution were asked to indicate, from a list of 28 possible reasons, why they had considered doing so.</w:t>
      </w:r>
      <w:r w:rsidR="00764A39" w:rsidRPr="00E8656C">
        <w:rPr>
          <w:rFonts w:cs="Arial"/>
        </w:rPr>
        <w:t xml:space="preserve"> </w:t>
      </w:r>
      <w:r w:rsidRPr="00E8656C">
        <w:rPr>
          <w:rFonts w:cs="Arial"/>
        </w:rPr>
        <w:t>Students could select as many reasons as applicable, so the percentages do not sum to 100.</w:t>
      </w:r>
      <w:r w:rsidR="00325CF9" w:rsidRPr="00E8656C">
        <w:rPr>
          <w:rFonts w:cs="Arial"/>
        </w:rPr>
        <w:t xml:space="preserve"> </w:t>
      </w:r>
      <w:r w:rsidR="00B24988" w:rsidRPr="00E8656C">
        <w:rPr>
          <w:rFonts w:cs="Arial"/>
          <w:b/>
          <w:bCs/>
        </w:rPr>
        <w:fldChar w:fldCharType="begin"/>
      </w:r>
      <w:r w:rsidR="00B24988" w:rsidRPr="00E8656C">
        <w:rPr>
          <w:rFonts w:cs="Arial"/>
          <w:b/>
          <w:bCs/>
        </w:rPr>
        <w:instrText xml:space="preserve"> REF _Ref193733603 \h  \* MERGEFORMAT </w:instrText>
      </w:r>
      <w:r w:rsidR="00B24988" w:rsidRPr="00E8656C">
        <w:rPr>
          <w:rFonts w:cs="Arial"/>
          <w:b/>
          <w:bCs/>
        </w:rPr>
      </w:r>
      <w:r w:rsidR="00B24988" w:rsidRPr="00E8656C">
        <w:rPr>
          <w:rFonts w:cs="Arial"/>
          <w:b/>
          <w:bCs/>
        </w:rPr>
        <w:fldChar w:fldCharType="separate"/>
      </w:r>
      <w:r w:rsidR="005728A2" w:rsidRPr="00E8656C">
        <w:rPr>
          <w:rFonts w:cs="Arial"/>
          <w:b/>
          <w:bCs/>
        </w:rPr>
        <w:t xml:space="preserve">Figure </w:t>
      </w:r>
      <w:r w:rsidR="00165095" w:rsidRPr="00E8656C">
        <w:rPr>
          <w:rFonts w:cs="Arial"/>
          <w:b/>
          <w:bCs/>
          <w:noProof/>
        </w:rPr>
        <w:t>27</w:t>
      </w:r>
      <w:r w:rsidR="00B24988" w:rsidRPr="00E8656C">
        <w:rPr>
          <w:rFonts w:cs="Arial"/>
          <w:b/>
          <w:bCs/>
        </w:rPr>
        <w:fldChar w:fldCharType="end"/>
      </w:r>
      <w:r w:rsidR="00325CF9" w:rsidRPr="00E8656C">
        <w:rPr>
          <w:rFonts w:cs="Arial"/>
        </w:rPr>
        <w:t xml:space="preserve"> shows the key findings </w:t>
      </w:r>
      <w:r w:rsidR="001E187F" w:rsidRPr="00E8656C">
        <w:rPr>
          <w:rFonts w:cs="Arial"/>
        </w:rPr>
        <w:t xml:space="preserve">in </w:t>
      </w:r>
      <w:r w:rsidR="00325CF9" w:rsidRPr="00E8656C">
        <w:rPr>
          <w:rFonts w:cs="Arial"/>
        </w:rPr>
        <w:t>2024</w:t>
      </w:r>
      <w:r w:rsidR="001E187F" w:rsidRPr="00E8656C">
        <w:rPr>
          <w:rFonts w:cs="Arial"/>
        </w:rPr>
        <w:t>.</w:t>
      </w:r>
    </w:p>
    <w:p w14:paraId="18035D80" w14:textId="6A30A525" w:rsidR="008434BC" w:rsidRPr="00E8656C" w:rsidRDefault="00264BDF" w:rsidP="00F55169">
      <w:pPr>
        <w:pStyle w:val="Body"/>
        <w:rPr>
          <w:rFonts w:cs="Arial"/>
        </w:rPr>
      </w:pPr>
      <w:bookmarkStart w:id="109" w:name="_Ref133576294"/>
      <w:r w:rsidRPr="00E8656C">
        <w:rPr>
          <w:rFonts w:cs="Arial"/>
        </w:rPr>
        <w:t>While students who had considered leaving represent a relatively small proportion of SES respondents, their responses suggest that institutions should examine student wellbeing, including stress levels, mental health, work/life balance, and financial difficulties. Additionally, the high proportion of students indicating unmet course expectations as a main reason for considering leaving</w:t>
      </w:r>
      <w:r w:rsidR="00973E14" w:rsidRPr="00E8656C">
        <w:rPr>
          <w:rFonts w:cs="Arial"/>
        </w:rPr>
        <w:t>,</w:t>
      </w:r>
      <w:r w:rsidRPr="00E8656C">
        <w:rPr>
          <w:rFonts w:cs="Arial"/>
        </w:rPr>
        <w:t xml:space="preserve"> highlights the need to explore these expectations further and address them effectively.</w:t>
      </w:r>
    </w:p>
    <w:p w14:paraId="78974716" w14:textId="77777777" w:rsidR="00957EDC" w:rsidRPr="00E8656C" w:rsidRDefault="00957EDC" w:rsidP="00695177">
      <w:pPr>
        <w:pStyle w:val="Caption"/>
      </w:pPr>
      <w:r w:rsidRPr="00E8656C">
        <w:br w:type="page"/>
      </w:r>
    </w:p>
    <w:p w14:paraId="62E56C65" w14:textId="17B4E0F9" w:rsidR="005A1D2D" w:rsidRPr="00E8656C" w:rsidRDefault="005A1D2D" w:rsidP="00695177">
      <w:pPr>
        <w:pStyle w:val="Caption"/>
      </w:pPr>
      <w:bookmarkStart w:id="110" w:name="_Ref193733603"/>
      <w:bookmarkStart w:id="111" w:name="_Toc201065577"/>
      <w:r w:rsidRPr="00E8656C">
        <w:lastRenderedPageBreak/>
        <w:t xml:space="preserve">Figure </w:t>
      </w:r>
      <w:r w:rsidR="00EA0581" w:rsidRPr="00E8656C">
        <w:fldChar w:fldCharType="begin"/>
      </w:r>
      <w:r w:rsidR="00EA0581" w:rsidRPr="00E8656C">
        <w:instrText xml:space="preserve"> SEQ Figure \* ARABIC </w:instrText>
      </w:r>
      <w:r w:rsidR="00EA0581" w:rsidRPr="00E8656C">
        <w:fldChar w:fldCharType="separate"/>
      </w:r>
      <w:r w:rsidR="00EA0581" w:rsidRPr="00E8656C">
        <w:rPr>
          <w:noProof/>
        </w:rPr>
        <w:t>27</w:t>
      </w:r>
      <w:r w:rsidR="00EA0581" w:rsidRPr="00E8656C">
        <w:rPr>
          <w:noProof/>
        </w:rPr>
        <w:fldChar w:fldCharType="end"/>
      </w:r>
      <w:bookmarkEnd w:id="110"/>
      <w:r w:rsidR="0066499D" w:rsidRPr="00E8656C">
        <w:tab/>
      </w:r>
      <w:r w:rsidRPr="00E8656C">
        <w:t>Top reasons for considering early departure from institution in 2024 (% of those who considered leaving)</w:t>
      </w:r>
      <w:bookmarkEnd w:id="111"/>
    </w:p>
    <w:p w14:paraId="223B2847" w14:textId="77777777" w:rsidR="004D7955" w:rsidRPr="00E8656C" w:rsidRDefault="00A15835" w:rsidP="008434BC">
      <w:pPr>
        <w:rPr>
          <w:rFonts w:eastAsia="Times New Roman" w:cs="Arial"/>
          <w:b/>
          <w:sz w:val="18"/>
          <w:lang w:eastAsia="en-AU"/>
        </w:rPr>
      </w:pPr>
      <w:r w:rsidRPr="00E8656C">
        <w:rPr>
          <w:rFonts w:eastAsia="Times New Roman" w:cs="Arial"/>
          <w:sz w:val="18"/>
          <w:lang w:eastAsia="en-AU"/>
        </w:rPr>
        <w:t xml:space="preserve">(Source: </w:t>
      </w:r>
      <w:r w:rsidR="00EA5202" w:rsidRPr="00E8656C">
        <w:rPr>
          <w:rFonts w:eastAsia="Times New Roman" w:cs="Arial"/>
          <w:sz w:val="18"/>
          <w:lang w:eastAsia="en-AU"/>
        </w:rPr>
        <w:t xml:space="preserve">CONSID_UG_ALL_17-YY_CH, </w:t>
      </w:r>
      <w:r w:rsidR="00817DD3" w:rsidRPr="00E8656C">
        <w:rPr>
          <w:rFonts w:eastAsia="Times New Roman" w:cs="Arial"/>
          <w:sz w:val="18"/>
          <w:lang w:eastAsia="en-AU"/>
        </w:rPr>
        <w:t>CONSID_PGC_ALL_17-YY_CH)</w:t>
      </w:r>
    </w:p>
    <w:p w14:paraId="192C4CA5" w14:textId="36D4C324" w:rsidR="006C309A" w:rsidRPr="00E8656C" w:rsidRDefault="006C309A" w:rsidP="008434BC">
      <w:pPr>
        <w:pStyle w:val="Body"/>
        <w:rPr>
          <w:rFonts w:cs="Arial"/>
          <w:noProof/>
        </w:rPr>
      </w:pPr>
      <w:r w:rsidRPr="00E8656C">
        <w:rPr>
          <w:rFonts w:cs="Arial"/>
          <w:noProof/>
        </w:rPr>
        <w:drawing>
          <wp:inline distT="0" distB="0" distL="0" distR="0" wp14:anchorId="1B4F0CDA" wp14:editId="11277A90">
            <wp:extent cx="6642100" cy="5951220"/>
            <wp:effectExtent l="0" t="0" r="0" b="0"/>
            <wp:docPr id="758161143" name="Chart 1">
              <a:extLst xmlns:a="http://schemas.openxmlformats.org/drawingml/2006/main">
                <a:ext uri="{FF2B5EF4-FFF2-40B4-BE49-F238E27FC236}">
                  <a16:creationId xmlns:a16="http://schemas.microsoft.com/office/drawing/2014/main" id="{27CDD2CC-A4AA-4E08-93E9-06F94A7B405F}"/>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4E505EE8" w14:textId="451D8962" w:rsidR="005A5905" w:rsidRPr="00E8656C" w:rsidRDefault="008434BC" w:rsidP="008434BC">
      <w:pPr>
        <w:pStyle w:val="Body"/>
        <w:rPr>
          <w:rFonts w:cs="Arial"/>
          <w:b/>
          <w:bCs/>
          <w:iCs/>
          <w:szCs w:val="18"/>
        </w:rPr>
      </w:pPr>
      <w:r w:rsidRPr="00E8656C">
        <w:rPr>
          <w:rFonts w:cs="Arial"/>
          <w:noProof/>
        </w:rPr>
        <w:t xml:space="preserve"> </w:t>
      </w:r>
      <w:r w:rsidR="005A5905" w:rsidRPr="00E8656C">
        <w:rPr>
          <w:rFonts w:cs="Arial"/>
          <w:b/>
          <w:lang w:val="en-GB"/>
        </w:rPr>
        <w:br w:type="page"/>
      </w:r>
    </w:p>
    <w:p w14:paraId="0831671A" w14:textId="77777777" w:rsidR="005A5905" w:rsidRPr="00E8656C" w:rsidRDefault="005A5905" w:rsidP="00AA7E2D">
      <w:pPr>
        <w:pStyle w:val="Heading2"/>
        <w:rPr>
          <w:b/>
          <w:bCs/>
          <w:color w:val="auto"/>
        </w:rPr>
      </w:pPr>
      <w:bookmarkStart w:id="112" w:name="_Toc207802609"/>
      <w:bookmarkEnd w:id="109"/>
      <w:r w:rsidRPr="00E8656C">
        <w:rPr>
          <w:color w:val="auto"/>
        </w:rPr>
        <w:lastRenderedPageBreak/>
        <w:t>Freedom of expression</w:t>
      </w:r>
      <w:bookmarkEnd w:id="112"/>
    </w:p>
    <w:p w14:paraId="739CFA87" w14:textId="77777777" w:rsidR="002612BD" w:rsidRPr="00E8656C" w:rsidRDefault="002612BD" w:rsidP="002612BD">
      <w:pPr>
        <w:pStyle w:val="Body"/>
        <w:rPr>
          <w:rFonts w:cs="Arial"/>
        </w:rPr>
      </w:pPr>
      <w:r w:rsidRPr="00E8656C">
        <w:rPr>
          <w:rFonts w:cs="Arial"/>
        </w:rPr>
        <w:t>The SES includes a series of questions related to students’ perceptions of freedom of expression at their institution. Respondents were asked to indicate their level of agreement with the following statements:</w:t>
      </w:r>
    </w:p>
    <w:p w14:paraId="68440D3E" w14:textId="77777777" w:rsidR="002612BD" w:rsidRPr="00E8656C" w:rsidRDefault="002612BD" w:rsidP="002612BD">
      <w:pPr>
        <w:pStyle w:val="Body"/>
        <w:numPr>
          <w:ilvl w:val="0"/>
          <w:numId w:val="37"/>
        </w:numPr>
        <w:rPr>
          <w:rFonts w:cs="Arial"/>
        </w:rPr>
      </w:pPr>
      <w:r w:rsidRPr="00E8656C">
        <w:rPr>
          <w:rFonts w:cs="Arial"/>
        </w:rPr>
        <w:t>‘I am free to express my views at [institution name]</w:t>
      </w:r>
      <w:proofErr w:type="gramStart"/>
      <w:r w:rsidRPr="00E8656C">
        <w:rPr>
          <w:rFonts w:cs="Arial"/>
        </w:rPr>
        <w:t>’;</w:t>
      </w:r>
      <w:proofErr w:type="gramEnd"/>
    </w:p>
    <w:p w14:paraId="15BCFBA3" w14:textId="77777777" w:rsidR="002612BD" w:rsidRPr="00E8656C" w:rsidRDefault="002612BD" w:rsidP="002612BD">
      <w:pPr>
        <w:pStyle w:val="Body"/>
        <w:numPr>
          <w:ilvl w:val="0"/>
          <w:numId w:val="37"/>
        </w:numPr>
        <w:rPr>
          <w:rFonts w:cs="Arial"/>
        </w:rPr>
      </w:pPr>
      <w:r w:rsidRPr="00E8656C">
        <w:rPr>
          <w:rFonts w:cs="Arial"/>
        </w:rPr>
        <w:t>‘Academics are free to express their views at [institution name]’; and</w:t>
      </w:r>
    </w:p>
    <w:p w14:paraId="0E0E5636" w14:textId="77777777" w:rsidR="002612BD" w:rsidRPr="00E8656C" w:rsidRDefault="002612BD" w:rsidP="002612BD">
      <w:pPr>
        <w:pStyle w:val="Body"/>
        <w:numPr>
          <w:ilvl w:val="0"/>
          <w:numId w:val="37"/>
        </w:numPr>
        <w:rPr>
          <w:rFonts w:cs="Arial"/>
        </w:rPr>
      </w:pPr>
      <w:r w:rsidRPr="00E8656C">
        <w:rPr>
          <w:rFonts w:cs="Arial"/>
        </w:rPr>
        <w:t>‘I am free from discrimination, harm, or hatred at [institution name]’.</w:t>
      </w:r>
    </w:p>
    <w:p w14:paraId="570E1FB8" w14:textId="306E291C" w:rsidR="002612BD" w:rsidRPr="00E8656C" w:rsidRDefault="002612BD" w:rsidP="002612BD">
      <w:pPr>
        <w:pStyle w:val="Body"/>
        <w:rPr>
          <w:rFonts w:cs="Arial"/>
        </w:rPr>
      </w:pPr>
      <w:r w:rsidRPr="00E8656C">
        <w:rPr>
          <w:rFonts w:cs="Arial"/>
        </w:rPr>
        <w:t xml:space="preserve">In 2024, </w:t>
      </w:r>
      <w:proofErr w:type="gramStart"/>
      <w:r w:rsidRPr="00E8656C">
        <w:rPr>
          <w:rFonts w:cs="Arial"/>
        </w:rPr>
        <w:t>a majority of</w:t>
      </w:r>
      <w:proofErr w:type="gramEnd"/>
      <w:r w:rsidRPr="00E8656C">
        <w:rPr>
          <w:rFonts w:cs="Arial"/>
        </w:rPr>
        <w:t xml:space="preserve"> higher education students rated their overall freedom of expression positively, with 84.6</w:t>
      </w:r>
      <w:r w:rsidR="00FE78C6" w:rsidRPr="00E8656C">
        <w:rPr>
          <w:rFonts w:cs="Arial"/>
        </w:rPr>
        <w:t xml:space="preserve"> per cent</w:t>
      </w:r>
      <w:r w:rsidRPr="00E8656C">
        <w:rPr>
          <w:rFonts w:cs="Arial"/>
        </w:rPr>
        <w:t xml:space="preserve"> of undergraduates and 85.</w:t>
      </w:r>
      <w:r w:rsidR="00F762C8" w:rsidRPr="00E8656C">
        <w:rPr>
          <w:rFonts w:cs="Arial"/>
        </w:rPr>
        <w:t>8</w:t>
      </w:r>
      <w:r w:rsidR="00FE78C6" w:rsidRPr="00E8656C">
        <w:rPr>
          <w:rFonts w:cs="Arial"/>
        </w:rPr>
        <w:t xml:space="preserve"> per cent</w:t>
      </w:r>
      <w:r w:rsidRPr="00E8656C">
        <w:rPr>
          <w:rFonts w:cs="Arial"/>
        </w:rPr>
        <w:t xml:space="preserve"> of </w:t>
      </w:r>
      <w:r w:rsidR="000148EE" w:rsidRPr="00E8656C">
        <w:rPr>
          <w:rFonts w:cs="Arial"/>
        </w:rPr>
        <w:t>postgraduate coursework students</w:t>
      </w:r>
      <w:r w:rsidRPr="00E8656C">
        <w:rPr>
          <w:rFonts w:cs="Arial"/>
        </w:rPr>
        <w:t xml:space="preserve"> agreeing.</w:t>
      </w:r>
    </w:p>
    <w:p w14:paraId="53E3C855" w14:textId="5E932A0D" w:rsidR="002612BD" w:rsidRPr="00E8656C" w:rsidRDefault="002612BD" w:rsidP="002612BD">
      <w:pPr>
        <w:pStyle w:val="Body"/>
        <w:rPr>
          <w:rFonts w:cs="Arial"/>
        </w:rPr>
      </w:pPr>
      <w:r w:rsidRPr="00E8656C">
        <w:rPr>
          <w:rFonts w:cs="Arial"/>
        </w:rPr>
        <w:t xml:space="preserve">The proportions of positive ratings presented in </w:t>
      </w:r>
      <w:r w:rsidR="00642E9B" w:rsidRPr="00E8656C">
        <w:rPr>
          <w:rFonts w:cs="Arial"/>
          <w:b/>
          <w:bCs/>
        </w:rPr>
        <w:fldChar w:fldCharType="begin"/>
      </w:r>
      <w:r w:rsidR="00642E9B" w:rsidRPr="00E8656C">
        <w:rPr>
          <w:rFonts w:cs="Arial"/>
          <w:b/>
          <w:bCs/>
        </w:rPr>
        <w:instrText xml:space="preserve"> REF _Ref197097836 \h  \* MERGEFORMAT </w:instrText>
      </w:r>
      <w:r w:rsidR="00642E9B" w:rsidRPr="00E8656C">
        <w:rPr>
          <w:rFonts w:cs="Arial"/>
          <w:b/>
          <w:bCs/>
        </w:rPr>
      </w:r>
      <w:r w:rsidR="00642E9B" w:rsidRPr="00E8656C">
        <w:rPr>
          <w:rFonts w:cs="Arial"/>
          <w:b/>
          <w:bCs/>
        </w:rPr>
        <w:fldChar w:fldCharType="separate"/>
      </w:r>
      <w:r w:rsidR="00642E9B" w:rsidRPr="00E8656C">
        <w:rPr>
          <w:rFonts w:cs="Arial"/>
          <w:b/>
          <w:bCs/>
        </w:rPr>
        <w:t xml:space="preserve">Table </w:t>
      </w:r>
      <w:r w:rsidR="00642E9B" w:rsidRPr="00E8656C">
        <w:rPr>
          <w:rFonts w:cs="Arial"/>
          <w:b/>
          <w:bCs/>
          <w:noProof/>
        </w:rPr>
        <w:t>3</w:t>
      </w:r>
      <w:r w:rsidR="00642E9B" w:rsidRPr="00E8656C">
        <w:rPr>
          <w:rFonts w:cs="Arial"/>
          <w:b/>
          <w:bCs/>
        </w:rPr>
        <w:fldChar w:fldCharType="end"/>
      </w:r>
      <w:r w:rsidR="00642E9B" w:rsidRPr="00E8656C">
        <w:rPr>
          <w:rFonts w:cs="Arial"/>
        </w:rPr>
        <w:t xml:space="preserve"> </w:t>
      </w:r>
      <w:r w:rsidRPr="00E8656C">
        <w:rPr>
          <w:rFonts w:cs="Arial"/>
        </w:rPr>
        <w:t>represent the respondents who agreed or strongly agreed with the statements. However, the inverse does not represent the proportion who disagreed. On average, approximately 5</w:t>
      </w:r>
      <w:r w:rsidR="00DF5A73" w:rsidRPr="00E8656C">
        <w:rPr>
          <w:rFonts w:cs="Arial"/>
        </w:rPr>
        <w:t xml:space="preserve"> per cent</w:t>
      </w:r>
      <w:r w:rsidRPr="00E8656C">
        <w:rPr>
          <w:rFonts w:cs="Arial"/>
        </w:rPr>
        <w:t xml:space="preserve"> of respondents disagreed or strongly disagreed, while the remainder were neutral.</w:t>
      </w:r>
    </w:p>
    <w:p w14:paraId="1D5A160E" w14:textId="33EB6182" w:rsidR="00BA0CC0" w:rsidRPr="00E8656C" w:rsidRDefault="00BA0CC0" w:rsidP="00695177">
      <w:pPr>
        <w:pStyle w:val="Caption"/>
        <w:rPr>
          <w:sz w:val="18"/>
          <w:szCs w:val="18"/>
        </w:rPr>
      </w:pPr>
      <w:bookmarkStart w:id="113" w:name="_Ref197097836"/>
      <w:bookmarkStart w:id="114" w:name="_Ref197076230"/>
      <w:bookmarkStart w:id="115" w:name="_Toc201065420"/>
      <w:r w:rsidRPr="00E8656C">
        <w:t xml:space="preserve">Table </w:t>
      </w:r>
      <w:r w:rsidRPr="00E8656C">
        <w:fldChar w:fldCharType="begin"/>
      </w:r>
      <w:r w:rsidRPr="00E8656C">
        <w:instrText xml:space="preserve"> SEQ Table \* ARABIC </w:instrText>
      </w:r>
      <w:r w:rsidRPr="00E8656C">
        <w:fldChar w:fldCharType="separate"/>
      </w:r>
      <w:r w:rsidRPr="00E8656C">
        <w:rPr>
          <w:noProof/>
        </w:rPr>
        <w:t>3</w:t>
      </w:r>
      <w:r w:rsidRPr="00E8656C">
        <w:rPr>
          <w:noProof/>
        </w:rPr>
        <w:fldChar w:fldCharType="end"/>
      </w:r>
      <w:bookmarkEnd w:id="113"/>
      <w:r w:rsidR="0066499D" w:rsidRPr="00E8656C">
        <w:rPr>
          <w:noProof/>
        </w:rPr>
        <w:tab/>
      </w:r>
      <w:r w:rsidRPr="00E8656C">
        <w:t>Freedom of expression by course level and stage of study, 2024 (% positive rating*)</w:t>
      </w:r>
      <w:bookmarkEnd w:id="114"/>
      <w:bookmarkEnd w:id="115"/>
    </w:p>
    <w:p w14:paraId="5E5D58C0" w14:textId="57C0DFE4" w:rsidR="00AB37FA" w:rsidRPr="00E8656C" w:rsidRDefault="00AB37FA" w:rsidP="00A01584">
      <w:pPr>
        <w:pStyle w:val="Body"/>
        <w:rPr>
          <w:rFonts w:cs="Arial"/>
          <w:sz w:val="18"/>
          <w:szCs w:val="18"/>
        </w:rPr>
      </w:pPr>
      <w:r w:rsidRPr="00E8656C">
        <w:rPr>
          <w:rFonts w:cs="Arial"/>
          <w:sz w:val="18"/>
          <w:szCs w:val="18"/>
          <w:lang w:eastAsia="en-AU"/>
        </w:rPr>
        <w:t>(Source: FOEX_ALL_ALL_1Y)</w:t>
      </w:r>
    </w:p>
    <w:tbl>
      <w:tblPr>
        <w:tblStyle w:val="TableGrid"/>
        <w:tblW w:w="5001" w:type="pct"/>
        <w:tblLook w:val="04A0" w:firstRow="1" w:lastRow="0" w:firstColumn="1" w:lastColumn="0" w:noHBand="0" w:noVBand="1"/>
      </w:tblPr>
      <w:tblGrid>
        <w:gridCol w:w="1813"/>
        <w:gridCol w:w="2372"/>
        <w:gridCol w:w="2094"/>
        <w:gridCol w:w="2094"/>
        <w:gridCol w:w="2085"/>
      </w:tblGrid>
      <w:tr w:rsidR="004D7A82" w:rsidRPr="00E8656C" w14:paraId="300A731C" w14:textId="77777777" w:rsidTr="00E8656C">
        <w:trPr>
          <w:cnfStyle w:val="100000000000" w:firstRow="1" w:lastRow="0" w:firstColumn="0" w:lastColumn="0" w:oddVBand="0" w:evenVBand="0" w:oddHBand="0" w:evenHBand="0" w:firstRowFirstColumn="0" w:firstRowLastColumn="0" w:lastRowFirstColumn="0" w:lastRowLastColumn="0"/>
          <w:trHeight w:val="310"/>
          <w:tblHeader/>
        </w:trPr>
        <w:tc>
          <w:tcPr>
            <w:tcW w:w="867" w:type="pct"/>
          </w:tcPr>
          <w:p w14:paraId="1DC9CCDD" w14:textId="77777777" w:rsidR="005A5905" w:rsidRPr="00E8656C" w:rsidRDefault="005A5905" w:rsidP="00E8656C">
            <w:pPr>
              <w:pStyle w:val="BodyText"/>
              <w:jc w:val="center"/>
              <w:rPr>
                <w:rFonts w:cs="Arial"/>
                <w:color w:val="auto"/>
              </w:rPr>
            </w:pPr>
            <w:bookmarkStart w:id="116" w:name="Title_3"/>
            <w:bookmarkEnd w:id="116"/>
          </w:p>
        </w:tc>
        <w:tc>
          <w:tcPr>
            <w:tcW w:w="1134" w:type="pct"/>
            <w:tcBorders>
              <w:bottom w:val="single" w:sz="4" w:space="0" w:color="auto"/>
            </w:tcBorders>
            <w:hideMark/>
          </w:tcPr>
          <w:p w14:paraId="61C4FC98" w14:textId="77777777" w:rsidR="005A5905" w:rsidRPr="00E8656C" w:rsidRDefault="005A5905" w:rsidP="00E8656C">
            <w:pPr>
              <w:jc w:val="center"/>
              <w:rPr>
                <w:rFonts w:cs="Arial"/>
                <w:b w:val="0"/>
                <w:color w:val="auto"/>
                <w:sz w:val="18"/>
              </w:rPr>
            </w:pPr>
            <w:r w:rsidRPr="00E8656C">
              <w:rPr>
                <w:rFonts w:cs="Arial"/>
                <w:color w:val="auto"/>
                <w:sz w:val="18"/>
              </w:rPr>
              <w:t>I am free to express my views</w:t>
            </w:r>
          </w:p>
        </w:tc>
        <w:tc>
          <w:tcPr>
            <w:tcW w:w="1001" w:type="pct"/>
            <w:tcBorders>
              <w:bottom w:val="single" w:sz="4" w:space="0" w:color="auto"/>
            </w:tcBorders>
          </w:tcPr>
          <w:p w14:paraId="5D1B49E7" w14:textId="77777777" w:rsidR="005A5905" w:rsidRPr="00E8656C" w:rsidRDefault="005A5905" w:rsidP="00E8656C">
            <w:pPr>
              <w:jc w:val="center"/>
              <w:rPr>
                <w:rFonts w:cs="Arial"/>
                <w:b w:val="0"/>
                <w:color w:val="auto"/>
                <w:sz w:val="18"/>
              </w:rPr>
            </w:pPr>
            <w:r w:rsidRPr="00E8656C">
              <w:rPr>
                <w:rFonts w:cs="Arial"/>
                <w:color w:val="auto"/>
                <w:sz w:val="18"/>
              </w:rPr>
              <w:t>Academics are free to express their views</w:t>
            </w:r>
          </w:p>
        </w:tc>
        <w:tc>
          <w:tcPr>
            <w:tcW w:w="1001" w:type="pct"/>
            <w:tcBorders>
              <w:bottom w:val="single" w:sz="4" w:space="0" w:color="auto"/>
            </w:tcBorders>
            <w:hideMark/>
          </w:tcPr>
          <w:p w14:paraId="7AEF1854" w14:textId="77777777" w:rsidR="005A5905" w:rsidRPr="00E8656C" w:rsidRDefault="005A5905" w:rsidP="00E8656C">
            <w:pPr>
              <w:jc w:val="center"/>
              <w:rPr>
                <w:rFonts w:cs="Arial"/>
                <w:b w:val="0"/>
                <w:color w:val="auto"/>
                <w:sz w:val="18"/>
              </w:rPr>
            </w:pPr>
            <w:r w:rsidRPr="00E8656C">
              <w:rPr>
                <w:rFonts w:cs="Arial"/>
                <w:color w:val="auto"/>
                <w:sz w:val="18"/>
              </w:rPr>
              <w:t>I am free from discrimination, harm or hatred</w:t>
            </w:r>
          </w:p>
        </w:tc>
        <w:tc>
          <w:tcPr>
            <w:tcW w:w="997" w:type="pct"/>
            <w:tcBorders>
              <w:bottom w:val="single" w:sz="4" w:space="0" w:color="auto"/>
            </w:tcBorders>
            <w:hideMark/>
          </w:tcPr>
          <w:p w14:paraId="4185408F" w14:textId="77777777" w:rsidR="005A5905" w:rsidRPr="00E8656C" w:rsidRDefault="005A5905" w:rsidP="00E8656C">
            <w:pPr>
              <w:jc w:val="center"/>
              <w:rPr>
                <w:rFonts w:cs="Arial"/>
                <w:b w:val="0"/>
                <w:color w:val="auto"/>
                <w:sz w:val="18"/>
              </w:rPr>
            </w:pPr>
            <w:r w:rsidRPr="00E8656C">
              <w:rPr>
                <w:rFonts w:cs="Arial"/>
                <w:color w:val="auto"/>
                <w:sz w:val="18"/>
              </w:rPr>
              <w:t>Overall freedom of expression</w:t>
            </w:r>
          </w:p>
        </w:tc>
      </w:tr>
      <w:tr w:rsidR="004D7A82" w:rsidRPr="00E8656C" w14:paraId="3CC14058" w14:textId="77777777" w:rsidTr="005E54CB">
        <w:trPr>
          <w:trHeight w:val="526"/>
        </w:trPr>
        <w:tc>
          <w:tcPr>
            <w:tcW w:w="867" w:type="pct"/>
            <w:tcBorders>
              <w:right w:val="single" w:sz="4" w:space="0" w:color="auto"/>
            </w:tcBorders>
            <w:vAlign w:val="center"/>
            <w:hideMark/>
          </w:tcPr>
          <w:p w14:paraId="1BEEC5C0" w14:textId="77777777" w:rsidR="00317340" w:rsidRPr="00E8656C" w:rsidRDefault="00317340" w:rsidP="00317340">
            <w:pPr>
              <w:pStyle w:val="Z"/>
              <w:rPr>
                <w:b/>
                <w:color w:val="auto"/>
              </w:rPr>
            </w:pPr>
            <w:r w:rsidRPr="00E8656C">
              <w:rPr>
                <w:b/>
                <w:color w:val="auto"/>
              </w:rPr>
              <w:t>Undergraduate</w:t>
            </w:r>
          </w:p>
        </w:tc>
        <w:tc>
          <w:tcPr>
            <w:tcW w:w="1134" w:type="pct"/>
            <w:tcBorders>
              <w:top w:val="single" w:sz="4" w:space="0" w:color="auto"/>
              <w:left w:val="single" w:sz="4" w:space="0" w:color="auto"/>
              <w:bottom w:val="single" w:sz="4" w:space="0" w:color="auto"/>
              <w:right w:val="single" w:sz="4" w:space="0" w:color="auto"/>
            </w:tcBorders>
            <w:vAlign w:val="center"/>
          </w:tcPr>
          <w:p w14:paraId="322522A7" w14:textId="136CA9D2" w:rsidR="00317340" w:rsidRPr="00E8656C" w:rsidRDefault="00317340" w:rsidP="005E54CB">
            <w:pPr>
              <w:pStyle w:val="Z"/>
              <w:jc w:val="center"/>
              <w:rPr>
                <w:color w:val="auto"/>
                <w:szCs w:val="18"/>
              </w:rPr>
            </w:pPr>
            <w:r w:rsidRPr="00E8656C">
              <w:rPr>
                <w:color w:val="auto"/>
                <w:szCs w:val="18"/>
              </w:rPr>
              <w:t>73.5</w:t>
            </w:r>
          </w:p>
        </w:tc>
        <w:tc>
          <w:tcPr>
            <w:tcW w:w="1001" w:type="pct"/>
            <w:tcBorders>
              <w:top w:val="single" w:sz="4" w:space="0" w:color="auto"/>
              <w:left w:val="single" w:sz="4" w:space="0" w:color="auto"/>
              <w:bottom w:val="single" w:sz="4" w:space="0" w:color="auto"/>
              <w:right w:val="single" w:sz="4" w:space="0" w:color="auto"/>
            </w:tcBorders>
            <w:vAlign w:val="center"/>
          </w:tcPr>
          <w:p w14:paraId="55AF3A95" w14:textId="18F83D84" w:rsidR="00317340" w:rsidRPr="00E8656C" w:rsidRDefault="00317340" w:rsidP="005E54CB">
            <w:pPr>
              <w:pStyle w:val="Z"/>
              <w:jc w:val="center"/>
              <w:rPr>
                <w:color w:val="auto"/>
                <w:szCs w:val="18"/>
              </w:rPr>
            </w:pPr>
            <w:r w:rsidRPr="00E8656C">
              <w:rPr>
                <w:color w:val="auto"/>
                <w:szCs w:val="18"/>
              </w:rPr>
              <w:t>73.7</w:t>
            </w:r>
          </w:p>
        </w:tc>
        <w:tc>
          <w:tcPr>
            <w:tcW w:w="1001" w:type="pct"/>
            <w:tcBorders>
              <w:top w:val="single" w:sz="4" w:space="0" w:color="auto"/>
              <w:left w:val="single" w:sz="4" w:space="0" w:color="auto"/>
              <w:bottom w:val="single" w:sz="4" w:space="0" w:color="auto"/>
              <w:right w:val="single" w:sz="4" w:space="0" w:color="auto"/>
            </w:tcBorders>
            <w:vAlign w:val="center"/>
          </w:tcPr>
          <w:p w14:paraId="3E673EC5" w14:textId="2C3C54B4" w:rsidR="00317340" w:rsidRPr="00E8656C" w:rsidRDefault="00317340" w:rsidP="005E54CB">
            <w:pPr>
              <w:pStyle w:val="Z"/>
              <w:jc w:val="center"/>
              <w:rPr>
                <w:color w:val="auto"/>
                <w:szCs w:val="18"/>
              </w:rPr>
            </w:pPr>
            <w:r w:rsidRPr="00E8656C">
              <w:rPr>
                <w:color w:val="auto"/>
                <w:szCs w:val="18"/>
              </w:rPr>
              <w:t>80.0</w:t>
            </w:r>
          </w:p>
        </w:tc>
        <w:tc>
          <w:tcPr>
            <w:tcW w:w="997" w:type="pct"/>
            <w:tcBorders>
              <w:top w:val="single" w:sz="4" w:space="0" w:color="auto"/>
              <w:left w:val="single" w:sz="4" w:space="0" w:color="auto"/>
              <w:bottom w:val="single" w:sz="4" w:space="0" w:color="auto"/>
              <w:right w:val="single" w:sz="4" w:space="0" w:color="auto"/>
            </w:tcBorders>
            <w:vAlign w:val="center"/>
          </w:tcPr>
          <w:p w14:paraId="19DFE0D6" w14:textId="4EEBB606" w:rsidR="00317340" w:rsidRPr="00E8656C" w:rsidRDefault="00317340" w:rsidP="005E54CB">
            <w:pPr>
              <w:pStyle w:val="Z"/>
              <w:jc w:val="center"/>
              <w:rPr>
                <w:color w:val="auto"/>
                <w:szCs w:val="18"/>
              </w:rPr>
            </w:pPr>
            <w:r w:rsidRPr="00E8656C">
              <w:rPr>
                <w:color w:val="auto"/>
                <w:szCs w:val="18"/>
              </w:rPr>
              <w:t>84.6</w:t>
            </w:r>
          </w:p>
        </w:tc>
      </w:tr>
      <w:tr w:rsidR="004D7A82" w:rsidRPr="00E8656C" w14:paraId="66E9B668" w14:textId="77777777" w:rsidTr="005E54CB">
        <w:trPr>
          <w:trHeight w:val="690"/>
        </w:trPr>
        <w:tc>
          <w:tcPr>
            <w:tcW w:w="867" w:type="pct"/>
            <w:vAlign w:val="center"/>
            <w:hideMark/>
          </w:tcPr>
          <w:p w14:paraId="5CCE3833" w14:textId="77777777" w:rsidR="00317340" w:rsidRPr="00E8656C" w:rsidRDefault="00317340" w:rsidP="00317340">
            <w:pPr>
              <w:pStyle w:val="Z"/>
              <w:rPr>
                <w:b/>
                <w:color w:val="auto"/>
              </w:rPr>
            </w:pPr>
            <w:r w:rsidRPr="00E8656C">
              <w:rPr>
                <w:b/>
                <w:color w:val="auto"/>
              </w:rPr>
              <w:t>Postgraduate coursework</w:t>
            </w:r>
          </w:p>
        </w:tc>
        <w:tc>
          <w:tcPr>
            <w:tcW w:w="1134" w:type="pct"/>
            <w:tcBorders>
              <w:top w:val="single" w:sz="4" w:space="0" w:color="auto"/>
            </w:tcBorders>
            <w:vAlign w:val="center"/>
          </w:tcPr>
          <w:p w14:paraId="6E4EDA43" w14:textId="030171B3" w:rsidR="00317340" w:rsidRPr="00E8656C" w:rsidRDefault="00317340" w:rsidP="005E54CB">
            <w:pPr>
              <w:pStyle w:val="Z"/>
              <w:jc w:val="center"/>
              <w:rPr>
                <w:color w:val="auto"/>
                <w:szCs w:val="18"/>
              </w:rPr>
            </w:pPr>
            <w:r w:rsidRPr="00E8656C">
              <w:rPr>
                <w:color w:val="auto"/>
                <w:szCs w:val="18"/>
              </w:rPr>
              <w:t>77.0</w:t>
            </w:r>
          </w:p>
        </w:tc>
        <w:tc>
          <w:tcPr>
            <w:tcW w:w="1001" w:type="pct"/>
            <w:tcBorders>
              <w:top w:val="single" w:sz="4" w:space="0" w:color="auto"/>
            </w:tcBorders>
            <w:vAlign w:val="center"/>
          </w:tcPr>
          <w:p w14:paraId="62181F18" w14:textId="14475283" w:rsidR="00317340" w:rsidRPr="00E8656C" w:rsidRDefault="00317340" w:rsidP="005E54CB">
            <w:pPr>
              <w:pStyle w:val="Z"/>
              <w:jc w:val="center"/>
              <w:rPr>
                <w:color w:val="auto"/>
                <w:szCs w:val="18"/>
              </w:rPr>
            </w:pPr>
            <w:r w:rsidRPr="00E8656C">
              <w:rPr>
                <w:color w:val="auto"/>
                <w:szCs w:val="18"/>
              </w:rPr>
              <w:t>76.1</w:t>
            </w:r>
          </w:p>
        </w:tc>
        <w:tc>
          <w:tcPr>
            <w:tcW w:w="1001" w:type="pct"/>
            <w:tcBorders>
              <w:top w:val="single" w:sz="4" w:space="0" w:color="auto"/>
            </w:tcBorders>
            <w:vAlign w:val="center"/>
          </w:tcPr>
          <w:p w14:paraId="526DC524" w14:textId="04BED7CC" w:rsidR="00317340" w:rsidRPr="00E8656C" w:rsidRDefault="00317340" w:rsidP="005E54CB">
            <w:pPr>
              <w:pStyle w:val="Z"/>
              <w:jc w:val="center"/>
              <w:rPr>
                <w:color w:val="auto"/>
                <w:szCs w:val="18"/>
              </w:rPr>
            </w:pPr>
            <w:r w:rsidRPr="00E8656C">
              <w:rPr>
                <w:color w:val="auto"/>
                <w:szCs w:val="18"/>
              </w:rPr>
              <w:t>81.2</w:t>
            </w:r>
          </w:p>
        </w:tc>
        <w:tc>
          <w:tcPr>
            <w:tcW w:w="997" w:type="pct"/>
            <w:tcBorders>
              <w:top w:val="single" w:sz="4" w:space="0" w:color="auto"/>
            </w:tcBorders>
            <w:vAlign w:val="center"/>
          </w:tcPr>
          <w:p w14:paraId="5830E5B8" w14:textId="705D0D20" w:rsidR="00317340" w:rsidRPr="00E8656C" w:rsidRDefault="00317340" w:rsidP="005E54CB">
            <w:pPr>
              <w:pStyle w:val="Z"/>
              <w:jc w:val="center"/>
              <w:rPr>
                <w:color w:val="auto"/>
                <w:szCs w:val="18"/>
              </w:rPr>
            </w:pPr>
            <w:r w:rsidRPr="00E8656C">
              <w:rPr>
                <w:color w:val="auto"/>
                <w:szCs w:val="18"/>
              </w:rPr>
              <w:t>85.8</w:t>
            </w:r>
          </w:p>
        </w:tc>
      </w:tr>
    </w:tbl>
    <w:p w14:paraId="2F07A992" w14:textId="76AB8A61" w:rsidR="005A5905" w:rsidRPr="00E8656C" w:rsidRDefault="005A5905" w:rsidP="005A5905">
      <w:pPr>
        <w:pStyle w:val="Note"/>
        <w:rPr>
          <w:rFonts w:ascii="Arial" w:hAnsi="Arial" w:cs="Arial"/>
          <w:spacing w:val="1"/>
          <w:sz w:val="18"/>
          <w:szCs w:val="18"/>
        </w:rPr>
      </w:pPr>
      <w:r w:rsidRPr="00E8656C">
        <w:rPr>
          <w:rFonts w:ascii="Arial" w:hAnsi="Arial" w:cs="Arial"/>
          <w:sz w:val="16"/>
          <w:szCs w:val="16"/>
        </w:rPr>
        <w:t xml:space="preserve">* </w:t>
      </w:r>
      <w:r w:rsidRPr="00E8656C">
        <w:rPr>
          <w:rFonts w:ascii="Arial" w:hAnsi="Arial" w:cs="Arial"/>
          <w:spacing w:val="1"/>
          <w:sz w:val="18"/>
          <w:szCs w:val="18"/>
        </w:rPr>
        <w:t xml:space="preserve">Item scores represent the proportion of respondents who agreed or strongly agreed with the item. Overall focus area scores are not a simple average of the underlying items. </w:t>
      </w:r>
    </w:p>
    <w:p w14:paraId="362AE80E" w14:textId="723F54D1" w:rsidR="0051298B" w:rsidRPr="00E8656C" w:rsidRDefault="00D041B5" w:rsidP="008D20F7">
      <w:pPr>
        <w:pStyle w:val="Heading4"/>
        <w:rPr>
          <w:rFonts w:cs="Arial"/>
          <w:color w:val="auto"/>
        </w:rPr>
      </w:pPr>
      <w:r w:rsidRPr="00E8656C">
        <w:rPr>
          <w:rFonts w:cs="Arial"/>
          <w:color w:val="auto"/>
        </w:rPr>
        <w:t>Undergraduate r</w:t>
      </w:r>
      <w:r w:rsidR="00F22A68" w:rsidRPr="00E8656C">
        <w:rPr>
          <w:rFonts w:cs="Arial"/>
          <w:color w:val="auto"/>
        </w:rPr>
        <w:t>esult</w:t>
      </w:r>
      <w:r w:rsidR="006F32E9" w:rsidRPr="00E8656C">
        <w:rPr>
          <w:rFonts w:cs="Arial"/>
          <w:color w:val="auto"/>
        </w:rPr>
        <w:t xml:space="preserve">s </w:t>
      </w:r>
      <w:r w:rsidR="00F22A68" w:rsidRPr="00E8656C">
        <w:rPr>
          <w:rFonts w:cs="Arial"/>
          <w:color w:val="auto"/>
        </w:rPr>
        <w:t>by sub</w:t>
      </w:r>
      <w:r w:rsidR="006F32E9" w:rsidRPr="00E8656C">
        <w:rPr>
          <w:rFonts w:cs="Arial"/>
          <w:color w:val="auto"/>
        </w:rPr>
        <w:t>-group</w:t>
      </w:r>
      <w:r w:rsidR="008A1273" w:rsidRPr="00E8656C">
        <w:rPr>
          <w:rStyle w:val="FootnoteReference"/>
          <w:rFonts w:cs="Arial"/>
          <w:color w:val="auto"/>
        </w:rPr>
        <w:footnoteReference w:id="12"/>
      </w:r>
    </w:p>
    <w:p w14:paraId="13A91D73" w14:textId="3EE5CC95" w:rsidR="0051298B" w:rsidRPr="00E8656C" w:rsidRDefault="0051298B" w:rsidP="00006D0A">
      <w:pPr>
        <w:pStyle w:val="Bullets1"/>
        <w:rPr>
          <w:rFonts w:cs="Arial"/>
        </w:rPr>
      </w:pPr>
      <w:r w:rsidRPr="00E8656C">
        <w:rPr>
          <w:rFonts w:cs="Arial"/>
        </w:rPr>
        <w:t>Younger students generally rated aspects of freedom of expression more positively than older students. For example, 74.7</w:t>
      </w:r>
      <w:r w:rsidR="00693CF3" w:rsidRPr="00E8656C">
        <w:rPr>
          <w:rFonts w:cs="Arial"/>
        </w:rPr>
        <w:t xml:space="preserve"> per cent</w:t>
      </w:r>
      <w:r w:rsidRPr="00E8656C">
        <w:rPr>
          <w:rFonts w:cs="Arial"/>
        </w:rPr>
        <w:t xml:space="preserve"> of undergraduates </w:t>
      </w:r>
      <w:r w:rsidR="00452775" w:rsidRPr="00E8656C">
        <w:rPr>
          <w:rFonts w:cs="Arial"/>
        </w:rPr>
        <w:t>aged</w:t>
      </w:r>
      <w:r w:rsidRPr="00E8656C">
        <w:rPr>
          <w:rFonts w:cs="Arial"/>
        </w:rPr>
        <w:t xml:space="preserve"> under 25 agreed they were free to express their views on campus, compared to 65.9</w:t>
      </w:r>
      <w:r w:rsidR="00693CF3" w:rsidRPr="00E8656C">
        <w:rPr>
          <w:rFonts w:cs="Arial"/>
        </w:rPr>
        <w:t xml:space="preserve"> per cent</w:t>
      </w:r>
      <w:r w:rsidRPr="00E8656C">
        <w:rPr>
          <w:rFonts w:cs="Arial"/>
        </w:rPr>
        <w:t xml:space="preserve"> of those aged 40 and over. The lowest rating for freedom of expression among undergraduates aged 40 and over was for the item ‘Academics are free to express their views’ (62.3</w:t>
      </w:r>
      <w:r w:rsidR="00A93EF1" w:rsidRPr="00E8656C">
        <w:rPr>
          <w:rFonts w:cs="Arial"/>
        </w:rPr>
        <w:t xml:space="preserve"> per cent</w:t>
      </w:r>
      <w:r w:rsidRPr="00E8656C">
        <w:rPr>
          <w:rFonts w:cs="Arial"/>
        </w:rPr>
        <w:t>), compared to 75.5</w:t>
      </w:r>
      <w:r w:rsidR="00A93EF1" w:rsidRPr="00E8656C">
        <w:rPr>
          <w:rFonts w:cs="Arial"/>
        </w:rPr>
        <w:t xml:space="preserve"> per cent</w:t>
      </w:r>
      <w:r w:rsidRPr="00E8656C">
        <w:rPr>
          <w:rFonts w:cs="Arial"/>
        </w:rPr>
        <w:t xml:space="preserve"> of undergraduates under 25.</w:t>
      </w:r>
    </w:p>
    <w:p w14:paraId="361EAB1B" w14:textId="77777777" w:rsidR="00301FBA" w:rsidRPr="00E8656C" w:rsidRDefault="0051298B" w:rsidP="00006D0A">
      <w:pPr>
        <w:pStyle w:val="Bullets1"/>
        <w:rPr>
          <w:rFonts w:cs="Arial"/>
        </w:rPr>
      </w:pPr>
      <w:r w:rsidRPr="00E8656C">
        <w:rPr>
          <w:rFonts w:cs="Arial"/>
        </w:rPr>
        <w:t xml:space="preserve">Female students consistently rated all items higher than male students. </w:t>
      </w:r>
    </w:p>
    <w:p w14:paraId="59DB7E79" w14:textId="601302FE" w:rsidR="0051298B" w:rsidRPr="00E8656C" w:rsidRDefault="0051298B" w:rsidP="00006D0A">
      <w:pPr>
        <w:pStyle w:val="Bullets1"/>
        <w:rPr>
          <w:rFonts w:cs="Arial"/>
        </w:rPr>
      </w:pPr>
      <w:r w:rsidRPr="00E8656C">
        <w:rPr>
          <w:rFonts w:cs="Arial"/>
        </w:rPr>
        <w:t xml:space="preserve">First Nations students rated </w:t>
      </w:r>
      <w:r w:rsidR="00E51496" w:rsidRPr="00E8656C">
        <w:rPr>
          <w:rFonts w:cs="Arial"/>
        </w:rPr>
        <w:t xml:space="preserve">their </w:t>
      </w:r>
      <w:r w:rsidR="007B2B25" w:rsidRPr="00E8656C">
        <w:rPr>
          <w:rFonts w:cs="Arial"/>
        </w:rPr>
        <w:t>freedom from discrimination, harm and hatred</w:t>
      </w:r>
      <w:r w:rsidRPr="00E8656C">
        <w:rPr>
          <w:rFonts w:cs="Arial"/>
        </w:rPr>
        <w:t xml:space="preserve"> lower than </w:t>
      </w:r>
      <w:r w:rsidR="003D350F" w:rsidRPr="00E8656C">
        <w:rPr>
          <w:rFonts w:cs="Arial"/>
        </w:rPr>
        <w:t xml:space="preserve">domestic </w:t>
      </w:r>
      <w:r w:rsidRPr="00E8656C">
        <w:rPr>
          <w:rFonts w:cs="Arial"/>
        </w:rPr>
        <w:t>non-Indigenous students</w:t>
      </w:r>
      <w:r w:rsidR="006660E6" w:rsidRPr="00E8656C">
        <w:rPr>
          <w:rFonts w:cs="Arial"/>
        </w:rPr>
        <w:t xml:space="preserve"> whereas ratings were broadly similar</w:t>
      </w:r>
      <w:r w:rsidR="007B5CB4" w:rsidRPr="00E8656C">
        <w:rPr>
          <w:rFonts w:cs="Arial"/>
        </w:rPr>
        <w:t xml:space="preserve"> for the other items</w:t>
      </w:r>
      <w:r w:rsidRPr="00E8656C">
        <w:rPr>
          <w:rFonts w:cs="Arial"/>
        </w:rPr>
        <w:t>.</w:t>
      </w:r>
      <w:r w:rsidR="006F7F90" w:rsidRPr="00E8656C">
        <w:rPr>
          <w:rFonts w:cs="Arial"/>
        </w:rPr>
        <w:t xml:space="preserve"> </w:t>
      </w:r>
      <w:r w:rsidR="00DD7CB5" w:rsidRPr="00E8656C">
        <w:rPr>
          <w:rFonts w:cs="Arial"/>
        </w:rPr>
        <w:t>This is consistent with results for postgraduate coursework</w:t>
      </w:r>
      <w:r w:rsidR="003D350F" w:rsidRPr="00E8656C">
        <w:rPr>
          <w:rFonts w:cs="Arial"/>
        </w:rPr>
        <w:t xml:space="preserve"> domestic students</w:t>
      </w:r>
      <w:r w:rsidR="00365FA4" w:rsidRPr="00E8656C">
        <w:rPr>
          <w:rFonts w:cs="Arial"/>
        </w:rPr>
        <w:t>.</w:t>
      </w:r>
      <w:r w:rsidR="00D22135" w:rsidRPr="00E8656C">
        <w:rPr>
          <w:rStyle w:val="FootnoteReference"/>
          <w:rFonts w:cs="Arial"/>
        </w:rPr>
        <w:footnoteReference w:id="13"/>
      </w:r>
    </w:p>
    <w:p w14:paraId="3CD4F1A1" w14:textId="77777777" w:rsidR="00B55C9B" w:rsidRPr="00E8656C" w:rsidRDefault="0051298B" w:rsidP="00006D0A">
      <w:pPr>
        <w:pStyle w:val="Bullets1"/>
        <w:rPr>
          <w:rFonts w:cs="Arial"/>
        </w:rPr>
      </w:pPr>
      <w:r w:rsidRPr="00E8656C">
        <w:rPr>
          <w:rFonts w:cs="Arial"/>
        </w:rPr>
        <w:t xml:space="preserve">Students with a reported disability rated all freedom of expression items lower than those without a disability. </w:t>
      </w:r>
    </w:p>
    <w:p w14:paraId="15F0E816" w14:textId="5FED9416" w:rsidR="00012432" w:rsidRPr="00E8656C" w:rsidRDefault="0051298B" w:rsidP="00012432">
      <w:pPr>
        <w:pStyle w:val="Bullets1"/>
        <w:rPr>
          <w:rFonts w:cs="Arial"/>
        </w:rPr>
      </w:pPr>
      <w:r w:rsidRPr="00E8656C">
        <w:rPr>
          <w:rFonts w:cs="Arial"/>
        </w:rPr>
        <w:t xml:space="preserve">International undergraduate students rated their freedom to express views more positively than domestic students by 7.9 percentage points, and their rating of whether academics were free to express views by 8.7 percentage points. </w:t>
      </w:r>
      <w:r w:rsidR="00012432" w:rsidRPr="00E8656C">
        <w:rPr>
          <w:rFonts w:cs="Arial"/>
        </w:rPr>
        <w:t xml:space="preserve">However, their response to freedom from discrimination, harm, or hatred was </w:t>
      </w:r>
      <w:proofErr w:type="gramStart"/>
      <w:r w:rsidR="00012432" w:rsidRPr="00E8656C">
        <w:rPr>
          <w:rFonts w:cs="Arial"/>
        </w:rPr>
        <w:t>similar to</w:t>
      </w:r>
      <w:proofErr w:type="gramEnd"/>
      <w:r w:rsidR="00012432" w:rsidRPr="00E8656C">
        <w:rPr>
          <w:rFonts w:cs="Arial"/>
        </w:rPr>
        <w:t xml:space="preserve"> domestic students.</w:t>
      </w:r>
    </w:p>
    <w:p w14:paraId="48CAA8C7" w14:textId="6E5573F8" w:rsidR="00FC0947" w:rsidRPr="00E8656C" w:rsidRDefault="0051298B" w:rsidP="00006D0A">
      <w:pPr>
        <w:pStyle w:val="Bullets1"/>
        <w:rPr>
          <w:rFonts w:cs="Arial"/>
        </w:rPr>
      </w:pPr>
      <w:r w:rsidRPr="00E8656C">
        <w:rPr>
          <w:rFonts w:cs="Arial"/>
        </w:rPr>
        <w:t>Students in internal/</w:t>
      </w:r>
      <w:r w:rsidR="00F36250" w:rsidRPr="00E8656C">
        <w:rPr>
          <w:rFonts w:cs="Arial"/>
        </w:rPr>
        <w:t>multi</w:t>
      </w:r>
      <w:r w:rsidRPr="00E8656C">
        <w:rPr>
          <w:rFonts w:cs="Arial"/>
        </w:rPr>
        <w:t xml:space="preserve"> study modes reported higher freedom of expression ratings than those studying externally. </w:t>
      </w:r>
    </w:p>
    <w:p w14:paraId="294149D6" w14:textId="450D8F70" w:rsidR="0051298B" w:rsidRPr="00E8656C" w:rsidRDefault="001F4569" w:rsidP="00006D0A">
      <w:pPr>
        <w:pStyle w:val="Bullets1"/>
        <w:rPr>
          <w:rFonts w:cs="Arial"/>
        </w:rPr>
      </w:pPr>
      <w:r w:rsidRPr="00E8656C">
        <w:rPr>
          <w:rFonts w:cs="Arial"/>
        </w:rPr>
        <w:t>C</w:t>
      </w:r>
      <w:r w:rsidR="0051298B" w:rsidRPr="00E8656C">
        <w:rPr>
          <w:rFonts w:cs="Arial"/>
        </w:rPr>
        <w:t>ommencing undergraduate</w:t>
      </w:r>
      <w:r w:rsidRPr="00E8656C">
        <w:rPr>
          <w:rFonts w:cs="Arial"/>
        </w:rPr>
        <w:t xml:space="preserve"> students </w:t>
      </w:r>
      <w:r w:rsidR="0001782D" w:rsidRPr="00E8656C">
        <w:rPr>
          <w:rFonts w:cs="Arial"/>
        </w:rPr>
        <w:t xml:space="preserve">also responded </w:t>
      </w:r>
      <w:r w:rsidR="0051298B" w:rsidRPr="00E8656C">
        <w:rPr>
          <w:rFonts w:cs="Arial"/>
        </w:rPr>
        <w:t xml:space="preserve">more positively across all items than </w:t>
      </w:r>
      <w:r w:rsidR="00416203" w:rsidRPr="00E8656C">
        <w:rPr>
          <w:rFonts w:cs="Arial"/>
        </w:rPr>
        <w:t>later-year</w:t>
      </w:r>
      <w:r w:rsidR="0051298B" w:rsidRPr="00E8656C">
        <w:rPr>
          <w:rFonts w:cs="Arial"/>
        </w:rPr>
        <w:t xml:space="preserve"> students.</w:t>
      </w:r>
    </w:p>
    <w:p w14:paraId="48BA5DB3" w14:textId="2A26D1DE" w:rsidR="0051298B" w:rsidRPr="00E8656C" w:rsidRDefault="0051298B" w:rsidP="00D041B5">
      <w:pPr>
        <w:pStyle w:val="Bullets1"/>
        <w:numPr>
          <w:ilvl w:val="0"/>
          <w:numId w:val="0"/>
        </w:numPr>
        <w:ind w:left="425"/>
        <w:rPr>
          <w:rFonts w:cs="Arial"/>
        </w:rPr>
      </w:pPr>
      <w:r w:rsidRPr="00E8656C">
        <w:rPr>
          <w:rFonts w:cs="Arial"/>
        </w:rPr>
        <w:t>Similar patterns were observed at the postgraduate coursework level</w:t>
      </w:r>
      <w:r w:rsidR="00BD22E4" w:rsidRPr="00E8656C">
        <w:rPr>
          <w:rFonts w:cs="Arial"/>
        </w:rPr>
        <w:t>.</w:t>
      </w:r>
    </w:p>
    <w:p w14:paraId="30A97664" w14:textId="0AB8B433" w:rsidR="0051298B" w:rsidRPr="00E8656C" w:rsidRDefault="0051298B" w:rsidP="0051298B">
      <w:pPr>
        <w:pStyle w:val="Body"/>
        <w:rPr>
          <w:rFonts w:cs="Arial"/>
        </w:rPr>
      </w:pPr>
      <w:r w:rsidRPr="00E8656C">
        <w:rPr>
          <w:rFonts w:cs="Arial"/>
        </w:rPr>
        <w:lastRenderedPageBreak/>
        <w:t>These differences by demographic sub</w:t>
      </w:r>
      <w:r w:rsidR="00300596" w:rsidRPr="00E8656C">
        <w:rPr>
          <w:rFonts w:cs="Arial"/>
        </w:rPr>
        <w:t>-</w:t>
      </w:r>
      <w:r w:rsidRPr="00E8656C">
        <w:rPr>
          <w:rFonts w:cs="Arial"/>
        </w:rPr>
        <w:t>groups, especially in relation to freedom from discrimination, harm, or hatred, may warrant further analysis to ensure support and mitigation strategies are in place.</w:t>
      </w:r>
    </w:p>
    <w:p w14:paraId="1AB30828" w14:textId="09C7E3E3" w:rsidR="005A5905" w:rsidRPr="00E8656C" w:rsidRDefault="005965FF" w:rsidP="00182A31">
      <w:pPr>
        <w:pStyle w:val="Appendix1"/>
        <w:rPr>
          <w:color w:val="auto"/>
        </w:rPr>
      </w:pPr>
      <w:bookmarkStart w:id="117" w:name="_Ref195520443"/>
      <w:bookmarkStart w:id="118" w:name="_Toc207802610"/>
      <w:bookmarkStart w:id="119" w:name="_Toc531104120"/>
      <w:bookmarkStart w:id="120" w:name="_Toc509240180"/>
      <w:bookmarkStart w:id="121" w:name="_Toc531104116"/>
      <w:r w:rsidRPr="00E8656C">
        <w:rPr>
          <w:color w:val="auto"/>
        </w:rPr>
        <w:lastRenderedPageBreak/>
        <w:t xml:space="preserve">SES Focus </w:t>
      </w:r>
      <w:r w:rsidR="00DB47D3" w:rsidRPr="00E8656C">
        <w:rPr>
          <w:color w:val="auto"/>
        </w:rPr>
        <w:t>a</w:t>
      </w:r>
      <w:r w:rsidRPr="00E8656C">
        <w:rPr>
          <w:color w:val="auto"/>
        </w:rPr>
        <w:t>rea item</w:t>
      </w:r>
      <w:r w:rsidR="00746E0E" w:rsidRPr="00E8656C">
        <w:rPr>
          <w:color w:val="auto"/>
        </w:rPr>
        <w:t>s</w:t>
      </w:r>
      <w:bookmarkEnd w:id="117"/>
      <w:bookmarkEnd w:id="118"/>
    </w:p>
    <w:p w14:paraId="1E7078A3" w14:textId="48F4974B" w:rsidR="006F0AE8" w:rsidRPr="00E8656C" w:rsidRDefault="009D1897" w:rsidP="006F0AE8">
      <w:pPr>
        <w:pStyle w:val="Body"/>
        <w:rPr>
          <w:rFonts w:cs="Arial"/>
          <w:b/>
          <w:bCs/>
        </w:rPr>
      </w:pPr>
      <w:bookmarkStart w:id="122" w:name="_Toc192678418"/>
      <w:bookmarkEnd w:id="122"/>
      <w:bookmarkEnd w:id="119"/>
      <w:bookmarkEnd w:id="120"/>
      <w:bookmarkEnd w:id="121"/>
      <w:r w:rsidRPr="00E8656C">
        <w:rPr>
          <w:rFonts w:cs="Arial"/>
          <w:b/>
          <w:bCs/>
        </w:rPr>
        <w:t>We can f</w:t>
      </w:r>
      <w:r w:rsidR="006F0AE8" w:rsidRPr="00E8656C">
        <w:rPr>
          <w:rFonts w:cs="Arial"/>
          <w:b/>
          <w:bCs/>
        </w:rPr>
        <w:t xml:space="preserve">ormat these as text boxes </w:t>
      </w:r>
      <w:r w:rsidR="009A4B14" w:rsidRPr="00E8656C">
        <w:rPr>
          <w:rFonts w:cs="Arial"/>
          <w:b/>
          <w:bCs/>
        </w:rPr>
        <w:t>in the pdf version</w:t>
      </w:r>
      <w:r w:rsidR="00B7009D" w:rsidRPr="00E8656C">
        <w:rPr>
          <w:rFonts w:cs="Arial"/>
          <w:b/>
          <w:bCs/>
        </w:rPr>
        <w:t xml:space="preserve"> </w:t>
      </w:r>
      <w:r w:rsidR="006F0AE8" w:rsidRPr="00E8656C">
        <w:rPr>
          <w:rFonts w:cs="Arial"/>
          <w:b/>
          <w:bCs/>
        </w:rPr>
        <w:t>and drop in</w:t>
      </w:r>
      <w:r w:rsidR="000E617F" w:rsidRPr="00E8656C">
        <w:rPr>
          <w:rFonts w:cs="Arial"/>
          <w:b/>
          <w:bCs/>
        </w:rPr>
        <w:t>to</w:t>
      </w:r>
      <w:r w:rsidR="006F0AE8" w:rsidRPr="00E8656C">
        <w:rPr>
          <w:rFonts w:cs="Arial"/>
          <w:b/>
          <w:bCs/>
        </w:rPr>
        <w:t xml:space="preserve"> relevant areas of the report as </w:t>
      </w:r>
      <w:r w:rsidR="00E9559C" w:rsidRPr="00E8656C">
        <w:rPr>
          <w:rFonts w:cs="Arial"/>
          <w:b/>
          <w:bCs/>
        </w:rPr>
        <w:t>callouts</w:t>
      </w:r>
      <w:r w:rsidR="000E617F" w:rsidRPr="00E8656C">
        <w:rPr>
          <w:rFonts w:cs="Arial"/>
          <w:b/>
          <w:bCs/>
        </w:rPr>
        <w:t xml:space="preserve"> or leave them here as reference, or both. </w:t>
      </w:r>
    </w:p>
    <w:p w14:paraId="4FE21C6C" w14:textId="1E64DC9F" w:rsidR="005A5905" w:rsidRPr="00E8656C" w:rsidRDefault="005A5905" w:rsidP="0066499D">
      <w:pPr>
        <w:pStyle w:val="Appendix2"/>
      </w:pPr>
      <w:bookmarkStart w:id="123" w:name="_Toc207802611"/>
      <w:r w:rsidRPr="00E8656C">
        <w:t>Skills Development</w:t>
      </w:r>
      <w:bookmarkEnd w:id="123"/>
    </w:p>
    <w:p w14:paraId="7190474C" w14:textId="0BF62C06" w:rsidR="00730849" w:rsidRPr="00E8656C" w:rsidRDefault="00730849" w:rsidP="00730849">
      <w:pPr>
        <w:pStyle w:val="Body"/>
        <w:rPr>
          <w:rFonts w:cs="Arial"/>
        </w:rPr>
      </w:pPr>
      <w:r w:rsidRPr="00E8656C">
        <w:rPr>
          <w:rFonts w:cs="Arial"/>
        </w:rPr>
        <w:t>Th</w:t>
      </w:r>
      <w:r w:rsidR="006A6349" w:rsidRPr="00E8656C">
        <w:rPr>
          <w:rFonts w:cs="Arial"/>
        </w:rPr>
        <w:t>is</w:t>
      </w:r>
      <w:r w:rsidRPr="00E8656C">
        <w:rPr>
          <w:rFonts w:cs="Arial"/>
        </w:rPr>
        <w:t xml:space="preserve"> focus area asks students to reflect on the extent to which their course developed their skills and knowledge in eight areas, using a scale from 'not at all' to 'very much'</w:t>
      </w:r>
      <w:r w:rsidR="006A6349" w:rsidRPr="00E8656C">
        <w:rPr>
          <w:rFonts w:cs="Arial"/>
        </w:rPr>
        <w:t xml:space="preserve">. </w:t>
      </w:r>
    </w:p>
    <w:p w14:paraId="4F6A4DA7" w14:textId="6BC740D9" w:rsidR="000F4C5F" w:rsidRPr="00E8656C" w:rsidRDefault="000F4C5F" w:rsidP="00A6731B">
      <w:pPr>
        <w:pStyle w:val="Body"/>
        <w:rPr>
          <w:rFonts w:cs="Arial"/>
        </w:rPr>
      </w:pPr>
      <w:r w:rsidRPr="00E8656C">
        <w:rPr>
          <w:rFonts w:cs="Arial"/>
        </w:rPr>
        <w:t>To what extent has your (course) developed your:</w:t>
      </w:r>
    </w:p>
    <w:p w14:paraId="1C1FA693" w14:textId="1DFD5F4F" w:rsidR="00BE7268" w:rsidRPr="00E8656C" w:rsidRDefault="00BE7268" w:rsidP="00A6731B">
      <w:pPr>
        <w:pStyle w:val="Bullets1"/>
        <w:rPr>
          <w:rFonts w:cs="Arial"/>
        </w:rPr>
      </w:pPr>
      <w:r w:rsidRPr="00E8656C">
        <w:rPr>
          <w:rFonts w:cs="Arial"/>
        </w:rPr>
        <w:t>Critical thinking</w:t>
      </w:r>
      <w:r w:rsidR="00D71A00" w:rsidRPr="00E8656C">
        <w:rPr>
          <w:rFonts w:cs="Arial"/>
        </w:rPr>
        <w:t xml:space="preserve"> skills</w:t>
      </w:r>
    </w:p>
    <w:p w14:paraId="7F18C858" w14:textId="77777777" w:rsidR="006C20F9" w:rsidRPr="00E8656C" w:rsidRDefault="00BE7268" w:rsidP="00A6731B">
      <w:pPr>
        <w:pStyle w:val="Bullets1"/>
        <w:rPr>
          <w:rFonts w:cs="Arial"/>
        </w:rPr>
      </w:pPr>
      <w:r w:rsidRPr="00E8656C">
        <w:rPr>
          <w:rFonts w:cs="Arial"/>
        </w:rPr>
        <w:t>Ability to solve complex problems</w:t>
      </w:r>
    </w:p>
    <w:p w14:paraId="5D1941B1" w14:textId="71B550F5" w:rsidR="006C20F9" w:rsidRPr="00E8656C" w:rsidRDefault="006C20F9" w:rsidP="00A6731B">
      <w:pPr>
        <w:pStyle w:val="Bullets1"/>
        <w:rPr>
          <w:rFonts w:cs="Arial"/>
        </w:rPr>
      </w:pPr>
      <w:r w:rsidRPr="00E8656C">
        <w:rPr>
          <w:rFonts w:cs="Arial"/>
        </w:rPr>
        <w:t>Ability to work with others</w:t>
      </w:r>
    </w:p>
    <w:p w14:paraId="5347F1EB" w14:textId="77777777" w:rsidR="00323060" w:rsidRPr="00E8656C" w:rsidRDefault="00323060" w:rsidP="00A6731B">
      <w:pPr>
        <w:pStyle w:val="Bullets1"/>
        <w:rPr>
          <w:rFonts w:cs="Arial"/>
        </w:rPr>
      </w:pPr>
      <w:r w:rsidRPr="00E8656C">
        <w:rPr>
          <w:rFonts w:cs="Arial"/>
        </w:rPr>
        <w:t xml:space="preserve">Confidence to learn independently </w:t>
      </w:r>
    </w:p>
    <w:p w14:paraId="156B61F7" w14:textId="77777777" w:rsidR="00E177D9" w:rsidRPr="00E8656C" w:rsidRDefault="00323060" w:rsidP="00A6731B">
      <w:pPr>
        <w:pStyle w:val="Bullets1"/>
        <w:rPr>
          <w:rFonts w:cs="Arial"/>
        </w:rPr>
      </w:pPr>
      <w:r w:rsidRPr="00E8656C">
        <w:rPr>
          <w:rFonts w:cs="Arial"/>
        </w:rPr>
        <w:t>Written communication skills</w:t>
      </w:r>
    </w:p>
    <w:p w14:paraId="0383AD79" w14:textId="77777777" w:rsidR="007A38C1" w:rsidRPr="00E8656C" w:rsidRDefault="00E177D9" w:rsidP="00A6731B">
      <w:pPr>
        <w:pStyle w:val="Bullets1"/>
        <w:rPr>
          <w:rFonts w:cs="Arial"/>
        </w:rPr>
      </w:pPr>
      <w:r w:rsidRPr="00E8656C">
        <w:rPr>
          <w:rFonts w:cs="Arial"/>
        </w:rPr>
        <w:t>Spoken communication skills</w:t>
      </w:r>
    </w:p>
    <w:p w14:paraId="23467608" w14:textId="572DB840" w:rsidR="00867EDB" w:rsidRPr="00E8656C" w:rsidRDefault="007A38C1" w:rsidP="00A6731B">
      <w:pPr>
        <w:pStyle w:val="Bullets1"/>
        <w:rPr>
          <w:rFonts w:cs="Arial"/>
        </w:rPr>
      </w:pPr>
      <w:r w:rsidRPr="00E8656C">
        <w:rPr>
          <w:rFonts w:cs="Arial"/>
        </w:rPr>
        <w:t>Knowledge of field</w:t>
      </w:r>
      <w:r w:rsidR="00E65587" w:rsidRPr="00E8656C">
        <w:rPr>
          <w:rFonts w:cs="Arial"/>
        </w:rPr>
        <w:t>(s)</w:t>
      </w:r>
      <w:r w:rsidRPr="00E8656C">
        <w:rPr>
          <w:rFonts w:cs="Arial"/>
        </w:rPr>
        <w:t xml:space="preserve"> studying</w:t>
      </w:r>
    </w:p>
    <w:p w14:paraId="43D5747C" w14:textId="732A2997" w:rsidR="007A1CFD" w:rsidRPr="00E8656C" w:rsidRDefault="0031064C" w:rsidP="00A6731B">
      <w:pPr>
        <w:pStyle w:val="Bullets1"/>
        <w:rPr>
          <w:rFonts w:cs="Arial"/>
        </w:rPr>
      </w:pPr>
      <w:r w:rsidRPr="00E8656C">
        <w:rPr>
          <w:rFonts w:cs="Arial"/>
        </w:rPr>
        <w:t>Development of w</w:t>
      </w:r>
      <w:r w:rsidR="00867EDB" w:rsidRPr="00E8656C">
        <w:rPr>
          <w:rFonts w:cs="Arial"/>
        </w:rPr>
        <w:t xml:space="preserve">ork-related knowledge and skills </w:t>
      </w:r>
    </w:p>
    <w:p w14:paraId="48566B98" w14:textId="77777777" w:rsidR="00A6731B" w:rsidRPr="00E8656C" w:rsidRDefault="00A6731B" w:rsidP="00A6731B">
      <w:pPr>
        <w:pStyle w:val="Bullets1"/>
        <w:numPr>
          <w:ilvl w:val="0"/>
          <w:numId w:val="0"/>
        </w:numPr>
        <w:ind w:left="851"/>
        <w:rPr>
          <w:rFonts w:cs="Arial"/>
        </w:rPr>
      </w:pPr>
    </w:p>
    <w:p w14:paraId="0E79A360" w14:textId="77777777" w:rsidR="005A5905" w:rsidRPr="00E8656C" w:rsidRDefault="005A5905" w:rsidP="0066499D">
      <w:pPr>
        <w:pStyle w:val="Appendix2"/>
      </w:pPr>
      <w:bookmarkStart w:id="124" w:name="_Toc207802612"/>
      <w:r w:rsidRPr="00E8656C">
        <w:t>Peer Engagement (formerly Learner Engagement)</w:t>
      </w:r>
      <w:bookmarkEnd w:id="124"/>
      <w:r w:rsidRPr="00E8656C">
        <w:tab/>
      </w:r>
    </w:p>
    <w:p w14:paraId="38E58130" w14:textId="77777777" w:rsidR="000F4C5F" w:rsidRPr="00E8656C" w:rsidRDefault="000F4C5F" w:rsidP="005A5905">
      <w:pPr>
        <w:pStyle w:val="Body"/>
        <w:rPr>
          <w:rFonts w:cs="Arial"/>
        </w:rPr>
      </w:pPr>
      <w:bookmarkStart w:id="125" w:name="_Hlk193363794"/>
      <w:r w:rsidRPr="00E8656C">
        <w:rPr>
          <w:rFonts w:cs="Arial"/>
        </w:rPr>
        <w:t>This</w:t>
      </w:r>
      <w:r w:rsidR="00696090" w:rsidRPr="00E8656C">
        <w:rPr>
          <w:rFonts w:cs="Arial"/>
        </w:rPr>
        <w:t xml:space="preserve"> focus area </w:t>
      </w:r>
      <w:r w:rsidR="00897F9B" w:rsidRPr="00E8656C">
        <w:rPr>
          <w:rFonts w:cs="Arial"/>
        </w:rPr>
        <w:t xml:space="preserve">asks students to indicate </w:t>
      </w:r>
      <w:r w:rsidR="00770589" w:rsidRPr="00E8656C">
        <w:rPr>
          <w:rFonts w:cs="Arial"/>
        </w:rPr>
        <w:t xml:space="preserve">how </w:t>
      </w:r>
      <w:r w:rsidR="00171E37" w:rsidRPr="00E8656C">
        <w:rPr>
          <w:rFonts w:cs="Arial"/>
        </w:rPr>
        <w:t>frequently</w:t>
      </w:r>
      <w:r w:rsidR="00897F9B" w:rsidRPr="00E8656C">
        <w:rPr>
          <w:rFonts w:cs="Arial"/>
        </w:rPr>
        <w:t xml:space="preserve"> they engage </w:t>
      </w:r>
      <w:r w:rsidR="00A02EBE" w:rsidRPr="00E8656C">
        <w:rPr>
          <w:rFonts w:cs="Arial"/>
        </w:rPr>
        <w:t xml:space="preserve">with other students inside and outside </w:t>
      </w:r>
      <w:r w:rsidR="00770589" w:rsidRPr="00E8656C">
        <w:rPr>
          <w:rFonts w:cs="Arial"/>
        </w:rPr>
        <w:t xml:space="preserve">formal </w:t>
      </w:r>
      <w:r w:rsidR="00A02EBE" w:rsidRPr="00E8656C">
        <w:rPr>
          <w:rFonts w:cs="Arial"/>
        </w:rPr>
        <w:t>study</w:t>
      </w:r>
      <w:r w:rsidR="009672A6" w:rsidRPr="00E8656C">
        <w:rPr>
          <w:rFonts w:cs="Arial"/>
        </w:rPr>
        <w:t xml:space="preserve">, using a scale </w:t>
      </w:r>
      <w:r w:rsidR="00994192" w:rsidRPr="00E8656C">
        <w:rPr>
          <w:rFonts w:cs="Arial"/>
        </w:rPr>
        <w:t xml:space="preserve">from </w:t>
      </w:r>
      <w:r w:rsidR="009672A6" w:rsidRPr="00E8656C">
        <w:rPr>
          <w:rFonts w:cs="Arial"/>
        </w:rPr>
        <w:t>‘</w:t>
      </w:r>
      <w:r w:rsidR="00994192" w:rsidRPr="00E8656C">
        <w:rPr>
          <w:rFonts w:cs="Arial"/>
        </w:rPr>
        <w:t>never</w:t>
      </w:r>
      <w:r w:rsidR="009672A6" w:rsidRPr="00E8656C">
        <w:rPr>
          <w:rFonts w:cs="Arial"/>
        </w:rPr>
        <w:t>’</w:t>
      </w:r>
      <w:r w:rsidR="00994192" w:rsidRPr="00E8656C">
        <w:rPr>
          <w:rFonts w:cs="Arial"/>
        </w:rPr>
        <w:t xml:space="preserve"> to </w:t>
      </w:r>
      <w:r w:rsidR="009672A6" w:rsidRPr="00E8656C">
        <w:rPr>
          <w:rFonts w:cs="Arial"/>
        </w:rPr>
        <w:t>‘</w:t>
      </w:r>
      <w:r w:rsidR="00994192" w:rsidRPr="00E8656C">
        <w:rPr>
          <w:rFonts w:cs="Arial"/>
        </w:rPr>
        <w:t>always</w:t>
      </w:r>
      <w:r w:rsidR="009672A6" w:rsidRPr="00E8656C">
        <w:rPr>
          <w:rFonts w:cs="Arial"/>
        </w:rPr>
        <w:t>’</w:t>
      </w:r>
      <w:r w:rsidR="00A02EBE" w:rsidRPr="00E8656C">
        <w:rPr>
          <w:rFonts w:cs="Arial"/>
        </w:rPr>
        <w:t>.</w:t>
      </w:r>
      <w:r w:rsidR="00CF0075" w:rsidRPr="00E8656C">
        <w:rPr>
          <w:rFonts w:cs="Arial"/>
        </w:rPr>
        <w:t xml:space="preserve"> </w:t>
      </w:r>
    </w:p>
    <w:p w14:paraId="6A97121E" w14:textId="7B0639D4" w:rsidR="00696090" w:rsidRPr="00E8656C" w:rsidRDefault="00CF0075" w:rsidP="00FF5AE6">
      <w:pPr>
        <w:pStyle w:val="Body"/>
        <w:ind w:left="360"/>
        <w:rPr>
          <w:rFonts w:cs="Arial"/>
        </w:rPr>
      </w:pPr>
      <w:r w:rsidRPr="00E8656C">
        <w:rPr>
          <w:rFonts w:cs="Arial"/>
        </w:rPr>
        <w:t xml:space="preserve">The </w:t>
      </w:r>
      <w:r w:rsidR="00E33755" w:rsidRPr="00E8656C">
        <w:rPr>
          <w:rFonts w:cs="Arial"/>
        </w:rPr>
        <w:t xml:space="preserve">underlying items </w:t>
      </w:r>
      <w:r w:rsidR="00C673ED" w:rsidRPr="00E8656C">
        <w:rPr>
          <w:rFonts w:cs="Arial"/>
        </w:rPr>
        <w:t xml:space="preserve">for this </w:t>
      </w:r>
      <w:r w:rsidR="00195915" w:rsidRPr="00E8656C">
        <w:rPr>
          <w:rFonts w:cs="Arial"/>
        </w:rPr>
        <w:t>f</w:t>
      </w:r>
      <w:r w:rsidR="00C673ED" w:rsidRPr="00E8656C">
        <w:rPr>
          <w:rFonts w:cs="Arial"/>
        </w:rPr>
        <w:t>ocus area</w:t>
      </w:r>
      <w:r w:rsidR="00A61F47" w:rsidRPr="00E8656C">
        <w:rPr>
          <w:rFonts w:cs="Arial"/>
        </w:rPr>
        <w:t xml:space="preserve"> are </w:t>
      </w:r>
      <w:r w:rsidR="00171E37" w:rsidRPr="00E8656C">
        <w:rPr>
          <w:rFonts w:cs="Arial"/>
        </w:rPr>
        <w:t>how frequently they have:</w:t>
      </w:r>
    </w:p>
    <w:p w14:paraId="43AC613F" w14:textId="6DA76589" w:rsidR="00AE6743" w:rsidRPr="00E8656C" w:rsidRDefault="00AE6743" w:rsidP="00A6731B">
      <w:pPr>
        <w:pStyle w:val="Bullets1"/>
        <w:rPr>
          <w:rFonts w:cs="Arial"/>
        </w:rPr>
      </w:pPr>
      <w:r w:rsidRPr="00E8656C">
        <w:rPr>
          <w:rFonts w:cs="Arial"/>
        </w:rPr>
        <w:t>Contributed to class discussion (e.g. in-person discussions, online chat forums, discussion boards)</w:t>
      </w:r>
    </w:p>
    <w:p w14:paraId="798918DA" w14:textId="7FB5A22F" w:rsidR="00AE6743" w:rsidRPr="00E8656C" w:rsidRDefault="00AE6743" w:rsidP="00A6731B">
      <w:pPr>
        <w:pStyle w:val="Bullets1"/>
        <w:rPr>
          <w:rFonts w:cs="Arial"/>
        </w:rPr>
      </w:pPr>
      <w:r w:rsidRPr="00E8656C">
        <w:rPr>
          <w:rFonts w:cs="Arial"/>
        </w:rPr>
        <w:t>Worked with other students as part of your &lt;course&gt; (e.g. group assignments, in-class collaboration)</w:t>
      </w:r>
    </w:p>
    <w:p w14:paraId="2920508E" w14:textId="131BCD7D" w:rsidR="00AE6743" w:rsidRPr="00E8656C" w:rsidRDefault="00AE6743" w:rsidP="00A6731B">
      <w:pPr>
        <w:pStyle w:val="Bullets1"/>
        <w:rPr>
          <w:rFonts w:cs="Arial"/>
        </w:rPr>
      </w:pPr>
      <w:r w:rsidRPr="00E8656C">
        <w:rPr>
          <w:rFonts w:cs="Arial"/>
        </w:rPr>
        <w:t>Interacted socially with other students outside of your study</w:t>
      </w:r>
    </w:p>
    <w:p w14:paraId="018DE4CA" w14:textId="3B8ECBE3" w:rsidR="00AE6743" w:rsidRPr="00E8656C" w:rsidRDefault="00AE6743" w:rsidP="00A6731B">
      <w:pPr>
        <w:pStyle w:val="Bullets1"/>
        <w:rPr>
          <w:rFonts w:cs="Arial"/>
        </w:rPr>
      </w:pPr>
      <w:r w:rsidRPr="00E8656C">
        <w:rPr>
          <w:rFonts w:cs="Arial"/>
        </w:rPr>
        <w:t>Interacted with a diverse range of students</w:t>
      </w:r>
    </w:p>
    <w:p w14:paraId="03F1ECF2" w14:textId="77777777" w:rsidR="005A5905" w:rsidRPr="00E8656C" w:rsidRDefault="005A5905" w:rsidP="005A5905">
      <w:pPr>
        <w:pStyle w:val="Z"/>
        <w:rPr>
          <w:color w:val="auto"/>
          <w:szCs w:val="18"/>
        </w:rPr>
      </w:pPr>
      <w:bookmarkStart w:id="126" w:name="_Ref58491414"/>
      <w:bookmarkStart w:id="127" w:name="_Ref58491406"/>
      <w:bookmarkEnd w:id="125"/>
    </w:p>
    <w:p w14:paraId="7A16759D" w14:textId="77777777" w:rsidR="005A5905" w:rsidRPr="00E8656C" w:rsidRDefault="005A5905" w:rsidP="0066499D">
      <w:pPr>
        <w:pStyle w:val="Appendix2"/>
      </w:pPr>
      <w:bookmarkStart w:id="128" w:name="_Toc207802613"/>
      <w:bookmarkEnd w:id="126"/>
      <w:bookmarkEnd w:id="127"/>
      <w:r w:rsidRPr="00E8656C">
        <w:t>Teaching Quality and Engagement (formerly Teaching Quality)</w:t>
      </w:r>
      <w:bookmarkEnd w:id="128"/>
    </w:p>
    <w:p w14:paraId="375D1613" w14:textId="5F059D50" w:rsidR="00441B42" w:rsidRPr="00E8656C" w:rsidRDefault="00441B42" w:rsidP="005A5905">
      <w:pPr>
        <w:spacing w:before="120" w:after="120" w:line="300" w:lineRule="auto"/>
        <w:rPr>
          <w:rFonts w:eastAsia="Times New Roman" w:cs="Arial"/>
          <w:szCs w:val="20"/>
        </w:rPr>
      </w:pPr>
      <w:r w:rsidRPr="00E8656C">
        <w:rPr>
          <w:rFonts w:eastAsia="Times New Roman" w:cs="Arial"/>
          <w:szCs w:val="20"/>
        </w:rPr>
        <w:t xml:space="preserve">This focus area asks students to rate the quality of their overall educational experience and teaching quality, ranging from fair to excellent. It also asks students to evaluate the relevance and focus of their course to their education, as well as the extent to which academic staff </w:t>
      </w:r>
      <w:r w:rsidR="00B64229" w:rsidRPr="00E8656C">
        <w:rPr>
          <w:rFonts w:eastAsia="Times New Roman" w:cs="Arial"/>
          <w:szCs w:val="20"/>
        </w:rPr>
        <w:t>und</w:t>
      </w:r>
      <w:r w:rsidR="00836CB7" w:rsidRPr="00E8656C">
        <w:rPr>
          <w:rFonts w:eastAsia="Times New Roman" w:cs="Arial"/>
          <w:szCs w:val="20"/>
        </w:rPr>
        <w:t>ertake</w:t>
      </w:r>
      <w:r w:rsidRPr="00E8656C">
        <w:rPr>
          <w:rFonts w:eastAsia="Times New Roman" w:cs="Arial"/>
          <w:szCs w:val="20"/>
        </w:rPr>
        <w:t xml:space="preserve"> certain </w:t>
      </w:r>
      <w:r w:rsidR="00D83140" w:rsidRPr="00E8656C">
        <w:rPr>
          <w:rFonts w:eastAsia="Times New Roman" w:cs="Arial"/>
          <w:szCs w:val="20"/>
        </w:rPr>
        <w:t>actions</w:t>
      </w:r>
      <w:r w:rsidRPr="00E8656C">
        <w:rPr>
          <w:rFonts w:eastAsia="Times New Roman" w:cs="Arial"/>
          <w:szCs w:val="20"/>
        </w:rPr>
        <w:t>, from not at all to very much.</w:t>
      </w:r>
    </w:p>
    <w:p w14:paraId="4DE2272D" w14:textId="457B1EE2" w:rsidR="00F8786A" w:rsidRPr="00E8656C" w:rsidRDefault="006A60E9" w:rsidP="00D93A0D">
      <w:pPr>
        <w:pStyle w:val="Body"/>
        <w:rPr>
          <w:rFonts w:cs="Arial"/>
        </w:rPr>
      </w:pPr>
      <w:r w:rsidRPr="00E8656C">
        <w:rPr>
          <w:rFonts w:cs="Arial"/>
        </w:rPr>
        <w:t>T</w:t>
      </w:r>
      <w:r w:rsidR="00AC3C29" w:rsidRPr="00E8656C">
        <w:rPr>
          <w:rFonts w:cs="Arial"/>
        </w:rPr>
        <w:t>he</w:t>
      </w:r>
      <w:r w:rsidRPr="00E8656C">
        <w:rPr>
          <w:rFonts w:cs="Arial"/>
        </w:rPr>
        <w:t xml:space="preserve"> items are</w:t>
      </w:r>
      <w:r w:rsidR="00AC3C29" w:rsidRPr="00E8656C">
        <w:rPr>
          <w:rFonts w:cs="Arial"/>
        </w:rPr>
        <w:t>:</w:t>
      </w:r>
    </w:p>
    <w:p w14:paraId="7611073D" w14:textId="772B550B" w:rsidR="002A6008" w:rsidRPr="00E8656C" w:rsidRDefault="00611704" w:rsidP="00D93A0D">
      <w:pPr>
        <w:pStyle w:val="Bullets1"/>
        <w:rPr>
          <w:rFonts w:cs="Arial"/>
        </w:rPr>
      </w:pPr>
      <w:r w:rsidRPr="00E8656C">
        <w:rPr>
          <w:rFonts w:cs="Arial"/>
          <w:lang w:val="en-GB"/>
        </w:rPr>
        <w:t>Course</w:t>
      </w:r>
      <w:r w:rsidR="002A6008" w:rsidRPr="00E8656C">
        <w:rPr>
          <w:rFonts w:cs="Arial"/>
          <w:lang w:val="en-GB"/>
        </w:rPr>
        <w:t xml:space="preserve"> </w:t>
      </w:r>
      <w:r w:rsidR="00715C2F" w:rsidRPr="00E8656C">
        <w:rPr>
          <w:rFonts w:cs="Arial"/>
          <w:lang w:val="en-GB"/>
        </w:rPr>
        <w:t>well-structured</w:t>
      </w:r>
      <w:r w:rsidR="002A6008" w:rsidRPr="00E8656C">
        <w:rPr>
          <w:rFonts w:cs="Arial"/>
          <w:lang w:val="en-GB"/>
        </w:rPr>
        <w:t xml:space="preserve"> and focused</w:t>
      </w:r>
    </w:p>
    <w:p w14:paraId="064FB1FD" w14:textId="7CA30662" w:rsidR="002A6008" w:rsidRPr="00E8656C" w:rsidRDefault="00611704" w:rsidP="00D93A0D">
      <w:pPr>
        <w:pStyle w:val="Bullets1"/>
        <w:rPr>
          <w:rFonts w:cs="Arial"/>
        </w:rPr>
      </w:pPr>
      <w:r w:rsidRPr="00E8656C">
        <w:rPr>
          <w:rFonts w:cs="Arial"/>
        </w:rPr>
        <w:t>Course</w:t>
      </w:r>
      <w:r w:rsidR="002A6008" w:rsidRPr="00E8656C">
        <w:rPr>
          <w:rFonts w:cs="Arial"/>
        </w:rPr>
        <w:t xml:space="preserve"> relevant to education as a whole</w:t>
      </w:r>
    </w:p>
    <w:p w14:paraId="3A6BF015" w14:textId="77777777" w:rsidR="002A6008" w:rsidRPr="00E8656C" w:rsidRDefault="002A6008" w:rsidP="00D93A0D">
      <w:pPr>
        <w:pStyle w:val="Bullets1"/>
        <w:rPr>
          <w:rFonts w:cs="Arial"/>
        </w:rPr>
      </w:pPr>
      <w:r w:rsidRPr="00E8656C">
        <w:rPr>
          <w:rFonts w:cs="Arial"/>
        </w:rPr>
        <w:t>Teachers engaged you actively in learning</w:t>
      </w:r>
    </w:p>
    <w:p w14:paraId="59E61FCF" w14:textId="77777777" w:rsidR="002A6008" w:rsidRPr="00E8656C" w:rsidRDefault="002A6008" w:rsidP="00D93A0D">
      <w:pPr>
        <w:pStyle w:val="Bullets1"/>
        <w:rPr>
          <w:rFonts w:cs="Arial"/>
        </w:rPr>
      </w:pPr>
      <w:r w:rsidRPr="00E8656C">
        <w:rPr>
          <w:rFonts w:cs="Arial"/>
          <w:lang w:val="en-GB"/>
        </w:rPr>
        <w:t>Teachers demonstrated concern for student learning</w:t>
      </w:r>
    </w:p>
    <w:p w14:paraId="6C5F1B4B" w14:textId="77777777" w:rsidR="002A6008" w:rsidRPr="00E8656C" w:rsidRDefault="002A6008" w:rsidP="00D93A0D">
      <w:pPr>
        <w:pStyle w:val="Bullets1"/>
        <w:rPr>
          <w:rFonts w:cs="Arial"/>
        </w:rPr>
      </w:pPr>
      <w:r w:rsidRPr="00E8656C">
        <w:rPr>
          <w:rFonts w:cs="Arial"/>
        </w:rPr>
        <w:t>Teachers provided clear explanations on coursework and assessment</w:t>
      </w:r>
    </w:p>
    <w:p w14:paraId="17A6F6F2" w14:textId="77777777" w:rsidR="002A6008" w:rsidRPr="00E8656C" w:rsidRDefault="002A6008" w:rsidP="00D93A0D">
      <w:pPr>
        <w:pStyle w:val="Bullets1"/>
        <w:rPr>
          <w:rFonts w:cs="Arial"/>
        </w:rPr>
      </w:pPr>
      <w:r w:rsidRPr="00E8656C">
        <w:rPr>
          <w:rFonts w:cs="Arial"/>
        </w:rPr>
        <w:t>Teachers stimulated you intellectually</w:t>
      </w:r>
    </w:p>
    <w:p w14:paraId="7B5C6E90" w14:textId="77777777" w:rsidR="002A6008" w:rsidRPr="00E8656C" w:rsidRDefault="002A6008" w:rsidP="00D93A0D">
      <w:pPr>
        <w:pStyle w:val="Bullets1"/>
        <w:rPr>
          <w:rFonts w:cs="Arial"/>
        </w:rPr>
      </w:pPr>
      <w:r w:rsidRPr="00E8656C">
        <w:rPr>
          <w:rFonts w:cs="Arial"/>
        </w:rPr>
        <w:t>Teachers commented on your work in ways that help you learn</w:t>
      </w:r>
    </w:p>
    <w:p w14:paraId="240A838C" w14:textId="77777777" w:rsidR="002A6008" w:rsidRPr="00E8656C" w:rsidRDefault="002A6008" w:rsidP="00D93A0D">
      <w:pPr>
        <w:pStyle w:val="Bullets1"/>
        <w:rPr>
          <w:rFonts w:cs="Arial"/>
        </w:rPr>
      </w:pPr>
      <w:r w:rsidRPr="00E8656C">
        <w:rPr>
          <w:rFonts w:cs="Arial"/>
        </w:rPr>
        <w:t>Teachers seemed helpful and approachable</w:t>
      </w:r>
    </w:p>
    <w:p w14:paraId="426567CD" w14:textId="77777777" w:rsidR="002A6008" w:rsidRPr="00E8656C" w:rsidRDefault="002A6008" w:rsidP="00D93A0D">
      <w:pPr>
        <w:pStyle w:val="Bullets1"/>
        <w:rPr>
          <w:rFonts w:cs="Arial"/>
        </w:rPr>
      </w:pPr>
      <w:r w:rsidRPr="00E8656C">
        <w:rPr>
          <w:rFonts w:cs="Arial"/>
        </w:rPr>
        <w:t>Teachers set assessment tasks that challenge you to learn</w:t>
      </w:r>
    </w:p>
    <w:p w14:paraId="474C0A6D" w14:textId="1009A0EB" w:rsidR="002A6008" w:rsidRPr="00E8656C" w:rsidRDefault="006A60E9" w:rsidP="00D93A0D">
      <w:pPr>
        <w:pStyle w:val="Bullets1"/>
        <w:rPr>
          <w:rFonts w:cs="Arial"/>
        </w:rPr>
      </w:pPr>
      <w:r w:rsidRPr="00E8656C">
        <w:rPr>
          <w:rFonts w:cs="Arial"/>
        </w:rPr>
        <w:t>Overall q</w:t>
      </w:r>
      <w:r w:rsidR="002A6008" w:rsidRPr="00E8656C">
        <w:rPr>
          <w:rFonts w:cs="Arial"/>
        </w:rPr>
        <w:t>uality of teaching</w:t>
      </w:r>
    </w:p>
    <w:p w14:paraId="4B38C11A" w14:textId="3E665146" w:rsidR="002A6008" w:rsidRPr="00E8656C" w:rsidRDefault="006A60E9" w:rsidP="00D93A0D">
      <w:pPr>
        <w:pStyle w:val="Bullets1"/>
        <w:rPr>
          <w:rFonts w:cs="Arial"/>
        </w:rPr>
      </w:pPr>
      <w:r w:rsidRPr="00E8656C">
        <w:rPr>
          <w:rFonts w:cs="Arial"/>
        </w:rPr>
        <w:lastRenderedPageBreak/>
        <w:t>Overall q</w:t>
      </w:r>
      <w:r w:rsidR="002A6008" w:rsidRPr="00E8656C">
        <w:rPr>
          <w:rFonts w:cs="Arial"/>
        </w:rPr>
        <w:t>uality of entire educational experience</w:t>
      </w:r>
    </w:p>
    <w:p w14:paraId="5E687745" w14:textId="3EA70C70" w:rsidR="005A5905" w:rsidRPr="00E8656C" w:rsidRDefault="005A5905" w:rsidP="0066499D">
      <w:pPr>
        <w:pStyle w:val="Appendix2"/>
      </w:pPr>
      <w:bookmarkStart w:id="129" w:name="_Toc207802614"/>
      <w:r w:rsidRPr="00E8656C">
        <w:t>Student Support and Services (formerly Student Support)</w:t>
      </w:r>
      <w:bookmarkEnd w:id="129"/>
    </w:p>
    <w:p w14:paraId="16CA4128" w14:textId="140A1D0C" w:rsidR="00777544" w:rsidRPr="00E8656C" w:rsidRDefault="00811359" w:rsidP="005A5905">
      <w:pPr>
        <w:pStyle w:val="Body"/>
        <w:rPr>
          <w:rFonts w:cs="Arial"/>
        </w:rPr>
      </w:pPr>
      <w:r w:rsidRPr="00E8656C">
        <w:rPr>
          <w:rFonts w:cs="Arial"/>
        </w:rPr>
        <w:t>This focus area asks students to rate the helpfulness of various supports and services provided by their institution, ranging from not at all helpful to very helpful, with an option for 'Not Used' for those who did not utili</w:t>
      </w:r>
      <w:r w:rsidR="00A00CD6" w:rsidRPr="00E8656C">
        <w:rPr>
          <w:rFonts w:cs="Arial"/>
        </w:rPr>
        <w:t>s</w:t>
      </w:r>
      <w:r w:rsidRPr="00E8656C">
        <w:rPr>
          <w:rFonts w:cs="Arial"/>
        </w:rPr>
        <w:t>e the support services</w:t>
      </w:r>
      <w:r w:rsidR="00E0201A" w:rsidRPr="00E8656C">
        <w:rPr>
          <w:rFonts w:cs="Arial"/>
        </w:rPr>
        <w:t>.</w:t>
      </w:r>
      <w:r w:rsidR="00AC3C29" w:rsidRPr="00E8656C">
        <w:rPr>
          <w:rFonts w:cs="Arial"/>
        </w:rPr>
        <w:t xml:space="preserve"> </w:t>
      </w:r>
    </w:p>
    <w:p w14:paraId="0BD5A8E3" w14:textId="10A0DF65" w:rsidR="0077050B" w:rsidRPr="00E8656C" w:rsidRDefault="006121E8" w:rsidP="00F70898">
      <w:pPr>
        <w:pStyle w:val="Body"/>
        <w:ind w:left="357"/>
        <w:rPr>
          <w:rFonts w:cs="Arial"/>
        </w:rPr>
      </w:pPr>
      <w:r w:rsidRPr="00E8656C">
        <w:rPr>
          <w:rFonts w:cs="Arial"/>
        </w:rPr>
        <w:t xml:space="preserve">How helpful have you found the following supports and services provided by your institution during </w:t>
      </w:r>
      <w:r w:rsidR="003E2378" w:rsidRPr="00E8656C">
        <w:rPr>
          <w:rFonts w:cs="Arial"/>
        </w:rPr>
        <w:t>&lt;survey year&gt;</w:t>
      </w:r>
      <w:r w:rsidR="00362BF4" w:rsidRPr="00E8656C">
        <w:rPr>
          <w:rFonts w:cs="Arial"/>
        </w:rPr>
        <w:t>:</w:t>
      </w:r>
    </w:p>
    <w:p w14:paraId="65BF069F" w14:textId="1FC4567F" w:rsidR="00AC3C29" w:rsidRPr="00E8656C" w:rsidRDefault="00AC3C29" w:rsidP="00D93A0D">
      <w:pPr>
        <w:pStyle w:val="Bullets1"/>
        <w:rPr>
          <w:rFonts w:cs="Arial"/>
        </w:rPr>
      </w:pPr>
      <w:r w:rsidRPr="00E8656C">
        <w:rPr>
          <w:rFonts w:cs="Arial"/>
        </w:rPr>
        <w:t>enrolment process and support</w:t>
      </w:r>
    </w:p>
    <w:p w14:paraId="6C6DFCB7" w14:textId="7A06C453" w:rsidR="00AC3C29" w:rsidRPr="00E8656C" w:rsidRDefault="00AC3C29" w:rsidP="00D93A0D">
      <w:pPr>
        <w:pStyle w:val="Bullets1"/>
        <w:rPr>
          <w:rFonts w:cs="Arial"/>
        </w:rPr>
      </w:pPr>
      <w:r w:rsidRPr="00E8656C">
        <w:rPr>
          <w:rFonts w:cs="Arial"/>
        </w:rPr>
        <w:t>induction/orientation activities</w:t>
      </w:r>
    </w:p>
    <w:p w14:paraId="5284FB74" w14:textId="331C4CD3" w:rsidR="00AC3C29" w:rsidRPr="00E8656C" w:rsidRDefault="00AC3C29" w:rsidP="00D93A0D">
      <w:pPr>
        <w:pStyle w:val="Bullets1"/>
        <w:rPr>
          <w:rFonts w:cs="Arial"/>
        </w:rPr>
      </w:pPr>
      <w:r w:rsidRPr="00E8656C">
        <w:rPr>
          <w:rFonts w:cs="Arial"/>
        </w:rPr>
        <w:t>online learning platform</w:t>
      </w:r>
    </w:p>
    <w:p w14:paraId="52AF7E76" w14:textId="46CCA8A9" w:rsidR="00AC3C29" w:rsidRPr="00E8656C" w:rsidRDefault="00AC3C29" w:rsidP="00D93A0D">
      <w:pPr>
        <w:pStyle w:val="Bullets1"/>
        <w:rPr>
          <w:rFonts w:cs="Arial"/>
        </w:rPr>
      </w:pPr>
      <w:r w:rsidRPr="00E8656C">
        <w:rPr>
          <w:rFonts w:cs="Arial"/>
        </w:rPr>
        <w:t>career development services</w:t>
      </w:r>
    </w:p>
    <w:p w14:paraId="31934F3B" w14:textId="57F5B0A3" w:rsidR="00AC3C29" w:rsidRPr="00E8656C" w:rsidRDefault="00AC3C29" w:rsidP="00D93A0D">
      <w:pPr>
        <w:pStyle w:val="Bullets1"/>
        <w:rPr>
          <w:rFonts w:cs="Arial"/>
        </w:rPr>
      </w:pPr>
      <w:r w:rsidRPr="00E8656C">
        <w:rPr>
          <w:rFonts w:cs="Arial"/>
        </w:rPr>
        <w:t>study or learning support services</w:t>
      </w:r>
    </w:p>
    <w:p w14:paraId="7B536684" w14:textId="323A021A" w:rsidR="00AC3C29" w:rsidRPr="00E8656C" w:rsidRDefault="00AC3C29" w:rsidP="00D93A0D">
      <w:pPr>
        <w:pStyle w:val="Bullets1"/>
        <w:rPr>
          <w:rFonts w:cs="Arial"/>
        </w:rPr>
      </w:pPr>
      <w:r w:rsidRPr="00E8656C">
        <w:rPr>
          <w:rFonts w:cs="Arial"/>
        </w:rPr>
        <w:t>counsellors and or health services</w:t>
      </w:r>
    </w:p>
    <w:p w14:paraId="4990DF39" w14:textId="595B0976" w:rsidR="00AC3C29" w:rsidRPr="00E8656C" w:rsidRDefault="00AC3C29" w:rsidP="00D93A0D">
      <w:pPr>
        <w:pStyle w:val="Bullets1"/>
        <w:rPr>
          <w:rFonts w:cs="Arial"/>
        </w:rPr>
      </w:pPr>
      <w:r w:rsidRPr="00E8656C">
        <w:rPr>
          <w:rFonts w:cs="Arial"/>
        </w:rPr>
        <w:t>financial and or legal advisors</w:t>
      </w:r>
    </w:p>
    <w:p w14:paraId="23CDE41E" w14:textId="77777777" w:rsidR="00F32243" w:rsidRPr="00E8656C" w:rsidRDefault="00F32243" w:rsidP="00CD3B54">
      <w:pPr>
        <w:pStyle w:val="Z"/>
        <w:spacing w:before="120" w:after="120"/>
        <w:rPr>
          <w:color w:val="auto"/>
          <w:sz w:val="20"/>
        </w:rPr>
      </w:pPr>
    </w:p>
    <w:p w14:paraId="683489F0" w14:textId="77777777" w:rsidR="005A5905" w:rsidRPr="00E8656C" w:rsidRDefault="005A5905" w:rsidP="0066499D">
      <w:pPr>
        <w:pStyle w:val="Appendix2"/>
      </w:pPr>
      <w:bookmarkStart w:id="130" w:name="_Toc207802615"/>
      <w:r w:rsidRPr="00E8656C">
        <w:t>Learning Resources</w:t>
      </w:r>
      <w:bookmarkEnd w:id="130"/>
    </w:p>
    <w:p w14:paraId="11EA91CD" w14:textId="0176AAF8" w:rsidR="00F70898" w:rsidRPr="00E8656C" w:rsidRDefault="00CD0BB0" w:rsidP="005A5905">
      <w:pPr>
        <w:spacing w:before="120" w:after="120" w:line="300" w:lineRule="auto"/>
        <w:rPr>
          <w:rFonts w:eastAsia="Times New Roman" w:cs="Arial"/>
          <w:szCs w:val="20"/>
        </w:rPr>
      </w:pPr>
      <w:r w:rsidRPr="00E8656C">
        <w:rPr>
          <w:rFonts w:eastAsia="Times New Roman" w:cs="Arial"/>
          <w:szCs w:val="20"/>
        </w:rPr>
        <w:t xml:space="preserve">The Learning Resources focus area asks students to rate the quality of </w:t>
      </w:r>
      <w:r w:rsidR="00231B4A" w:rsidRPr="00E8656C">
        <w:rPr>
          <w:rFonts w:eastAsia="Times New Roman" w:cs="Arial"/>
          <w:szCs w:val="20"/>
        </w:rPr>
        <w:t>various learning resources provided by the institution</w:t>
      </w:r>
      <w:r w:rsidR="00E34EF5" w:rsidRPr="00E8656C">
        <w:rPr>
          <w:rFonts w:eastAsia="Times New Roman" w:cs="Arial"/>
          <w:szCs w:val="20"/>
        </w:rPr>
        <w:t xml:space="preserve">, ranging </w:t>
      </w:r>
      <w:r w:rsidR="00231B4A" w:rsidRPr="00E8656C">
        <w:rPr>
          <w:rFonts w:eastAsia="Times New Roman" w:cs="Arial"/>
          <w:szCs w:val="20"/>
        </w:rPr>
        <w:t>from poor to</w:t>
      </w:r>
      <w:r w:rsidRPr="00E8656C">
        <w:rPr>
          <w:rFonts w:eastAsia="Times New Roman" w:cs="Arial"/>
          <w:szCs w:val="20"/>
        </w:rPr>
        <w:t xml:space="preserve"> </w:t>
      </w:r>
      <w:r w:rsidR="00137E7B" w:rsidRPr="00E8656C">
        <w:rPr>
          <w:rFonts w:eastAsia="Times New Roman" w:cs="Arial"/>
          <w:szCs w:val="20"/>
        </w:rPr>
        <w:t>excellent.</w:t>
      </w:r>
      <w:r w:rsidR="00927DC9" w:rsidRPr="00E8656C">
        <w:rPr>
          <w:rFonts w:eastAsia="Times New Roman" w:cs="Arial"/>
          <w:szCs w:val="20"/>
        </w:rPr>
        <w:t xml:space="preserve"> </w:t>
      </w:r>
    </w:p>
    <w:p w14:paraId="1264718A" w14:textId="2E761E83" w:rsidR="00CD0BB0" w:rsidRPr="00E8656C" w:rsidRDefault="00793876" w:rsidP="00D93A0D">
      <w:pPr>
        <w:pStyle w:val="Body"/>
        <w:rPr>
          <w:rFonts w:cs="Arial"/>
        </w:rPr>
      </w:pPr>
      <w:r w:rsidRPr="00E8656C">
        <w:rPr>
          <w:rFonts w:cs="Arial"/>
        </w:rPr>
        <w:t xml:space="preserve">The items </w:t>
      </w:r>
      <w:r w:rsidR="00A347B4" w:rsidRPr="00E8656C">
        <w:rPr>
          <w:rFonts w:cs="Arial"/>
        </w:rPr>
        <w:t>relate to the quality of</w:t>
      </w:r>
      <w:r w:rsidRPr="00E8656C">
        <w:rPr>
          <w:rFonts w:cs="Arial"/>
        </w:rPr>
        <w:t>:</w:t>
      </w:r>
    </w:p>
    <w:p w14:paraId="1908B285" w14:textId="67940B27" w:rsidR="001728CE" w:rsidRPr="00E8656C" w:rsidRDefault="001728CE" w:rsidP="00D93A0D">
      <w:pPr>
        <w:pStyle w:val="Bullets1"/>
        <w:rPr>
          <w:rFonts w:cs="Arial"/>
        </w:rPr>
      </w:pPr>
      <w:r w:rsidRPr="00E8656C">
        <w:rPr>
          <w:rFonts w:cs="Arial"/>
        </w:rPr>
        <w:t>teaching spaces</w:t>
      </w:r>
    </w:p>
    <w:p w14:paraId="7DB54E09" w14:textId="357CD14D" w:rsidR="001728CE" w:rsidRPr="00E8656C" w:rsidRDefault="001728CE" w:rsidP="00D93A0D">
      <w:pPr>
        <w:pStyle w:val="Bullets1"/>
        <w:rPr>
          <w:rFonts w:cs="Arial"/>
        </w:rPr>
      </w:pPr>
      <w:r w:rsidRPr="00E8656C">
        <w:rPr>
          <w:rFonts w:cs="Arial"/>
        </w:rPr>
        <w:t>student spaces and common areas</w:t>
      </w:r>
    </w:p>
    <w:p w14:paraId="2F7FB88A" w14:textId="107653AA" w:rsidR="001728CE" w:rsidRPr="00E8656C" w:rsidRDefault="001728CE" w:rsidP="00D93A0D">
      <w:pPr>
        <w:pStyle w:val="Bullets1"/>
        <w:rPr>
          <w:rFonts w:cs="Arial"/>
        </w:rPr>
      </w:pPr>
      <w:r w:rsidRPr="00E8656C">
        <w:rPr>
          <w:rFonts w:cs="Arial"/>
        </w:rPr>
        <w:t>online learning materials</w:t>
      </w:r>
    </w:p>
    <w:p w14:paraId="51D756FB" w14:textId="26744852" w:rsidR="001728CE" w:rsidRPr="00E8656C" w:rsidRDefault="001728CE" w:rsidP="00D93A0D">
      <w:pPr>
        <w:pStyle w:val="Bullets1"/>
        <w:rPr>
          <w:rFonts w:cs="Arial"/>
        </w:rPr>
      </w:pPr>
      <w:r w:rsidRPr="00E8656C">
        <w:rPr>
          <w:rFonts w:cs="Arial"/>
        </w:rPr>
        <w:t>computing/IT resources</w:t>
      </w:r>
    </w:p>
    <w:p w14:paraId="4D30B4A6" w14:textId="56074808" w:rsidR="001728CE" w:rsidRPr="00E8656C" w:rsidRDefault="001728CE" w:rsidP="00D93A0D">
      <w:pPr>
        <w:pStyle w:val="Bullets1"/>
        <w:rPr>
          <w:rFonts w:cs="Arial"/>
        </w:rPr>
      </w:pPr>
      <w:r w:rsidRPr="00E8656C">
        <w:rPr>
          <w:rFonts w:cs="Arial"/>
        </w:rPr>
        <w:t>assigned books, notes and resources</w:t>
      </w:r>
    </w:p>
    <w:p w14:paraId="608F197F" w14:textId="7ACB7415" w:rsidR="001728CE" w:rsidRPr="00E8656C" w:rsidRDefault="001728CE" w:rsidP="00D93A0D">
      <w:pPr>
        <w:pStyle w:val="Bullets1"/>
        <w:rPr>
          <w:rFonts w:cs="Arial"/>
        </w:rPr>
      </w:pPr>
      <w:r w:rsidRPr="00E8656C">
        <w:rPr>
          <w:rFonts w:cs="Arial"/>
        </w:rPr>
        <w:t>laboratory or studio equipment</w:t>
      </w:r>
    </w:p>
    <w:p w14:paraId="6CD20B21" w14:textId="6A31524C" w:rsidR="001728CE" w:rsidRPr="00E8656C" w:rsidRDefault="001728CE" w:rsidP="00D93A0D">
      <w:pPr>
        <w:pStyle w:val="Bullets1"/>
        <w:rPr>
          <w:rFonts w:cs="Arial"/>
        </w:rPr>
      </w:pPr>
      <w:r w:rsidRPr="00E8656C">
        <w:rPr>
          <w:rFonts w:cs="Arial"/>
        </w:rPr>
        <w:t>library resources and facilities</w:t>
      </w:r>
    </w:p>
    <w:p w14:paraId="18678356" w14:textId="77777777" w:rsidR="00DB50C0" w:rsidRPr="00E8656C" w:rsidRDefault="00DB50C0" w:rsidP="00DB50C0">
      <w:pPr>
        <w:spacing w:before="120" w:after="120" w:line="300" w:lineRule="auto"/>
        <w:rPr>
          <w:rFonts w:eastAsia="Times New Roman" w:cs="Arial"/>
          <w:szCs w:val="20"/>
        </w:rPr>
        <w:sectPr w:rsidR="00DB50C0" w:rsidRPr="00E8656C" w:rsidSect="005D6A13">
          <w:pgSz w:w="11906" w:h="16838" w:code="9"/>
          <w:pgMar w:top="720" w:right="720" w:bottom="720" w:left="720" w:header="567" w:footer="567" w:gutter="0"/>
          <w:cols w:space="708"/>
          <w:docGrid w:linePitch="360"/>
        </w:sectPr>
      </w:pPr>
    </w:p>
    <w:p w14:paraId="71913BDC" w14:textId="4D48148B" w:rsidR="00CB4453" w:rsidRPr="00E8656C" w:rsidRDefault="00CB4453" w:rsidP="00182A31">
      <w:pPr>
        <w:pStyle w:val="Appendix1"/>
        <w:ind w:left="2552" w:hanging="2552"/>
        <w:rPr>
          <w:rFonts w:cs="Arial"/>
          <w:color w:val="auto"/>
        </w:rPr>
      </w:pPr>
      <w:bookmarkStart w:id="131" w:name="_Toc207802616"/>
      <w:r w:rsidRPr="00E8656C">
        <w:rPr>
          <w:rFonts w:cs="Arial"/>
          <w:color w:val="auto"/>
        </w:rPr>
        <w:lastRenderedPageBreak/>
        <w:t xml:space="preserve">Detailed </w:t>
      </w:r>
      <w:r w:rsidR="00B67B92" w:rsidRPr="00E8656C">
        <w:rPr>
          <w:rFonts w:cs="Arial"/>
          <w:color w:val="auto"/>
        </w:rPr>
        <w:t>t</w:t>
      </w:r>
      <w:r w:rsidRPr="00E8656C">
        <w:rPr>
          <w:rFonts w:cs="Arial"/>
          <w:color w:val="auto"/>
        </w:rPr>
        <w:t>ables</w:t>
      </w:r>
      <w:bookmarkEnd w:id="131"/>
    </w:p>
    <w:p w14:paraId="7A70D004" w14:textId="7BCB5C5D" w:rsidR="00CB4453" w:rsidRPr="00E8656C" w:rsidRDefault="00BE5305" w:rsidP="0066499D">
      <w:pPr>
        <w:pStyle w:val="Appendix2"/>
      </w:pPr>
      <w:bookmarkStart w:id="132" w:name="_Toc207802617"/>
      <w:r w:rsidRPr="00E8656C">
        <w:t xml:space="preserve">Focus areas and the </w:t>
      </w:r>
      <w:r w:rsidR="00373188" w:rsidRPr="00E8656C">
        <w:t>O</w:t>
      </w:r>
      <w:r w:rsidRPr="00E8656C">
        <w:t xml:space="preserve">verall </w:t>
      </w:r>
      <w:r w:rsidR="00373188" w:rsidRPr="00E8656C">
        <w:t>E</w:t>
      </w:r>
      <w:r w:rsidRPr="00E8656C">
        <w:t xml:space="preserve">ducational </w:t>
      </w:r>
      <w:r w:rsidR="00373188" w:rsidRPr="00E8656C">
        <w:t>E</w:t>
      </w:r>
      <w:r w:rsidRPr="00E8656C">
        <w:t>xperience</w:t>
      </w:r>
      <w:bookmarkEnd w:id="132"/>
    </w:p>
    <w:p w14:paraId="0BFE17E4" w14:textId="7B4CDA03" w:rsidR="00BE5305" w:rsidRPr="00E8656C" w:rsidRDefault="00BE5305" w:rsidP="00AC1207">
      <w:pPr>
        <w:pStyle w:val="Appendix3"/>
      </w:pPr>
      <w:bookmarkStart w:id="133" w:name="_Toc207802618"/>
      <w:r w:rsidRPr="00E8656C">
        <w:t xml:space="preserve">Course </w:t>
      </w:r>
      <w:r w:rsidR="00D057C5" w:rsidRPr="00E8656C">
        <w:t>l</w:t>
      </w:r>
      <w:r w:rsidRPr="00E8656C">
        <w:t xml:space="preserve">evel by demographic </w:t>
      </w:r>
      <w:r w:rsidR="00164D35" w:rsidRPr="00E8656C">
        <w:t>sub-</w:t>
      </w:r>
      <w:r w:rsidRPr="00E8656C">
        <w:t>groups</w:t>
      </w:r>
      <w:bookmarkEnd w:id="133"/>
    </w:p>
    <w:p w14:paraId="4C407B73" w14:textId="003CFAD1" w:rsidR="00BE5305" w:rsidRPr="00E8656C" w:rsidRDefault="00BE5305" w:rsidP="00695177">
      <w:pPr>
        <w:pStyle w:val="Caption"/>
      </w:pPr>
    </w:p>
    <w:p w14:paraId="69EF297C" w14:textId="08938C54" w:rsidR="008527D9" w:rsidRPr="00E8656C" w:rsidRDefault="008527D9" w:rsidP="00695177">
      <w:pPr>
        <w:pStyle w:val="Caption"/>
      </w:pPr>
      <w:bookmarkStart w:id="134" w:name="_Toc201065421"/>
      <w:r w:rsidRPr="00E8656C">
        <w:t xml:space="preserve">Table </w:t>
      </w:r>
      <w:r w:rsidRPr="00E8656C">
        <w:fldChar w:fldCharType="begin"/>
      </w:r>
      <w:r w:rsidRPr="00E8656C">
        <w:instrText xml:space="preserve"> SEQ Table \* ARABIC </w:instrText>
      </w:r>
      <w:r w:rsidRPr="00E8656C">
        <w:fldChar w:fldCharType="separate"/>
      </w:r>
      <w:r w:rsidRPr="00E8656C">
        <w:rPr>
          <w:noProof/>
        </w:rPr>
        <w:t>4</w:t>
      </w:r>
      <w:r w:rsidRPr="00E8656C">
        <w:rPr>
          <w:noProof/>
        </w:rPr>
        <w:fldChar w:fldCharType="end"/>
      </w:r>
      <w:r w:rsidR="0066499D" w:rsidRPr="00E8656C">
        <w:tab/>
      </w:r>
      <w:r w:rsidRPr="00E8656C">
        <w:t>Undergraduate student experience by demographic sub-group, 2022–24 (% positive rating)††</w:t>
      </w:r>
      <w:bookmarkEnd w:id="134"/>
    </w:p>
    <w:tbl>
      <w:tblPr>
        <w:tblpPr w:leftFromText="180" w:rightFromText="180" w:vertAnchor="text" w:tblpY="1"/>
        <w:tblOverlap w:val="never"/>
        <w:tblW w:w="5149" w:type="pct"/>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CellMar>
          <w:top w:w="57" w:type="dxa"/>
          <w:left w:w="57" w:type="dxa"/>
          <w:bottom w:w="57" w:type="dxa"/>
          <w:right w:w="57" w:type="dxa"/>
        </w:tblCellMar>
        <w:tblLook w:val="0000" w:firstRow="0" w:lastRow="0" w:firstColumn="0" w:lastColumn="0" w:noHBand="0" w:noVBand="0"/>
      </w:tblPr>
      <w:tblGrid>
        <w:gridCol w:w="1414"/>
        <w:gridCol w:w="1423"/>
        <w:gridCol w:w="723"/>
        <w:gridCol w:w="723"/>
        <w:gridCol w:w="723"/>
        <w:gridCol w:w="723"/>
        <w:gridCol w:w="723"/>
        <w:gridCol w:w="723"/>
        <w:gridCol w:w="723"/>
        <w:gridCol w:w="723"/>
        <w:gridCol w:w="723"/>
        <w:gridCol w:w="723"/>
        <w:gridCol w:w="723"/>
        <w:gridCol w:w="723"/>
        <w:gridCol w:w="723"/>
        <w:gridCol w:w="723"/>
        <w:gridCol w:w="723"/>
        <w:gridCol w:w="723"/>
        <w:gridCol w:w="723"/>
        <w:gridCol w:w="723"/>
      </w:tblGrid>
      <w:tr w:rsidR="0066499D" w:rsidRPr="00E8656C" w14:paraId="22F5F82A" w14:textId="77777777" w:rsidTr="005E54CB">
        <w:trPr>
          <w:cantSplit/>
          <w:trHeight w:val="180"/>
          <w:tblHeader/>
        </w:trPr>
        <w:tc>
          <w:tcPr>
            <w:tcW w:w="446" w:type="pct"/>
            <w:vAlign w:val="bottom"/>
          </w:tcPr>
          <w:p w14:paraId="4A9602BE" w14:textId="77777777" w:rsidR="0066499D" w:rsidRPr="00E8656C" w:rsidRDefault="0066499D" w:rsidP="00E8656C">
            <w:pPr>
              <w:pStyle w:val="Tabletextupdate"/>
              <w:framePr w:wrap="auto"/>
              <w:jc w:val="center"/>
              <w:rPr>
                <w:rFonts w:ascii="Arial" w:hAnsi="Arial" w:cs="Arial"/>
                <w:b/>
                <w:bCs/>
                <w:color w:val="auto"/>
                <w:sz w:val="18"/>
              </w:rPr>
            </w:pPr>
            <w:bookmarkStart w:id="135" w:name="Title_4"/>
            <w:bookmarkStart w:id="136" w:name="_Hlk155098773"/>
            <w:bookmarkEnd w:id="135"/>
          </w:p>
        </w:tc>
        <w:tc>
          <w:tcPr>
            <w:tcW w:w="449" w:type="pct"/>
            <w:vAlign w:val="bottom"/>
          </w:tcPr>
          <w:p w14:paraId="0C388546" w14:textId="7DF8BDCB" w:rsidR="0066499D" w:rsidRPr="00E8656C" w:rsidRDefault="0066499D" w:rsidP="00E8656C">
            <w:pPr>
              <w:pStyle w:val="Tabletextupdate"/>
              <w:framePr w:wrap="auto"/>
              <w:jc w:val="center"/>
              <w:rPr>
                <w:rFonts w:ascii="Arial" w:hAnsi="Arial" w:cs="Arial"/>
                <w:b/>
                <w:bCs/>
                <w:color w:val="auto"/>
                <w:sz w:val="18"/>
              </w:rPr>
            </w:pPr>
          </w:p>
        </w:tc>
        <w:tc>
          <w:tcPr>
            <w:tcW w:w="228" w:type="pct"/>
            <w:tcMar>
              <w:top w:w="113" w:type="dxa"/>
              <w:left w:w="57" w:type="dxa"/>
              <w:bottom w:w="113" w:type="dxa"/>
              <w:right w:w="57" w:type="dxa"/>
            </w:tcMar>
            <w:vAlign w:val="bottom"/>
          </w:tcPr>
          <w:p w14:paraId="6F5D983B" w14:textId="35001FCA" w:rsidR="0066499D" w:rsidRPr="00E8656C" w:rsidRDefault="0066499D" w:rsidP="00E8656C">
            <w:pPr>
              <w:pStyle w:val="Tabletextupdate"/>
              <w:framePr w:wrap="auto"/>
              <w:jc w:val="center"/>
              <w:rPr>
                <w:rFonts w:ascii="Arial" w:hAnsi="Arial" w:cs="Arial"/>
                <w:b/>
                <w:bCs/>
                <w:color w:val="auto"/>
                <w:sz w:val="16"/>
                <w:szCs w:val="16"/>
              </w:rPr>
            </w:pPr>
            <w:r w:rsidRPr="00E8656C">
              <w:rPr>
                <w:rFonts w:ascii="Arial" w:hAnsi="Arial" w:cs="Arial"/>
                <w:b/>
                <w:bCs/>
                <w:color w:val="auto"/>
              </w:rPr>
              <w:t>Skills Development</w:t>
            </w:r>
            <w:r w:rsidRPr="00E8656C">
              <w:rPr>
                <w:rFonts w:ascii="Arial" w:hAnsi="Arial" w:cs="Arial"/>
                <w:b/>
                <w:bCs/>
                <w:color w:val="auto"/>
                <w:sz w:val="16"/>
                <w:szCs w:val="16"/>
              </w:rPr>
              <w:t xml:space="preserve"> </w:t>
            </w:r>
            <w:r w:rsidRPr="005E54CB">
              <w:rPr>
                <w:rFonts w:ascii="Arial" w:hAnsi="Arial" w:cs="Arial"/>
                <w:color w:val="auto"/>
                <w:sz w:val="16"/>
                <w:szCs w:val="16"/>
              </w:rPr>
              <w:t>2022</w:t>
            </w:r>
          </w:p>
        </w:tc>
        <w:tc>
          <w:tcPr>
            <w:tcW w:w="228" w:type="pct"/>
            <w:tcMar>
              <w:top w:w="113" w:type="dxa"/>
              <w:left w:w="57" w:type="dxa"/>
              <w:bottom w:w="113" w:type="dxa"/>
              <w:right w:w="57" w:type="dxa"/>
            </w:tcMar>
            <w:vAlign w:val="bottom"/>
          </w:tcPr>
          <w:p w14:paraId="74A60C69" w14:textId="706A5958" w:rsidR="0066499D" w:rsidRPr="00E8656C" w:rsidRDefault="0066499D" w:rsidP="00E8656C">
            <w:pPr>
              <w:pStyle w:val="Tabletextupdate"/>
              <w:framePr w:wrap="auto"/>
              <w:jc w:val="center"/>
              <w:rPr>
                <w:rFonts w:ascii="Arial" w:hAnsi="Arial" w:cs="Arial"/>
                <w:b/>
                <w:bCs/>
                <w:color w:val="auto"/>
                <w:sz w:val="16"/>
                <w:szCs w:val="16"/>
              </w:rPr>
            </w:pPr>
            <w:r w:rsidRPr="00E8656C">
              <w:rPr>
                <w:rFonts w:ascii="Arial" w:hAnsi="Arial" w:cs="Arial"/>
                <w:b/>
                <w:bCs/>
                <w:color w:val="auto"/>
              </w:rPr>
              <w:t>Skills Development</w:t>
            </w:r>
            <w:r w:rsidRPr="00E8656C">
              <w:rPr>
                <w:rFonts w:ascii="Arial" w:hAnsi="Arial" w:cs="Arial"/>
                <w:b/>
                <w:bCs/>
                <w:color w:val="auto"/>
                <w:sz w:val="16"/>
                <w:szCs w:val="16"/>
              </w:rPr>
              <w:t xml:space="preserve"> </w:t>
            </w:r>
            <w:r w:rsidRPr="005E54CB">
              <w:rPr>
                <w:rFonts w:ascii="Arial" w:hAnsi="Arial" w:cs="Arial"/>
                <w:color w:val="auto"/>
                <w:sz w:val="16"/>
                <w:szCs w:val="16"/>
              </w:rPr>
              <w:t>2023</w:t>
            </w:r>
          </w:p>
        </w:tc>
        <w:tc>
          <w:tcPr>
            <w:tcW w:w="228" w:type="pct"/>
            <w:vAlign w:val="bottom"/>
          </w:tcPr>
          <w:p w14:paraId="21371773" w14:textId="3E8E30A6" w:rsidR="0066499D" w:rsidRPr="00E8656C" w:rsidRDefault="0066499D" w:rsidP="00E8656C">
            <w:pPr>
              <w:pStyle w:val="Tabletextupdate"/>
              <w:framePr w:wrap="auto"/>
              <w:jc w:val="center"/>
              <w:rPr>
                <w:rFonts w:ascii="Arial" w:hAnsi="Arial" w:cs="Arial"/>
                <w:b/>
                <w:bCs/>
                <w:color w:val="auto"/>
                <w:sz w:val="16"/>
                <w:szCs w:val="16"/>
              </w:rPr>
            </w:pPr>
            <w:r w:rsidRPr="00E8656C">
              <w:rPr>
                <w:rFonts w:ascii="Arial" w:hAnsi="Arial" w:cs="Arial"/>
                <w:b/>
                <w:bCs/>
                <w:color w:val="auto"/>
              </w:rPr>
              <w:t>Skills Development</w:t>
            </w:r>
            <w:r w:rsidRPr="00E8656C">
              <w:rPr>
                <w:rFonts w:ascii="Arial" w:hAnsi="Arial" w:cs="Arial"/>
                <w:b/>
                <w:bCs/>
                <w:color w:val="auto"/>
                <w:sz w:val="16"/>
                <w:szCs w:val="16"/>
              </w:rPr>
              <w:t xml:space="preserve"> </w:t>
            </w:r>
            <w:r w:rsidRPr="005E54CB">
              <w:rPr>
                <w:rFonts w:ascii="Arial" w:hAnsi="Arial" w:cs="Arial"/>
                <w:color w:val="auto"/>
                <w:sz w:val="16"/>
                <w:szCs w:val="16"/>
              </w:rPr>
              <w:t>2024</w:t>
            </w:r>
          </w:p>
        </w:tc>
        <w:tc>
          <w:tcPr>
            <w:tcW w:w="228" w:type="pct"/>
            <w:tcMar>
              <w:top w:w="113" w:type="dxa"/>
              <w:left w:w="57" w:type="dxa"/>
              <w:bottom w:w="113" w:type="dxa"/>
              <w:right w:w="57" w:type="dxa"/>
            </w:tcMar>
            <w:vAlign w:val="bottom"/>
          </w:tcPr>
          <w:p w14:paraId="598B61A1" w14:textId="2E963DFA" w:rsidR="0066499D" w:rsidRPr="00E8656C" w:rsidRDefault="0066499D" w:rsidP="00E8656C">
            <w:pPr>
              <w:pStyle w:val="Tabletextupdate"/>
              <w:framePr w:wrap="auto"/>
              <w:jc w:val="center"/>
              <w:rPr>
                <w:rFonts w:ascii="Arial" w:hAnsi="Arial" w:cs="Arial"/>
                <w:b/>
                <w:bCs/>
                <w:color w:val="auto"/>
                <w:sz w:val="16"/>
                <w:szCs w:val="16"/>
                <w:lang w:val="en-US"/>
              </w:rPr>
            </w:pPr>
            <w:r w:rsidRPr="00E8656C">
              <w:rPr>
                <w:rFonts w:ascii="Arial" w:hAnsi="Arial" w:cs="Arial"/>
                <w:b/>
                <w:bCs/>
                <w:color w:val="auto"/>
              </w:rPr>
              <w:t>Peer Engagement</w:t>
            </w:r>
            <w:r w:rsidRPr="00E8656C">
              <w:rPr>
                <w:rFonts w:ascii="Arial" w:hAnsi="Arial" w:cs="Arial"/>
                <w:b/>
                <w:bCs/>
                <w:color w:val="auto"/>
                <w:sz w:val="16"/>
                <w:szCs w:val="16"/>
              </w:rPr>
              <w:t xml:space="preserve"> </w:t>
            </w:r>
            <w:r w:rsidRPr="005E54CB">
              <w:rPr>
                <w:rFonts w:ascii="Arial" w:hAnsi="Arial" w:cs="Arial"/>
                <w:color w:val="auto"/>
                <w:sz w:val="16"/>
                <w:szCs w:val="16"/>
              </w:rPr>
              <w:t>2022</w:t>
            </w:r>
          </w:p>
        </w:tc>
        <w:tc>
          <w:tcPr>
            <w:tcW w:w="228" w:type="pct"/>
            <w:tcMar>
              <w:top w:w="113" w:type="dxa"/>
              <w:left w:w="57" w:type="dxa"/>
              <w:bottom w:w="113" w:type="dxa"/>
              <w:right w:w="57" w:type="dxa"/>
            </w:tcMar>
            <w:vAlign w:val="bottom"/>
          </w:tcPr>
          <w:p w14:paraId="532D48EF" w14:textId="1F989D1C" w:rsidR="0066499D" w:rsidRPr="00E8656C" w:rsidRDefault="0066499D" w:rsidP="00E8656C">
            <w:pPr>
              <w:pStyle w:val="Tabletextupdate"/>
              <w:framePr w:wrap="auto"/>
              <w:jc w:val="center"/>
              <w:rPr>
                <w:rFonts w:ascii="Arial" w:hAnsi="Arial" w:cs="Arial"/>
                <w:b/>
                <w:bCs/>
                <w:color w:val="auto"/>
                <w:sz w:val="16"/>
                <w:szCs w:val="16"/>
                <w:lang w:val="en-US"/>
              </w:rPr>
            </w:pPr>
            <w:r w:rsidRPr="00E8656C">
              <w:rPr>
                <w:rFonts w:ascii="Arial" w:hAnsi="Arial" w:cs="Arial"/>
                <w:b/>
                <w:bCs/>
                <w:color w:val="auto"/>
              </w:rPr>
              <w:t>Peer Engagement</w:t>
            </w:r>
            <w:r w:rsidRPr="00E8656C">
              <w:rPr>
                <w:rFonts w:ascii="Arial" w:hAnsi="Arial" w:cs="Arial"/>
                <w:b/>
                <w:bCs/>
                <w:color w:val="auto"/>
                <w:sz w:val="16"/>
                <w:szCs w:val="16"/>
              </w:rPr>
              <w:t xml:space="preserve"> </w:t>
            </w:r>
            <w:r w:rsidRPr="005E54CB">
              <w:rPr>
                <w:rFonts w:ascii="Arial" w:hAnsi="Arial" w:cs="Arial"/>
                <w:color w:val="auto"/>
                <w:sz w:val="16"/>
                <w:szCs w:val="16"/>
              </w:rPr>
              <w:t>2023</w:t>
            </w:r>
          </w:p>
        </w:tc>
        <w:tc>
          <w:tcPr>
            <w:tcW w:w="228" w:type="pct"/>
            <w:vAlign w:val="bottom"/>
          </w:tcPr>
          <w:p w14:paraId="0B53E4CD" w14:textId="3FEE3577" w:rsidR="0066499D" w:rsidRPr="00E8656C" w:rsidRDefault="0066499D" w:rsidP="00E8656C">
            <w:pPr>
              <w:pStyle w:val="Tabletextupdate"/>
              <w:framePr w:wrap="auto"/>
              <w:jc w:val="center"/>
              <w:rPr>
                <w:rFonts w:ascii="Arial" w:hAnsi="Arial" w:cs="Arial"/>
                <w:b/>
                <w:bCs/>
                <w:color w:val="auto"/>
                <w:sz w:val="16"/>
                <w:szCs w:val="16"/>
              </w:rPr>
            </w:pPr>
            <w:r w:rsidRPr="00E8656C">
              <w:rPr>
                <w:rFonts w:ascii="Arial" w:hAnsi="Arial" w:cs="Arial"/>
                <w:b/>
                <w:bCs/>
                <w:color w:val="auto"/>
              </w:rPr>
              <w:t>Peer Engagement</w:t>
            </w:r>
            <w:r w:rsidRPr="00E8656C">
              <w:rPr>
                <w:rFonts w:ascii="Arial" w:hAnsi="Arial" w:cs="Arial"/>
                <w:b/>
                <w:bCs/>
                <w:color w:val="auto"/>
                <w:sz w:val="16"/>
                <w:szCs w:val="16"/>
              </w:rPr>
              <w:t xml:space="preserve"> </w:t>
            </w:r>
            <w:r w:rsidRPr="005E54CB">
              <w:rPr>
                <w:rFonts w:ascii="Arial" w:hAnsi="Arial" w:cs="Arial"/>
                <w:color w:val="auto"/>
                <w:sz w:val="16"/>
                <w:szCs w:val="16"/>
              </w:rPr>
              <w:t>2024</w:t>
            </w:r>
          </w:p>
        </w:tc>
        <w:tc>
          <w:tcPr>
            <w:tcW w:w="228" w:type="pct"/>
            <w:tcMar>
              <w:top w:w="113" w:type="dxa"/>
              <w:left w:w="57" w:type="dxa"/>
              <w:bottom w:w="113" w:type="dxa"/>
              <w:right w:w="57" w:type="dxa"/>
            </w:tcMar>
            <w:vAlign w:val="bottom"/>
          </w:tcPr>
          <w:p w14:paraId="2C7D3622" w14:textId="47890DCB" w:rsidR="0066499D" w:rsidRPr="00E8656C" w:rsidRDefault="0066499D" w:rsidP="00E8656C">
            <w:pPr>
              <w:pStyle w:val="Tabletextupdate"/>
              <w:framePr w:wrap="auto"/>
              <w:jc w:val="center"/>
              <w:rPr>
                <w:rFonts w:ascii="Arial" w:hAnsi="Arial" w:cs="Arial"/>
                <w:b/>
                <w:bCs/>
                <w:color w:val="auto"/>
                <w:sz w:val="16"/>
                <w:szCs w:val="16"/>
                <w:lang w:val="en-US"/>
              </w:rPr>
            </w:pPr>
            <w:r w:rsidRPr="00E8656C">
              <w:rPr>
                <w:rFonts w:ascii="Arial" w:hAnsi="Arial" w:cs="Arial"/>
                <w:b/>
                <w:bCs/>
                <w:color w:val="auto"/>
              </w:rPr>
              <w:t>Teaching Quality and Engagement</w:t>
            </w:r>
            <w:r w:rsidRPr="00E8656C">
              <w:rPr>
                <w:rFonts w:ascii="Arial" w:hAnsi="Arial" w:cs="Arial"/>
                <w:b/>
                <w:bCs/>
                <w:color w:val="auto"/>
                <w:sz w:val="16"/>
                <w:szCs w:val="16"/>
              </w:rPr>
              <w:t xml:space="preserve"> </w:t>
            </w:r>
            <w:r w:rsidRPr="005E54CB">
              <w:rPr>
                <w:rFonts w:ascii="Arial" w:hAnsi="Arial" w:cs="Arial"/>
                <w:color w:val="auto"/>
                <w:sz w:val="16"/>
                <w:szCs w:val="16"/>
              </w:rPr>
              <w:t>2022</w:t>
            </w:r>
          </w:p>
        </w:tc>
        <w:tc>
          <w:tcPr>
            <w:tcW w:w="228" w:type="pct"/>
            <w:tcMar>
              <w:top w:w="113" w:type="dxa"/>
              <w:left w:w="57" w:type="dxa"/>
              <w:bottom w:w="113" w:type="dxa"/>
              <w:right w:w="57" w:type="dxa"/>
            </w:tcMar>
            <w:vAlign w:val="bottom"/>
          </w:tcPr>
          <w:p w14:paraId="5A928FE4" w14:textId="0880515C" w:rsidR="0066499D" w:rsidRPr="00E8656C" w:rsidRDefault="0066499D" w:rsidP="00E8656C">
            <w:pPr>
              <w:pStyle w:val="Tabletextupdate"/>
              <w:framePr w:wrap="auto"/>
              <w:jc w:val="center"/>
              <w:rPr>
                <w:rFonts w:ascii="Arial" w:hAnsi="Arial" w:cs="Arial"/>
                <w:b/>
                <w:bCs/>
                <w:color w:val="auto"/>
                <w:sz w:val="16"/>
                <w:szCs w:val="16"/>
                <w:lang w:val="en-US"/>
              </w:rPr>
            </w:pPr>
            <w:r w:rsidRPr="00E8656C">
              <w:rPr>
                <w:rFonts w:ascii="Arial" w:hAnsi="Arial" w:cs="Arial"/>
                <w:b/>
                <w:bCs/>
                <w:color w:val="auto"/>
              </w:rPr>
              <w:t>Teaching Quality and Engagement</w:t>
            </w:r>
            <w:r w:rsidRPr="00E8656C">
              <w:rPr>
                <w:rFonts w:ascii="Arial" w:hAnsi="Arial" w:cs="Arial"/>
                <w:b/>
                <w:bCs/>
                <w:color w:val="auto"/>
                <w:sz w:val="16"/>
                <w:szCs w:val="16"/>
              </w:rPr>
              <w:t xml:space="preserve"> </w:t>
            </w:r>
            <w:r w:rsidRPr="005E54CB">
              <w:rPr>
                <w:rFonts w:ascii="Arial" w:hAnsi="Arial" w:cs="Arial"/>
                <w:color w:val="auto"/>
                <w:sz w:val="16"/>
                <w:szCs w:val="16"/>
              </w:rPr>
              <w:t>2023</w:t>
            </w:r>
          </w:p>
        </w:tc>
        <w:tc>
          <w:tcPr>
            <w:tcW w:w="228" w:type="pct"/>
            <w:vAlign w:val="bottom"/>
          </w:tcPr>
          <w:p w14:paraId="43A6F9FD" w14:textId="17EF78E3" w:rsidR="0066499D" w:rsidRPr="00E8656C" w:rsidRDefault="0066499D" w:rsidP="00E8656C">
            <w:pPr>
              <w:pStyle w:val="Tabletextupdate"/>
              <w:framePr w:wrap="auto"/>
              <w:jc w:val="center"/>
              <w:rPr>
                <w:rFonts w:ascii="Arial" w:hAnsi="Arial" w:cs="Arial"/>
                <w:b/>
                <w:bCs/>
                <w:color w:val="auto"/>
                <w:sz w:val="16"/>
                <w:szCs w:val="16"/>
              </w:rPr>
            </w:pPr>
            <w:r w:rsidRPr="00E8656C">
              <w:rPr>
                <w:rFonts w:ascii="Arial" w:hAnsi="Arial" w:cs="Arial"/>
                <w:b/>
                <w:bCs/>
                <w:color w:val="auto"/>
              </w:rPr>
              <w:t>Teaching Quality and Engagement</w:t>
            </w:r>
            <w:r w:rsidRPr="00E8656C">
              <w:rPr>
                <w:rFonts w:ascii="Arial" w:hAnsi="Arial" w:cs="Arial"/>
                <w:b/>
                <w:bCs/>
                <w:color w:val="auto"/>
                <w:sz w:val="16"/>
                <w:szCs w:val="16"/>
              </w:rPr>
              <w:t xml:space="preserve"> </w:t>
            </w:r>
            <w:r w:rsidRPr="005E54CB">
              <w:rPr>
                <w:rFonts w:ascii="Arial" w:hAnsi="Arial" w:cs="Arial"/>
                <w:color w:val="auto"/>
                <w:sz w:val="16"/>
                <w:szCs w:val="16"/>
              </w:rPr>
              <w:t>2024</w:t>
            </w:r>
          </w:p>
        </w:tc>
        <w:tc>
          <w:tcPr>
            <w:tcW w:w="228" w:type="pct"/>
            <w:tcMar>
              <w:top w:w="113" w:type="dxa"/>
              <w:left w:w="57" w:type="dxa"/>
              <w:bottom w:w="113" w:type="dxa"/>
              <w:right w:w="57" w:type="dxa"/>
            </w:tcMar>
            <w:vAlign w:val="bottom"/>
          </w:tcPr>
          <w:p w14:paraId="77D148C8" w14:textId="796A4D3C" w:rsidR="0066499D" w:rsidRPr="00E8656C" w:rsidRDefault="0066499D" w:rsidP="00E8656C">
            <w:pPr>
              <w:pStyle w:val="Tabletextupdate"/>
              <w:framePr w:wrap="auto"/>
              <w:jc w:val="center"/>
              <w:rPr>
                <w:rFonts w:ascii="Arial" w:hAnsi="Arial" w:cs="Arial"/>
                <w:b/>
                <w:bCs/>
                <w:color w:val="auto"/>
                <w:sz w:val="16"/>
                <w:szCs w:val="16"/>
                <w:lang w:val="en-US"/>
              </w:rPr>
            </w:pPr>
            <w:r w:rsidRPr="00E8656C">
              <w:rPr>
                <w:rFonts w:ascii="Arial" w:hAnsi="Arial" w:cs="Arial"/>
                <w:b/>
                <w:bCs/>
                <w:color w:val="auto"/>
              </w:rPr>
              <w:t>Student Support and Services</w:t>
            </w:r>
            <w:r w:rsidRPr="00E8656C">
              <w:rPr>
                <w:rFonts w:ascii="Arial" w:hAnsi="Arial" w:cs="Arial"/>
                <w:b/>
                <w:bCs/>
                <w:color w:val="auto"/>
                <w:sz w:val="16"/>
                <w:szCs w:val="16"/>
              </w:rPr>
              <w:t xml:space="preserve"> </w:t>
            </w:r>
            <w:r w:rsidRPr="005E54CB">
              <w:rPr>
                <w:rFonts w:ascii="Arial" w:hAnsi="Arial" w:cs="Arial"/>
                <w:color w:val="auto"/>
                <w:sz w:val="16"/>
                <w:szCs w:val="16"/>
              </w:rPr>
              <w:t>2022</w:t>
            </w:r>
          </w:p>
        </w:tc>
        <w:tc>
          <w:tcPr>
            <w:tcW w:w="228" w:type="pct"/>
            <w:tcMar>
              <w:top w:w="113" w:type="dxa"/>
              <w:left w:w="57" w:type="dxa"/>
              <w:bottom w:w="113" w:type="dxa"/>
              <w:right w:w="57" w:type="dxa"/>
            </w:tcMar>
            <w:vAlign w:val="bottom"/>
          </w:tcPr>
          <w:p w14:paraId="32E213BF" w14:textId="1C13F4AA" w:rsidR="0066499D" w:rsidRPr="00E8656C" w:rsidRDefault="0066499D" w:rsidP="00E8656C">
            <w:pPr>
              <w:pStyle w:val="Tabletextupdate"/>
              <w:framePr w:wrap="auto"/>
              <w:jc w:val="center"/>
              <w:rPr>
                <w:rFonts w:ascii="Arial" w:hAnsi="Arial" w:cs="Arial"/>
                <w:b/>
                <w:bCs/>
                <w:color w:val="auto"/>
                <w:sz w:val="16"/>
                <w:szCs w:val="16"/>
                <w:lang w:val="en-US"/>
              </w:rPr>
            </w:pPr>
            <w:r w:rsidRPr="00E8656C">
              <w:rPr>
                <w:rFonts w:ascii="Arial" w:hAnsi="Arial" w:cs="Arial"/>
                <w:b/>
                <w:bCs/>
                <w:color w:val="auto"/>
              </w:rPr>
              <w:t>Student Support and Services</w:t>
            </w:r>
            <w:r w:rsidRPr="00E8656C">
              <w:rPr>
                <w:rFonts w:ascii="Arial" w:hAnsi="Arial" w:cs="Arial"/>
                <w:b/>
                <w:bCs/>
                <w:color w:val="auto"/>
                <w:sz w:val="16"/>
                <w:szCs w:val="16"/>
              </w:rPr>
              <w:t xml:space="preserve"> </w:t>
            </w:r>
            <w:r w:rsidRPr="005E54CB">
              <w:rPr>
                <w:rFonts w:ascii="Arial" w:hAnsi="Arial" w:cs="Arial"/>
                <w:color w:val="auto"/>
                <w:sz w:val="16"/>
                <w:szCs w:val="16"/>
              </w:rPr>
              <w:t>2023</w:t>
            </w:r>
          </w:p>
        </w:tc>
        <w:tc>
          <w:tcPr>
            <w:tcW w:w="228" w:type="pct"/>
            <w:vAlign w:val="bottom"/>
          </w:tcPr>
          <w:p w14:paraId="261C603A" w14:textId="7BEE7AB0" w:rsidR="0066499D" w:rsidRPr="00E8656C" w:rsidRDefault="0066499D" w:rsidP="00E8656C">
            <w:pPr>
              <w:pStyle w:val="Tabletextupdate"/>
              <w:framePr w:wrap="auto"/>
              <w:jc w:val="center"/>
              <w:rPr>
                <w:rFonts w:ascii="Arial" w:hAnsi="Arial" w:cs="Arial"/>
                <w:b/>
                <w:bCs/>
                <w:color w:val="auto"/>
                <w:sz w:val="16"/>
                <w:szCs w:val="16"/>
              </w:rPr>
            </w:pPr>
            <w:r w:rsidRPr="00E8656C">
              <w:rPr>
                <w:rFonts w:ascii="Arial" w:hAnsi="Arial" w:cs="Arial"/>
                <w:b/>
                <w:bCs/>
                <w:color w:val="auto"/>
              </w:rPr>
              <w:t>Student Support and Services</w:t>
            </w:r>
            <w:r w:rsidRPr="00E8656C">
              <w:rPr>
                <w:rFonts w:ascii="Arial" w:hAnsi="Arial" w:cs="Arial"/>
                <w:b/>
                <w:bCs/>
                <w:color w:val="auto"/>
                <w:sz w:val="16"/>
                <w:szCs w:val="16"/>
              </w:rPr>
              <w:t xml:space="preserve"> </w:t>
            </w:r>
            <w:r w:rsidRPr="005E54CB">
              <w:rPr>
                <w:rFonts w:ascii="Arial" w:hAnsi="Arial" w:cs="Arial"/>
                <w:color w:val="auto"/>
                <w:sz w:val="16"/>
                <w:szCs w:val="16"/>
              </w:rPr>
              <w:t>2024</w:t>
            </w:r>
          </w:p>
        </w:tc>
        <w:tc>
          <w:tcPr>
            <w:tcW w:w="228" w:type="pct"/>
            <w:tcMar>
              <w:top w:w="113" w:type="dxa"/>
              <w:left w:w="57" w:type="dxa"/>
              <w:bottom w:w="113" w:type="dxa"/>
              <w:right w:w="57" w:type="dxa"/>
            </w:tcMar>
            <w:vAlign w:val="bottom"/>
          </w:tcPr>
          <w:p w14:paraId="29A462BE" w14:textId="08C35F7A" w:rsidR="0066499D" w:rsidRPr="00E8656C" w:rsidRDefault="0066499D" w:rsidP="00E8656C">
            <w:pPr>
              <w:pStyle w:val="Tabletextupdate"/>
              <w:framePr w:wrap="auto"/>
              <w:jc w:val="center"/>
              <w:rPr>
                <w:rFonts w:ascii="Arial" w:hAnsi="Arial" w:cs="Arial"/>
                <w:b/>
                <w:bCs/>
                <w:color w:val="auto"/>
                <w:sz w:val="16"/>
                <w:szCs w:val="16"/>
                <w:lang w:val="en-US"/>
              </w:rPr>
            </w:pPr>
            <w:r w:rsidRPr="00E8656C">
              <w:rPr>
                <w:rFonts w:ascii="Arial" w:hAnsi="Arial" w:cs="Arial"/>
                <w:b/>
                <w:bCs/>
                <w:color w:val="auto"/>
              </w:rPr>
              <w:t>Learning Resources</w:t>
            </w:r>
            <w:r w:rsidRPr="00E8656C">
              <w:rPr>
                <w:rFonts w:ascii="Arial" w:hAnsi="Arial" w:cs="Arial"/>
                <w:b/>
                <w:bCs/>
                <w:color w:val="auto"/>
                <w:sz w:val="16"/>
                <w:szCs w:val="16"/>
              </w:rPr>
              <w:t xml:space="preserve"> </w:t>
            </w:r>
            <w:r w:rsidRPr="005E54CB">
              <w:rPr>
                <w:rFonts w:ascii="Arial" w:hAnsi="Arial" w:cs="Arial"/>
                <w:color w:val="auto"/>
                <w:sz w:val="16"/>
                <w:szCs w:val="16"/>
              </w:rPr>
              <w:t>2022</w:t>
            </w:r>
          </w:p>
        </w:tc>
        <w:tc>
          <w:tcPr>
            <w:tcW w:w="228" w:type="pct"/>
            <w:tcMar>
              <w:top w:w="113" w:type="dxa"/>
              <w:left w:w="57" w:type="dxa"/>
              <w:bottom w:w="113" w:type="dxa"/>
              <w:right w:w="57" w:type="dxa"/>
            </w:tcMar>
            <w:vAlign w:val="bottom"/>
          </w:tcPr>
          <w:p w14:paraId="226CEC6A" w14:textId="44E9A1E7" w:rsidR="0066499D" w:rsidRPr="00E8656C" w:rsidRDefault="0066499D" w:rsidP="00E8656C">
            <w:pPr>
              <w:pStyle w:val="Tabletextupdate"/>
              <w:framePr w:wrap="auto"/>
              <w:jc w:val="center"/>
              <w:rPr>
                <w:rFonts w:ascii="Arial" w:hAnsi="Arial" w:cs="Arial"/>
                <w:b/>
                <w:bCs/>
                <w:color w:val="auto"/>
                <w:sz w:val="16"/>
                <w:szCs w:val="16"/>
                <w:lang w:val="en-US"/>
              </w:rPr>
            </w:pPr>
            <w:r w:rsidRPr="00E8656C">
              <w:rPr>
                <w:rFonts w:ascii="Arial" w:hAnsi="Arial" w:cs="Arial"/>
                <w:b/>
                <w:bCs/>
                <w:color w:val="auto"/>
              </w:rPr>
              <w:t>Learning Resources</w:t>
            </w:r>
            <w:r w:rsidRPr="00E8656C">
              <w:rPr>
                <w:rFonts w:ascii="Arial" w:hAnsi="Arial" w:cs="Arial"/>
                <w:b/>
                <w:bCs/>
                <w:color w:val="auto"/>
                <w:sz w:val="16"/>
                <w:szCs w:val="16"/>
              </w:rPr>
              <w:t xml:space="preserve"> </w:t>
            </w:r>
            <w:r w:rsidRPr="005E54CB">
              <w:rPr>
                <w:rFonts w:ascii="Arial" w:hAnsi="Arial" w:cs="Arial"/>
                <w:color w:val="auto"/>
                <w:sz w:val="16"/>
                <w:szCs w:val="16"/>
              </w:rPr>
              <w:t>2023</w:t>
            </w:r>
          </w:p>
        </w:tc>
        <w:tc>
          <w:tcPr>
            <w:tcW w:w="228" w:type="pct"/>
            <w:vAlign w:val="bottom"/>
          </w:tcPr>
          <w:p w14:paraId="47B66CBC" w14:textId="35A3BE60" w:rsidR="0066499D" w:rsidRPr="00E8656C" w:rsidRDefault="0066499D" w:rsidP="00E8656C">
            <w:pPr>
              <w:pStyle w:val="Tabletextupdate"/>
              <w:framePr w:wrap="auto"/>
              <w:jc w:val="center"/>
              <w:rPr>
                <w:rFonts w:ascii="Arial" w:hAnsi="Arial" w:cs="Arial"/>
                <w:b/>
                <w:bCs/>
                <w:color w:val="auto"/>
                <w:sz w:val="16"/>
                <w:szCs w:val="16"/>
              </w:rPr>
            </w:pPr>
            <w:r w:rsidRPr="00E8656C">
              <w:rPr>
                <w:rFonts w:ascii="Arial" w:hAnsi="Arial" w:cs="Arial"/>
                <w:b/>
                <w:bCs/>
                <w:color w:val="auto"/>
              </w:rPr>
              <w:t>Learning Resources</w:t>
            </w:r>
            <w:r w:rsidRPr="00E8656C">
              <w:rPr>
                <w:rFonts w:ascii="Arial" w:hAnsi="Arial" w:cs="Arial"/>
                <w:b/>
                <w:bCs/>
                <w:color w:val="auto"/>
                <w:sz w:val="16"/>
                <w:szCs w:val="16"/>
              </w:rPr>
              <w:t xml:space="preserve"> </w:t>
            </w:r>
            <w:r w:rsidRPr="005E54CB">
              <w:rPr>
                <w:rFonts w:ascii="Arial" w:hAnsi="Arial" w:cs="Arial"/>
                <w:color w:val="auto"/>
                <w:sz w:val="16"/>
                <w:szCs w:val="16"/>
              </w:rPr>
              <w:t>2024</w:t>
            </w:r>
          </w:p>
        </w:tc>
        <w:tc>
          <w:tcPr>
            <w:tcW w:w="228" w:type="pct"/>
            <w:tcMar>
              <w:top w:w="113" w:type="dxa"/>
              <w:left w:w="57" w:type="dxa"/>
              <w:bottom w:w="113" w:type="dxa"/>
              <w:right w:w="57" w:type="dxa"/>
            </w:tcMar>
            <w:vAlign w:val="bottom"/>
          </w:tcPr>
          <w:p w14:paraId="3C76340D" w14:textId="1F963735" w:rsidR="0066499D" w:rsidRPr="00E8656C" w:rsidRDefault="0066499D" w:rsidP="00E8656C">
            <w:pPr>
              <w:pStyle w:val="Tabletextupdate"/>
              <w:framePr w:wrap="auto"/>
              <w:jc w:val="center"/>
              <w:rPr>
                <w:rFonts w:ascii="Arial" w:hAnsi="Arial" w:cs="Arial"/>
                <w:b/>
                <w:bCs/>
                <w:color w:val="auto"/>
                <w:sz w:val="16"/>
                <w:szCs w:val="16"/>
                <w:lang w:val="en-US"/>
              </w:rPr>
            </w:pPr>
            <w:r w:rsidRPr="00E8656C">
              <w:rPr>
                <w:rFonts w:ascii="Arial" w:hAnsi="Arial" w:cs="Arial"/>
                <w:b/>
                <w:bCs/>
                <w:color w:val="auto"/>
              </w:rPr>
              <w:t>Overall Educational Experience</w:t>
            </w:r>
            <w:r w:rsidRPr="00E8656C">
              <w:rPr>
                <w:rFonts w:ascii="Arial" w:hAnsi="Arial" w:cs="Arial"/>
                <w:b/>
                <w:bCs/>
                <w:color w:val="auto"/>
                <w:sz w:val="16"/>
                <w:szCs w:val="16"/>
              </w:rPr>
              <w:t xml:space="preserve"> </w:t>
            </w:r>
            <w:r w:rsidRPr="005E54CB">
              <w:rPr>
                <w:rFonts w:ascii="Arial" w:hAnsi="Arial" w:cs="Arial"/>
                <w:color w:val="auto"/>
                <w:sz w:val="16"/>
                <w:szCs w:val="16"/>
              </w:rPr>
              <w:t>2022</w:t>
            </w:r>
          </w:p>
        </w:tc>
        <w:tc>
          <w:tcPr>
            <w:tcW w:w="228" w:type="pct"/>
            <w:tcMar>
              <w:top w:w="113" w:type="dxa"/>
              <w:left w:w="57" w:type="dxa"/>
              <w:bottom w:w="113" w:type="dxa"/>
              <w:right w:w="57" w:type="dxa"/>
            </w:tcMar>
            <w:vAlign w:val="bottom"/>
          </w:tcPr>
          <w:p w14:paraId="1DB7A2B4" w14:textId="153031DA" w:rsidR="0066499D" w:rsidRPr="00E8656C" w:rsidRDefault="0066499D" w:rsidP="00E8656C">
            <w:pPr>
              <w:pStyle w:val="Tabletextupdate"/>
              <w:framePr w:wrap="auto"/>
              <w:jc w:val="center"/>
              <w:rPr>
                <w:rFonts w:ascii="Arial" w:hAnsi="Arial" w:cs="Arial"/>
                <w:b/>
                <w:bCs/>
                <w:color w:val="auto"/>
                <w:sz w:val="16"/>
                <w:szCs w:val="16"/>
                <w:lang w:val="en-US"/>
              </w:rPr>
            </w:pPr>
            <w:r w:rsidRPr="00E8656C">
              <w:rPr>
                <w:rFonts w:ascii="Arial" w:hAnsi="Arial" w:cs="Arial"/>
                <w:b/>
                <w:bCs/>
                <w:color w:val="auto"/>
              </w:rPr>
              <w:t>Overall Educational Experience</w:t>
            </w:r>
            <w:r w:rsidRPr="00E8656C">
              <w:rPr>
                <w:rFonts w:ascii="Arial" w:hAnsi="Arial" w:cs="Arial"/>
                <w:b/>
                <w:bCs/>
                <w:color w:val="auto"/>
                <w:sz w:val="16"/>
                <w:szCs w:val="16"/>
              </w:rPr>
              <w:t xml:space="preserve"> </w:t>
            </w:r>
            <w:r w:rsidRPr="005E54CB">
              <w:rPr>
                <w:rFonts w:ascii="Arial" w:hAnsi="Arial" w:cs="Arial"/>
                <w:color w:val="auto"/>
                <w:sz w:val="16"/>
                <w:szCs w:val="16"/>
              </w:rPr>
              <w:t>2023</w:t>
            </w:r>
          </w:p>
        </w:tc>
        <w:tc>
          <w:tcPr>
            <w:tcW w:w="228" w:type="pct"/>
            <w:vAlign w:val="bottom"/>
          </w:tcPr>
          <w:p w14:paraId="28E98DE9" w14:textId="5FD14F6E" w:rsidR="0066499D" w:rsidRPr="00E8656C" w:rsidRDefault="0066499D" w:rsidP="00E8656C">
            <w:pPr>
              <w:pStyle w:val="Tabletextupdate"/>
              <w:framePr w:wrap="auto"/>
              <w:jc w:val="center"/>
              <w:rPr>
                <w:rFonts w:ascii="Arial" w:hAnsi="Arial" w:cs="Arial"/>
                <w:b/>
                <w:bCs/>
                <w:color w:val="auto"/>
                <w:sz w:val="16"/>
                <w:szCs w:val="16"/>
              </w:rPr>
            </w:pPr>
            <w:r w:rsidRPr="00E8656C">
              <w:rPr>
                <w:rFonts w:ascii="Arial" w:hAnsi="Arial" w:cs="Arial"/>
                <w:b/>
                <w:bCs/>
                <w:color w:val="auto"/>
              </w:rPr>
              <w:t>Overall Educational Experience</w:t>
            </w:r>
            <w:r w:rsidRPr="00E8656C">
              <w:rPr>
                <w:rFonts w:ascii="Arial" w:hAnsi="Arial" w:cs="Arial"/>
                <w:b/>
                <w:bCs/>
                <w:color w:val="auto"/>
                <w:sz w:val="16"/>
                <w:szCs w:val="16"/>
              </w:rPr>
              <w:t xml:space="preserve"> </w:t>
            </w:r>
            <w:r w:rsidRPr="005E54CB">
              <w:rPr>
                <w:rFonts w:ascii="Arial" w:hAnsi="Arial" w:cs="Arial"/>
                <w:color w:val="auto"/>
                <w:sz w:val="16"/>
                <w:szCs w:val="16"/>
              </w:rPr>
              <w:t>2024</w:t>
            </w:r>
          </w:p>
        </w:tc>
      </w:tr>
      <w:tr w:rsidR="0066499D" w:rsidRPr="00E8656C" w14:paraId="5C3BC5AE" w14:textId="77777777" w:rsidTr="005E54CB">
        <w:trPr>
          <w:cantSplit/>
          <w:trHeight w:val="60"/>
        </w:trPr>
        <w:tc>
          <w:tcPr>
            <w:tcW w:w="446" w:type="pct"/>
            <w:vAlign w:val="center"/>
          </w:tcPr>
          <w:p w14:paraId="513E38E6"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Stage of studies</w:t>
            </w:r>
          </w:p>
        </w:tc>
        <w:tc>
          <w:tcPr>
            <w:tcW w:w="449" w:type="pct"/>
            <w:tcMar>
              <w:top w:w="113" w:type="dxa"/>
              <w:left w:w="57" w:type="dxa"/>
              <w:bottom w:w="113" w:type="dxa"/>
              <w:right w:w="57" w:type="dxa"/>
            </w:tcMar>
            <w:vAlign w:val="center"/>
          </w:tcPr>
          <w:p w14:paraId="5B19C0FF"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Commencing</w:t>
            </w:r>
          </w:p>
        </w:tc>
        <w:tc>
          <w:tcPr>
            <w:tcW w:w="228" w:type="pct"/>
            <w:tcMar>
              <w:top w:w="113" w:type="dxa"/>
              <w:left w:w="57" w:type="dxa"/>
              <w:bottom w:w="113" w:type="dxa"/>
              <w:right w:w="57" w:type="dxa"/>
            </w:tcMar>
            <w:vAlign w:val="center"/>
          </w:tcPr>
          <w:p w14:paraId="060DD0A1"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79.6</w:t>
            </w:r>
          </w:p>
        </w:tc>
        <w:tc>
          <w:tcPr>
            <w:tcW w:w="228" w:type="pct"/>
            <w:tcMar>
              <w:top w:w="113" w:type="dxa"/>
              <w:left w:w="57" w:type="dxa"/>
              <w:bottom w:w="113" w:type="dxa"/>
              <w:right w:w="57" w:type="dxa"/>
            </w:tcMar>
            <w:vAlign w:val="center"/>
          </w:tcPr>
          <w:p w14:paraId="5B0969B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80.2</w:t>
            </w:r>
          </w:p>
        </w:tc>
        <w:tc>
          <w:tcPr>
            <w:tcW w:w="228" w:type="pct"/>
            <w:vAlign w:val="center"/>
          </w:tcPr>
          <w:p w14:paraId="132A227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80.0</w:t>
            </w:r>
          </w:p>
        </w:tc>
        <w:tc>
          <w:tcPr>
            <w:tcW w:w="228" w:type="pct"/>
            <w:tcMar>
              <w:top w:w="113" w:type="dxa"/>
              <w:left w:w="57" w:type="dxa"/>
              <w:bottom w:w="113" w:type="dxa"/>
              <w:right w:w="57" w:type="dxa"/>
            </w:tcMar>
            <w:vAlign w:val="center"/>
          </w:tcPr>
          <w:p w14:paraId="52783E6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55.8</w:t>
            </w:r>
          </w:p>
        </w:tc>
        <w:tc>
          <w:tcPr>
            <w:tcW w:w="228" w:type="pct"/>
            <w:tcMar>
              <w:top w:w="113" w:type="dxa"/>
              <w:left w:w="57" w:type="dxa"/>
              <w:bottom w:w="113" w:type="dxa"/>
              <w:right w:w="57" w:type="dxa"/>
            </w:tcMar>
            <w:vAlign w:val="center"/>
          </w:tcPr>
          <w:p w14:paraId="69FE470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59.6</w:t>
            </w:r>
          </w:p>
        </w:tc>
        <w:tc>
          <w:tcPr>
            <w:tcW w:w="228" w:type="pct"/>
            <w:vAlign w:val="center"/>
          </w:tcPr>
          <w:p w14:paraId="5AF813C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60.6</w:t>
            </w:r>
          </w:p>
        </w:tc>
        <w:tc>
          <w:tcPr>
            <w:tcW w:w="228" w:type="pct"/>
            <w:tcMar>
              <w:top w:w="113" w:type="dxa"/>
              <w:left w:w="57" w:type="dxa"/>
              <w:bottom w:w="113" w:type="dxa"/>
              <w:right w:w="57" w:type="dxa"/>
            </w:tcMar>
            <w:vAlign w:val="center"/>
          </w:tcPr>
          <w:p w14:paraId="7A1B047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83.0</w:t>
            </w:r>
          </w:p>
        </w:tc>
        <w:tc>
          <w:tcPr>
            <w:tcW w:w="228" w:type="pct"/>
            <w:tcMar>
              <w:top w:w="113" w:type="dxa"/>
              <w:left w:w="0" w:type="dxa"/>
              <w:bottom w:w="113" w:type="dxa"/>
              <w:right w:w="57" w:type="dxa"/>
            </w:tcMar>
            <w:vAlign w:val="center"/>
          </w:tcPr>
          <w:p w14:paraId="7987474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83.7</w:t>
            </w:r>
          </w:p>
        </w:tc>
        <w:tc>
          <w:tcPr>
            <w:tcW w:w="228" w:type="pct"/>
            <w:vAlign w:val="center"/>
          </w:tcPr>
          <w:p w14:paraId="55C59CE5"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82.4</w:t>
            </w:r>
          </w:p>
        </w:tc>
        <w:tc>
          <w:tcPr>
            <w:tcW w:w="228" w:type="pct"/>
            <w:tcMar>
              <w:top w:w="113" w:type="dxa"/>
              <w:left w:w="57" w:type="dxa"/>
              <w:bottom w:w="113" w:type="dxa"/>
              <w:right w:w="57" w:type="dxa"/>
            </w:tcMar>
            <w:vAlign w:val="center"/>
          </w:tcPr>
          <w:p w14:paraId="1920E904"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76.0</w:t>
            </w:r>
          </w:p>
        </w:tc>
        <w:tc>
          <w:tcPr>
            <w:tcW w:w="228" w:type="pct"/>
            <w:tcMar>
              <w:top w:w="113" w:type="dxa"/>
              <w:left w:w="57" w:type="dxa"/>
              <w:bottom w:w="113" w:type="dxa"/>
              <w:right w:w="57" w:type="dxa"/>
            </w:tcMar>
            <w:vAlign w:val="center"/>
          </w:tcPr>
          <w:p w14:paraId="1E98008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74.9</w:t>
            </w:r>
          </w:p>
        </w:tc>
        <w:tc>
          <w:tcPr>
            <w:tcW w:w="228" w:type="pct"/>
            <w:vAlign w:val="center"/>
          </w:tcPr>
          <w:p w14:paraId="48598FE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73.9</w:t>
            </w:r>
          </w:p>
        </w:tc>
        <w:tc>
          <w:tcPr>
            <w:tcW w:w="228" w:type="pct"/>
            <w:tcMar>
              <w:top w:w="113" w:type="dxa"/>
              <w:left w:w="57" w:type="dxa"/>
              <w:bottom w:w="113" w:type="dxa"/>
              <w:right w:w="57" w:type="dxa"/>
            </w:tcMar>
            <w:vAlign w:val="center"/>
          </w:tcPr>
          <w:p w14:paraId="2EF2DF6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86.8</w:t>
            </w:r>
          </w:p>
        </w:tc>
        <w:tc>
          <w:tcPr>
            <w:tcW w:w="228" w:type="pct"/>
            <w:tcMar>
              <w:top w:w="113" w:type="dxa"/>
              <w:left w:w="57" w:type="dxa"/>
              <w:bottom w:w="113" w:type="dxa"/>
              <w:right w:w="57" w:type="dxa"/>
            </w:tcMar>
            <w:vAlign w:val="center"/>
          </w:tcPr>
          <w:p w14:paraId="3671FCC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87.1</w:t>
            </w:r>
          </w:p>
        </w:tc>
        <w:tc>
          <w:tcPr>
            <w:tcW w:w="228" w:type="pct"/>
            <w:vAlign w:val="center"/>
          </w:tcPr>
          <w:p w14:paraId="4DFBA0F5"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86.0</w:t>
            </w:r>
          </w:p>
        </w:tc>
        <w:tc>
          <w:tcPr>
            <w:tcW w:w="228" w:type="pct"/>
            <w:tcMar>
              <w:top w:w="113" w:type="dxa"/>
              <w:left w:w="57" w:type="dxa"/>
              <w:bottom w:w="113" w:type="dxa"/>
              <w:right w:w="57" w:type="dxa"/>
            </w:tcMar>
            <w:vAlign w:val="center"/>
          </w:tcPr>
          <w:p w14:paraId="495AAD1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79.1</w:t>
            </w:r>
          </w:p>
        </w:tc>
        <w:tc>
          <w:tcPr>
            <w:tcW w:w="228" w:type="pct"/>
            <w:tcMar>
              <w:top w:w="113" w:type="dxa"/>
              <w:left w:w="0" w:type="dxa"/>
              <w:bottom w:w="113" w:type="dxa"/>
              <w:right w:w="0" w:type="dxa"/>
            </w:tcMar>
            <w:vAlign w:val="center"/>
          </w:tcPr>
          <w:p w14:paraId="36AF669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80.1</w:t>
            </w:r>
          </w:p>
        </w:tc>
        <w:tc>
          <w:tcPr>
            <w:tcW w:w="228" w:type="pct"/>
            <w:vAlign w:val="center"/>
          </w:tcPr>
          <w:p w14:paraId="02002FF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79.2</w:t>
            </w:r>
          </w:p>
        </w:tc>
      </w:tr>
      <w:tr w:rsidR="0066499D" w:rsidRPr="00E8656C" w14:paraId="64103CD8" w14:textId="77777777" w:rsidTr="005E54CB">
        <w:trPr>
          <w:cantSplit/>
          <w:trHeight w:val="60"/>
        </w:trPr>
        <w:tc>
          <w:tcPr>
            <w:tcW w:w="446" w:type="pct"/>
            <w:vAlign w:val="center"/>
          </w:tcPr>
          <w:p w14:paraId="7C1B8697" w14:textId="3BAE7B14" w:rsidR="00BE5305"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Stage of studies</w:t>
            </w:r>
          </w:p>
        </w:tc>
        <w:tc>
          <w:tcPr>
            <w:tcW w:w="449" w:type="pct"/>
            <w:tcMar>
              <w:top w:w="113" w:type="dxa"/>
              <w:left w:w="57" w:type="dxa"/>
              <w:bottom w:w="113" w:type="dxa"/>
              <w:right w:w="57" w:type="dxa"/>
            </w:tcMar>
            <w:vAlign w:val="center"/>
          </w:tcPr>
          <w:p w14:paraId="470752A7" w14:textId="241C0FA4"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Later</w:t>
            </w:r>
            <w:r w:rsidR="00227933" w:rsidRPr="00E8656C">
              <w:rPr>
                <w:rFonts w:ascii="Arial" w:hAnsi="Arial" w:cs="Arial"/>
                <w:b/>
                <w:bCs/>
                <w:color w:val="auto"/>
                <w:sz w:val="18"/>
              </w:rPr>
              <w:t>-</w:t>
            </w:r>
            <w:r w:rsidRPr="00E8656C">
              <w:rPr>
                <w:rFonts w:ascii="Arial" w:hAnsi="Arial" w:cs="Arial"/>
                <w:b/>
                <w:bCs/>
                <w:color w:val="auto"/>
                <w:sz w:val="18"/>
              </w:rPr>
              <w:t>year</w:t>
            </w:r>
          </w:p>
        </w:tc>
        <w:tc>
          <w:tcPr>
            <w:tcW w:w="228" w:type="pct"/>
            <w:tcMar>
              <w:top w:w="113" w:type="dxa"/>
              <w:left w:w="57" w:type="dxa"/>
              <w:bottom w:w="113" w:type="dxa"/>
              <w:right w:w="57" w:type="dxa"/>
            </w:tcMar>
            <w:vAlign w:val="center"/>
          </w:tcPr>
          <w:p w14:paraId="7EFABDF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81.5</w:t>
            </w:r>
          </w:p>
        </w:tc>
        <w:tc>
          <w:tcPr>
            <w:tcW w:w="228" w:type="pct"/>
            <w:tcMar>
              <w:top w:w="113" w:type="dxa"/>
              <w:left w:w="57" w:type="dxa"/>
              <w:bottom w:w="113" w:type="dxa"/>
              <w:right w:w="57" w:type="dxa"/>
            </w:tcMar>
            <w:vAlign w:val="center"/>
          </w:tcPr>
          <w:p w14:paraId="74576D45"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82.1</w:t>
            </w:r>
          </w:p>
        </w:tc>
        <w:tc>
          <w:tcPr>
            <w:tcW w:w="228" w:type="pct"/>
            <w:vAlign w:val="center"/>
          </w:tcPr>
          <w:p w14:paraId="5907F2A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82.4</w:t>
            </w:r>
          </w:p>
        </w:tc>
        <w:tc>
          <w:tcPr>
            <w:tcW w:w="228" w:type="pct"/>
            <w:tcMar>
              <w:top w:w="113" w:type="dxa"/>
              <w:left w:w="57" w:type="dxa"/>
              <w:bottom w:w="113" w:type="dxa"/>
              <w:right w:w="57" w:type="dxa"/>
            </w:tcMar>
            <w:vAlign w:val="center"/>
          </w:tcPr>
          <w:p w14:paraId="20F554A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54.4</w:t>
            </w:r>
          </w:p>
        </w:tc>
        <w:tc>
          <w:tcPr>
            <w:tcW w:w="228" w:type="pct"/>
            <w:tcMar>
              <w:top w:w="113" w:type="dxa"/>
              <w:left w:w="57" w:type="dxa"/>
              <w:bottom w:w="113" w:type="dxa"/>
              <w:right w:w="57" w:type="dxa"/>
            </w:tcMar>
            <w:vAlign w:val="center"/>
          </w:tcPr>
          <w:p w14:paraId="7EBE406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57.9</w:t>
            </w:r>
          </w:p>
        </w:tc>
        <w:tc>
          <w:tcPr>
            <w:tcW w:w="228" w:type="pct"/>
            <w:vAlign w:val="center"/>
          </w:tcPr>
          <w:p w14:paraId="63BA455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59.5</w:t>
            </w:r>
          </w:p>
        </w:tc>
        <w:tc>
          <w:tcPr>
            <w:tcW w:w="228" w:type="pct"/>
            <w:tcMar>
              <w:top w:w="113" w:type="dxa"/>
              <w:left w:w="57" w:type="dxa"/>
              <w:bottom w:w="113" w:type="dxa"/>
              <w:right w:w="57" w:type="dxa"/>
            </w:tcMar>
            <w:vAlign w:val="center"/>
          </w:tcPr>
          <w:p w14:paraId="7C02761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76.9</w:t>
            </w:r>
          </w:p>
        </w:tc>
        <w:tc>
          <w:tcPr>
            <w:tcW w:w="228" w:type="pct"/>
            <w:tcMar>
              <w:top w:w="113" w:type="dxa"/>
              <w:left w:w="0" w:type="dxa"/>
              <w:bottom w:w="113" w:type="dxa"/>
              <w:right w:w="57" w:type="dxa"/>
            </w:tcMar>
            <w:vAlign w:val="center"/>
          </w:tcPr>
          <w:p w14:paraId="057A252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77.3</w:t>
            </w:r>
          </w:p>
        </w:tc>
        <w:tc>
          <w:tcPr>
            <w:tcW w:w="228" w:type="pct"/>
            <w:vAlign w:val="center"/>
          </w:tcPr>
          <w:p w14:paraId="39EF40B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77.3</w:t>
            </w:r>
          </w:p>
        </w:tc>
        <w:tc>
          <w:tcPr>
            <w:tcW w:w="228" w:type="pct"/>
            <w:tcMar>
              <w:top w:w="113" w:type="dxa"/>
              <w:left w:w="57" w:type="dxa"/>
              <w:bottom w:w="113" w:type="dxa"/>
              <w:right w:w="57" w:type="dxa"/>
            </w:tcMar>
            <w:vAlign w:val="center"/>
          </w:tcPr>
          <w:p w14:paraId="2A92DBF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69.3</w:t>
            </w:r>
          </w:p>
        </w:tc>
        <w:tc>
          <w:tcPr>
            <w:tcW w:w="228" w:type="pct"/>
            <w:tcMar>
              <w:top w:w="113" w:type="dxa"/>
              <w:left w:w="57" w:type="dxa"/>
              <w:bottom w:w="113" w:type="dxa"/>
              <w:right w:w="57" w:type="dxa"/>
            </w:tcMar>
            <w:vAlign w:val="center"/>
          </w:tcPr>
          <w:p w14:paraId="5F0D55A4"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66.7</w:t>
            </w:r>
          </w:p>
        </w:tc>
        <w:tc>
          <w:tcPr>
            <w:tcW w:w="228" w:type="pct"/>
            <w:vAlign w:val="center"/>
          </w:tcPr>
          <w:p w14:paraId="1D9B564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66.9</w:t>
            </w:r>
          </w:p>
        </w:tc>
        <w:tc>
          <w:tcPr>
            <w:tcW w:w="228" w:type="pct"/>
            <w:tcMar>
              <w:top w:w="113" w:type="dxa"/>
              <w:left w:w="57" w:type="dxa"/>
              <w:bottom w:w="113" w:type="dxa"/>
              <w:right w:w="57" w:type="dxa"/>
            </w:tcMar>
            <w:vAlign w:val="center"/>
          </w:tcPr>
          <w:p w14:paraId="6B4A02F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79.6</w:t>
            </w:r>
          </w:p>
        </w:tc>
        <w:tc>
          <w:tcPr>
            <w:tcW w:w="228" w:type="pct"/>
            <w:tcMar>
              <w:top w:w="113" w:type="dxa"/>
              <w:left w:w="57" w:type="dxa"/>
              <w:bottom w:w="113" w:type="dxa"/>
              <w:right w:w="57" w:type="dxa"/>
            </w:tcMar>
            <w:vAlign w:val="center"/>
          </w:tcPr>
          <w:p w14:paraId="11608C6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79.8</w:t>
            </w:r>
          </w:p>
        </w:tc>
        <w:tc>
          <w:tcPr>
            <w:tcW w:w="228" w:type="pct"/>
            <w:vAlign w:val="center"/>
          </w:tcPr>
          <w:p w14:paraId="3FF74121"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77.9</w:t>
            </w:r>
          </w:p>
        </w:tc>
        <w:tc>
          <w:tcPr>
            <w:tcW w:w="228" w:type="pct"/>
            <w:tcMar>
              <w:top w:w="113" w:type="dxa"/>
              <w:left w:w="57" w:type="dxa"/>
              <w:bottom w:w="113" w:type="dxa"/>
              <w:right w:w="57" w:type="dxa"/>
            </w:tcMar>
            <w:vAlign w:val="center"/>
          </w:tcPr>
          <w:p w14:paraId="0B8A768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72.2</w:t>
            </w:r>
          </w:p>
        </w:tc>
        <w:tc>
          <w:tcPr>
            <w:tcW w:w="228" w:type="pct"/>
            <w:tcMar>
              <w:top w:w="113" w:type="dxa"/>
              <w:left w:w="0" w:type="dxa"/>
              <w:bottom w:w="113" w:type="dxa"/>
              <w:right w:w="0" w:type="dxa"/>
            </w:tcMar>
            <w:vAlign w:val="center"/>
          </w:tcPr>
          <w:p w14:paraId="59F26705"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72.9</w:t>
            </w:r>
          </w:p>
        </w:tc>
        <w:tc>
          <w:tcPr>
            <w:tcW w:w="228" w:type="pct"/>
            <w:vAlign w:val="center"/>
          </w:tcPr>
          <w:p w14:paraId="4367115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72.6</w:t>
            </w:r>
          </w:p>
        </w:tc>
      </w:tr>
      <w:tr w:rsidR="0066499D" w:rsidRPr="00E8656C" w14:paraId="5B338E30" w14:textId="77777777" w:rsidTr="005E54CB">
        <w:trPr>
          <w:cantSplit/>
          <w:trHeight w:val="60"/>
        </w:trPr>
        <w:tc>
          <w:tcPr>
            <w:tcW w:w="446" w:type="pct"/>
            <w:vAlign w:val="center"/>
          </w:tcPr>
          <w:p w14:paraId="5DFB244D" w14:textId="499C4BE6"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Study mode</w:t>
            </w:r>
            <w:r w:rsidR="00802955" w:rsidRPr="00E8656C">
              <w:rPr>
                <w:rFonts w:ascii="Arial" w:hAnsi="Arial" w:cs="Arial"/>
                <w:b/>
                <w:bCs/>
                <w:color w:val="auto"/>
                <w:sz w:val="18"/>
              </w:rPr>
              <w:t>*</w:t>
            </w:r>
          </w:p>
        </w:tc>
        <w:tc>
          <w:tcPr>
            <w:tcW w:w="449" w:type="pct"/>
            <w:tcMar>
              <w:top w:w="113" w:type="dxa"/>
              <w:left w:w="57" w:type="dxa"/>
              <w:bottom w:w="113" w:type="dxa"/>
              <w:right w:w="57" w:type="dxa"/>
            </w:tcMar>
            <w:vAlign w:val="center"/>
          </w:tcPr>
          <w:p w14:paraId="06AC8527" w14:textId="70BA174E"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Internal/</w:t>
            </w:r>
            <w:r w:rsidR="00F36250" w:rsidRPr="00E8656C">
              <w:rPr>
                <w:rFonts w:ascii="Arial" w:hAnsi="Arial" w:cs="Arial"/>
                <w:b/>
                <w:bCs/>
                <w:color w:val="auto"/>
                <w:sz w:val="18"/>
              </w:rPr>
              <w:t>multi</w:t>
            </w:r>
            <w:r w:rsidR="00DC1AE5" w:rsidRPr="00E8656C">
              <w:rPr>
                <w:rFonts w:ascii="Arial" w:hAnsi="Arial" w:cs="Arial"/>
                <w:b/>
                <w:bCs/>
                <w:color w:val="auto"/>
                <w:sz w:val="18"/>
              </w:rPr>
              <w:t>-</w:t>
            </w:r>
            <w:r w:rsidRPr="00E8656C">
              <w:rPr>
                <w:rFonts w:ascii="Arial" w:hAnsi="Arial" w:cs="Arial"/>
                <w:b/>
                <w:bCs/>
                <w:color w:val="auto"/>
                <w:sz w:val="18"/>
              </w:rPr>
              <w:t>mode</w:t>
            </w:r>
          </w:p>
        </w:tc>
        <w:tc>
          <w:tcPr>
            <w:tcW w:w="228" w:type="pct"/>
            <w:tcMar>
              <w:top w:w="113" w:type="dxa"/>
              <w:left w:w="57" w:type="dxa"/>
              <w:bottom w:w="113" w:type="dxa"/>
              <w:right w:w="57" w:type="dxa"/>
            </w:tcMar>
            <w:vAlign w:val="center"/>
          </w:tcPr>
          <w:p w14:paraId="237CE13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80.7</w:t>
            </w:r>
          </w:p>
        </w:tc>
        <w:tc>
          <w:tcPr>
            <w:tcW w:w="228" w:type="pct"/>
            <w:tcMar>
              <w:top w:w="113" w:type="dxa"/>
              <w:left w:w="57" w:type="dxa"/>
              <w:bottom w:w="113" w:type="dxa"/>
              <w:right w:w="57" w:type="dxa"/>
            </w:tcMar>
            <w:vAlign w:val="center"/>
          </w:tcPr>
          <w:p w14:paraId="08D8CFB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81.4</w:t>
            </w:r>
          </w:p>
        </w:tc>
        <w:tc>
          <w:tcPr>
            <w:tcW w:w="228" w:type="pct"/>
            <w:vAlign w:val="center"/>
          </w:tcPr>
          <w:p w14:paraId="00A5D6C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81.3</w:t>
            </w:r>
          </w:p>
        </w:tc>
        <w:tc>
          <w:tcPr>
            <w:tcW w:w="228" w:type="pct"/>
            <w:tcMar>
              <w:top w:w="113" w:type="dxa"/>
              <w:left w:w="57" w:type="dxa"/>
              <w:bottom w:w="113" w:type="dxa"/>
              <w:right w:w="57" w:type="dxa"/>
            </w:tcMar>
            <w:vAlign w:val="center"/>
          </w:tcPr>
          <w:p w14:paraId="752C8F3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59.6</w:t>
            </w:r>
          </w:p>
        </w:tc>
        <w:tc>
          <w:tcPr>
            <w:tcW w:w="228" w:type="pct"/>
            <w:tcMar>
              <w:top w:w="113" w:type="dxa"/>
              <w:left w:w="57" w:type="dxa"/>
              <w:bottom w:w="113" w:type="dxa"/>
              <w:right w:w="57" w:type="dxa"/>
            </w:tcMar>
            <w:vAlign w:val="center"/>
          </w:tcPr>
          <w:p w14:paraId="497E25E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63.6</w:t>
            </w:r>
          </w:p>
        </w:tc>
        <w:tc>
          <w:tcPr>
            <w:tcW w:w="228" w:type="pct"/>
            <w:vAlign w:val="center"/>
          </w:tcPr>
          <w:p w14:paraId="0781629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65.0</w:t>
            </w:r>
          </w:p>
        </w:tc>
        <w:tc>
          <w:tcPr>
            <w:tcW w:w="228" w:type="pct"/>
            <w:tcMar>
              <w:top w:w="113" w:type="dxa"/>
              <w:left w:w="57" w:type="dxa"/>
              <w:bottom w:w="113" w:type="dxa"/>
              <w:right w:w="57" w:type="dxa"/>
            </w:tcMar>
            <w:vAlign w:val="center"/>
          </w:tcPr>
          <w:p w14:paraId="09B019D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79.8</w:t>
            </w:r>
          </w:p>
        </w:tc>
        <w:tc>
          <w:tcPr>
            <w:tcW w:w="228" w:type="pct"/>
            <w:tcMar>
              <w:top w:w="113" w:type="dxa"/>
              <w:left w:w="0" w:type="dxa"/>
              <w:bottom w:w="113" w:type="dxa"/>
              <w:right w:w="57" w:type="dxa"/>
            </w:tcMar>
            <w:vAlign w:val="center"/>
          </w:tcPr>
          <w:p w14:paraId="43DD196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80.6</w:t>
            </w:r>
          </w:p>
        </w:tc>
        <w:tc>
          <w:tcPr>
            <w:tcW w:w="228" w:type="pct"/>
            <w:vAlign w:val="center"/>
          </w:tcPr>
          <w:p w14:paraId="1424C11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80.2</w:t>
            </w:r>
          </w:p>
        </w:tc>
        <w:tc>
          <w:tcPr>
            <w:tcW w:w="228" w:type="pct"/>
            <w:tcMar>
              <w:top w:w="113" w:type="dxa"/>
              <w:left w:w="57" w:type="dxa"/>
              <w:bottom w:w="113" w:type="dxa"/>
              <w:right w:w="57" w:type="dxa"/>
            </w:tcMar>
            <w:vAlign w:val="center"/>
          </w:tcPr>
          <w:p w14:paraId="61105111"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72.1</w:t>
            </w:r>
          </w:p>
        </w:tc>
        <w:tc>
          <w:tcPr>
            <w:tcW w:w="228" w:type="pct"/>
            <w:tcMar>
              <w:top w:w="113" w:type="dxa"/>
              <w:left w:w="57" w:type="dxa"/>
              <w:bottom w:w="113" w:type="dxa"/>
              <w:right w:w="57" w:type="dxa"/>
            </w:tcMar>
            <w:vAlign w:val="center"/>
          </w:tcPr>
          <w:p w14:paraId="4A02DE7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70.9</w:t>
            </w:r>
          </w:p>
        </w:tc>
        <w:tc>
          <w:tcPr>
            <w:tcW w:w="228" w:type="pct"/>
            <w:vAlign w:val="center"/>
          </w:tcPr>
          <w:p w14:paraId="6B1DDE5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70.9</w:t>
            </w:r>
          </w:p>
        </w:tc>
        <w:tc>
          <w:tcPr>
            <w:tcW w:w="228" w:type="pct"/>
            <w:tcMar>
              <w:top w:w="113" w:type="dxa"/>
              <w:left w:w="57" w:type="dxa"/>
              <w:bottom w:w="113" w:type="dxa"/>
              <w:right w:w="57" w:type="dxa"/>
            </w:tcMar>
            <w:vAlign w:val="center"/>
          </w:tcPr>
          <w:p w14:paraId="73E7784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83.6</w:t>
            </w:r>
          </w:p>
        </w:tc>
        <w:tc>
          <w:tcPr>
            <w:tcW w:w="228" w:type="pct"/>
            <w:tcMar>
              <w:top w:w="113" w:type="dxa"/>
              <w:left w:w="57" w:type="dxa"/>
              <w:bottom w:w="113" w:type="dxa"/>
              <w:right w:w="57" w:type="dxa"/>
            </w:tcMar>
            <w:vAlign w:val="center"/>
          </w:tcPr>
          <w:p w14:paraId="11FE69D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84.0</w:t>
            </w:r>
          </w:p>
        </w:tc>
        <w:tc>
          <w:tcPr>
            <w:tcW w:w="228" w:type="pct"/>
            <w:vAlign w:val="center"/>
          </w:tcPr>
          <w:p w14:paraId="682FA83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82.9</w:t>
            </w:r>
          </w:p>
        </w:tc>
        <w:tc>
          <w:tcPr>
            <w:tcW w:w="228" w:type="pct"/>
            <w:tcMar>
              <w:top w:w="113" w:type="dxa"/>
              <w:left w:w="57" w:type="dxa"/>
              <w:bottom w:w="113" w:type="dxa"/>
              <w:right w:w="57" w:type="dxa"/>
            </w:tcMar>
            <w:vAlign w:val="center"/>
          </w:tcPr>
          <w:p w14:paraId="0755F00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75.2</w:t>
            </w:r>
          </w:p>
        </w:tc>
        <w:tc>
          <w:tcPr>
            <w:tcW w:w="228" w:type="pct"/>
            <w:tcMar>
              <w:top w:w="113" w:type="dxa"/>
              <w:left w:w="0" w:type="dxa"/>
              <w:bottom w:w="113" w:type="dxa"/>
              <w:right w:w="0" w:type="dxa"/>
            </w:tcMar>
            <w:vAlign w:val="center"/>
          </w:tcPr>
          <w:p w14:paraId="06E6C591"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76.3</w:t>
            </w:r>
          </w:p>
        </w:tc>
        <w:tc>
          <w:tcPr>
            <w:tcW w:w="228" w:type="pct"/>
            <w:vAlign w:val="center"/>
          </w:tcPr>
          <w:p w14:paraId="5E3610E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76.1</w:t>
            </w:r>
          </w:p>
        </w:tc>
      </w:tr>
      <w:tr w:rsidR="0066499D" w:rsidRPr="00E8656C" w14:paraId="64516728" w14:textId="77777777" w:rsidTr="005E54CB">
        <w:trPr>
          <w:cantSplit/>
          <w:trHeight w:val="60"/>
        </w:trPr>
        <w:tc>
          <w:tcPr>
            <w:tcW w:w="446" w:type="pct"/>
            <w:vAlign w:val="center"/>
          </w:tcPr>
          <w:p w14:paraId="63E2B595" w14:textId="1614E5E3" w:rsidR="00BE5305"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Study mode*</w:t>
            </w:r>
          </w:p>
        </w:tc>
        <w:tc>
          <w:tcPr>
            <w:tcW w:w="449" w:type="pct"/>
            <w:tcMar>
              <w:top w:w="113" w:type="dxa"/>
              <w:left w:w="57" w:type="dxa"/>
              <w:bottom w:w="113" w:type="dxa"/>
              <w:right w:w="57" w:type="dxa"/>
            </w:tcMar>
            <w:vAlign w:val="center"/>
          </w:tcPr>
          <w:p w14:paraId="0B5CEF6C" w14:textId="26C4DEEB"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External</w:t>
            </w:r>
          </w:p>
        </w:tc>
        <w:tc>
          <w:tcPr>
            <w:tcW w:w="228" w:type="pct"/>
            <w:tcMar>
              <w:top w:w="113" w:type="dxa"/>
              <w:left w:w="57" w:type="dxa"/>
              <w:bottom w:w="113" w:type="dxa"/>
              <w:right w:w="57" w:type="dxa"/>
            </w:tcMar>
            <w:vAlign w:val="center"/>
          </w:tcPr>
          <w:p w14:paraId="0759B0F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79.0</w:t>
            </w:r>
          </w:p>
        </w:tc>
        <w:tc>
          <w:tcPr>
            <w:tcW w:w="228" w:type="pct"/>
            <w:tcMar>
              <w:top w:w="113" w:type="dxa"/>
              <w:left w:w="57" w:type="dxa"/>
              <w:bottom w:w="113" w:type="dxa"/>
              <w:right w:w="57" w:type="dxa"/>
            </w:tcMar>
            <w:vAlign w:val="center"/>
          </w:tcPr>
          <w:p w14:paraId="16E7C0F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79.1</w:t>
            </w:r>
          </w:p>
        </w:tc>
        <w:tc>
          <w:tcPr>
            <w:tcW w:w="228" w:type="pct"/>
            <w:vAlign w:val="center"/>
          </w:tcPr>
          <w:p w14:paraId="53E187A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78.5</w:t>
            </w:r>
          </w:p>
        </w:tc>
        <w:tc>
          <w:tcPr>
            <w:tcW w:w="228" w:type="pct"/>
            <w:tcMar>
              <w:top w:w="113" w:type="dxa"/>
              <w:left w:w="57" w:type="dxa"/>
              <w:bottom w:w="113" w:type="dxa"/>
              <w:right w:w="57" w:type="dxa"/>
            </w:tcMar>
            <w:vAlign w:val="center"/>
          </w:tcPr>
          <w:p w14:paraId="0E1E3B6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28.0</w:t>
            </w:r>
          </w:p>
        </w:tc>
        <w:tc>
          <w:tcPr>
            <w:tcW w:w="228" w:type="pct"/>
            <w:tcMar>
              <w:top w:w="113" w:type="dxa"/>
              <w:left w:w="57" w:type="dxa"/>
              <w:bottom w:w="113" w:type="dxa"/>
              <w:right w:w="57" w:type="dxa"/>
            </w:tcMar>
            <w:vAlign w:val="center"/>
          </w:tcPr>
          <w:p w14:paraId="38D8E20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24.1</w:t>
            </w:r>
          </w:p>
        </w:tc>
        <w:tc>
          <w:tcPr>
            <w:tcW w:w="228" w:type="pct"/>
            <w:vAlign w:val="center"/>
          </w:tcPr>
          <w:p w14:paraId="73645F6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22.3</w:t>
            </w:r>
          </w:p>
        </w:tc>
        <w:tc>
          <w:tcPr>
            <w:tcW w:w="228" w:type="pct"/>
            <w:tcMar>
              <w:top w:w="113" w:type="dxa"/>
              <w:left w:w="57" w:type="dxa"/>
              <w:bottom w:w="113" w:type="dxa"/>
              <w:right w:w="57" w:type="dxa"/>
            </w:tcMar>
            <w:vAlign w:val="center"/>
          </w:tcPr>
          <w:p w14:paraId="6CAC5D4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82.0</w:t>
            </w:r>
          </w:p>
        </w:tc>
        <w:tc>
          <w:tcPr>
            <w:tcW w:w="228" w:type="pct"/>
            <w:tcMar>
              <w:top w:w="113" w:type="dxa"/>
              <w:left w:w="0" w:type="dxa"/>
              <w:bottom w:w="113" w:type="dxa"/>
              <w:right w:w="57" w:type="dxa"/>
            </w:tcMar>
            <w:vAlign w:val="center"/>
          </w:tcPr>
          <w:p w14:paraId="2B83B155"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81.5</w:t>
            </w:r>
          </w:p>
        </w:tc>
        <w:tc>
          <w:tcPr>
            <w:tcW w:w="228" w:type="pct"/>
            <w:vAlign w:val="center"/>
          </w:tcPr>
          <w:p w14:paraId="7636CE6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81.4</w:t>
            </w:r>
          </w:p>
        </w:tc>
        <w:tc>
          <w:tcPr>
            <w:tcW w:w="228" w:type="pct"/>
            <w:tcMar>
              <w:top w:w="113" w:type="dxa"/>
              <w:left w:w="57" w:type="dxa"/>
              <w:bottom w:w="113" w:type="dxa"/>
              <w:right w:w="57" w:type="dxa"/>
            </w:tcMar>
            <w:vAlign w:val="center"/>
          </w:tcPr>
          <w:p w14:paraId="2F9A803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77.9</w:t>
            </w:r>
          </w:p>
        </w:tc>
        <w:tc>
          <w:tcPr>
            <w:tcW w:w="228" w:type="pct"/>
            <w:tcMar>
              <w:top w:w="113" w:type="dxa"/>
              <w:left w:w="57" w:type="dxa"/>
              <w:bottom w:w="113" w:type="dxa"/>
              <w:right w:w="57" w:type="dxa"/>
            </w:tcMar>
            <w:vAlign w:val="center"/>
          </w:tcPr>
          <w:p w14:paraId="5536B78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74.4</w:t>
            </w:r>
          </w:p>
        </w:tc>
        <w:tc>
          <w:tcPr>
            <w:tcW w:w="228" w:type="pct"/>
            <w:vAlign w:val="center"/>
          </w:tcPr>
          <w:p w14:paraId="2F2C345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73.5</w:t>
            </w:r>
          </w:p>
        </w:tc>
        <w:tc>
          <w:tcPr>
            <w:tcW w:w="228" w:type="pct"/>
            <w:tcMar>
              <w:top w:w="113" w:type="dxa"/>
              <w:left w:w="57" w:type="dxa"/>
              <w:bottom w:w="113" w:type="dxa"/>
              <w:right w:w="57" w:type="dxa"/>
            </w:tcMar>
            <w:vAlign w:val="center"/>
          </w:tcPr>
          <w:p w14:paraId="4DE126E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83.4</w:t>
            </w:r>
          </w:p>
        </w:tc>
        <w:tc>
          <w:tcPr>
            <w:tcW w:w="228" w:type="pct"/>
            <w:tcMar>
              <w:top w:w="113" w:type="dxa"/>
              <w:left w:w="57" w:type="dxa"/>
              <w:bottom w:w="113" w:type="dxa"/>
              <w:right w:w="57" w:type="dxa"/>
            </w:tcMar>
            <w:vAlign w:val="center"/>
          </w:tcPr>
          <w:p w14:paraId="519E4D5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81.0</w:t>
            </w:r>
          </w:p>
        </w:tc>
        <w:tc>
          <w:tcPr>
            <w:tcW w:w="228" w:type="pct"/>
            <w:vAlign w:val="center"/>
          </w:tcPr>
          <w:p w14:paraId="4109481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80.5</w:t>
            </w:r>
          </w:p>
        </w:tc>
        <w:tc>
          <w:tcPr>
            <w:tcW w:w="228" w:type="pct"/>
            <w:tcMar>
              <w:top w:w="113" w:type="dxa"/>
              <w:left w:w="57" w:type="dxa"/>
              <w:bottom w:w="113" w:type="dxa"/>
              <w:right w:w="57" w:type="dxa"/>
            </w:tcMar>
            <w:vAlign w:val="center"/>
          </w:tcPr>
          <w:p w14:paraId="1C1F532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79.8</w:t>
            </w:r>
          </w:p>
        </w:tc>
        <w:tc>
          <w:tcPr>
            <w:tcW w:w="228" w:type="pct"/>
            <w:tcMar>
              <w:top w:w="113" w:type="dxa"/>
              <w:left w:w="0" w:type="dxa"/>
              <w:bottom w:w="113" w:type="dxa"/>
              <w:right w:w="0" w:type="dxa"/>
            </w:tcMar>
            <w:vAlign w:val="center"/>
          </w:tcPr>
          <w:p w14:paraId="78C5CCD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79.9</w:t>
            </w:r>
          </w:p>
        </w:tc>
        <w:tc>
          <w:tcPr>
            <w:tcW w:w="228" w:type="pct"/>
            <w:vAlign w:val="center"/>
          </w:tcPr>
          <w:p w14:paraId="5751485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79.8</w:t>
            </w:r>
          </w:p>
        </w:tc>
      </w:tr>
      <w:tr w:rsidR="0066499D" w:rsidRPr="00E8656C" w14:paraId="792DA5C3" w14:textId="77777777" w:rsidTr="005E54CB">
        <w:trPr>
          <w:cantSplit/>
          <w:trHeight w:val="60"/>
        </w:trPr>
        <w:tc>
          <w:tcPr>
            <w:tcW w:w="446" w:type="pct"/>
            <w:vAlign w:val="center"/>
          </w:tcPr>
          <w:p w14:paraId="21EF47CB"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Gender</w:t>
            </w:r>
          </w:p>
        </w:tc>
        <w:tc>
          <w:tcPr>
            <w:tcW w:w="449" w:type="pct"/>
            <w:tcMar>
              <w:top w:w="113" w:type="dxa"/>
              <w:left w:w="57" w:type="dxa"/>
              <w:bottom w:w="113" w:type="dxa"/>
              <w:right w:w="57" w:type="dxa"/>
            </w:tcMar>
            <w:vAlign w:val="center"/>
          </w:tcPr>
          <w:p w14:paraId="73A1FD8D"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Male</w:t>
            </w:r>
          </w:p>
        </w:tc>
        <w:tc>
          <w:tcPr>
            <w:tcW w:w="228" w:type="pct"/>
            <w:tcMar>
              <w:top w:w="113" w:type="dxa"/>
              <w:left w:w="57" w:type="dxa"/>
              <w:bottom w:w="113" w:type="dxa"/>
              <w:right w:w="57" w:type="dxa"/>
            </w:tcMar>
            <w:vAlign w:val="center"/>
          </w:tcPr>
          <w:p w14:paraId="2888FD04"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77.3</w:t>
            </w:r>
          </w:p>
        </w:tc>
        <w:tc>
          <w:tcPr>
            <w:tcW w:w="228" w:type="pct"/>
            <w:tcMar>
              <w:top w:w="113" w:type="dxa"/>
              <w:left w:w="57" w:type="dxa"/>
              <w:bottom w:w="113" w:type="dxa"/>
              <w:right w:w="57" w:type="dxa"/>
            </w:tcMar>
            <w:vAlign w:val="center"/>
          </w:tcPr>
          <w:p w14:paraId="2A5F406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77.9</w:t>
            </w:r>
          </w:p>
        </w:tc>
        <w:tc>
          <w:tcPr>
            <w:tcW w:w="228" w:type="pct"/>
            <w:vAlign w:val="center"/>
          </w:tcPr>
          <w:p w14:paraId="23372B0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77.9</w:t>
            </w:r>
          </w:p>
        </w:tc>
        <w:tc>
          <w:tcPr>
            <w:tcW w:w="228" w:type="pct"/>
            <w:tcMar>
              <w:top w:w="113" w:type="dxa"/>
              <w:left w:w="57" w:type="dxa"/>
              <w:bottom w:w="113" w:type="dxa"/>
              <w:right w:w="57" w:type="dxa"/>
            </w:tcMar>
            <w:vAlign w:val="center"/>
          </w:tcPr>
          <w:p w14:paraId="167A837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56.4</w:t>
            </w:r>
          </w:p>
        </w:tc>
        <w:tc>
          <w:tcPr>
            <w:tcW w:w="228" w:type="pct"/>
            <w:tcMar>
              <w:top w:w="113" w:type="dxa"/>
              <w:left w:w="57" w:type="dxa"/>
              <w:bottom w:w="113" w:type="dxa"/>
              <w:right w:w="57" w:type="dxa"/>
            </w:tcMar>
            <w:vAlign w:val="center"/>
          </w:tcPr>
          <w:p w14:paraId="751115A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59.2</w:t>
            </w:r>
          </w:p>
        </w:tc>
        <w:tc>
          <w:tcPr>
            <w:tcW w:w="228" w:type="pct"/>
            <w:vAlign w:val="center"/>
          </w:tcPr>
          <w:p w14:paraId="2B77DFA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60.8</w:t>
            </w:r>
          </w:p>
        </w:tc>
        <w:tc>
          <w:tcPr>
            <w:tcW w:w="228" w:type="pct"/>
            <w:tcMar>
              <w:top w:w="113" w:type="dxa"/>
              <w:left w:w="57" w:type="dxa"/>
              <w:bottom w:w="113" w:type="dxa"/>
              <w:right w:w="57" w:type="dxa"/>
            </w:tcMar>
            <w:vAlign w:val="center"/>
          </w:tcPr>
          <w:p w14:paraId="30CC415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78.2</w:t>
            </w:r>
          </w:p>
        </w:tc>
        <w:tc>
          <w:tcPr>
            <w:tcW w:w="228" w:type="pct"/>
            <w:tcMar>
              <w:top w:w="113" w:type="dxa"/>
              <w:left w:w="0" w:type="dxa"/>
              <w:bottom w:w="113" w:type="dxa"/>
              <w:right w:w="57" w:type="dxa"/>
            </w:tcMar>
            <w:vAlign w:val="center"/>
          </w:tcPr>
          <w:p w14:paraId="26F2A1F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79.1</w:t>
            </w:r>
          </w:p>
        </w:tc>
        <w:tc>
          <w:tcPr>
            <w:tcW w:w="228" w:type="pct"/>
            <w:vAlign w:val="center"/>
          </w:tcPr>
          <w:p w14:paraId="453D070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78.6</w:t>
            </w:r>
          </w:p>
        </w:tc>
        <w:tc>
          <w:tcPr>
            <w:tcW w:w="228" w:type="pct"/>
            <w:tcMar>
              <w:top w:w="113" w:type="dxa"/>
              <w:left w:w="57" w:type="dxa"/>
              <w:bottom w:w="113" w:type="dxa"/>
              <w:right w:w="57" w:type="dxa"/>
            </w:tcMar>
            <w:vAlign w:val="center"/>
          </w:tcPr>
          <w:p w14:paraId="51447B01"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72.0</w:t>
            </w:r>
          </w:p>
        </w:tc>
        <w:tc>
          <w:tcPr>
            <w:tcW w:w="228" w:type="pct"/>
            <w:tcMar>
              <w:top w:w="113" w:type="dxa"/>
              <w:left w:w="57" w:type="dxa"/>
              <w:bottom w:w="113" w:type="dxa"/>
              <w:right w:w="57" w:type="dxa"/>
            </w:tcMar>
            <w:vAlign w:val="center"/>
          </w:tcPr>
          <w:p w14:paraId="4B2FA3D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69.5</w:t>
            </w:r>
          </w:p>
        </w:tc>
        <w:tc>
          <w:tcPr>
            <w:tcW w:w="228" w:type="pct"/>
            <w:vAlign w:val="center"/>
          </w:tcPr>
          <w:p w14:paraId="7DAC433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69.2</w:t>
            </w:r>
          </w:p>
        </w:tc>
        <w:tc>
          <w:tcPr>
            <w:tcW w:w="228" w:type="pct"/>
            <w:tcMar>
              <w:top w:w="113" w:type="dxa"/>
              <w:left w:w="57" w:type="dxa"/>
              <w:bottom w:w="113" w:type="dxa"/>
              <w:right w:w="57" w:type="dxa"/>
            </w:tcMar>
            <w:vAlign w:val="center"/>
          </w:tcPr>
          <w:p w14:paraId="549BA15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82.5</w:t>
            </w:r>
          </w:p>
        </w:tc>
        <w:tc>
          <w:tcPr>
            <w:tcW w:w="228" w:type="pct"/>
            <w:tcMar>
              <w:top w:w="113" w:type="dxa"/>
              <w:left w:w="57" w:type="dxa"/>
              <w:bottom w:w="113" w:type="dxa"/>
              <w:right w:w="57" w:type="dxa"/>
            </w:tcMar>
            <w:vAlign w:val="center"/>
          </w:tcPr>
          <w:p w14:paraId="7188A8D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82.9</w:t>
            </w:r>
          </w:p>
        </w:tc>
        <w:tc>
          <w:tcPr>
            <w:tcW w:w="228" w:type="pct"/>
            <w:vAlign w:val="center"/>
          </w:tcPr>
          <w:p w14:paraId="22C343F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82.0</w:t>
            </w:r>
          </w:p>
        </w:tc>
        <w:tc>
          <w:tcPr>
            <w:tcW w:w="228" w:type="pct"/>
            <w:tcMar>
              <w:top w:w="113" w:type="dxa"/>
              <w:left w:w="57" w:type="dxa"/>
              <w:bottom w:w="113" w:type="dxa"/>
              <w:right w:w="57" w:type="dxa"/>
            </w:tcMar>
            <w:vAlign w:val="center"/>
          </w:tcPr>
          <w:p w14:paraId="3812084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73.5</w:t>
            </w:r>
          </w:p>
        </w:tc>
        <w:tc>
          <w:tcPr>
            <w:tcW w:w="228" w:type="pct"/>
            <w:tcMar>
              <w:top w:w="113" w:type="dxa"/>
              <w:left w:w="0" w:type="dxa"/>
              <w:bottom w:w="113" w:type="dxa"/>
              <w:right w:w="0" w:type="dxa"/>
            </w:tcMar>
            <w:vAlign w:val="center"/>
          </w:tcPr>
          <w:p w14:paraId="26D39D0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74.0</w:t>
            </w:r>
          </w:p>
        </w:tc>
        <w:tc>
          <w:tcPr>
            <w:tcW w:w="228" w:type="pct"/>
            <w:vAlign w:val="center"/>
          </w:tcPr>
          <w:p w14:paraId="1F3CC3B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73.4</w:t>
            </w:r>
          </w:p>
        </w:tc>
      </w:tr>
      <w:tr w:rsidR="0066499D" w:rsidRPr="00E8656C" w14:paraId="235B69F2" w14:textId="77777777" w:rsidTr="005E54CB">
        <w:trPr>
          <w:cantSplit/>
          <w:trHeight w:val="60"/>
        </w:trPr>
        <w:tc>
          <w:tcPr>
            <w:tcW w:w="446" w:type="pct"/>
            <w:vAlign w:val="center"/>
          </w:tcPr>
          <w:p w14:paraId="673D18F5" w14:textId="7B7C41ED" w:rsidR="00BE5305"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Gender</w:t>
            </w:r>
          </w:p>
        </w:tc>
        <w:tc>
          <w:tcPr>
            <w:tcW w:w="449" w:type="pct"/>
            <w:tcMar>
              <w:top w:w="113" w:type="dxa"/>
              <w:left w:w="57" w:type="dxa"/>
              <w:bottom w:w="113" w:type="dxa"/>
              <w:right w:w="57" w:type="dxa"/>
            </w:tcMar>
            <w:vAlign w:val="center"/>
          </w:tcPr>
          <w:p w14:paraId="2DF3573B"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Female</w:t>
            </w:r>
          </w:p>
        </w:tc>
        <w:tc>
          <w:tcPr>
            <w:tcW w:w="228" w:type="pct"/>
            <w:tcMar>
              <w:top w:w="113" w:type="dxa"/>
              <w:left w:w="57" w:type="dxa"/>
              <w:bottom w:w="113" w:type="dxa"/>
              <w:right w:w="57" w:type="dxa"/>
            </w:tcMar>
            <w:vAlign w:val="center"/>
          </w:tcPr>
          <w:p w14:paraId="6B663F4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82.1</w:t>
            </w:r>
          </w:p>
        </w:tc>
        <w:tc>
          <w:tcPr>
            <w:tcW w:w="228" w:type="pct"/>
            <w:tcMar>
              <w:top w:w="113" w:type="dxa"/>
              <w:left w:w="57" w:type="dxa"/>
              <w:bottom w:w="113" w:type="dxa"/>
              <w:right w:w="57" w:type="dxa"/>
            </w:tcMar>
            <w:vAlign w:val="center"/>
          </w:tcPr>
          <w:p w14:paraId="4C97A17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82.8</w:t>
            </w:r>
          </w:p>
        </w:tc>
        <w:tc>
          <w:tcPr>
            <w:tcW w:w="228" w:type="pct"/>
            <w:vAlign w:val="center"/>
          </w:tcPr>
          <w:p w14:paraId="701A8ED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82.7</w:t>
            </w:r>
          </w:p>
        </w:tc>
        <w:tc>
          <w:tcPr>
            <w:tcW w:w="228" w:type="pct"/>
            <w:tcMar>
              <w:top w:w="113" w:type="dxa"/>
              <w:left w:w="57" w:type="dxa"/>
              <w:bottom w:w="113" w:type="dxa"/>
              <w:right w:w="57" w:type="dxa"/>
            </w:tcMar>
            <w:vAlign w:val="center"/>
          </w:tcPr>
          <w:p w14:paraId="45E615C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54.5</w:t>
            </w:r>
          </w:p>
        </w:tc>
        <w:tc>
          <w:tcPr>
            <w:tcW w:w="228" w:type="pct"/>
            <w:tcMar>
              <w:top w:w="113" w:type="dxa"/>
              <w:left w:w="57" w:type="dxa"/>
              <w:bottom w:w="113" w:type="dxa"/>
              <w:right w:w="57" w:type="dxa"/>
            </w:tcMar>
            <w:vAlign w:val="center"/>
          </w:tcPr>
          <w:p w14:paraId="26DD9CE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58.6</w:t>
            </w:r>
          </w:p>
        </w:tc>
        <w:tc>
          <w:tcPr>
            <w:tcW w:w="228" w:type="pct"/>
            <w:vAlign w:val="center"/>
          </w:tcPr>
          <w:p w14:paraId="1ED9133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59.8</w:t>
            </w:r>
          </w:p>
        </w:tc>
        <w:tc>
          <w:tcPr>
            <w:tcW w:w="228" w:type="pct"/>
            <w:tcMar>
              <w:top w:w="113" w:type="dxa"/>
              <w:left w:w="57" w:type="dxa"/>
              <w:bottom w:w="113" w:type="dxa"/>
              <w:right w:w="57" w:type="dxa"/>
            </w:tcMar>
            <w:vAlign w:val="center"/>
          </w:tcPr>
          <w:p w14:paraId="08C257B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81.1</w:t>
            </w:r>
          </w:p>
        </w:tc>
        <w:tc>
          <w:tcPr>
            <w:tcW w:w="228" w:type="pct"/>
            <w:tcMar>
              <w:top w:w="113" w:type="dxa"/>
              <w:left w:w="0" w:type="dxa"/>
              <w:bottom w:w="113" w:type="dxa"/>
              <w:right w:w="57" w:type="dxa"/>
            </w:tcMar>
            <w:vAlign w:val="center"/>
          </w:tcPr>
          <w:p w14:paraId="22AC705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81.6</w:t>
            </w:r>
          </w:p>
        </w:tc>
        <w:tc>
          <w:tcPr>
            <w:tcW w:w="228" w:type="pct"/>
            <w:vAlign w:val="center"/>
          </w:tcPr>
          <w:p w14:paraId="4C5F4194"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81.2</w:t>
            </w:r>
          </w:p>
        </w:tc>
        <w:tc>
          <w:tcPr>
            <w:tcW w:w="228" w:type="pct"/>
            <w:tcMar>
              <w:top w:w="113" w:type="dxa"/>
              <w:left w:w="57" w:type="dxa"/>
              <w:bottom w:w="113" w:type="dxa"/>
              <w:right w:w="57" w:type="dxa"/>
            </w:tcMar>
            <w:vAlign w:val="center"/>
          </w:tcPr>
          <w:p w14:paraId="7D63A18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73.3</w:t>
            </w:r>
          </w:p>
        </w:tc>
        <w:tc>
          <w:tcPr>
            <w:tcW w:w="228" w:type="pct"/>
            <w:tcMar>
              <w:top w:w="113" w:type="dxa"/>
              <w:left w:w="57" w:type="dxa"/>
              <w:bottom w:w="113" w:type="dxa"/>
              <w:right w:w="57" w:type="dxa"/>
            </w:tcMar>
            <w:vAlign w:val="center"/>
          </w:tcPr>
          <w:p w14:paraId="7238C54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72.2</w:t>
            </w:r>
          </w:p>
        </w:tc>
        <w:tc>
          <w:tcPr>
            <w:tcW w:w="228" w:type="pct"/>
            <w:vAlign w:val="center"/>
          </w:tcPr>
          <w:p w14:paraId="06F5442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72.2</w:t>
            </w:r>
          </w:p>
        </w:tc>
        <w:tc>
          <w:tcPr>
            <w:tcW w:w="228" w:type="pct"/>
            <w:tcMar>
              <w:top w:w="113" w:type="dxa"/>
              <w:left w:w="57" w:type="dxa"/>
              <w:bottom w:w="113" w:type="dxa"/>
              <w:right w:w="57" w:type="dxa"/>
            </w:tcMar>
            <w:vAlign w:val="center"/>
          </w:tcPr>
          <w:p w14:paraId="0A43924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84.2</w:t>
            </w:r>
          </w:p>
        </w:tc>
        <w:tc>
          <w:tcPr>
            <w:tcW w:w="228" w:type="pct"/>
            <w:tcMar>
              <w:top w:w="113" w:type="dxa"/>
              <w:left w:w="57" w:type="dxa"/>
              <w:bottom w:w="113" w:type="dxa"/>
              <w:right w:w="57" w:type="dxa"/>
            </w:tcMar>
            <w:vAlign w:val="center"/>
          </w:tcPr>
          <w:p w14:paraId="5D4ED9D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84.3</w:t>
            </w:r>
          </w:p>
        </w:tc>
        <w:tc>
          <w:tcPr>
            <w:tcW w:w="228" w:type="pct"/>
            <w:vAlign w:val="center"/>
          </w:tcPr>
          <w:p w14:paraId="35092F6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83.3</w:t>
            </w:r>
          </w:p>
        </w:tc>
        <w:tc>
          <w:tcPr>
            <w:tcW w:w="228" w:type="pct"/>
            <w:tcMar>
              <w:top w:w="113" w:type="dxa"/>
              <w:left w:w="57" w:type="dxa"/>
              <w:bottom w:w="113" w:type="dxa"/>
              <w:right w:w="57" w:type="dxa"/>
            </w:tcMar>
            <w:vAlign w:val="center"/>
          </w:tcPr>
          <w:p w14:paraId="3C6D6C9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77.1</w:t>
            </w:r>
          </w:p>
        </w:tc>
        <w:tc>
          <w:tcPr>
            <w:tcW w:w="228" w:type="pct"/>
            <w:tcMar>
              <w:top w:w="113" w:type="dxa"/>
              <w:left w:w="0" w:type="dxa"/>
              <w:bottom w:w="113" w:type="dxa"/>
              <w:right w:w="0" w:type="dxa"/>
            </w:tcMar>
            <w:vAlign w:val="center"/>
          </w:tcPr>
          <w:p w14:paraId="4CECEB8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78.1</w:t>
            </w:r>
          </w:p>
        </w:tc>
        <w:tc>
          <w:tcPr>
            <w:tcW w:w="228" w:type="pct"/>
            <w:vAlign w:val="center"/>
          </w:tcPr>
          <w:p w14:paraId="38154741"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78.2</w:t>
            </w:r>
          </w:p>
        </w:tc>
      </w:tr>
      <w:tr w:rsidR="0066499D" w:rsidRPr="00E8656C" w14:paraId="2EB20DF5" w14:textId="77777777" w:rsidTr="005E54CB">
        <w:trPr>
          <w:cantSplit/>
          <w:trHeight w:val="60"/>
        </w:trPr>
        <w:tc>
          <w:tcPr>
            <w:tcW w:w="446" w:type="pct"/>
            <w:vAlign w:val="center"/>
          </w:tcPr>
          <w:p w14:paraId="04FC40E2"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Age</w:t>
            </w:r>
          </w:p>
        </w:tc>
        <w:tc>
          <w:tcPr>
            <w:tcW w:w="449" w:type="pct"/>
            <w:tcMar>
              <w:top w:w="113" w:type="dxa"/>
              <w:left w:w="57" w:type="dxa"/>
              <w:bottom w:w="113" w:type="dxa"/>
              <w:right w:w="57" w:type="dxa"/>
            </w:tcMar>
            <w:vAlign w:val="center"/>
          </w:tcPr>
          <w:p w14:paraId="5C51DB04"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Under 25</w:t>
            </w:r>
          </w:p>
        </w:tc>
        <w:tc>
          <w:tcPr>
            <w:tcW w:w="228" w:type="pct"/>
            <w:tcMar>
              <w:top w:w="113" w:type="dxa"/>
              <w:left w:w="57" w:type="dxa"/>
              <w:bottom w:w="113" w:type="dxa"/>
              <w:right w:w="57" w:type="dxa"/>
            </w:tcMar>
            <w:vAlign w:val="center"/>
          </w:tcPr>
          <w:p w14:paraId="4B4C1C24"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80.7</w:t>
            </w:r>
          </w:p>
        </w:tc>
        <w:tc>
          <w:tcPr>
            <w:tcW w:w="228" w:type="pct"/>
            <w:tcMar>
              <w:top w:w="113" w:type="dxa"/>
              <w:left w:w="57" w:type="dxa"/>
              <w:bottom w:w="113" w:type="dxa"/>
              <w:right w:w="57" w:type="dxa"/>
            </w:tcMar>
            <w:vAlign w:val="center"/>
          </w:tcPr>
          <w:p w14:paraId="41E07C4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81.3</w:t>
            </w:r>
          </w:p>
        </w:tc>
        <w:tc>
          <w:tcPr>
            <w:tcW w:w="228" w:type="pct"/>
            <w:vAlign w:val="center"/>
          </w:tcPr>
          <w:p w14:paraId="5C0D6D0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81.1</w:t>
            </w:r>
          </w:p>
        </w:tc>
        <w:tc>
          <w:tcPr>
            <w:tcW w:w="228" w:type="pct"/>
            <w:tcMar>
              <w:top w:w="113" w:type="dxa"/>
              <w:left w:w="57" w:type="dxa"/>
              <w:bottom w:w="113" w:type="dxa"/>
              <w:right w:w="57" w:type="dxa"/>
            </w:tcMar>
            <w:vAlign w:val="center"/>
          </w:tcPr>
          <w:p w14:paraId="0A1CF50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59.5</w:t>
            </w:r>
          </w:p>
        </w:tc>
        <w:tc>
          <w:tcPr>
            <w:tcW w:w="228" w:type="pct"/>
            <w:tcMar>
              <w:top w:w="113" w:type="dxa"/>
              <w:left w:w="57" w:type="dxa"/>
              <w:bottom w:w="113" w:type="dxa"/>
              <w:right w:w="57" w:type="dxa"/>
            </w:tcMar>
            <w:vAlign w:val="center"/>
          </w:tcPr>
          <w:p w14:paraId="13F0993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63.6</w:t>
            </w:r>
          </w:p>
        </w:tc>
        <w:tc>
          <w:tcPr>
            <w:tcW w:w="228" w:type="pct"/>
            <w:vAlign w:val="center"/>
          </w:tcPr>
          <w:p w14:paraId="1033532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64.6</w:t>
            </w:r>
          </w:p>
        </w:tc>
        <w:tc>
          <w:tcPr>
            <w:tcW w:w="228" w:type="pct"/>
            <w:tcMar>
              <w:top w:w="113" w:type="dxa"/>
              <w:left w:w="57" w:type="dxa"/>
              <w:bottom w:w="113" w:type="dxa"/>
              <w:right w:w="57" w:type="dxa"/>
            </w:tcMar>
            <w:vAlign w:val="center"/>
          </w:tcPr>
          <w:p w14:paraId="1C0A26D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80.1</w:t>
            </w:r>
          </w:p>
        </w:tc>
        <w:tc>
          <w:tcPr>
            <w:tcW w:w="228" w:type="pct"/>
            <w:tcMar>
              <w:top w:w="113" w:type="dxa"/>
              <w:left w:w="0" w:type="dxa"/>
              <w:bottom w:w="113" w:type="dxa"/>
              <w:right w:w="57" w:type="dxa"/>
            </w:tcMar>
            <w:vAlign w:val="center"/>
          </w:tcPr>
          <w:p w14:paraId="4C818D0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80.7</w:t>
            </w:r>
          </w:p>
        </w:tc>
        <w:tc>
          <w:tcPr>
            <w:tcW w:w="228" w:type="pct"/>
            <w:vAlign w:val="center"/>
          </w:tcPr>
          <w:p w14:paraId="210C2DD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80.1</w:t>
            </w:r>
          </w:p>
        </w:tc>
        <w:tc>
          <w:tcPr>
            <w:tcW w:w="228" w:type="pct"/>
            <w:tcMar>
              <w:top w:w="113" w:type="dxa"/>
              <w:left w:w="57" w:type="dxa"/>
              <w:bottom w:w="113" w:type="dxa"/>
              <w:right w:w="57" w:type="dxa"/>
            </w:tcMar>
            <w:vAlign w:val="center"/>
          </w:tcPr>
          <w:p w14:paraId="6B478B5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72.1</w:t>
            </w:r>
          </w:p>
        </w:tc>
        <w:tc>
          <w:tcPr>
            <w:tcW w:w="228" w:type="pct"/>
            <w:tcMar>
              <w:top w:w="113" w:type="dxa"/>
              <w:left w:w="57" w:type="dxa"/>
              <w:bottom w:w="113" w:type="dxa"/>
              <w:right w:w="57" w:type="dxa"/>
            </w:tcMar>
            <w:vAlign w:val="center"/>
          </w:tcPr>
          <w:p w14:paraId="32B85FB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71.0</w:t>
            </w:r>
          </w:p>
        </w:tc>
        <w:tc>
          <w:tcPr>
            <w:tcW w:w="228" w:type="pct"/>
            <w:vAlign w:val="center"/>
          </w:tcPr>
          <w:p w14:paraId="663CDFC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70.8</w:t>
            </w:r>
          </w:p>
        </w:tc>
        <w:tc>
          <w:tcPr>
            <w:tcW w:w="228" w:type="pct"/>
            <w:tcMar>
              <w:top w:w="113" w:type="dxa"/>
              <w:left w:w="57" w:type="dxa"/>
              <w:bottom w:w="113" w:type="dxa"/>
              <w:right w:w="57" w:type="dxa"/>
            </w:tcMar>
            <w:vAlign w:val="center"/>
          </w:tcPr>
          <w:p w14:paraId="486279A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84.0</w:t>
            </w:r>
          </w:p>
        </w:tc>
        <w:tc>
          <w:tcPr>
            <w:tcW w:w="228" w:type="pct"/>
            <w:tcMar>
              <w:top w:w="113" w:type="dxa"/>
              <w:left w:w="57" w:type="dxa"/>
              <w:bottom w:w="113" w:type="dxa"/>
              <w:right w:w="57" w:type="dxa"/>
            </w:tcMar>
            <w:vAlign w:val="center"/>
          </w:tcPr>
          <w:p w14:paraId="04E23F7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84.3</w:t>
            </w:r>
          </w:p>
        </w:tc>
        <w:tc>
          <w:tcPr>
            <w:tcW w:w="228" w:type="pct"/>
            <w:vAlign w:val="center"/>
          </w:tcPr>
          <w:p w14:paraId="76A9370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83.3</w:t>
            </w:r>
          </w:p>
        </w:tc>
        <w:tc>
          <w:tcPr>
            <w:tcW w:w="228" w:type="pct"/>
            <w:tcMar>
              <w:top w:w="113" w:type="dxa"/>
              <w:left w:w="57" w:type="dxa"/>
              <w:bottom w:w="113" w:type="dxa"/>
              <w:right w:w="57" w:type="dxa"/>
            </w:tcMar>
            <w:vAlign w:val="center"/>
          </w:tcPr>
          <w:p w14:paraId="54B10B5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75.6</w:t>
            </w:r>
          </w:p>
        </w:tc>
        <w:tc>
          <w:tcPr>
            <w:tcW w:w="228" w:type="pct"/>
            <w:tcMar>
              <w:top w:w="113" w:type="dxa"/>
              <w:left w:w="0" w:type="dxa"/>
              <w:bottom w:w="113" w:type="dxa"/>
              <w:right w:w="0" w:type="dxa"/>
            </w:tcMar>
            <w:vAlign w:val="center"/>
          </w:tcPr>
          <w:p w14:paraId="270CF5E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76.5</w:t>
            </w:r>
          </w:p>
        </w:tc>
        <w:tc>
          <w:tcPr>
            <w:tcW w:w="228" w:type="pct"/>
            <w:vAlign w:val="center"/>
          </w:tcPr>
          <w:p w14:paraId="37435F7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76.1</w:t>
            </w:r>
          </w:p>
        </w:tc>
      </w:tr>
      <w:tr w:rsidR="0066499D" w:rsidRPr="00E8656C" w14:paraId="1D3433B5" w14:textId="77777777" w:rsidTr="005E54CB">
        <w:trPr>
          <w:cantSplit/>
          <w:trHeight w:val="60"/>
        </w:trPr>
        <w:tc>
          <w:tcPr>
            <w:tcW w:w="446" w:type="pct"/>
            <w:vAlign w:val="center"/>
          </w:tcPr>
          <w:p w14:paraId="7FCE2C8B" w14:textId="10BCD3EC" w:rsidR="00BE5305"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Age</w:t>
            </w:r>
          </w:p>
        </w:tc>
        <w:tc>
          <w:tcPr>
            <w:tcW w:w="449" w:type="pct"/>
            <w:tcMar>
              <w:top w:w="113" w:type="dxa"/>
              <w:left w:w="57" w:type="dxa"/>
              <w:bottom w:w="113" w:type="dxa"/>
              <w:right w:w="57" w:type="dxa"/>
            </w:tcMar>
            <w:vAlign w:val="center"/>
          </w:tcPr>
          <w:p w14:paraId="238FC7B6"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25 to 29</w:t>
            </w:r>
          </w:p>
        </w:tc>
        <w:tc>
          <w:tcPr>
            <w:tcW w:w="228" w:type="pct"/>
            <w:tcMar>
              <w:top w:w="113" w:type="dxa"/>
              <w:left w:w="57" w:type="dxa"/>
              <w:bottom w:w="113" w:type="dxa"/>
              <w:right w:w="57" w:type="dxa"/>
            </w:tcMar>
            <w:vAlign w:val="center"/>
          </w:tcPr>
          <w:p w14:paraId="5DED444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80.0</w:t>
            </w:r>
          </w:p>
        </w:tc>
        <w:tc>
          <w:tcPr>
            <w:tcW w:w="228" w:type="pct"/>
            <w:tcMar>
              <w:top w:w="113" w:type="dxa"/>
              <w:left w:w="57" w:type="dxa"/>
              <w:bottom w:w="113" w:type="dxa"/>
              <w:right w:w="57" w:type="dxa"/>
            </w:tcMar>
            <w:vAlign w:val="center"/>
          </w:tcPr>
          <w:p w14:paraId="7261CD6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80.6</w:t>
            </w:r>
          </w:p>
        </w:tc>
        <w:tc>
          <w:tcPr>
            <w:tcW w:w="228" w:type="pct"/>
            <w:vAlign w:val="center"/>
          </w:tcPr>
          <w:p w14:paraId="2D11F8A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80.8</w:t>
            </w:r>
          </w:p>
        </w:tc>
        <w:tc>
          <w:tcPr>
            <w:tcW w:w="228" w:type="pct"/>
            <w:tcMar>
              <w:top w:w="113" w:type="dxa"/>
              <w:left w:w="57" w:type="dxa"/>
              <w:bottom w:w="113" w:type="dxa"/>
              <w:right w:w="57" w:type="dxa"/>
            </w:tcMar>
            <w:vAlign w:val="center"/>
          </w:tcPr>
          <w:p w14:paraId="257D11D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48.0</w:t>
            </w:r>
          </w:p>
        </w:tc>
        <w:tc>
          <w:tcPr>
            <w:tcW w:w="228" w:type="pct"/>
            <w:tcMar>
              <w:top w:w="113" w:type="dxa"/>
              <w:left w:w="57" w:type="dxa"/>
              <w:bottom w:w="113" w:type="dxa"/>
              <w:right w:w="57" w:type="dxa"/>
            </w:tcMar>
            <w:vAlign w:val="center"/>
          </w:tcPr>
          <w:p w14:paraId="4A21F93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50.1</w:t>
            </w:r>
          </w:p>
        </w:tc>
        <w:tc>
          <w:tcPr>
            <w:tcW w:w="228" w:type="pct"/>
            <w:vAlign w:val="center"/>
          </w:tcPr>
          <w:p w14:paraId="146173F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51.7</w:t>
            </w:r>
          </w:p>
        </w:tc>
        <w:tc>
          <w:tcPr>
            <w:tcW w:w="228" w:type="pct"/>
            <w:tcMar>
              <w:top w:w="113" w:type="dxa"/>
              <w:left w:w="57" w:type="dxa"/>
              <w:bottom w:w="113" w:type="dxa"/>
              <w:right w:w="57" w:type="dxa"/>
            </w:tcMar>
            <w:vAlign w:val="center"/>
          </w:tcPr>
          <w:p w14:paraId="79AB8AA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78.4</w:t>
            </w:r>
          </w:p>
        </w:tc>
        <w:tc>
          <w:tcPr>
            <w:tcW w:w="228" w:type="pct"/>
            <w:tcMar>
              <w:top w:w="113" w:type="dxa"/>
              <w:left w:w="0" w:type="dxa"/>
              <w:bottom w:w="113" w:type="dxa"/>
              <w:right w:w="57" w:type="dxa"/>
            </w:tcMar>
            <w:vAlign w:val="center"/>
          </w:tcPr>
          <w:p w14:paraId="44F3D98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78.5</w:t>
            </w:r>
          </w:p>
        </w:tc>
        <w:tc>
          <w:tcPr>
            <w:tcW w:w="228" w:type="pct"/>
            <w:vAlign w:val="center"/>
          </w:tcPr>
          <w:p w14:paraId="59EDD3C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79.0</w:t>
            </w:r>
          </w:p>
        </w:tc>
        <w:tc>
          <w:tcPr>
            <w:tcW w:w="228" w:type="pct"/>
            <w:tcMar>
              <w:top w:w="113" w:type="dxa"/>
              <w:left w:w="57" w:type="dxa"/>
              <w:bottom w:w="113" w:type="dxa"/>
              <w:right w:w="57" w:type="dxa"/>
            </w:tcMar>
            <w:vAlign w:val="center"/>
          </w:tcPr>
          <w:p w14:paraId="13E38105"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72.9</w:t>
            </w:r>
          </w:p>
        </w:tc>
        <w:tc>
          <w:tcPr>
            <w:tcW w:w="228" w:type="pct"/>
            <w:tcMar>
              <w:top w:w="113" w:type="dxa"/>
              <w:left w:w="57" w:type="dxa"/>
              <w:bottom w:w="113" w:type="dxa"/>
              <w:right w:w="57" w:type="dxa"/>
            </w:tcMar>
            <w:vAlign w:val="center"/>
          </w:tcPr>
          <w:p w14:paraId="19D967F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70.4</w:t>
            </w:r>
          </w:p>
        </w:tc>
        <w:tc>
          <w:tcPr>
            <w:tcW w:w="228" w:type="pct"/>
            <w:vAlign w:val="center"/>
          </w:tcPr>
          <w:p w14:paraId="4476760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71.5</w:t>
            </w:r>
          </w:p>
        </w:tc>
        <w:tc>
          <w:tcPr>
            <w:tcW w:w="228" w:type="pct"/>
            <w:tcMar>
              <w:top w:w="113" w:type="dxa"/>
              <w:left w:w="57" w:type="dxa"/>
              <w:bottom w:w="113" w:type="dxa"/>
              <w:right w:w="57" w:type="dxa"/>
            </w:tcMar>
            <w:vAlign w:val="center"/>
          </w:tcPr>
          <w:p w14:paraId="0F9BAC3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80.5</w:t>
            </w:r>
          </w:p>
        </w:tc>
        <w:tc>
          <w:tcPr>
            <w:tcW w:w="228" w:type="pct"/>
            <w:tcMar>
              <w:top w:w="113" w:type="dxa"/>
              <w:left w:w="57" w:type="dxa"/>
              <w:bottom w:w="113" w:type="dxa"/>
              <w:right w:w="57" w:type="dxa"/>
            </w:tcMar>
            <w:vAlign w:val="center"/>
          </w:tcPr>
          <w:p w14:paraId="622A652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79.9</w:t>
            </w:r>
          </w:p>
        </w:tc>
        <w:tc>
          <w:tcPr>
            <w:tcW w:w="228" w:type="pct"/>
            <w:vAlign w:val="center"/>
          </w:tcPr>
          <w:p w14:paraId="0F76E18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78.7</w:t>
            </w:r>
          </w:p>
        </w:tc>
        <w:tc>
          <w:tcPr>
            <w:tcW w:w="228" w:type="pct"/>
            <w:tcMar>
              <w:top w:w="113" w:type="dxa"/>
              <w:left w:w="57" w:type="dxa"/>
              <w:bottom w:w="113" w:type="dxa"/>
              <w:right w:w="57" w:type="dxa"/>
            </w:tcMar>
            <w:vAlign w:val="center"/>
          </w:tcPr>
          <w:p w14:paraId="5EB6F4D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73.7</w:t>
            </w:r>
          </w:p>
        </w:tc>
        <w:tc>
          <w:tcPr>
            <w:tcW w:w="228" w:type="pct"/>
            <w:tcMar>
              <w:top w:w="113" w:type="dxa"/>
              <w:left w:w="0" w:type="dxa"/>
              <w:bottom w:w="113" w:type="dxa"/>
              <w:right w:w="0" w:type="dxa"/>
            </w:tcMar>
            <w:vAlign w:val="center"/>
          </w:tcPr>
          <w:p w14:paraId="2BDD0061"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75.1</w:t>
            </w:r>
          </w:p>
        </w:tc>
        <w:tc>
          <w:tcPr>
            <w:tcW w:w="228" w:type="pct"/>
            <w:vAlign w:val="center"/>
          </w:tcPr>
          <w:p w14:paraId="58645C4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75.2</w:t>
            </w:r>
          </w:p>
        </w:tc>
      </w:tr>
      <w:tr w:rsidR="0066499D" w:rsidRPr="00E8656C" w14:paraId="740D2C38" w14:textId="77777777" w:rsidTr="005E54CB">
        <w:trPr>
          <w:cantSplit/>
          <w:trHeight w:val="60"/>
        </w:trPr>
        <w:tc>
          <w:tcPr>
            <w:tcW w:w="446" w:type="pct"/>
            <w:vAlign w:val="center"/>
          </w:tcPr>
          <w:p w14:paraId="76B07786" w14:textId="50079465" w:rsidR="00BE5305"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lastRenderedPageBreak/>
              <w:t>Age</w:t>
            </w:r>
          </w:p>
        </w:tc>
        <w:tc>
          <w:tcPr>
            <w:tcW w:w="449" w:type="pct"/>
            <w:tcMar>
              <w:top w:w="113" w:type="dxa"/>
              <w:left w:w="57" w:type="dxa"/>
              <w:bottom w:w="113" w:type="dxa"/>
              <w:right w:w="57" w:type="dxa"/>
            </w:tcMar>
            <w:vAlign w:val="center"/>
          </w:tcPr>
          <w:p w14:paraId="6AE64889"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30 to 39</w:t>
            </w:r>
          </w:p>
        </w:tc>
        <w:tc>
          <w:tcPr>
            <w:tcW w:w="228" w:type="pct"/>
            <w:tcMar>
              <w:top w:w="113" w:type="dxa"/>
              <w:left w:w="57" w:type="dxa"/>
              <w:bottom w:w="113" w:type="dxa"/>
              <w:right w:w="57" w:type="dxa"/>
            </w:tcMar>
            <w:vAlign w:val="center"/>
          </w:tcPr>
          <w:p w14:paraId="1F79AF8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78.9</w:t>
            </w:r>
          </w:p>
        </w:tc>
        <w:tc>
          <w:tcPr>
            <w:tcW w:w="228" w:type="pct"/>
            <w:tcMar>
              <w:top w:w="113" w:type="dxa"/>
              <w:left w:w="57" w:type="dxa"/>
              <w:bottom w:w="113" w:type="dxa"/>
              <w:right w:w="57" w:type="dxa"/>
            </w:tcMar>
            <w:vAlign w:val="center"/>
          </w:tcPr>
          <w:p w14:paraId="1A4F75F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80.3</w:t>
            </w:r>
          </w:p>
        </w:tc>
        <w:tc>
          <w:tcPr>
            <w:tcW w:w="228" w:type="pct"/>
            <w:vAlign w:val="center"/>
          </w:tcPr>
          <w:p w14:paraId="756DF0E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80.5</w:t>
            </w:r>
          </w:p>
        </w:tc>
        <w:tc>
          <w:tcPr>
            <w:tcW w:w="228" w:type="pct"/>
            <w:tcMar>
              <w:top w:w="113" w:type="dxa"/>
              <w:left w:w="57" w:type="dxa"/>
              <w:bottom w:w="113" w:type="dxa"/>
              <w:right w:w="57" w:type="dxa"/>
            </w:tcMar>
            <w:vAlign w:val="center"/>
          </w:tcPr>
          <w:p w14:paraId="15BFBC24"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40.6</w:t>
            </w:r>
          </w:p>
        </w:tc>
        <w:tc>
          <w:tcPr>
            <w:tcW w:w="228" w:type="pct"/>
            <w:tcMar>
              <w:top w:w="113" w:type="dxa"/>
              <w:left w:w="57" w:type="dxa"/>
              <w:bottom w:w="113" w:type="dxa"/>
              <w:right w:w="57" w:type="dxa"/>
            </w:tcMar>
            <w:vAlign w:val="center"/>
          </w:tcPr>
          <w:p w14:paraId="77A16C0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42.1</w:t>
            </w:r>
          </w:p>
        </w:tc>
        <w:tc>
          <w:tcPr>
            <w:tcW w:w="228" w:type="pct"/>
            <w:vAlign w:val="center"/>
          </w:tcPr>
          <w:p w14:paraId="06BAE054"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44.8</w:t>
            </w:r>
          </w:p>
        </w:tc>
        <w:tc>
          <w:tcPr>
            <w:tcW w:w="228" w:type="pct"/>
            <w:tcMar>
              <w:top w:w="113" w:type="dxa"/>
              <w:left w:w="57" w:type="dxa"/>
              <w:bottom w:w="113" w:type="dxa"/>
              <w:right w:w="57" w:type="dxa"/>
            </w:tcMar>
            <w:vAlign w:val="center"/>
          </w:tcPr>
          <w:p w14:paraId="4A3CB395"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79.6</w:t>
            </w:r>
          </w:p>
        </w:tc>
        <w:tc>
          <w:tcPr>
            <w:tcW w:w="228" w:type="pct"/>
            <w:tcMar>
              <w:top w:w="113" w:type="dxa"/>
              <w:left w:w="0" w:type="dxa"/>
              <w:bottom w:w="113" w:type="dxa"/>
              <w:right w:w="57" w:type="dxa"/>
            </w:tcMar>
            <w:vAlign w:val="center"/>
          </w:tcPr>
          <w:p w14:paraId="15C23665"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80.5</w:t>
            </w:r>
          </w:p>
        </w:tc>
        <w:tc>
          <w:tcPr>
            <w:tcW w:w="228" w:type="pct"/>
            <w:vAlign w:val="center"/>
          </w:tcPr>
          <w:p w14:paraId="56AD7D4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80.4</w:t>
            </w:r>
          </w:p>
        </w:tc>
        <w:tc>
          <w:tcPr>
            <w:tcW w:w="228" w:type="pct"/>
            <w:tcMar>
              <w:top w:w="113" w:type="dxa"/>
              <w:left w:w="57" w:type="dxa"/>
              <w:bottom w:w="113" w:type="dxa"/>
              <w:right w:w="57" w:type="dxa"/>
            </w:tcMar>
            <w:vAlign w:val="center"/>
          </w:tcPr>
          <w:p w14:paraId="58AD1784"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75.2</w:t>
            </w:r>
          </w:p>
        </w:tc>
        <w:tc>
          <w:tcPr>
            <w:tcW w:w="228" w:type="pct"/>
            <w:tcMar>
              <w:top w:w="113" w:type="dxa"/>
              <w:left w:w="57" w:type="dxa"/>
              <w:bottom w:w="113" w:type="dxa"/>
              <w:right w:w="57" w:type="dxa"/>
            </w:tcMar>
            <w:vAlign w:val="center"/>
          </w:tcPr>
          <w:p w14:paraId="036BF84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72.7</w:t>
            </w:r>
          </w:p>
        </w:tc>
        <w:tc>
          <w:tcPr>
            <w:tcW w:w="228" w:type="pct"/>
            <w:vAlign w:val="center"/>
          </w:tcPr>
          <w:p w14:paraId="6021512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72.7</w:t>
            </w:r>
          </w:p>
        </w:tc>
        <w:tc>
          <w:tcPr>
            <w:tcW w:w="228" w:type="pct"/>
            <w:tcMar>
              <w:top w:w="113" w:type="dxa"/>
              <w:left w:w="57" w:type="dxa"/>
              <w:bottom w:w="113" w:type="dxa"/>
              <w:right w:w="57" w:type="dxa"/>
            </w:tcMar>
            <w:vAlign w:val="center"/>
          </w:tcPr>
          <w:p w14:paraId="793415D1"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81.7</w:t>
            </w:r>
          </w:p>
        </w:tc>
        <w:tc>
          <w:tcPr>
            <w:tcW w:w="228" w:type="pct"/>
            <w:tcMar>
              <w:top w:w="113" w:type="dxa"/>
              <w:left w:w="57" w:type="dxa"/>
              <w:bottom w:w="113" w:type="dxa"/>
              <w:right w:w="57" w:type="dxa"/>
            </w:tcMar>
            <w:vAlign w:val="center"/>
          </w:tcPr>
          <w:p w14:paraId="5E35F76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82.1</w:t>
            </w:r>
          </w:p>
        </w:tc>
        <w:tc>
          <w:tcPr>
            <w:tcW w:w="228" w:type="pct"/>
            <w:vAlign w:val="center"/>
          </w:tcPr>
          <w:p w14:paraId="5760E34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81.3</w:t>
            </w:r>
          </w:p>
        </w:tc>
        <w:tc>
          <w:tcPr>
            <w:tcW w:w="228" w:type="pct"/>
            <w:tcMar>
              <w:top w:w="113" w:type="dxa"/>
              <w:left w:w="57" w:type="dxa"/>
              <w:bottom w:w="113" w:type="dxa"/>
              <w:right w:w="57" w:type="dxa"/>
            </w:tcMar>
            <w:vAlign w:val="center"/>
          </w:tcPr>
          <w:p w14:paraId="3AFC628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76.1</w:t>
            </w:r>
          </w:p>
        </w:tc>
        <w:tc>
          <w:tcPr>
            <w:tcW w:w="228" w:type="pct"/>
            <w:tcMar>
              <w:top w:w="113" w:type="dxa"/>
              <w:left w:w="0" w:type="dxa"/>
              <w:bottom w:w="113" w:type="dxa"/>
              <w:right w:w="0" w:type="dxa"/>
            </w:tcMar>
            <w:vAlign w:val="center"/>
          </w:tcPr>
          <w:p w14:paraId="7F5D9EC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77.3</w:t>
            </w:r>
          </w:p>
        </w:tc>
        <w:tc>
          <w:tcPr>
            <w:tcW w:w="228" w:type="pct"/>
            <w:vAlign w:val="center"/>
          </w:tcPr>
          <w:p w14:paraId="45A207A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77.8</w:t>
            </w:r>
          </w:p>
        </w:tc>
      </w:tr>
      <w:tr w:rsidR="0066499D" w:rsidRPr="00E8656C" w14:paraId="37C5F559" w14:textId="77777777" w:rsidTr="005E54CB">
        <w:trPr>
          <w:cantSplit/>
          <w:trHeight w:val="60"/>
        </w:trPr>
        <w:tc>
          <w:tcPr>
            <w:tcW w:w="446" w:type="pct"/>
            <w:vAlign w:val="center"/>
          </w:tcPr>
          <w:p w14:paraId="38665F46" w14:textId="76C540BA" w:rsidR="00BE5305"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Age</w:t>
            </w:r>
          </w:p>
        </w:tc>
        <w:tc>
          <w:tcPr>
            <w:tcW w:w="449" w:type="pct"/>
            <w:tcMar>
              <w:top w:w="113" w:type="dxa"/>
              <w:left w:w="57" w:type="dxa"/>
              <w:bottom w:w="113" w:type="dxa"/>
              <w:right w:w="57" w:type="dxa"/>
            </w:tcMar>
            <w:vAlign w:val="center"/>
          </w:tcPr>
          <w:p w14:paraId="4A61CEE1"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40 and over</w:t>
            </w:r>
          </w:p>
        </w:tc>
        <w:tc>
          <w:tcPr>
            <w:tcW w:w="228" w:type="pct"/>
            <w:tcMar>
              <w:top w:w="113" w:type="dxa"/>
              <w:left w:w="57" w:type="dxa"/>
              <w:bottom w:w="113" w:type="dxa"/>
              <w:right w:w="57" w:type="dxa"/>
            </w:tcMar>
            <w:vAlign w:val="center"/>
          </w:tcPr>
          <w:p w14:paraId="254A6E6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80.6</w:t>
            </w:r>
          </w:p>
        </w:tc>
        <w:tc>
          <w:tcPr>
            <w:tcW w:w="228" w:type="pct"/>
            <w:tcMar>
              <w:top w:w="113" w:type="dxa"/>
              <w:left w:w="57" w:type="dxa"/>
              <w:bottom w:w="113" w:type="dxa"/>
              <w:right w:w="57" w:type="dxa"/>
            </w:tcMar>
            <w:vAlign w:val="center"/>
          </w:tcPr>
          <w:p w14:paraId="3379FEA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80.5</w:t>
            </w:r>
          </w:p>
        </w:tc>
        <w:tc>
          <w:tcPr>
            <w:tcW w:w="228" w:type="pct"/>
            <w:vAlign w:val="center"/>
          </w:tcPr>
          <w:p w14:paraId="6A2BC82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80.7</w:t>
            </w:r>
          </w:p>
        </w:tc>
        <w:tc>
          <w:tcPr>
            <w:tcW w:w="228" w:type="pct"/>
            <w:tcMar>
              <w:top w:w="113" w:type="dxa"/>
              <w:left w:w="57" w:type="dxa"/>
              <w:bottom w:w="113" w:type="dxa"/>
              <w:right w:w="57" w:type="dxa"/>
            </w:tcMar>
            <w:vAlign w:val="center"/>
          </w:tcPr>
          <w:p w14:paraId="2CA963F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35.6</w:t>
            </w:r>
          </w:p>
        </w:tc>
        <w:tc>
          <w:tcPr>
            <w:tcW w:w="228" w:type="pct"/>
            <w:tcMar>
              <w:top w:w="113" w:type="dxa"/>
              <w:left w:w="57" w:type="dxa"/>
              <w:bottom w:w="113" w:type="dxa"/>
              <w:right w:w="57" w:type="dxa"/>
            </w:tcMar>
            <w:vAlign w:val="center"/>
          </w:tcPr>
          <w:p w14:paraId="796BF91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35.7</w:t>
            </w:r>
          </w:p>
        </w:tc>
        <w:tc>
          <w:tcPr>
            <w:tcW w:w="228" w:type="pct"/>
            <w:vAlign w:val="center"/>
          </w:tcPr>
          <w:p w14:paraId="3E40518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35.0</w:t>
            </w:r>
          </w:p>
        </w:tc>
        <w:tc>
          <w:tcPr>
            <w:tcW w:w="228" w:type="pct"/>
            <w:tcMar>
              <w:top w:w="113" w:type="dxa"/>
              <w:left w:w="57" w:type="dxa"/>
              <w:bottom w:w="113" w:type="dxa"/>
              <w:right w:w="57" w:type="dxa"/>
            </w:tcMar>
            <w:vAlign w:val="center"/>
          </w:tcPr>
          <w:p w14:paraId="4483B3D4"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83.7</w:t>
            </w:r>
          </w:p>
        </w:tc>
        <w:tc>
          <w:tcPr>
            <w:tcW w:w="228" w:type="pct"/>
            <w:tcMar>
              <w:top w:w="113" w:type="dxa"/>
              <w:left w:w="0" w:type="dxa"/>
              <w:bottom w:w="113" w:type="dxa"/>
              <w:right w:w="57" w:type="dxa"/>
            </w:tcMar>
            <w:vAlign w:val="center"/>
          </w:tcPr>
          <w:p w14:paraId="0B96B06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83.7</w:t>
            </w:r>
          </w:p>
        </w:tc>
        <w:tc>
          <w:tcPr>
            <w:tcW w:w="228" w:type="pct"/>
            <w:vAlign w:val="center"/>
          </w:tcPr>
          <w:p w14:paraId="2EFAE1F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84.2</w:t>
            </w:r>
          </w:p>
        </w:tc>
        <w:tc>
          <w:tcPr>
            <w:tcW w:w="228" w:type="pct"/>
            <w:tcMar>
              <w:top w:w="113" w:type="dxa"/>
              <w:left w:w="57" w:type="dxa"/>
              <w:bottom w:w="113" w:type="dxa"/>
              <w:right w:w="57" w:type="dxa"/>
            </w:tcMar>
            <w:vAlign w:val="center"/>
          </w:tcPr>
          <w:p w14:paraId="69BCC76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78.4</w:t>
            </w:r>
          </w:p>
        </w:tc>
        <w:tc>
          <w:tcPr>
            <w:tcW w:w="228" w:type="pct"/>
            <w:tcMar>
              <w:top w:w="113" w:type="dxa"/>
              <w:left w:w="57" w:type="dxa"/>
              <w:bottom w:w="113" w:type="dxa"/>
              <w:right w:w="57" w:type="dxa"/>
            </w:tcMar>
            <w:vAlign w:val="center"/>
          </w:tcPr>
          <w:p w14:paraId="0A3ABD7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74.1</w:t>
            </w:r>
          </w:p>
        </w:tc>
        <w:tc>
          <w:tcPr>
            <w:tcW w:w="228" w:type="pct"/>
            <w:vAlign w:val="center"/>
          </w:tcPr>
          <w:p w14:paraId="0A83728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74.4</w:t>
            </w:r>
          </w:p>
        </w:tc>
        <w:tc>
          <w:tcPr>
            <w:tcW w:w="228" w:type="pct"/>
            <w:tcMar>
              <w:top w:w="113" w:type="dxa"/>
              <w:left w:w="57" w:type="dxa"/>
              <w:bottom w:w="113" w:type="dxa"/>
              <w:right w:w="57" w:type="dxa"/>
            </w:tcMar>
            <w:vAlign w:val="center"/>
          </w:tcPr>
          <w:p w14:paraId="6FCD2E8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83.7</w:t>
            </w:r>
          </w:p>
        </w:tc>
        <w:tc>
          <w:tcPr>
            <w:tcW w:w="228" w:type="pct"/>
            <w:tcMar>
              <w:top w:w="113" w:type="dxa"/>
              <w:left w:w="57" w:type="dxa"/>
              <w:bottom w:w="113" w:type="dxa"/>
              <w:right w:w="57" w:type="dxa"/>
            </w:tcMar>
            <w:vAlign w:val="center"/>
          </w:tcPr>
          <w:p w14:paraId="2D80006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84.0</w:t>
            </w:r>
          </w:p>
        </w:tc>
        <w:tc>
          <w:tcPr>
            <w:tcW w:w="228" w:type="pct"/>
            <w:vAlign w:val="center"/>
          </w:tcPr>
          <w:p w14:paraId="229C9BA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82.8</w:t>
            </w:r>
          </w:p>
        </w:tc>
        <w:tc>
          <w:tcPr>
            <w:tcW w:w="228" w:type="pct"/>
            <w:tcMar>
              <w:top w:w="113" w:type="dxa"/>
              <w:left w:w="57" w:type="dxa"/>
              <w:bottom w:w="113" w:type="dxa"/>
              <w:right w:w="57" w:type="dxa"/>
            </w:tcMar>
            <w:vAlign w:val="center"/>
          </w:tcPr>
          <w:p w14:paraId="6D0D2C6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80.9</w:t>
            </w:r>
          </w:p>
        </w:tc>
        <w:tc>
          <w:tcPr>
            <w:tcW w:w="228" w:type="pct"/>
            <w:tcMar>
              <w:top w:w="113" w:type="dxa"/>
              <w:left w:w="0" w:type="dxa"/>
              <w:bottom w:w="113" w:type="dxa"/>
              <w:right w:w="0" w:type="dxa"/>
            </w:tcMar>
            <w:vAlign w:val="center"/>
          </w:tcPr>
          <w:p w14:paraId="2D6CCB6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81.2</w:t>
            </w:r>
          </w:p>
        </w:tc>
        <w:tc>
          <w:tcPr>
            <w:tcW w:w="228" w:type="pct"/>
            <w:vAlign w:val="center"/>
          </w:tcPr>
          <w:p w14:paraId="41C4D90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82.2</w:t>
            </w:r>
          </w:p>
        </w:tc>
      </w:tr>
      <w:tr w:rsidR="0066499D" w:rsidRPr="00E8656C" w14:paraId="408FB7E3" w14:textId="77777777" w:rsidTr="005E54CB">
        <w:trPr>
          <w:cantSplit/>
          <w:trHeight w:val="60"/>
        </w:trPr>
        <w:tc>
          <w:tcPr>
            <w:tcW w:w="446" w:type="pct"/>
            <w:vAlign w:val="center"/>
          </w:tcPr>
          <w:p w14:paraId="40622615" w14:textId="2887606A" w:rsidR="003B7CAF" w:rsidRPr="00E8656C" w:rsidRDefault="003B7CAF" w:rsidP="0066499D">
            <w:pPr>
              <w:pStyle w:val="Tabletextupdate"/>
              <w:framePr w:wrap="auto"/>
              <w:rPr>
                <w:rFonts w:ascii="Arial" w:hAnsi="Arial" w:cs="Arial"/>
                <w:b/>
                <w:bCs/>
                <w:color w:val="auto"/>
                <w:sz w:val="18"/>
              </w:rPr>
            </w:pPr>
            <w:r w:rsidRPr="00E8656C">
              <w:rPr>
                <w:rFonts w:ascii="Arial" w:hAnsi="Arial" w:cs="Arial"/>
                <w:b/>
                <w:bCs/>
                <w:color w:val="auto"/>
                <w:sz w:val="18"/>
              </w:rPr>
              <w:t>First Nations**</w:t>
            </w:r>
          </w:p>
        </w:tc>
        <w:tc>
          <w:tcPr>
            <w:tcW w:w="449" w:type="pct"/>
            <w:tcMar>
              <w:top w:w="113" w:type="dxa"/>
              <w:left w:w="57" w:type="dxa"/>
              <w:bottom w:w="113" w:type="dxa"/>
              <w:right w:w="57" w:type="dxa"/>
            </w:tcMar>
            <w:vAlign w:val="center"/>
          </w:tcPr>
          <w:p w14:paraId="105BC9CD" w14:textId="77777777" w:rsidR="003B7CAF" w:rsidRPr="00E8656C" w:rsidRDefault="003B7CAF" w:rsidP="0066499D">
            <w:pPr>
              <w:pStyle w:val="Tabletextupdate"/>
              <w:framePr w:wrap="auto"/>
              <w:rPr>
                <w:rFonts w:ascii="Arial" w:hAnsi="Arial" w:cs="Arial"/>
                <w:b/>
                <w:bCs/>
                <w:color w:val="auto"/>
                <w:sz w:val="18"/>
              </w:rPr>
            </w:pPr>
            <w:r w:rsidRPr="00E8656C">
              <w:rPr>
                <w:rFonts w:ascii="Arial" w:hAnsi="Arial" w:cs="Arial"/>
                <w:b/>
                <w:bCs/>
                <w:color w:val="auto"/>
                <w:sz w:val="18"/>
              </w:rPr>
              <w:t>First Nations</w:t>
            </w:r>
          </w:p>
        </w:tc>
        <w:tc>
          <w:tcPr>
            <w:tcW w:w="228" w:type="pct"/>
            <w:tcMar>
              <w:top w:w="113" w:type="dxa"/>
              <w:left w:w="57" w:type="dxa"/>
              <w:bottom w:w="113" w:type="dxa"/>
              <w:right w:w="57" w:type="dxa"/>
            </w:tcMar>
            <w:vAlign w:val="center"/>
          </w:tcPr>
          <w:p w14:paraId="2C596C9B" w14:textId="01146362"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79.7</w:t>
            </w:r>
          </w:p>
        </w:tc>
        <w:tc>
          <w:tcPr>
            <w:tcW w:w="228" w:type="pct"/>
            <w:tcMar>
              <w:top w:w="113" w:type="dxa"/>
              <w:left w:w="57" w:type="dxa"/>
              <w:bottom w:w="113" w:type="dxa"/>
              <w:right w:w="57" w:type="dxa"/>
            </w:tcMar>
            <w:vAlign w:val="center"/>
          </w:tcPr>
          <w:p w14:paraId="7DA83372" w14:textId="44DF44B1"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81.3</w:t>
            </w:r>
          </w:p>
        </w:tc>
        <w:tc>
          <w:tcPr>
            <w:tcW w:w="228" w:type="pct"/>
            <w:vAlign w:val="center"/>
          </w:tcPr>
          <w:p w14:paraId="38CAA502" w14:textId="76FEE73F"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80.6</w:t>
            </w:r>
          </w:p>
        </w:tc>
        <w:tc>
          <w:tcPr>
            <w:tcW w:w="228" w:type="pct"/>
            <w:tcMar>
              <w:top w:w="113" w:type="dxa"/>
              <w:left w:w="57" w:type="dxa"/>
              <w:bottom w:w="113" w:type="dxa"/>
              <w:right w:w="57" w:type="dxa"/>
            </w:tcMar>
            <w:vAlign w:val="center"/>
          </w:tcPr>
          <w:p w14:paraId="51291CA9" w14:textId="3CC02624"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47.7</w:t>
            </w:r>
          </w:p>
        </w:tc>
        <w:tc>
          <w:tcPr>
            <w:tcW w:w="228" w:type="pct"/>
            <w:tcMar>
              <w:top w:w="113" w:type="dxa"/>
              <w:left w:w="57" w:type="dxa"/>
              <w:bottom w:w="113" w:type="dxa"/>
              <w:right w:w="57" w:type="dxa"/>
            </w:tcMar>
            <w:vAlign w:val="center"/>
          </w:tcPr>
          <w:p w14:paraId="313D5E8E" w14:textId="10FE6D61"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50.4</w:t>
            </w:r>
          </w:p>
        </w:tc>
        <w:tc>
          <w:tcPr>
            <w:tcW w:w="228" w:type="pct"/>
            <w:vAlign w:val="center"/>
          </w:tcPr>
          <w:p w14:paraId="1A613B4A" w14:textId="0217694D"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50.6</w:t>
            </w:r>
          </w:p>
        </w:tc>
        <w:tc>
          <w:tcPr>
            <w:tcW w:w="228" w:type="pct"/>
            <w:tcMar>
              <w:top w:w="113" w:type="dxa"/>
              <w:left w:w="57" w:type="dxa"/>
              <w:bottom w:w="113" w:type="dxa"/>
              <w:right w:w="57" w:type="dxa"/>
            </w:tcMar>
            <w:vAlign w:val="center"/>
          </w:tcPr>
          <w:p w14:paraId="1F2C4739" w14:textId="4EEC5272"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78.6</w:t>
            </w:r>
          </w:p>
        </w:tc>
        <w:tc>
          <w:tcPr>
            <w:tcW w:w="228" w:type="pct"/>
            <w:tcMar>
              <w:top w:w="113" w:type="dxa"/>
              <w:left w:w="0" w:type="dxa"/>
              <w:bottom w:w="113" w:type="dxa"/>
              <w:right w:w="57" w:type="dxa"/>
            </w:tcMar>
            <w:vAlign w:val="center"/>
          </w:tcPr>
          <w:p w14:paraId="00B5182C" w14:textId="02E8D6E9"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79.6</w:t>
            </w:r>
          </w:p>
        </w:tc>
        <w:tc>
          <w:tcPr>
            <w:tcW w:w="228" w:type="pct"/>
            <w:vAlign w:val="center"/>
          </w:tcPr>
          <w:p w14:paraId="3E6D07E2" w14:textId="684084AC"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80.3</w:t>
            </w:r>
          </w:p>
        </w:tc>
        <w:tc>
          <w:tcPr>
            <w:tcW w:w="228" w:type="pct"/>
            <w:tcMar>
              <w:top w:w="113" w:type="dxa"/>
              <w:left w:w="57" w:type="dxa"/>
              <w:bottom w:w="113" w:type="dxa"/>
              <w:right w:w="57" w:type="dxa"/>
            </w:tcMar>
            <w:vAlign w:val="center"/>
          </w:tcPr>
          <w:p w14:paraId="77D42FE8" w14:textId="2E9507F4"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74.6</w:t>
            </w:r>
          </w:p>
        </w:tc>
        <w:tc>
          <w:tcPr>
            <w:tcW w:w="228" w:type="pct"/>
            <w:tcMar>
              <w:top w:w="113" w:type="dxa"/>
              <w:left w:w="57" w:type="dxa"/>
              <w:bottom w:w="113" w:type="dxa"/>
              <w:right w:w="57" w:type="dxa"/>
            </w:tcMar>
            <w:vAlign w:val="center"/>
          </w:tcPr>
          <w:p w14:paraId="223ED58A" w14:textId="1F3C5810"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71.7</w:t>
            </w:r>
          </w:p>
        </w:tc>
        <w:tc>
          <w:tcPr>
            <w:tcW w:w="228" w:type="pct"/>
            <w:vAlign w:val="center"/>
          </w:tcPr>
          <w:p w14:paraId="5F92C528" w14:textId="6B18993B"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72.5</w:t>
            </w:r>
          </w:p>
        </w:tc>
        <w:tc>
          <w:tcPr>
            <w:tcW w:w="228" w:type="pct"/>
            <w:tcMar>
              <w:top w:w="113" w:type="dxa"/>
              <w:left w:w="57" w:type="dxa"/>
              <w:bottom w:w="113" w:type="dxa"/>
              <w:right w:w="57" w:type="dxa"/>
            </w:tcMar>
            <w:vAlign w:val="center"/>
          </w:tcPr>
          <w:p w14:paraId="1CA267F3" w14:textId="132CFE74"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82.2</w:t>
            </w:r>
          </w:p>
        </w:tc>
        <w:tc>
          <w:tcPr>
            <w:tcW w:w="228" w:type="pct"/>
            <w:tcMar>
              <w:top w:w="113" w:type="dxa"/>
              <w:left w:w="57" w:type="dxa"/>
              <w:bottom w:w="113" w:type="dxa"/>
              <w:right w:w="57" w:type="dxa"/>
            </w:tcMar>
            <w:vAlign w:val="center"/>
          </w:tcPr>
          <w:p w14:paraId="1D7A95A5" w14:textId="37148B06"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82.9</w:t>
            </w:r>
          </w:p>
        </w:tc>
        <w:tc>
          <w:tcPr>
            <w:tcW w:w="228" w:type="pct"/>
            <w:vAlign w:val="center"/>
          </w:tcPr>
          <w:p w14:paraId="02CB8F8C" w14:textId="17975CA3"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84.6</w:t>
            </w:r>
          </w:p>
        </w:tc>
        <w:tc>
          <w:tcPr>
            <w:tcW w:w="228" w:type="pct"/>
            <w:tcMar>
              <w:top w:w="113" w:type="dxa"/>
              <w:left w:w="57" w:type="dxa"/>
              <w:bottom w:w="113" w:type="dxa"/>
              <w:right w:w="57" w:type="dxa"/>
            </w:tcMar>
            <w:vAlign w:val="center"/>
          </w:tcPr>
          <w:p w14:paraId="564E8E9A" w14:textId="677FA1EC"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76.1</w:t>
            </w:r>
          </w:p>
        </w:tc>
        <w:tc>
          <w:tcPr>
            <w:tcW w:w="228" w:type="pct"/>
            <w:tcMar>
              <w:top w:w="113" w:type="dxa"/>
              <w:left w:w="0" w:type="dxa"/>
              <w:bottom w:w="113" w:type="dxa"/>
              <w:right w:w="0" w:type="dxa"/>
            </w:tcMar>
            <w:vAlign w:val="center"/>
          </w:tcPr>
          <w:p w14:paraId="1EC19240" w14:textId="42478187"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77.8</w:t>
            </w:r>
          </w:p>
        </w:tc>
        <w:tc>
          <w:tcPr>
            <w:tcW w:w="228" w:type="pct"/>
            <w:vAlign w:val="center"/>
          </w:tcPr>
          <w:p w14:paraId="031465BD" w14:textId="732A55A8"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77.7</w:t>
            </w:r>
          </w:p>
        </w:tc>
      </w:tr>
      <w:tr w:rsidR="0066499D" w:rsidRPr="00E8656C" w14:paraId="727DCE03" w14:textId="77777777" w:rsidTr="005E54CB">
        <w:trPr>
          <w:cantSplit/>
          <w:trHeight w:val="60"/>
        </w:trPr>
        <w:tc>
          <w:tcPr>
            <w:tcW w:w="446" w:type="pct"/>
            <w:vAlign w:val="center"/>
          </w:tcPr>
          <w:p w14:paraId="648E4A18" w14:textId="484B4EDF" w:rsidR="003B7CAF"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First Nations**</w:t>
            </w:r>
          </w:p>
        </w:tc>
        <w:tc>
          <w:tcPr>
            <w:tcW w:w="449" w:type="pct"/>
            <w:tcMar>
              <w:top w:w="113" w:type="dxa"/>
              <w:left w:w="57" w:type="dxa"/>
              <w:bottom w:w="113" w:type="dxa"/>
              <w:right w:w="57" w:type="dxa"/>
            </w:tcMar>
            <w:vAlign w:val="center"/>
          </w:tcPr>
          <w:p w14:paraId="41BD6844" w14:textId="77777777" w:rsidR="003B7CAF" w:rsidRPr="00E8656C" w:rsidRDefault="003B7CAF" w:rsidP="0066499D">
            <w:pPr>
              <w:pStyle w:val="Tabletextupdate"/>
              <w:framePr w:wrap="auto"/>
              <w:rPr>
                <w:rFonts w:ascii="Arial" w:hAnsi="Arial" w:cs="Arial"/>
                <w:b/>
                <w:bCs/>
                <w:color w:val="auto"/>
                <w:sz w:val="18"/>
              </w:rPr>
            </w:pPr>
            <w:r w:rsidRPr="00E8656C">
              <w:rPr>
                <w:rFonts w:ascii="Arial" w:hAnsi="Arial" w:cs="Arial"/>
                <w:b/>
                <w:bCs/>
                <w:color w:val="auto"/>
                <w:sz w:val="18"/>
              </w:rPr>
              <w:t>Non-Indigenous</w:t>
            </w:r>
          </w:p>
        </w:tc>
        <w:tc>
          <w:tcPr>
            <w:tcW w:w="228" w:type="pct"/>
            <w:tcMar>
              <w:top w:w="113" w:type="dxa"/>
              <w:left w:w="57" w:type="dxa"/>
              <w:bottom w:w="113" w:type="dxa"/>
              <w:right w:w="57" w:type="dxa"/>
            </w:tcMar>
            <w:vAlign w:val="center"/>
          </w:tcPr>
          <w:p w14:paraId="1A55C19C" w14:textId="3B15C02B"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80.2</w:t>
            </w:r>
          </w:p>
        </w:tc>
        <w:tc>
          <w:tcPr>
            <w:tcW w:w="228" w:type="pct"/>
            <w:tcMar>
              <w:top w:w="113" w:type="dxa"/>
              <w:left w:w="57" w:type="dxa"/>
              <w:bottom w:w="113" w:type="dxa"/>
              <w:right w:w="57" w:type="dxa"/>
            </w:tcMar>
            <w:vAlign w:val="center"/>
          </w:tcPr>
          <w:p w14:paraId="66F14D65" w14:textId="7EB23B15"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80.6</w:t>
            </w:r>
          </w:p>
        </w:tc>
        <w:tc>
          <w:tcPr>
            <w:tcW w:w="228" w:type="pct"/>
            <w:vAlign w:val="center"/>
          </w:tcPr>
          <w:p w14:paraId="5232FFB8" w14:textId="6946E9B7"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80.4</w:t>
            </w:r>
          </w:p>
        </w:tc>
        <w:tc>
          <w:tcPr>
            <w:tcW w:w="228" w:type="pct"/>
            <w:tcMar>
              <w:top w:w="113" w:type="dxa"/>
              <w:left w:w="57" w:type="dxa"/>
              <w:bottom w:w="113" w:type="dxa"/>
              <w:right w:w="57" w:type="dxa"/>
            </w:tcMar>
            <w:vAlign w:val="center"/>
          </w:tcPr>
          <w:p w14:paraId="0989227E" w14:textId="4DE18E2D"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54.1</w:t>
            </w:r>
          </w:p>
        </w:tc>
        <w:tc>
          <w:tcPr>
            <w:tcW w:w="228" w:type="pct"/>
            <w:tcMar>
              <w:top w:w="113" w:type="dxa"/>
              <w:left w:w="57" w:type="dxa"/>
              <w:bottom w:w="113" w:type="dxa"/>
              <w:right w:w="57" w:type="dxa"/>
            </w:tcMar>
            <w:vAlign w:val="center"/>
          </w:tcPr>
          <w:p w14:paraId="6CFCFDC8" w14:textId="7671A776"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56.7</w:t>
            </w:r>
          </w:p>
        </w:tc>
        <w:tc>
          <w:tcPr>
            <w:tcW w:w="228" w:type="pct"/>
            <w:vAlign w:val="center"/>
          </w:tcPr>
          <w:p w14:paraId="40A0E2D5" w14:textId="0334DC2F"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57.5</w:t>
            </w:r>
          </w:p>
        </w:tc>
        <w:tc>
          <w:tcPr>
            <w:tcW w:w="228" w:type="pct"/>
            <w:tcMar>
              <w:top w:w="113" w:type="dxa"/>
              <w:left w:w="57" w:type="dxa"/>
              <w:bottom w:w="113" w:type="dxa"/>
              <w:right w:w="57" w:type="dxa"/>
            </w:tcMar>
            <w:vAlign w:val="center"/>
          </w:tcPr>
          <w:p w14:paraId="772AE4E9" w14:textId="0F7FD41C"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80.1</w:t>
            </w:r>
          </w:p>
        </w:tc>
        <w:tc>
          <w:tcPr>
            <w:tcW w:w="228" w:type="pct"/>
            <w:tcMar>
              <w:top w:w="113" w:type="dxa"/>
              <w:left w:w="0" w:type="dxa"/>
              <w:bottom w:w="113" w:type="dxa"/>
              <w:right w:w="57" w:type="dxa"/>
            </w:tcMar>
            <w:vAlign w:val="center"/>
          </w:tcPr>
          <w:p w14:paraId="439CAF30" w14:textId="2C68818A"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80.4</w:t>
            </w:r>
          </w:p>
        </w:tc>
        <w:tc>
          <w:tcPr>
            <w:tcW w:w="228" w:type="pct"/>
            <w:vAlign w:val="center"/>
          </w:tcPr>
          <w:p w14:paraId="6CF997AE" w14:textId="3130BE9C"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79.9</w:t>
            </w:r>
          </w:p>
        </w:tc>
        <w:tc>
          <w:tcPr>
            <w:tcW w:w="228" w:type="pct"/>
            <w:tcMar>
              <w:top w:w="113" w:type="dxa"/>
              <w:left w:w="57" w:type="dxa"/>
              <w:bottom w:w="113" w:type="dxa"/>
              <w:right w:w="57" w:type="dxa"/>
            </w:tcMar>
            <w:vAlign w:val="center"/>
          </w:tcPr>
          <w:p w14:paraId="3E3CE6D9" w14:textId="3334AD00"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72.4</w:t>
            </w:r>
          </w:p>
        </w:tc>
        <w:tc>
          <w:tcPr>
            <w:tcW w:w="228" w:type="pct"/>
            <w:tcMar>
              <w:top w:w="113" w:type="dxa"/>
              <w:left w:w="57" w:type="dxa"/>
              <w:bottom w:w="113" w:type="dxa"/>
              <w:right w:w="57" w:type="dxa"/>
            </w:tcMar>
            <w:vAlign w:val="center"/>
          </w:tcPr>
          <w:p w14:paraId="4170D764" w14:textId="7E7C7DCE"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69.4</w:t>
            </w:r>
          </w:p>
        </w:tc>
        <w:tc>
          <w:tcPr>
            <w:tcW w:w="228" w:type="pct"/>
            <w:vAlign w:val="center"/>
          </w:tcPr>
          <w:p w14:paraId="2103F8E3" w14:textId="778CDFE6"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69.2</w:t>
            </w:r>
          </w:p>
        </w:tc>
        <w:tc>
          <w:tcPr>
            <w:tcW w:w="228" w:type="pct"/>
            <w:tcMar>
              <w:top w:w="113" w:type="dxa"/>
              <w:left w:w="57" w:type="dxa"/>
              <w:bottom w:w="113" w:type="dxa"/>
              <w:right w:w="57" w:type="dxa"/>
            </w:tcMar>
            <w:vAlign w:val="center"/>
          </w:tcPr>
          <w:p w14:paraId="306FE2F9" w14:textId="433F799B"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83.6</w:t>
            </w:r>
          </w:p>
        </w:tc>
        <w:tc>
          <w:tcPr>
            <w:tcW w:w="228" w:type="pct"/>
            <w:tcMar>
              <w:top w:w="113" w:type="dxa"/>
              <w:left w:w="57" w:type="dxa"/>
              <w:bottom w:w="113" w:type="dxa"/>
              <w:right w:w="57" w:type="dxa"/>
            </w:tcMar>
            <w:vAlign w:val="center"/>
          </w:tcPr>
          <w:p w14:paraId="4F634160" w14:textId="40795DB0"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83.7</w:t>
            </w:r>
          </w:p>
        </w:tc>
        <w:tc>
          <w:tcPr>
            <w:tcW w:w="228" w:type="pct"/>
            <w:vAlign w:val="center"/>
          </w:tcPr>
          <w:p w14:paraId="2DCFCE54" w14:textId="649477D4"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82.7</w:t>
            </w:r>
          </w:p>
        </w:tc>
        <w:tc>
          <w:tcPr>
            <w:tcW w:w="228" w:type="pct"/>
            <w:tcMar>
              <w:top w:w="113" w:type="dxa"/>
              <w:left w:w="57" w:type="dxa"/>
              <w:bottom w:w="113" w:type="dxa"/>
              <w:right w:w="57" w:type="dxa"/>
            </w:tcMar>
            <w:vAlign w:val="center"/>
          </w:tcPr>
          <w:p w14:paraId="182B26D0" w14:textId="79FB18EE"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76.2</w:t>
            </w:r>
          </w:p>
        </w:tc>
        <w:tc>
          <w:tcPr>
            <w:tcW w:w="228" w:type="pct"/>
            <w:tcMar>
              <w:top w:w="113" w:type="dxa"/>
              <w:left w:w="0" w:type="dxa"/>
              <w:bottom w:w="113" w:type="dxa"/>
              <w:right w:w="0" w:type="dxa"/>
            </w:tcMar>
            <w:vAlign w:val="center"/>
          </w:tcPr>
          <w:p w14:paraId="4A7CB92D" w14:textId="43E26606"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76.9</w:t>
            </w:r>
          </w:p>
        </w:tc>
        <w:tc>
          <w:tcPr>
            <w:tcW w:w="228" w:type="pct"/>
            <w:vAlign w:val="center"/>
          </w:tcPr>
          <w:p w14:paraId="2DD8D55B" w14:textId="034F2201" w:rsidR="003B7CAF" w:rsidRPr="00E8656C" w:rsidRDefault="003B7CAF" w:rsidP="0066499D">
            <w:pPr>
              <w:pStyle w:val="Tabletextupdate"/>
              <w:framePr w:wrap="auto"/>
              <w:jc w:val="center"/>
              <w:rPr>
                <w:rFonts w:ascii="Arial" w:hAnsi="Arial" w:cs="Arial"/>
                <w:color w:val="auto"/>
                <w:sz w:val="18"/>
              </w:rPr>
            </w:pPr>
            <w:r w:rsidRPr="00E8656C">
              <w:rPr>
                <w:rFonts w:ascii="Arial" w:hAnsi="Arial" w:cs="Arial"/>
                <w:color w:val="auto"/>
                <w:sz w:val="18"/>
              </w:rPr>
              <w:t>76.9</w:t>
            </w:r>
          </w:p>
        </w:tc>
      </w:tr>
      <w:tr w:rsidR="0066499D" w:rsidRPr="00E8656C" w14:paraId="706018EC" w14:textId="77777777" w:rsidTr="005E54CB">
        <w:trPr>
          <w:cantSplit/>
          <w:trHeight w:val="60"/>
        </w:trPr>
        <w:tc>
          <w:tcPr>
            <w:tcW w:w="446" w:type="pct"/>
            <w:vAlign w:val="center"/>
          </w:tcPr>
          <w:p w14:paraId="5F552DA4" w14:textId="4C44B4E3"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Home language</w:t>
            </w:r>
            <w:r w:rsidR="00802955" w:rsidRPr="00E8656C">
              <w:rPr>
                <w:rFonts w:ascii="Arial" w:hAnsi="Arial" w:cs="Arial"/>
                <w:b/>
                <w:bCs/>
                <w:color w:val="auto"/>
                <w:sz w:val="18"/>
              </w:rPr>
              <w:t>***</w:t>
            </w:r>
          </w:p>
        </w:tc>
        <w:tc>
          <w:tcPr>
            <w:tcW w:w="449" w:type="pct"/>
            <w:tcMar>
              <w:top w:w="113" w:type="dxa"/>
              <w:left w:w="57" w:type="dxa"/>
              <w:bottom w:w="113" w:type="dxa"/>
              <w:right w:w="57" w:type="dxa"/>
            </w:tcMar>
            <w:vAlign w:val="center"/>
          </w:tcPr>
          <w:p w14:paraId="61C4E3CA"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English</w:t>
            </w:r>
          </w:p>
        </w:tc>
        <w:tc>
          <w:tcPr>
            <w:tcW w:w="228" w:type="pct"/>
            <w:tcMar>
              <w:top w:w="113" w:type="dxa"/>
              <w:left w:w="57" w:type="dxa"/>
              <w:bottom w:w="113" w:type="dxa"/>
              <w:right w:w="57" w:type="dxa"/>
            </w:tcMar>
            <w:vAlign w:val="center"/>
          </w:tcPr>
          <w:p w14:paraId="596395D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80.5</w:t>
            </w:r>
          </w:p>
        </w:tc>
        <w:tc>
          <w:tcPr>
            <w:tcW w:w="228" w:type="pct"/>
            <w:tcMar>
              <w:top w:w="113" w:type="dxa"/>
              <w:left w:w="57" w:type="dxa"/>
              <w:bottom w:w="113" w:type="dxa"/>
              <w:right w:w="57" w:type="dxa"/>
            </w:tcMar>
            <w:vAlign w:val="center"/>
          </w:tcPr>
          <w:p w14:paraId="5C787B0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80.9</w:t>
            </w:r>
          </w:p>
        </w:tc>
        <w:tc>
          <w:tcPr>
            <w:tcW w:w="228" w:type="pct"/>
            <w:vAlign w:val="center"/>
          </w:tcPr>
          <w:p w14:paraId="1514832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80.6</w:t>
            </w:r>
          </w:p>
        </w:tc>
        <w:tc>
          <w:tcPr>
            <w:tcW w:w="228" w:type="pct"/>
            <w:tcMar>
              <w:top w:w="113" w:type="dxa"/>
              <w:left w:w="57" w:type="dxa"/>
              <w:bottom w:w="113" w:type="dxa"/>
              <w:right w:w="57" w:type="dxa"/>
            </w:tcMar>
            <w:vAlign w:val="center"/>
          </w:tcPr>
          <w:p w14:paraId="4EF921B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54.1</w:t>
            </w:r>
          </w:p>
        </w:tc>
        <w:tc>
          <w:tcPr>
            <w:tcW w:w="228" w:type="pct"/>
            <w:tcMar>
              <w:top w:w="113" w:type="dxa"/>
              <w:left w:w="57" w:type="dxa"/>
              <w:bottom w:w="113" w:type="dxa"/>
              <w:right w:w="57" w:type="dxa"/>
            </w:tcMar>
            <w:vAlign w:val="center"/>
          </w:tcPr>
          <w:p w14:paraId="468EAD6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57.3</w:t>
            </w:r>
          </w:p>
        </w:tc>
        <w:tc>
          <w:tcPr>
            <w:tcW w:w="228" w:type="pct"/>
            <w:vAlign w:val="center"/>
          </w:tcPr>
          <w:p w14:paraId="6A9E953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58.0</w:t>
            </w:r>
          </w:p>
        </w:tc>
        <w:tc>
          <w:tcPr>
            <w:tcW w:w="228" w:type="pct"/>
            <w:tcMar>
              <w:top w:w="113" w:type="dxa"/>
              <w:left w:w="57" w:type="dxa"/>
              <w:bottom w:w="113" w:type="dxa"/>
              <w:right w:w="57" w:type="dxa"/>
            </w:tcMar>
            <w:vAlign w:val="center"/>
          </w:tcPr>
          <w:p w14:paraId="60D0430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80.6</w:t>
            </w:r>
          </w:p>
        </w:tc>
        <w:tc>
          <w:tcPr>
            <w:tcW w:w="228" w:type="pct"/>
            <w:tcMar>
              <w:top w:w="113" w:type="dxa"/>
              <w:left w:w="0" w:type="dxa"/>
              <w:bottom w:w="113" w:type="dxa"/>
              <w:right w:w="57" w:type="dxa"/>
            </w:tcMar>
            <w:vAlign w:val="center"/>
          </w:tcPr>
          <w:p w14:paraId="30A8B67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80.6</w:t>
            </w:r>
          </w:p>
        </w:tc>
        <w:tc>
          <w:tcPr>
            <w:tcW w:w="228" w:type="pct"/>
            <w:vAlign w:val="center"/>
          </w:tcPr>
          <w:p w14:paraId="536CD94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80.2</w:t>
            </w:r>
          </w:p>
        </w:tc>
        <w:tc>
          <w:tcPr>
            <w:tcW w:w="228" w:type="pct"/>
            <w:tcMar>
              <w:top w:w="113" w:type="dxa"/>
              <w:left w:w="57" w:type="dxa"/>
              <w:bottom w:w="113" w:type="dxa"/>
              <w:right w:w="57" w:type="dxa"/>
            </w:tcMar>
            <w:vAlign w:val="center"/>
          </w:tcPr>
          <w:p w14:paraId="11D8882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72.9</w:t>
            </w:r>
          </w:p>
        </w:tc>
        <w:tc>
          <w:tcPr>
            <w:tcW w:w="228" w:type="pct"/>
            <w:tcMar>
              <w:top w:w="113" w:type="dxa"/>
              <w:left w:w="57" w:type="dxa"/>
              <w:bottom w:w="113" w:type="dxa"/>
              <w:right w:w="57" w:type="dxa"/>
            </w:tcMar>
            <w:vAlign w:val="center"/>
          </w:tcPr>
          <w:p w14:paraId="3AEB462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69.7</w:t>
            </w:r>
          </w:p>
        </w:tc>
        <w:tc>
          <w:tcPr>
            <w:tcW w:w="228" w:type="pct"/>
            <w:vAlign w:val="center"/>
          </w:tcPr>
          <w:p w14:paraId="6EF05E0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69.5</w:t>
            </w:r>
          </w:p>
        </w:tc>
        <w:tc>
          <w:tcPr>
            <w:tcW w:w="228" w:type="pct"/>
            <w:tcMar>
              <w:top w:w="113" w:type="dxa"/>
              <w:left w:w="57" w:type="dxa"/>
              <w:bottom w:w="113" w:type="dxa"/>
              <w:right w:w="57" w:type="dxa"/>
            </w:tcMar>
            <w:vAlign w:val="center"/>
          </w:tcPr>
          <w:p w14:paraId="1653198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83.7</w:t>
            </w:r>
          </w:p>
        </w:tc>
        <w:tc>
          <w:tcPr>
            <w:tcW w:w="228" w:type="pct"/>
            <w:tcMar>
              <w:top w:w="113" w:type="dxa"/>
              <w:left w:w="57" w:type="dxa"/>
              <w:bottom w:w="113" w:type="dxa"/>
              <w:right w:w="57" w:type="dxa"/>
            </w:tcMar>
            <w:vAlign w:val="center"/>
          </w:tcPr>
          <w:p w14:paraId="0D07A09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83.6</w:t>
            </w:r>
          </w:p>
        </w:tc>
        <w:tc>
          <w:tcPr>
            <w:tcW w:w="228" w:type="pct"/>
            <w:vAlign w:val="center"/>
          </w:tcPr>
          <w:p w14:paraId="78A7C7E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82.7</w:t>
            </w:r>
          </w:p>
        </w:tc>
        <w:tc>
          <w:tcPr>
            <w:tcW w:w="228" w:type="pct"/>
            <w:tcMar>
              <w:top w:w="113" w:type="dxa"/>
              <w:left w:w="57" w:type="dxa"/>
              <w:bottom w:w="113" w:type="dxa"/>
              <w:right w:w="57" w:type="dxa"/>
            </w:tcMar>
            <w:vAlign w:val="center"/>
          </w:tcPr>
          <w:p w14:paraId="57AD7C21"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76.7</w:t>
            </w:r>
          </w:p>
        </w:tc>
        <w:tc>
          <w:tcPr>
            <w:tcW w:w="228" w:type="pct"/>
            <w:tcMar>
              <w:top w:w="113" w:type="dxa"/>
              <w:left w:w="0" w:type="dxa"/>
              <w:bottom w:w="113" w:type="dxa"/>
              <w:right w:w="0" w:type="dxa"/>
            </w:tcMar>
            <w:vAlign w:val="center"/>
          </w:tcPr>
          <w:p w14:paraId="357FDE4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77.0</w:t>
            </w:r>
          </w:p>
        </w:tc>
        <w:tc>
          <w:tcPr>
            <w:tcW w:w="228" w:type="pct"/>
            <w:vAlign w:val="center"/>
          </w:tcPr>
          <w:p w14:paraId="057EE69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77.0</w:t>
            </w:r>
          </w:p>
        </w:tc>
      </w:tr>
      <w:tr w:rsidR="0066499D" w:rsidRPr="00E8656C" w14:paraId="6499D5DD" w14:textId="77777777" w:rsidTr="005E54CB">
        <w:trPr>
          <w:cantSplit/>
          <w:trHeight w:val="60"/>
        </w:trPr>
        <w:tc>
          <w:tcPr>
            <w:tcW w:w="446" w:type="pct"/>
            <w:vAlign w:val="center"/>
          </w:tcPr>
          <w:p w14:paraId="31A9042E" w14:textId="29CAEF7B" w:rsidR="00BE5305"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Home language***</w:t>
            </w:r>
          </w:p>
        </w:tc>
        <w:tc>
          <w:tcPr>
            <w:tcW w:w="449" w:type="pct"/>
            <w:tcMar>
              <w:top w:w="113" w:type="dxa"/>
              <w:left w:w="57" w:type="dxa"/>
              <w:bottom w:w="113" w:type="dxa"/>
              <w:right w:w="57" w:type="dxa"/>
            </w:tcMar>
            <w:vAlign w:val="center"/>
          </w:tcPr>
          <w:p w14:paraId="3C1228A9"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Other</w:t>
            </w:r>
          </w:p>
        </w:tc>
        <w:tc>
          <w:tcPr>
            <w:tcW w:w="228" w:type="pct"/>
            <w:tcMar>
              <w:top w:w="113" w:type="dxa"/>
              <w:left w:w="57" w:type="dxa"/>
              <w:bottom w:w="113" w:type="dxa"/>
              <w:right w:w="57" w:type="dxa"/>
            </w:tcMar>
            <w:vAlign w:val="center"/>
          </w:tcPr>
          <w:p w14:paraId="1FAEADF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80.2</w:t>
            </w:r>
          </w:p>
        </w:tc>
        <w:tc>
          <w:tcPr>
            <w:tcW w:w="228" w:type="pct"/>
            <w:tcMar>
              <w:top w:w="113" w:type="dxa"/>
              <w:left w:w="57" w:type="dxa"/>
              <w:bottom w:w="113" w:type="dxa"/>
              <w:right w:w="57" w:type="dxa"/>
            </w:tcMar>
            <w:vAlign w:val="center"/>
          </w:tcPr>
          <w:p w14:paraId="0B54BD04"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82.4</w:t>
            </w:r>
          </w:p>
        </w:tc>
        <w:tc>
          <w:tcPr>
            <w:tcW w:w="228" w:type="pct"/>
            <w:vAlign w:val="center"/>
          </w:tcPr>
          <w:p w14:paraId="4CE4059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83.1</w:t>
            </w:r>
          </w:p>
        </w:tc>
        <w:tc>
          <w:tcPr>
            <w:tcW w:w="228" w:type="pct"/>
            <w:tcMar>
              <w:top w:w="113" w:type="dxa"/>
              <w:left w:w="57" w:type="dxa"/>
              <w:bottom w:w="113" w:type="dxa"/>
              <w:right w:w="57" w:type="dxa"/>
            </w:tcMar>
            <w:vAlign w:val="center"/>
          </w:tcPr>
          <w:p w14:paraId="62B7421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59.0</w:t>
            </w:r>
          </w:p>
        </w:tc>
        <w:tc>
          <w:tcPr>
            <w:tcW w:w="228" w:type="pct"/>
            <w:tcMar>
              <w:top w:w="113" w:type="dxa"/>
              <w:left w:w="57" w:type="dxa"/>
              <w:bottom w:w="113" w:type="dxa"/>
              <w:right w:w="57" w:type="dxa"/>
            </w:tcMar>
            <w:vAlign w:val="center"/>
          </w:tcPr>
          <w:p w14:paraId="2B6FCDE4"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66.8</w:t>
            </w:r>
          </w:p>
        </w:tc>
        <w:tc>
          <w:tcPr>
            <w:tcW w:w="228" w:type="pct"/>
            <w:vAlign w:val="center"/>
          </w:tcPr>
          <w:p w14:paraId="7B3A73A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70.1</w:t>
            </w:r>
          </w:p>
        </w:tc>
        <w:tc>
          <w:tcPr>
            <w:tcW w:w="228" w:type="pct"/>
            <w:tcMar>
              <w:top w:w="113" w:type="dxa"/>
              <w:left w:w="57" w:type="dxa"/>
              <w:bottom w:w="113" w:type="dxa"/>
              <w:right w:w="57" w:type="dxa"/>
            </w:tcMar>
            <w:vAlign w:val="center"/>
          </w:tcPr>
          <w:p w14:paraId="0C72AC2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78.4</w:t>
            </w:r>
          </w:p>
        </w:tc>
        <w:tc>
          <w:tcPr>
            <w:tcW w:w="228" w:type="pct"/>
            <w:tcMar>
              <w:top w:w="113" w:type="dxa"/>
              <w:left w:w="0" w:type="dxa"/>
              <w:bottom w:w="113" w:type="dxa"/>
              <w:right w:w="57" w:type="dxa"/>
            </w:tcMar>
            <w:vAlign w:val="center"/>
          </w:tcPr>
          <w:p w14:paraId="264209C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81.7</w:t>
            </w:r>
          </w:p>
        </w:tc>
        <w:tc>
          <w:tcPr>
            <w:tcW w:w="228" w:type="pct"/>
            <w:vAlign w:val="center"/>
          </w:tcPr>
          <w:p w14:paraId="4E7E4CC5"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80.9</w:t>
            </w:r>
          </w:p>
        </w:tc>
        <w:tc>
          <w:tcPr>
            <w:tcW w:w="228" w:type="pct"/>
            <w:tcMar>
              <w:top w:w="113" w:type="dxa"/>
              <w:left w:w="57" w:type="dxa"/>
              <w:bottom w:w="113" w:type="dxa"/>
              <w:right w:w="57" w:type="dxa"/>
            </w:tcMar>
            <w:vAlign w:val="center"/>
          </w:tcPr>
          <w:p w14:paraId="5E53F8D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72.9</w:t>
            </w:r>
          </w:p>
        </w:tc>
        <w:tc>
          <w:tcPr>
            <w:tcW w:w="228" w:type="pct"/>
            <w:tcMar>
              <w:top w:w="113" w:type="dxa"/>
              <w:left w:w="57" w:type="dxa"/>
              <w:bottom w:w="113" w:type="dxa"/>
              <w:right w:w="57" w:type="dxa"/>
            </w:tcMar>
            <w:vAlign w:val="center"/>
          </w:tcPr>
          <w:p w14:paraId="567EDAD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77.6</w:t>
            </w:r>
          </w:p>
        </w:tc>
        <w:tc>
          <w:tcPr>
            <w:tcW w:w="228" w:type="pct"/>
            <w:vAlign w:val="center"/>
          </w:tcPr>
          <w:p w14:paraId="5B9EA93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77.1</w:t>
            </w:r>
          </w:p>
        </w:tc>
        <w:tc>
          <w:tcPr>
            <w:tcW w:w="228" w:type="pct"/>
            <w:tcMar>
              <w:top w:w="113" w:type="dxa"/>
              <w:left w:w="57" w:type="dxa"/>
              <w:bottom w:w="113" w:type="dxa"/>
              <w:right w:w="57" w:type="dxa"/>
            </w:tcMar>
            <w:vAlign w:val="center"/>
          </w:tcPr>
          <w:p w14:paraId="70CFBDB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83.2</w:t>
            </w:r>
          </w:p>
        </w:tc>
        <w:tc>
          <w:tcPr>
            <w:tcW w:w="228" w:type="pct"/>
            <w:tcMar>
              <w:top w:w="113" w:type="dxa"/>
              <w:left w:w="57" w:type="dxa"/>
              <w:bottom w:w="113" w:type="dxa"/>
              <w:right w:w="57" w:type="dxa"/>
            </w:tcMar>
            <w:vAlign w:val="center"/>
          </w:tcPr>
          <w:p w14:paraId="6CAECC0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85.0</w:t>
            </w:r>
          </w:p>
        </w:tc>
        <w:tc>
          <w:tcPr>
            <w:tcW w:w="228" w:type="pct"/>
            <w:vAlign w:val="center"/>
          </w:tcPr>
          <w:p w14:paraId="08D7318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83.2</w:t>
            </w:r>
          </w:p>
        </w:tc>
        <w:tc>
          <w:tcPr>
            <w:tcW w:w="228" w:type="pct"/>
            <w:tcMar>
              <w:top w:w="113" w:type="dxa"/>
              <w:left w:w="57" w:type="dxa"/>
              <w:bottom w:w="113" w:type="dxa"/>
              <w:right w:w="57" w:type="dxa"/>
            </w:tcMar>
            <w:vAlign w:val="center"/>
          </w:tcPr>
          <w:p w14:paraId="4294701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72.8</w:t>
            </w:r>
          </w:p>
        </w:tc>
        <w:tc>
          <w:tcPr>
            <w:tcW w:w="228" w:type="pct"/>
            <w:tcMar>
              <w:top w:w="113" w:type="dxa"/>
              <w:left w:w="0" w:type="dxa"/>
              <w:bottom w:w="113" w:type="dxa"/>
              <w:right w:w="0" w:type="dxa"/>
            </w:tcMar>
            <w:vAlign w:val="center"/>
          </w:tcPr>
          <w:p w14:paraId="539D375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75.3</w:t>
            </w:r>
          </w:p>
        </w:tc>
        <w:tc>
          <w:tcPr>
            <w:tcW w:w="228" w:type="pct"/>
            <w:vAlign w:val="center"/>
          </w:tcPr>
          <w:p w14:paraId="515FD5C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74.4</w:t>
            </w:r>
          </w:p>
        </w:tc>
      </w:tr>
      <w:tr w:rsidR="0066499D" w:rsidRPr="00E8656C" w14:paraId="771E30A3" w14:textId="77777777" w:rsidTr="005E54CB">
        <w:trPr>
          <w:cantSplit/>
          <w:trHeight w:val="60"/>
        </w:trPr>
        <w:tc>
          <w:tcPr>
            <w:tcW w:w="446" w:type="pct"/>
            <w:vAlign w:val="center"/>
          </w:tcPr>
          <w:p w14:paraId="7CAE688E"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Disability</w:t>
            </w:r>
          </w:p>
        </w:tc>
        <w:tc>
          <w:tcPr>
            <w:tcW w:w="449" w:type="pct"/>
            <w:tcMar>
              <w:top w:w="113" w:type="dxa"/>
              <w:left w:w="57" w:type="dxa"/>
              <w:bottom w:w="113" w:type="dxa"/>
              <w:right w:w="57" w:type="dxa"/>
            </w:tcMar>
            <w:vAlign w:val="center"/>
          </w:tcPr>
          <w:p w14:paraId="49EE17A8"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Disability reported</w:t>
            </w:r>
          </w:p>
        </w:tc>
        <w:tc>
          <w:tcPr>
            <w:tcW w:w="228" w:type="pct"/>
            <w:tcMar>
              <w:top w:w="113" w:type="dxa"/>
              <w:left w:w="57" w:type="dxa"/>
              <w:bottom w:w="113" w:type="dxa"/>
              <w:right w:w="57" w:type="dxa"/>
            </w:tcMar>
            <w:vAlign w:val="center"/>
          </w:tcPr>
          <w:p w14:paraId="4E0E5C7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77.3</w:t>
            </w:r>
          </w:p>
        </w:tc>
        <w:tc>
          <w:tcPr>
            <w:tcW w:w="228" w:type="pct"/>
            <w:tcMar>
              <w:top w:w="113" w:type="dxa"/>
              <w:left w:w="57" w:type="dxa"/>
              <w:bottom w:w="113" w:type="dxa"/>
              <w:right w:w="57" w:type="dxa"/>
            </w:tcMar>
            <w:vAlign w:val="center"/>
          </w:tcPr>
          <w:p w14:paraId="17FE82F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78.9</w:t>
            </w:r>
          </w:p>
        </w:tc>
        <w:tc>
          <w:tcPr>
            <w:tcW w:w="228" w:type="pct"/>
            <w:vAlign w:val="center"/>
          </w:tcPr>
          <w:p w14:paraId="19F43FD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77.6</w:t>
            </w:r>
          </w:p>
        </w:tc>
        <w:tc>
          <w:tcPr>
            <w:tcW w:w="228" w:type="pct"/>
            <w:tcMar>
              <w:top w:w="113" w:type="dxa"/>
              <w:left w:w="57" w:type="dxa"/>
              <w:bottom w:w="113" w:type="dxa"/>
              <w:right w:w="57" w:type="dxa"/>
            </w:tcMar>
            <w:vAlign w:val="center"/>
          </w:tcPr>
          <w:p w14:paraId="4A41CE5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50.9</w:t>
            </w:r>
          </w:p>
        </w:tc>
        <w:tc>
          <w:tcPr>
            <w:tcW w:w="228" w:type="pct"/>
            <w:tcMar>
              <w:top w:w="113" w:type="dxa"/>
              <w:left w:w="57" w:type="dxa"/>
              <w:bottom w:w="113" w:type="dxa"/>
              <w:right w:w="57" w:type="dxa"/>
            </w:tcMar>
            <w:vAlign w:val="center"/>
          </w:tcPr>
          <w:p w14:paraId="59965C3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55.5</w:t>
            </w:r>
          </w:p>
        </w:tc>
        <w:tc>
          <w:tcPr>
            <w:tcW w:w="228" w:type="pct"/>
            <w:vAlign w:val="center"/>
          </w:tcPr>
          <w:p w14:paraId="785B833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56.3</w:t>
            </w:r>
          </w:p>
        </w:tc>
        <w:tc>
          <w:tcPr>
            <w:tcW w:w="228" w:type="pct"/>
            <w:tcMar>
              <w:top w:w="113" w:type="dxa"/>
              <w:left w:w="57" w:type="dxa"/>
              <w:bottom w:w="113" w:type="dxa"/>
              <w:right w:w="57" w:type="dxa"/>
            </w:tcMar>
            <w:vAlign w:val="center"/>
          </w:tcPr>
          <w:p w14:paraId="69C4BBE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78.1</w:t>
            </w:r>
          </w:p>
        </w:tc>
        <w:tc>
          <w:tcPr>
            <w:tcW w:w="228" w:type="pct"/>
            <w:tcMar>
              <w:top w:w="113" w:type="dxa"/>
              <w:left w:w="0" w:type="dxa"/>
              <w:bottom w:w="113" w:type="dxa"/>
              <w:right w:w="57" w:type="dxa"/>
            </w:tcMar>
            <w:vAlign w:val="center"/>
          </w:tcPr>
          <w:p w14:paraId="3B69635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79.3</w:t>
            </w:r>
          </w:p>
        </w:tc>
        <w:tc>
          <w:tcPr>
            <w:tcW w:w="228" w:type="pct"/>
            <w:vAlign w:val="center"/>
          </w:tcPr>
          <w:p w14:paraId="5513B81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78.0</w:t>
            </w:r>
          </w:p>
        </w:tc>
        <w:tc>
          <w:tcPr>
            <w:tcW w:w="228" w:type="pct"/>
            <w:tcMar>
              <w:top w:w="113" w:type="dxa"/>
              <w:left w:w="57" w:type="dxa"/>
              <w:bottom w:w="113" w:type="dxa"/>
              <w:right w:w="57" w:type="dxa"/>
            </w:tcMar>
            <w:vAlign w:val="center"/>
          </w:tcPr>
          <w:p w14:paraId="708A6E3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71.3</w:t>
            </w:r>
          </w:p>
        </w:tc>
        <w:tc>
          <w:tcPr>
            <w:tcW w:w="228" w:type="pct"/>
            <w:tcMar>
              <w:top w:w="113" w:type="dxa"/>
              <w:left w:w="57" w:type="dxa"/>
              <w:bottom w:w="113" w:type="dxa"/>
              <w:right w:w="57" w:type="dxa"/>
            </w:tcMar>
            <w:vAlign w:val="center"/>
          </w:tcPr>
          <w:p w14:paraId="09B36411"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68.7</w:t>
            </w:r>
          </w:p>
        </w:tc>
        <w:tc>
          <w:tcPr>
            <w:tcW w:w="228" w:type="pct"/>
            <w:vAlign w:val="center"/>
          </w:tcPr>
          <w:p w14:paraId="42128E4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67.0</w:t>
            </w:r>
          </w:p>
        </w:tc>
        <w:tc>
          <w:tcPr>
            <w:tcW w:w="228" w:type="pct"/>
            <w:tcMar>
              <w:top w:w="113" w:type="dxa"/>
              <w:left w:w="57" w:type="dxa"/>
              <w:bottom w:w="113" w:type="dxa"/>
              <w:right w:w="57" w:type="dxa"/>
            </w:tcMar>
            <w:vAlign w:val="center"/>
          </w:tcPr>
          <w:p w14:paraId="5CE848A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80.5</w:t>
            </w:r>
          </w:p>
        </w:tc>
        <w:tc>
          <w:tcPr>
            <w:tcW w:w="228" w:type="pct"/>
            <w:tcMar>
              <w:top w:w="113" w:type="dxa"/>
              <w:left w:w="57" w:type="dxa"/>
              <w:bottom w:w="113" w:type="dxa"/>
              <w:right w:w="57" w:type="dxa"/>
            </w:tcMar>
            <w:vAlign w:val="center"/>
          </w:tcPr>
          <w:p w14:paraId="5637FDD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81.2</w:t>
            </w:r>
          </w:p>
        </w:tc>
        <w:tc>
          <w:tcPr>
            <w:tcW w:w="228" w:type="pct"/>
            <w:vAlign w:val="center"/>
          </w:tcPr>
          <w:p w14:paraId="3D13074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78.6</w:t>
            </w:r>
          </w:p>
        </w:tc>
        <w:tc>
          <w:tcPr>
            <w:tcW w:w="228" w:type="pct"/>
            <w:tcMar>
              <w:top w:w="113" w:type="dxa"/>
              <w:left w:w="57" w:type="dxa"/>
              <w:bottom w:w="113" w:type="dxa"/>
              <w:right w:w="57" w:type="dxa"/>
            </w:tcMar>
            <w:vAlign w:val="center"/>
          </w:tcPr>
          <w:p w14:paraId="1E0A787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73.8</w:t>
            </w:r>
          </w:p>
        </w:tc>
        <w:tc>
          <w:tcPr>
            <w:tcW w:w="228" w:type="pct"/>
            <w:tcMar>
              <w:top w:w="113" w:type="dxa"/>
              <w:left w:w="0" w:type="dxa"/>
              <w:bottom w:w="113" w:type="dxa"/>
              <w:right w:w="0" w:type="dxa"/>
            </w:tcMar>
            <w:vAlign w:val="center"/>
          </w:tcPr>
          <w:p w14:paraId="12BC795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75.1</w:t>
            </w:r>
          </w:p>
        </w:tc>
        <w:tc>
          <w:tcPr>
            <w:tcW w:w="228" w:type="pct"/>
            <w:vAlign w:val="center"/>
          </w:tcPr>
          <w:p w14:paraId="6388186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74.1</w:t>
            </w:r>
          </w:p>
        </w:tc>
      </w:tr>
      <w:tr w:rsidR="0066499D" w:rsidRPr="00E8656C" w14:paraId="7BAD38AF" w14:textId="77777777" w:rsidTr="005E54CB">
        <w:trPr>
          <w:cantSplit/>
          <w:trHeight w:val="60"/>
        </w:trPr>
        <w:tc>
          <w:tcPr>
            <w:tcW w:w="446" w:type="pct"/>
            <w:vAlign w:val="center"/>
          </w:tcPr>
          <w:p w14:paraId="5C3CE702" w14:textId="20A8ACEC" w:rsidR="00BE5305"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Disability</w:t>
            </w:r>
          </w:p>
        </w:tc>
        <w:tc>
          <w:tcPr>
            <w:tcW w:w="449" w:type="pct"/>
            <w:tcMar>
              <w:top w:w="113" w:type="dxa"/>
              <w:left w:w="57" w:type="dxa"/>
              <w:bottom w:w="113" w:type="dxa"/>
              <w:right w:w="57" w:type="dxa"/>
            </w:tcMar>
            <w:vAlign w:val="center"/>
          </w:tcPr>
          <w:p w14:paraId="27771311"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No disability reported</w:t>
            </w:r>
          </w:p>
        </w:tc>
        <w:tc>
          <w:tcPr>
            <w:tcW w:w="228" w:type="pct"/>
            <w:tcMar>
              <w:top w:w="113" w:type="dxa"/>
              <w:left w:w="57" w:type="dxa"/>
              <w:bottom w:w="113" w:type="dxa"/>
              <w:right w:w="57" w:type="dxa"/>
            </w:tcMar>
            <w:vAlign w:val="center"/>
          </w:tcPr>
          <w:p w14:paraId="1E2336C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80.8</w:t>
            </w:r>
          </w:p>
        </w:tc>
        <w:tc>
          <w:tcPr>
            <w:tcW w:w="228" w:type="pct"/>
            <w:tcMar>
              <w:top w:w="113" w:type="dxa"/>
              <w:left w:w="57" w:type="dxa"/>
              <w:bottom w:w="113" w:type="dxa"/>
              <w:right w:w="57" w:type="dxa"/>
            </w:tcMar>
            <w:vAlign w:val="center"/>
          </w:tcPr>
          <w:p w14:paraId="47F8AA8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81.4</w:t>
            </w:r>
          </w:p>
        </w:tc>
        <w:tc>
          <w:tcPr>
            <w:tcW w:w="228" w:type="pct"/>
            <w:vAlign w:val="center"/>
          </w:tcPr>
          <w:p w14:paraId="29B31F7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81.4</w:t>
            </w:r>
          </w:p>
        </w:tc>
        <w:tc>
          <w:tcPr>
            <w:tcW w:w="228" w:type="pct"/>
            <w:tcMar>
              <w:top w:w="113" w:type="dxa"/>
              <w:left w:w="57" w:type="dxa"/>
              <w:bottom w:w="113" w:type="dxa"/>
              <w:right w:w="57" w:type="dxa"/>
            </w:tcMar>
            <w:vAlign w:val="center"/>
          </w:tcPr>
          <w:p w14:paraId="57CBD075"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55.6</w:t>
            </w:r>
          </w:p>
        </w:tc>
        <w:tc>
          <w:tcPr>
            <w:tcW w:w="228" w:type="pct"/>
            <w:tcMar>
              <w:top w:w="113" w:type="dxa"/>
              <w:left w:w="57" w:type="dxa"/>
              <w:bottom w:w="113" w:type="dxa"/>
              <w:right w:w="57" w:type="dxa"/>
            </w:tcMar>
            <w:vAlign w:val="center"/>
          </w:tcPr>
          <w:p w14:paraId="4108EE5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59.3</w:t>
            </w:r>
          </w:p>
        </w:tc>
        <w:tc>
          <w:tcPr>
            <w:tcW w:w="228" w:type="pct"/>
            <w:vAlign w:val="center"/>
          </w:tcPr>
          <w:p w14:paraId="0EAD928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60.7</w:t>
            </w:r>
          </w:p>
        </w:tc>
        <w:tc>
          <w:tcPr>
            <w:tcW w:w="228" w:type="pct"/>
            <w:tcMar>
              <w:top w:w="113" w:type="dxa"/>
              <w:left w:w="57" w:type="dxa"/>
              <w:bottom w:w="113" w:type="dxa"/>
              <w:right w:w="57" w:type="dxa"/>
            </w:tcMar>
            <w:vAlign w:val="center"/>
          </w:tcPr>
          <w:p w14:paraId="33D9DFC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80.4</w:t>
            </w:r>
          </w:p>
        </w:tc>
        <w:tc>
          <w:tcPr>
            <w:tcW w:w="228" w:type="pct"/>
            <w:tcMar>
              <w:top w:w="113" w:type="dxa"/>
              <w:left w:w="0" w:type="dxa"/>
              <w:bottom w:w="113" w:type="dxa"/>
              <w:right w:w="57" w:type="dxa"/>
            </w:tcMar>
            <w:vAlign w:val="center"/>
          </w:tcPr>
          <w:p w14:paraId="486A1C9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80.9</w:t>
            </w:r>
          </w:p>
        </w:tc>
        <w:tc>
          <w:tcPr>
            <w:tcW w:w="228" w:type="pct"/>
            <w:vAlign w:val="center"/>
          </w:tcPr>
          <w:p w14:paraId="29D6F9F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80.6</w:t>
            </w:r>
          </w:p>
        </w:tc>
        <w:tc>
          <w:tcPr>
            <w:tcW w:w="228" w:type="pct"/>
            <w:tcMar>
              <w:top w:w="113" w:type="dxa"/>
              <w:left w:w="57" w:type="dxa"/>
              <w:bottom w:w="113" w:type="dxa"/>
              <w:right w:w="57" w:type="dxa"/>
            </w:tcMar>
            <w:vAlign w:val="center"/>
          </w:tcPr>
          <w:p w14:paraId="3741166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73.1</w:t>
            </w:r>
          </w:p>
        </w:tc>
        <w:tc>
          <w:tcPr>
            <w:tcW w:w="228" w:type="pct"/>
            <w:tcMar>
              <w:top w:w="113" w:type="dxa"/>
              <w:left w:w="57" w:type="dxa"/>
              <w:bottom w:w="113" w:type="dxa"/>
              <w:right w:w="57" w:type="dxa"/>
            </w:tcMar>
            <w:vAlign w:val="center"/>
          </w:tcPr>
          <w:p w14:paraId="57066AA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71.6</w:t>
            </w:r>
          </w:p>
        </w:tc>
        <w:tc>
          <w:tcPr>
            <w:tcW w:w="228" w:type="pct"/>
            <w:vAlign w:val="center"/>
          </w:tcPr>
          <w:p w14:paraId="2C3669B4"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71.7</w:t>
            </w:r>
          </w:p>
        </w:tc>
        <w:tc>
          <w:tcPr>
            <w:tcW w:w="228" w:type="pct"/>
            <w:tcMar>
              <w:top w:w="113" w:type="dxa"/>
              <w:left w:w="57" w:type="dxa"/>
              <w:bottom w:w="113" w:type="dxa"/>
              <w:right w:w="57" w:type="dxa"/>
            </w:tcMar>
            <w:vAlign w:val="center"/>
          </w:tcPr>
          <w:p w14:paraId="3E81DA7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83.9</w:t>
            </w:r>
          </w:p>
        </w:tc>
        <w:tc>
          <w:tcPr>
            <w:tcW w:w="228" w:type="pct"/>
            <w:tcMar>
              <w:top w:w="113" w:type="dxa"/>
              <w:left w:w="57" w:type="dxa"/>
              <w:bottom w:w="113" w:type="dxa"/>
              <w:right w:w="57" w:type="dxa"/>
            </w:tcMar>
            <w:vAlign w:val="center"/>
          </w:tcPr>
          <w:p w14:paraId="16A7947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84.2</w:t>
            </w:r>
          </w:p>
        </w:tc>
        <w:tc>
          <w:tcPr>
            <w:tcW w:w="228" w:type="pct"/>
            <w:vAlign w:val="center"/>
          </w:tcPr>
          <w:p w14:paraId="35F6CB9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83.3</w:t>
            </w:r>
          </w:p>
        </w:tc>
        <w:tc>
          <w:tcPr>
            <w:tcW w:w="228" w:type="pct"/>
            <w:tcMar>
              <w:top w:w="113" w:type="dxa"/>
              <w:left w:w="57" w:type="dxa"/>
              <w:bottom w:w="113" w:type="dxa"/>
              <w:right w:w="57" w:type="dxa"/>
            </w:tcMar>
            <w:vAlign w:val="center"/>
          </w:tcPr>
          <w:p w14:paraId="57EDCC41"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76.1</w:t>
            </w:r>
          </w:p>
        </w:tc>
        <w:tc>
          <w:tcPr>
            <w:tcW w:w="228" w:type="pct"/>
            <w:tcMar>
              <w:top w:w="113" w:type="dxa"/>
              <w:left w:w="0" w:type="dxa"/>
              <w:bottom w:w="113" w:type="dxa"/>
              <w:right w:w="0" w:type="dxa"/>
            </w:tcMar>
            <w:vAlign w:val="center"/>
          </w:tcPr>
          <w:p w14:paraId="58C1B66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77.0</w:t>
            </w:r>
          </w:p>
        </w:tc>
        <w:tc>
          <w:tcPr>
            <w:tcW w:w="228" w:type="pct"/>
            <w:vAlign w:val="center"/>
          </w:tcPr>
          <w:p w14:paraId="1A7E55C5"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76.9</w:t>
            </w:r>
          </w:p>
        </w:tc>
      </w:tr>
      <w:tr w:rsidR="0066499D" w:rsidRPr="00E8656C" w14:paraId="585FA1AB" w14:textId="77777777" w:rsidTr="005E54CB">
        <w:trPr>
          <w:cantSplit/>
          <w:trHeight w:val="60"/>
        </w:trPr>
        <w:tc>
          <w:tcPr>
            <w:tcW w:w="446" w:type="pct"/>
            <w:vAlign w:val="center"/>
          </w:tcPr>
          <w:p w14:paraId="3F6494C6" w14:textId="14CC8BBB" w:rsidR="00BE5305" w:rsidRPr="00E8656C" w:rsidRDefault="00227933" w:rsidP="0066499D">
            <w:pPr>
              <w:pStyle w:val="Tabletextupdate"/>
              <w:framePr w:wrap="auto"/>
              <w:rPr>
                <w:rFonts w:ascii="Arial" w:hAnsi="Arial" w:cs="Arial"/>
                <w:b/>
                <w:bCs/>
                <w:color w:val="auto"/>
                <w:sz w:val="18"/>
              </w:rPr>
            </w:pPr>
            <w:r w:rsidRPr="00E8656C">
              <w:rPr>
                <w:rFonts w:ascii="Arial" w:hAnsi="Arial" w:cs="Arial"/>
                <w:b/>
                <w:bCs/>
                <w:color w:val="auto"/>
                <w:sz w:val="18"/>
              </w:rPr>
              <w:t>Citizenship</w:t>
            </w:r>
            <w:r w:rsidR="00BE5305" w:rsidRPr="00E8656C">
              <w:rPr>
                <w:rFonts w:ascii="Arial" w:hAnsi="Arial" w:cs="Arial"/>
                <w:b/>
                <w:bCs/>
                <w:color w:val="auto"/>
                <w:sz w:val="18"/>
              </w:rPr>
              <w:t xml:space="preserve"> status</w:t>
            </w:r>
          </w:p>
        </w:tc>
        <w:tc>
          <w:tcPr>
            <w:tcW w:w="449" w:type="pct"/>
            <w:tcMar>
              <w:top w:w="113" w:type="dxa"/>
              <w:left w:w="57" w:type="dxa"/>
              <w:bottom w:w="113" w:type="dxa"/>
              <w:right w:w="57" w:type="dxa"/>
            </w:tcMar>
            <w:vAlign w:val="center"/>
          </w:tcPr>
          <w:p w14:paraId="10AC4BDF" w14:textId="633B430A"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Domestic</w:t>
            </w:r>
          </w:p>
        </w:tc>
        <w:tc>
          <w:tcPr>
            <w:tcW w:w="228" w:type="pct"/>
            <w:tcMar>
              <w:top w:w="113" w:type="dxa"/>
              <w:left w:w="57" w:type="dxa"/>
              <w:bottom w:w="113" w:type="dxa"/>
              <w:right w:w="57" w:type="dxa"/>
            </w:tcMar>
            <w:vAlign w:val="center"/>
          </w:tcPr>
          <w:p w14:paraId="3CE7589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80.2</w:t>
            </w:r>
          </w:p>
        </w:tc>
        <w:tc>
          <w:tcPr>
            <w:tcW w:w="228" w:type="pct"/>
            <w:tcMar>
              <w:top w:w="113" w:type="dxa"/>
              <w:left w:w="57" w:type="dxa"/>
              <w:bottom w:w="113" w:type="dxa"/>
              <w:right w:w="57" w:type="dxa"/>
            </w:tcMar>
            <w:vAlign w:val="center"/>
          </w:tcPr>
          <w:p w14:paraId="123F7E7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80.6</w:t>
            </w:r>
          </w:p>
        </w:tc>
        <w:tc>
          <w:tcPr>
            <w:tcW w:w="228" w:type="pct"/>
            <w:vAlign w:val="center"/>
          </w:tcPr>
          <w:p w14:paraId="28E45A21"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80.4</w:t>
            </w:r>
          </w:p>
        </w:tc>
        <w:tc>
          <w:tcPr>
            <w:tcW w:w="228" w:type="pct"/>
            <w:tcMar>
              <w:top w:w="113" w:type="dxa"/>
              <w:left w:w="57" w:type="dxa"/>
              <w:bottom w:w="113" w:type="dxa"/>
              <w:right w:w="57" w:type="dxa"/>
            </w:tcMar>
            <w:vAlign w:val="center"/>
          </w:tcPr>
          <w:p w14:paraId="5B6259D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54.0</w:t>
            </w:r>
          </w:p>
        </w:tc>
        <w:tc>
          <w:tcPr>
            <w:tcW w:w="228" w:type="pct"/>
            <w:tcMar>
              <w:top w:w="113" w:type="dxa"/>
              <w:left w:w="57" w:type="dxa"/>
              <w:bottom w:w="113" w:type="dxa"/>
              <w:right w:w="57" w:type="dxa"/>
            </w:tcMar>
            <w:vAlign w:val="center"/>
          </w:tcPr>
          <w:p w14:paraId="671E3DC3"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56.6</w:t>
            </w:r>
          </w:p>
        </w:tc>
        <w:tc>
          <w:tcPr>
            <w:tcW w:w="228" w:type="pct"/>
            <w:vAlign w:val="center"/>
          </w:tcPr>
          <w:p w14:paraId="0E3450D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57.4</w:t>
            </w:r>
          </w:p>
        </w:tc>
        <w:tc>
          <w:tcPr>
            <w:tcW w:w="228" w:type="pct"/>
            <w:tcMar>
              <w:top w:w="113" w:type="dxa"/>
              <w:left w:w="57" w:type="dxa"/>
              <w:bottom w:w="113" w:type="dxa"/>
              <w:right w:w="57" w:type="dxa"/>
            </w:tcMar>
            <w:vAlign w:val="center"/>
          </w:tcPr>
          <w:p w14:paraId="080CEF6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80.1</w:t>
            </w:r>
          </w:p>
        </w:tc>
        <w:tc>
          <w:tcPr>
            <w:tcW w:w="228" w:type="pct"/>
            <w:tcMar>
              <w:top w:w="113" w:type="dxa"/>
              <w:left w:w="0" w:type="dxa"/>
              <w:bottom w:w="113" w:type="dxa"/>
              <w:right w:w="57" w:type="dxa"/>
            </w:tcMar>
            <w:vAlign w:val="center"/>
          </w:tcPr>
          <w:p w14:paraId="734983A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80.4</w:t>
            </w:r>
          </w:p>
        </w:tc>
        <w:tc>
          <w:tcPr>
            <w:tcW w:w="228" w:type="pct"/>
            <w:vAlign w:val="center"/>
          </w:tcPr>
          <w:p w14:paraId="664CAF2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79.9</w:t>
            </w:r>
          </w:p>
        </w:tc>
        <w:tc>
          <w:tcPr>
            <w:tcW w:w="228" w:type="pct"/>
            <w:tcMar>
              <w:top w:w="113" w:type="dxa"/>
              <w:left w:w="57" w:type="dxa"/>
              <w:bottom w:w="113" w:type="dxa"/>
              <w:right w:w="57" w:type="dxa"/>
            </w:tcMar>
            <w:vAlign w:val="center"/>
          </w:tcPr>
          <w:p w14:paraId="26E947F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72.5</w:t>
            </w:r>
          </w:p>
        </w:tc>
        <w:tc>
          <w:tcPr>
            <w:tcW w:w="228" w:type="pct"/>
            <w:tcMar>
              <w:top w:w="113" w:type="dxa"/>
              <w:left w:w="57" w:type="dxa"/>
              <w:bottom w:w="113" w:type="dxa"/>
              <w:right w:w="57" w:type="dxa"/>
            </w:tcMar>
            <w:vAlign w:val="center"/>
          </w:tcPr>
          <w:p w14:paraId="5E7A7072"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69.4</w:t>
            </w:r>
          </w:p>
        </w:tc>
        <w:tc>
          <w:tcPr>
            <w:tcW w:w="228" w:type="pct"/>
            <w:vAlign w:val="center"/>
          </w:tcPr>
          <w:p w14:paraId="1A38BB94"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69.2</w:t>
            </w:r>
          </w:p>
        </w:tc>
        <w:tc>
          <w:tcPr>
            <w:tcW w:w="228" w:type="pct"/>
            <w:tcMar>
              <w:top w:w="113" w:type="dxa"/>
              <w:left w:w="57" w:type="dxa"/>
              <w:bottom w:w="113" w:type="dxa"/>
              <w:right w:w="57" w:type="dxa"/>
            </w:tcMar>
            <w:vAlign w:val="center"/>
          </w:tcPr>
          <w:p w14:paraId="0D80E16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83.5</w:t>
            </w:r>
          </w:p>
        </w:tc>
        <w:tc>
          <w:tcPr>
            <w:tcW w:w="228" w:type="pct"/>
            <w:tcMar>
              <w:top w:w="113" w:type="dxa"/>
              <w:left w:w="57" w:type="dxa"/>
              <w:bottom w:w="113" w:type="dxa"/>
              <w:right w:w="57" w:type="dxa"/>
            </w:tcMar>
            <w:vAlign w:val="center"/>
          </w:tcPr>
          <w:p w14:paraId="2453EE95"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83.7</w:t>
            </w:r>
          </w:p>
        </w:tc>
        <w:tc>
          <w:tcPr>
            <w:tcW w:w="228" w:type="pct"/>
            <w:vAlign w:val="center"/>
          </w:tcPr>
          <w:p w14:paraId="42F48C84"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82.7</w:t>
            </w:r>
          </w:p>
        </w:tc>
        <w:tc>
          <w:tcPr>
            <w:tcW w:w="228" w:type="pct"/>
            <w:tcMar>
              <w:top w:w="113" w:type="dxa"/>
              <w:left w:w="57" w:type="dxa"/>
              <w:bottom w:w="113" w:type="dxa"/>
              <w:right w:w="57" w:type="dxa"/>
            </w:tcMar>
            <w:vAlign w:val="center"/>
          </w:tcPr>
          <w:p w14:paraId="3ABF7B3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76.2</w:t>
            </w:r>
          </w:p>
        </w:tc>
        <w:tc>
          <w:tcPr>
            <w:tcW w:w="228" w:type="pct"/>
            <w:tcMar>
              <w:top w:w="113" w:type="dxa"/>
              <w:left w:w="0" w:type="dxa"/>
              <w:bottom w:w="113" w:type="dxa"/>
              <w:right w:w="0" w:type="dxa"/>
            </w:tcMar>
            <w:vAlign w:val="center"/>
          </w:tcPr>
          <w:p w14:paraId="5EE7EAD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76.9</w:t>
            </w:r>
          </w:p>
        </w:tc>
        <w:tc>
          <w:tcPr>
            <w:tcW w:w="228" w:type="pct"/>
            <w:vAlign w:val="center"/>
          </w:tcPr>
          <w:p w14:paraId="02281FFB"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76.9</w:t>
            </w:r>
          </w:p>
        </w:tc>
      </w:tr>
      <w:tr w:rsidR="0066499D" w:rsidRPr="00E8656C" w14:paraId="30B7EB48" w14:textId="77777777" w:rsidTr="005E54CB">
        <w:trPr>
          <w:cantSplit/>
          <w:trHeight w:val="60"/>
        </w:trPr>
        <w:tc>
          <w:tcPr>
            <w:tcW w:w="446" w:type="pct"/>
            <w:vAlign w:val="center"/>
          </w:tcPr>
          <w:p w14:paraId="67CA13E2" w14:textId="2AB441ED" w:rsidR="00BE5305"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Citizenship status</w:t>
            </w:r>
          </w:p>
        </w:tc>
        <w:tc>
          <w:tcPr>
            <w:tcW w:w="449" w:type="pct"/>
            <w:tcMar>
              <w:top w:w="113" w:type="dxa"/>
              <w:left w:w="57" w:type="dxa"/>
              <w:bottom w:w="113" w:type="dxa"/>
              <w:right w:w="57" w:type="dxa"/>
            </w:tcMar>
            <w:vAlign w:val="center"/>
          </w:tcPr>
          <w:p w14:paraId="4E69B21F" w14:textId="4EB9F2EC"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International</w:t>
            </w:r>
          </w:p>
        </w:tc>
        <w:tc>
          <w:tcPr>
            <w:tcW w:w="228" w:type="pct"/>
            <w:tcMar>
              <w:top w:w="113" w:type="dxa"/>
              <w:left w:w="57" w:type="dxa"/>
              <w:bottom w:w="113" w:type="dxa"/>
              <w:right w:w="57" w:type="dxa"/>
            </w:tcMar>
            <w:vAlign w:val="center"/>
          </w:tcPr>
          <w:p w14:paraId="47E3341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81.8</w:t>
            </w:r>
          </w:p>
        </w:tc>
        <w:tc>
          <w:tcPr>
            <w:tcW w:w="228" w:type="pct"/>
            <w:tcMar>
              <w:top w:w="113" w:type="dxa"/>
              <w:left w:w="57" w:type="dxa"/>
              <w:bottom w:w="113" w:type="dxa"/>
              <w:right w:w="57" w:type="dxa"/>
            </w:tcMar>
            <w:vAlign w:val="center"/>
          </w:tcPr>
          <w:p w14:paraId="7253291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83.4</w:t>
            </w:r>
          </w:p>
        </w:tc>
        <w:tc>
          <w:tcPr>
            <w:tcW w:w="228" w:type="pct"/>
            <w:vAlign w:val="center"/>
          </w:tcPr>
          <w:p w14:paraId="7B5CD236"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83.7</w:t>
            </w:r>
          </w:p>
        </w:tc>
        <w:tc>
          <w:tcPr>
            <w:tcW w:w="228" w:type="pct"/>
            <w:tcMar>
              <w:top w:w="113" w:type="dxa"/>
              <w:left w:w="57" w:type="dxa"/>
              <w:bottom w:w="113" w:type="dxa"/>
              <w:right w:w="57" w:type="dxa"/>
            </w:tcMar>
            <w:vAlign w:val="center"/>
          </w:tcPr>
          <w:p w14:paraId="32F966EA"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61.5</w:t>
            </w:r>
          </w:p>
        </w:tc>
        <w:tc>
          <w:tcPr>
            <w:tcW w:w="228" w:type="pct"/>
            <w:tcMar>
              <w:top w:w="113" w:type="dxa"/>
              <w:left w:w="57" w:type="dxa"/>
              <w:bottom w:w="113" w:type="dxa"/>
              <w:right w:w="57" w:type="dxa"/>
            </w:tcMar>
            <w:vAlign w:val="center"/>
          </w:tcPr>
          <w:p w14:paraId="24EDFE3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69.5</w:t>
            </w:r>
          </w:p>
        </w:tc>
        <w:tc>
          <w:tcPr>
            <w:tcW w:w="228" w:type="pct"/>
            <w:vAlign w:val="center"/>
          </w:tcPr>
          <w:p w14:paraId="593F6531"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72.2</w:t>
            </w:r>
          </w:p>
        </w:tc>
        <w:tc>
          <w:tcPr>
            <w:tcW w:w="228" w:type="pct"/>
            <w:tcMar>
              <w:top w:w="113" w:type="dxa"/>
              <w:left w:w="57" w:type="dxa"/>
              <w:bottom w:w="113" w:type="dxa"/>
              <w:right w:w="57" w:type="dxa"/>
            </w:tcMar>
            <w:vAlign w:val="center"/>
          </w:tcPr>
          <w:p w14:paraId="7019EC61"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80.2</w:t>
            </w:r>
          </w:p>
        </w:tc>
        <w:tc>
          <w:tcPr>
            <w:tcW w:w="228" w:type="pct"/>
            <w:tcMar>
              <w:top w:w="113" w:type="dxa"/>
              <w:left w:w="0" w:type="dxa"/>
              <w:bottom w:w="113" w:type="dxa"/>
              <w:right w:w="57" w:type="dxa"/>
            </w:tcMar>
            <w:vAlign w:val="center"/>
          </w:tcPr>
          <w:p w14:paraId="2D8E2E70"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82.5</w:t>
            </w:r>
          </w:p>
        </w:tc>
        <w:tc>
          <w:tcPr>
            <w:tcW w:w="228" w:type="pct"/>
            <w:vAlign w:val="center"/>
          </w:tcPr>
          <w:p w14:paraId="4298596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81.9</w:t>
            </w:r>
          </w:p>
        </w:tc>
        <w:tc>
          <w:tcPr>
            <w:tcW w:w="228" w:type="pct"/>
            <w:tcMar>
              <w:top w:w="113" w:type="dxa"/>
              <w:left w:w="57" w:type="dxa"/>
              <w:bottom w:w="113" w:type="dxa"/>
              <w:right w:w="57" w:type="dxa"/>
            </w:tcMar>
            <w:vAlign w:val="center"/>
          </w:tcPr>
          <w:p w14:paraId="69AB8329"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75.0</w:t>
            </w:r>
          </w:p>
        </w:tc>
        <w:tc>
          <w:tcPr>
            <w:tcW w:w="228" w:type="pct"/>
            <w:tcMar>
              <w:top w:w="113" w:type="dxa"/>
              <w:left w:w="57" w:type="dxa"/>
              <w:bottom w:w="113" w:type="dxa"/>
              <w:right w:w="57" w:type="dxa"/>
            </w:tcMar>
            <w:vAlign w:val="center"/>
          </w:tcPr>
          <w:p w14:paraId="73D3B08E"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78.1</w:t>
            </w:r>
          </w:p>
        </w:tc>
        <w:tc>
          <w:tcPr>
            <w:tcW w:w="228" w:type="pct"/>
            <w:vAlign w:val="center"/>
          </w:tcPr>
          <w:p w14:paraId="1B2930AC"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77.5</w:t>
            </w:r>
          </w:p>
        </w:tc>
        <w:tc>
          <w:tcPr>
            <w:tcW w:w="228" w:type="pct"/>
            <w:tcMar>
              <w:top w:w="113" w:type="dxa"/>
              <w:left w:w="57" w:type="dxa"/>
              <w:bottom w:w="113" w:type="dxa"/>
              <w:right w:w="57" w:type="dxa"/>
            </w:tcMar>
            <w:vAlign w:val="center"/>
          </w:tcPr>
          <w:p w14:paraId="163CFE5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83.8</w:t>
            </w:r>
          </w:p>
        </w:tc>
        <w:tc>
          <w:tcPr>
            <w:tcW w:w="228" w:type="pct"/>
            <w:tcMar>
              <w:top w:w="113" w:type="dxa"/>
              <w:left w:w="57" w:type="dxa"/>
              <w:bottom w:w="113" w:type="dxa"/>
              <w:right w:w="57" w:type="dxa"/>
            </w:tcMar>
            <w:vAlign w:val="center"/>
          </w:tcPr>
          <w:p w14:paraId="3CF630D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84.5</w:t>
            </w:r>
          </w:p>
        </w:tc>
        <w:tc>
          <w:tcPr>
            <w:tcW w:w="228" w:type="pct"/>
            <w:vAlign w:val="center"/>
          </w:tcPr>
          <w:p w14:paraId="4BBD5F48"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83.0</w:t>
            </w:r>
          </w:p>
        </w:tc>
        <w:tc>
          <w:tcPr>
            <w:tcW w:w="228" w:type="pct"/>
            <w:tcMar>
              <w:top w:w="113" w:type="dxa"/>
              <w:left w:w="57" w:type="dxa"/>
              <w:bottom w:w="113" w:type="dxa"/>
              <w:right w:w="57" w:type="dxa"/>
            </w:tcMar>
            <w:vAlign w:val="center"/>
          </w:tcPr>
          <w:p w14:paraId="3AFD348F"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74.4</w:t>
            </w:r>
          </w:p>
        </w:tc>
        <w:tc>
          <w:tcPr>
            <w:tcW w:w="228" w:type="pct"/>
            <w:tcMar>
              <w:top w:w="113" w:type="dxa"/>
              <w:left w:w="0" w:type="dxa"/>
              <w:bottom w:w="113" w:type="dxa"/>
              <w:right w:w="0" w:type="dxa"/>
            </w:tcMar>
            <w:vAlign w:val="center"/>
          </w:tcPr>
          <w:p w14:paraId="1ED61EE7"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75.8</w:t>
            </w:r>
          </w:p>
        </w:tc>
        <w:tc>
          <w:tcPr>
            <w:tcW w:w="228" w:type="pct"/>
            <w:vAlign w:val="center"/>
          </w:tcPr>
          <w:p w14:paraId="176C4C4D" w14:textId="77777777" w:rsidR="00BE5305" w:rsidRPr="00E8656C" w:rsidRDefault="00BE5305" w:rsidP="0066499D">
            <w:pPr>
              <w:pStyle w:val="Tabletextupdate"/>
              <w:framePr w:wrap="auto"/>
              <w:jc w:val="center"/>
              <w:rPr>
                <w:rFonts w:ascii="Arial" w:hAnsi="Arial" w:cs="Arial"/>
                <w:color w:val="auto"/>
                <w:sz w:val="18"/>
              </w:rPr>
            </w:pPr>
            <w:r w:rsidRPr="00E8656C">
              <w:rPr>
                <w:rFonts w:ascii="Arial" w:hAnsi="Arial" w:cs="Arial"/>
                <w:color w:val="auto"/>
                <w:sz w:val="18"/>
              </w:rPr>
              <w:t>74.9</w:t>
            </w:r>
          </w:p>
        </w:tc>
      </w:tr>
      <w:tr w:rsidR="0066499D" w:rsidRPr="00E8656C" w14:paraId="396C06F9" w14:textId="77777777" w:rsidTr="005E54CB">
        <w:trPr>
          <w:cantSplit/>
          <w:trHeight w:val="60"/>
        </w:trPr>
        <w:tc>
          <w:tcPr>
            <w:tcW w:w="446" w:type="pct"/>
            <w:vAlign w:val="center"/>
          </w:tcPr>
          <w:p w14:paraId="1ACA03AC" w14:textId="5519B0D4"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lastRenderedPageBreak/>
              <w:t>First in family status</w:t>
            </w:r>
            <w:r w:rsidRPr="00E8656C">
              <w:rPr>
                <w:rFonts w:ascii="Arial" w:hAnsi="Arial" w:cs="Arial"/>
                <w:b/>
                <w:bCs/>
                <w:color w:val="auto"/>
                <w:sz w:val="18"/>
                <w:vertAlign w:val="superscript"/>
              </w:rPr>
              <w:t>**</w:t>
            </w:r>
            <w:r w:rsidR="00802955" w:rsidRPr="00E8656C">
              <w:rPr>
                <w:rFonts w:ascii="Arial" w:hAnsi="Arial" w:cs="Arial"/>
                <w:b/>
                <w:bCs/>
                <w:color w:val="auto"/>
                <w:sz w:val="18"/>
                <w:vertAlign w:val="superscript"/>
              </w:rPr>
              <w:t>**</w:t>
            </w:r>
          </w:p>
        </w:tc>
        <w:tc>
          <w:tcPr>
            <w:tcW w:w="449" w:type="pct"/>
            <w:tcMar>
              <w:top w:w="113" w:type="dxa"/>
              <w:left w:w="57" w:type="dxa"/>
              <w:bottom w:w="113" w:type="dxa"/>
              <w:right w:w="57" w:type="dxa"/>
            </w:tcMar>
            <w:vAlign w:val="center"/>
          </w:tcPr>
          <w:p w14:paraId="52FBA125"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First in family</w:t>
            </w:r>
          </w:p>
        </w:tc>
        <w:tc>
          <w:tcPr>
            <w:tcW w:w="228" w:type="pct"/>
            <w:tcMar>
              <w:top w:w="113" w:type="dxa"/>
              <w:left w:w="57" w:type="dxa"/>
              <w:bottom w:w="113" w:type="dxa"/>
              <w:right w:w="57" w:type="dxa"/>
            </w:tcMar>
            <w:vAlign w:val="center"/>
          </w:tcPr>
          <w:p w14:paraId="1A61E31B"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80.7</w:t>
            </w:r>
          </w:p>
        </w:tc>
        <w:tc>
          <w:tcPr>
            <w:tcW w:w="228" w:type="pct"/>
            <w:tcMar>
              <w:top w:w="113" w:type="dxa"/>
              <w:left w:w="57" w:type="dxa"/>
              <w:bottom w:w="113" w:type="dxa"/>
              <w:right w:w="57" w:type="dxa"/>
            </w:tcMar>
            <w:vAlign w:val="center"/>
          </w:tcPr>
          <w:p w14:paraId="38525468"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81.1</w:t>
            </w:r>
          </w:p>
        </w:tc>
        <w:tc>
          <w:tcPr>
            <w:tcW w:w="228" w:type="pct"/>
            <w:vAlign w:val="center"/>
          </w:tcPr>
          <w:p w14:paraId="497CEC34"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80.9</w:t>
            </w:r>
          </w:p>
        </w:tc>
        <w:tc>
          <w:tcPr>
            <w:tcW w:w="228" w:type="pct"/>
            <w:tcMar>
              <w:top w:w="113" w:type="dxa"/>
              <w:left w:w="57" w:type="dxa"/>
              <w:bottom w:w="113" w:type="dxa"/>
              <w:right w:w="57" w:type="dxa"/>
            </w:tcMar>
            <w:vAlign w:val="center"/>
          </w:tcPr>
          <w:p w14:paraId="587E593C"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53.9</w:t>
            </w:r>
          </w:p>
        </w:tc>
        <w:tc>
          <w:tcPr>
            <w:tcW w:w="228" w:type="pct"/>
            <w:tcMar>
              <w:top w:w="113" w:type="dxa"/>
              <w:left w:w="57" w:type="dxa"/>
              <w:bottom w:w="113" w:type="dxa"/>
              <w:right w:w="57" w:type="dxa"/>
            </w:tcMar>
            <w:vAlign w:val="center"/>
          </w:tcPr>
          <w:p w14:paraId="0232448B"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55.4</w:t>
            </w:r>
          </w:p>
        </w:tc>
        <w:tc>
          <w:tcPr>
            <w:tcW w:w="228" w:type="pct"/>
            <w:vAlign w:val="center"/>
          </w:tcPr>
          <w:p w14:paraId="5D7C31A1"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56.6</w:t>
            </w:r>
          </w:p>
        </w:tc>
        <w:tc>
          <w:tcPr>
            <w:tcW w:w="228" w:type="pct"/>
            <w:tcMar>
              <w:top w:w="113" w:type="dxa"/>
              <w:left w:w="57" w:type="dxa"/>
              <w:bottom w:w="113" w:type="dxa"/>
              <w:right w:w="57" w:type="dxa"/>
            </w:tcMar>
            <w:vAlign w:val="center"/>
          </w:tcPr>
          <w:p w14:paraId="0088E2FB"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83.7</w:t>
            </w:r>
          </w:p>
        </w:tc>
        <w:tc>
          <w:tcPr>
            <w:tcW w:w="228" w:type="pct"/>
            <w:tcMar>
              <w:top w:w="113" w:type="dxa"/>
              <w:left w:w="0" w:type="dxa"/>
              <w:bottom w:w="113" w:type="dxa"/>
              <w:right w:w="57" w:type="dxa"/>
            </w:tcMar>
            <w:vAlign w:val="center"/>
          </w:tcPr>
          <w:p w14:paraId="1E787A79"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83.9</w:t>
            </w:r>
          </w:p>
        </w:tc>
        <w:tc>
          <w:tcPr>
            <w:tcW w:w="228" w:type="pct"/>
            <w:vAlign w:val="center"/>
          </w:tcPr>
          <w:p w14:paraId="0EFF2BC8"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83.0</w:t>
            </w:r>
          </w:p>
        </w:tc>
        <w:tc>
          <w:tcPr>
            <w:tcW w:w="228" w:type="pct"/>
            <w:tcMar>
              <w:top w:w="113" w:type="dxa"/>
              <w:left w:w="57" w:type="dxa"/>
              <w:bottom w:w="113" w:type="dxa"/>
              <w:right w:w="57" w:type="dxa"/>
            </w:tcMar>
            <w:vAlign w:val="center"/>
          </w:tcPr>
          <w:p w14:paraId="6E3F62FF"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77.9</w:t>
            </w:r>
          </w:p>
        </w:tc>
        <w:tc>
          <w:tcPr>
            <w:tcW w:w="228" w:type="pct"/>
            <w:tcMar>
              <w:top w:w="113" w:type="dxa"/>
              <w:left w:w="57" w:type="dxa"/>
              <w:bottom w:w="113" w:type="dxa"/>
              <w:right w:w="57" w:type="dxa"/>
            </w:tcMar>
            <w:vAlign w:val="center"/>
          </w:tcPr>
          <w:p w14:paraId="10C5AFD6"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76.2</w:t>
            </w:r>
          </w:p>
        </w:tc>
        <w:tc>
          <w:tcPr>
            <w:tcW w:w="228" w:type="pct"/>
            <w:vAlign w:val="center"/>
          </w:tcPr>
          <w:p w14:paraId="0AF762DC"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76.2</w:t>
            </w:r>
          </w:p>
        </w:tc>
        <w:tc>
          <w:tcPr>
            <w:tcW w:w="228" w:type="pct"/>
            <w:tcMar>
              <w:top w:w="113" w:type="dxa"/>
              <w:left w:w="57" w:type="dxa"/>
              <w:bottom w:w="113" w:type="dxa"/>
              <w:right w:w="57" w:type="dxa"/>
            </w:tcMar>
            <w:vAlign w:val="center"/>
          </w:tcPr>
          <w:p w14:paraId="4F985BA7"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87.5</w:t>
            </w:r>
          </w:p>
        </w:tc>
        <w:tc>
          <w:tcPr>
            <w:tcW w:w="228" w:type="pct"/>
            <w:tcMar>
              <w:top w:w="113" w:type="dxa"/>
              <w:left w:w="57" w:type="dxa"/>
              <w:bottom w:w="113" w:type="dxa"/>
              <w:right w:w="57" w:type="dxa"/>
            </w:tcMar>
            <w:vAlign w:val="center"/>
          </w:tcPr>
          <w:p w14:paraId="2300E552"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88.0</w:t>
            </w:r>
          </w:p>
        </w:tc>
        <w:tc>
          <w:tcPr>
            <w:tcW w:w="228" w:type="pct"/>
            <w:vAlign w:val="center"/>
          </w:tcPr>
          <w:p w14:paraId="746A317C"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86.4</w:t>
            </w:r>
          </w:p>
        </w:tc>
        <w:tc>
          <w:tcPr>
            <w:tcW w:w="228" w:type="pct"/>
            <w:tcMar>
              <w:top w:w="113" w:type="dxa"/>
              <w:left w:w="57" w:type="dxa"/>
              <w:bottom w:w="113" w:type="dxa"/>
              <w:right w:w="57" w:type="dxa"/>
            </w:tcMar>
            <w:vAlign w:val="center"/>
          </w:tcPr>
          <w:p w14:paraId="28F952D1"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79.9</w:t>
            </w:r>
          </w:p>
        </w:tc>
        <w:tc>
          <w:tcPr>
            <w:tcW w:w="228" w:type="pct"/>
            <w:tcMar>
              <w:top w:w="113" w:type="dxa"/>
              <w:left w:w="0" w:type="dxa"/>
              <w:bottom w:w="113" w:type="dxa"/>
              <w:right w:w="0" w:type="dxa"/>
            </w:tcMar>
            <w:vAlign w:val="center"/>
          </w:tcPr>
          <w:p w14:paraId="7FEADDA2"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81.0</w:t>
            </w:r>
          </w:p>
        </w:tc>
        <w:tc>
          <w:tcPr>
            <w:tcW w:w="228" w:type="pct"/>
            <w:vAlign w:val="center"/>
          </w:tcPr>
          <w:p w14:paraId="70459B84"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80.5</w:t>
            </w:r>
          </w:p>
        </w:tc>
      </w:tr>
      <w:tr w:rsidR="0066499D" w:rsidRPr="00E8656C" w14:paraId="7B08CBE0" w14:textId="77777777" w:rsidTr="005E54CB">
        <w:trPr>
          <w:cantSplit/>
          <w:trHeight w:val="60"/>
        </w:trPr>
        <w:tc>
          <w:tcPr>
            <w:tcW w:w="446" w:type="pct"/>
            <w:vAlign w:val="center"/>
          </w:tcPr>
          <w:p w14:paraId="00544737" w14:textId="6327DEDC" w:rsidR="00BE5305"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First in family status</w:t>
            </w:r>
            <w:r w:rsidRPr="00E8656C">
              <w:rPr>
                <w:rFonts w:ascii="Arial" w:hAnsi="Arial" w:cs="Arial"/>
                <w:b/>
                <w:bCs/>
                <w:color w:val="auto"/>
                <w:sz w:val="18"/>
                <w:vertAlign w:val="superscript"/>
              </w:rPr>
              <w:t>****</w:t>
            </w:r>
          </w:p>
        </w:tc>
        <w:tc>
          <w:tcPr>
            <w:tcW w:w="449" w:type="pct"/>
            <w:tcMar>
              <w:top w:w="113" w:type="dxa"/>
              <w:left w:w="57" w:type="dxa"/>
              <w:bottom w:w="113" w:type="dxa"/>
              <w:right w:w="57" w:type="dxa"/>
            </w:tcMar>
            <w:vAlign w:val="center"/>
          </w:tcPr>
          <w:p w14:paraId="3C3CCAC5"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Not first in family</w:t>
            </w:r>
          </w:p>
        </w:tc>
        <w:tc>
          <w:tcPr>
            <w:tcW w:w="228" w:type="pct"/>
            <w:tcMar>
              <w:top w:w="113" w:type="dxa"/>
              <w:left w:w="57" w:type="dxa"/>
              <w:bottom w:w="113" w:type="dxa"/>
              <w:right w:w="57" w:type="dxa"/>
            </w:tcMar>
            <w:vAlign w:val="center"/>
          </w:tcPr>
          <w:p w14:paraId="033BAD7B"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79.2</w:t>
            </w:r>
          </w:p>
        </w:tc>
        <w:tc>
          <w:tcPr>
            <w:tcW w:w="228" w:type="pct"/>
            <w:tcMar>
              <w:top w:w="113" w:type="dxa"/>
              <w:left w:w="57" w:type="dxa"/>
              <w:bottom w:w="113" w:type="dxa"/>
              <w:right w:w="57" w:type="dxa"/>
            </w:tcMar>
            <w:vAlign w:val="center"/>
          </w:tcPr>
          <w:p w14:paraId="237AF53E"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79.8</w:t>
            </w:r>
          </w:p>
        </w:tc>
        <w:tc>
          <w:tcPr>
            <w:tcW w:w="228" w:type="pct"/>
            <w:vAlign w:val="center"/>
          </w:tcPr>
          <w:p w14:paraId="3F1F0FC9"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79.5</w:t>
            </w:r>
          </w:p>
        </w:tc>
        <w:tc>
          <w:tcPr>
            <w:tcW w:w="228" w:type="pct"/>
            <w:tcMar>
              <w:top w:w="113" w:type="dxa"/>
              <w:left w:w="57" w:type="dxa"/>
              <w:bottom w:w="113" w:type="dxa"/>
              <w:right w:w="57" w:type="dxa"/>
            </w:tcMar>
            <w:vAlign w:val="center"/>
          </w:tcPr>
          <w:p w14:paraId="25AD6EB5"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59.0</w:t>
            </w:r>
          </w:p>
        </w:tc>
        <w:tc>
          <w:tcPr>
            <w:tcW w:w="228" w:type="pct"/>
            <w:tcMar>
              <w:top w:w="113" w:type="dxa"/>
              <w:left w:w="57" w:type="dxa"/>
              <w:bottom w:w="113" w:type="dxa"/>
              <w:right w:w="57" w:type="dxa"/>
            </w:tcMar>
            <w:vAlign w:val="center"/>
          </w:tcPr>
          <w:p w14:paraId="097CE3AF"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62.4</w:t>
            </w:r>
          </w:p>
        </w:tc>
        <w:tc>
          <w:tcPr>
            <w:tcW w:w="228" w:type="pct"/>
            <w:vAlign w:val="center"/>
          </w:tcPr>
          <w:p w14:paraId="17376075"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63.0</w:t>
            </w:r>
          </w:p>
        </w:tc>
        <w:tc>
          <w:tcPr>
            <w:tcW w:w="228" w:type="pct"/>
            <w:tcMar>
              <w:top w:w="113" w:type="dxa"/>
              <w:left w:w="57" w:type="dxa"/>
              <w:bottom w:w="113" w:type="dxa"/>
              <w:right w:w="57" w:type="dxa"/>
            </w:tcMar>
            <w:vAlign w:val="center"/>
          </w:tcPr>
          <w:p w14:paraId="427C1E9A"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83.0</w:t>
            </w:r>
          </w:p>
        </w:tc>
        <w:tc>
          <w:tcPr>
            <w:tcW w:w="228" w:type="pct"/>
            <w:tcMar>
              <w:top w:w="113" w:type="dxa"/>
              <w:left w:w="0" w:type="dxa"/>
              <w:bottom w:w="113" w:type="dxa"/>
              <w:right w:w="57" w:type="dxa"/>
            </w:tcMar>
            <w:vAlign w:val="center"/>
          </w:tcPr>
          <w:p w14:paraId="2EAED955"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83.9</w:t>
            </w:r>
          </w:p>
        </w:tc>
        <w:tc>
          <w:tcPr>
            <w:tcW w:w="228" w:type="pct"/>
            <w:vAlign w:val="center"/>
          </w:tcPr>
          <w:p w14:paraId="04D44E20"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82.2</w:t>
            </w:r>
          </w:p>
        </w:tc>
        <w:tc>
          <w:tcPr>
            <w:tcW w:w="228" w:type="pct"/>
            <w:tcMar>
              <w:top w:w="113" w:type="dxa"/>
              <w:left w:w="57" w:type="dxa"/>
              <w:bottom w:w="113" w:type="dxa"/>
              <w:right w:w="57" w:type="dxa"/>
            </w:tcMar>
            <w:vAlign w:val="center"/>
          </w:tcPr>
          <w:p w14:paraId="5FC5D699"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74.6</w:t>
            </w:r>
          </w:p>
        </w:tc>
        <w:tc>
          <w:tcPr>
            <w:tcW w:w="228" w:type="pct"/>
            <w:tcMar>
              <w:top w:w="113" w:type="dxa"/>
              <w:left w:w="57" w:type="dxa"/>
              <w:bottom w:w="113" w:type="dxa"/>
              <w:right w:w="57" w:type="dxa"/>
            </w:tcMar>
            <w:vAlign w:val="center"/>
          </w:tcPr>
          <w:p w14:paraId="43C69588"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73.3</w:t>
            </w:r>
          </w:p>
        </w:tc>
        <w:tc>
          <w:tcPr>
            <w:tcW w:w="228" w:type="pct"/>
            <w:vAlign w:val="center"/>
          </w:tcPr>
          <w:p w14:paraId="3463561A"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72.0</w:t>
            </w:r>
          </w:p>
        </w:tc>
        <w:tc>
          <w:tcPr>
            <w:tcW w:w="228" w:type="pct"/>
            <w:tcMar>
              <w:top w:w="113" w:type="dxa"/>
              <w:left w:w="57" w:type="dxa"/>
              <w:bottom w:w="113" w:type="dxa"/>
              <w:right w:w="57" w:type="dxa"/>
            </w:tcMar>
            <w:vAlign w:val="center"/>
          </w:tcPr>
          <w:p w14:paraId="61EAF929"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87.2</w:t>
            </w:r>
          </w:p>
        </w:tc>
        <w:tc>
          <w:tcPr>
            <w:tcW w:w="228" w:type="pct"/>
            <w:tcMar>
              <w:top w:w="113" w:type="dxa"/>
              <w:left w:w="57" w:type="dxa"/>
              <w:bottom w:w="113" w:type="dxa"/>
              <w:right w:w="57" w:type="dxa"/>
            </w:tcMar>
            <w:vAlign w:val="center"/>
          </w:tcPr>
          <w:p w14:paraId="0E65924F"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87.4</w:t>
            </w:r>
          </w:p>
        </w:tc>
        <w:tc>
          <w:tcPr>
            <w:tcW w:w="228" w:type="pct"/>
            <w:vAlign w:val="center"/>
          </w:tcPr>
          <w:p w14:paraId="69AA9034"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86.3</w:t>
            </w:r>
          </w:p>
        </w:tc>
        <w:tc>
          <w:tcPr>
            <w:tcW w:w="228" w:type="pct"/>
            <w:tcMar>
              <w:top w:w="113" w:type="dxa"/>
              <w:left w:w="57" w:type="dxa"/>
              <w:bottom w:w="113" w:type="dxa"/>
              <w:right w:w="57" w:type="dxa"/>
            </w:tcMar>
            <w:vAlign w:val="center"/>
          </w:tcPr>
          <w:p w14:paraId="4F6AFAE0"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79.2</w:t>
            </w:r>
          </w:p>
        </w:tc>
        <w:tc>
          <w:tcPr>
            <w:tcW w:w="228" w:type="pct"/>
            <w:tcMar>
              <w:top w:w="113" w:type="dxa"/>
              <w:left w:w="0" w:type="dxa"/>
              <w:bottom w:w="113" w:type="dxa"/>
              <w:right w:w="0" w:type="dxa"/>
            </w:tcMar>
            <w:vAlign w:val="center"/>
          </w:tcPr>
          <w:p w14:paraId="56273100"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80.2</w:t>
            </w:r>
          </w:p>
        </w:tc>
        <w:tc>
          <w:tcPr>
            <w:tcW w:w="228" w:type="pct"/>
            <w:vAlign w:val="center"/>
          </w:tcPr>
          <w:p w14:paraId="388FADBC"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79.2</w:t>
            </w:r>
          </w:p>
        </w:tc>
      </w:tr>
      <w:tr w:rsidR="0066499D" w:rsidRPr="00E8656C" w14:paraId="5345C535" w14:textId="77777777" w:rsidTr="005E54CB">
        <w:trPr>
          <w:cantSplit/>
          <w:trHeight w:val="60"/>
        </w:trPr>
        <w:tc>
          <w:tcPr>
            <w:tcW w:w="446" w:type="pct"/>
            <w:vAlign w:val="center"/>
          </w:tcPr>
          <w:p w14:paraId="1B8254A0" w14:textId="08890223"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Previous higher education experience</w:t>
            </w:r>
          </w:p>
        </w:tc>
        <w:tc>
          <w:tcPr>
            <w:tcW w:w="449" w:type="pct"/>
            <w:tcMar>
              <w:top w:w="113" w:type="dxa"/>
              <w:left w:w="57" w:type="dxa"/>
              <w:bottom w:w="113" w:type="dxa"/>
              <w:right w:w="57" w:type="dxa"/>
            </w:tcMar>
            <w:vAlign w:val="center"/>
          </w:tcPr>
          <w:p w14:paraId="71F54887" w14:textId="77777777" w:rsidR="00BE5305" w:rsidRPr="00E8656C" w:rsidRDefault="00BE5305" w:rsidP="0066499D">
            <w:pPr>
              <w:pStyle w:val="Tabletextupdate"/>
              <w:framePr w:wrap="auto"/>
              <w:rPr>
                <w:rFonts w:ascii="Arial" w:hAnsi="Arial" w:cs="Arial"/>
                <w:b/>
                <w:bCs/>
                <w:color w:val="auto"/>
                <w:sz w:val="18"/>
              </w:rPr>
            </w:pPr>
            <w:r w:rsidRPr="00E8656C">
              <w:rPr>
                <w:rFonts w:ascii="Arial" w:hAnsi="Arial" w:cs="Arial"/>
                <w:b/>
                <w:bCs/>
                <w:color w:val="auto"/>
                <w:sz w:val="18"/>
              </w:rPr>
              <w:t>At current institution</w:t>
            </w:r>
          </w:p>
        </w:tc>
        <w:tc>
          <w:tcPr>
            <w:tcW w:w="228" w:type="pct"/>
            <w:tcMar>
              <w:top w:w="113" w:type="dxa"/>
              <w:left w:w="57" w:type="dxa"/>
              <w:bottom w:w="113" w:type="dxa"/>
              <w:right w:w="57" w:type="dxa"/>
            </w:tcMar>
            <w:vAlign w:val="center"/>
          </w:tcPr>
          <w:p w14:paraId="69EC4B0B"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79.6</w:t>
            </w:r>
          </w:p>
        </w:tc>
        <w:tc>
          <w:tcPr>
            <w:tcW w:w="228" w:type="pct"/>
            <w:tcMar>
              <w:top w:w="113" w:type="dxa"/>
              <w:left w:w="57" w:type="dxa"/>
              <w:bottom w:w="113" w:type="dxa"/>
              <w:right w:w="57" w:type="dxa"/>
            </w:tcMar>
            <w:vAlign w:val="center"/>
          </w:tcPr>
          <w:p w14:paraId="2907C355"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80.3</w:t>
            </w:r>
          </w:p>
        </w:tc>
        <w:tc>
          <w:tcPr>
            <w:tcW w:w="228" w:type="pct"/>
            <w:vAlign w:val="center"/>
          </w:tcPr>
          <w:p w14:paraId="29DD61A8"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80.3</w:t>
            </w:r>
          </w:p>
        </w:tc>
        <w:tc>
          <w:tcPr>
            <w:tcW w:w="228" w:type="pct"/>
            <w:tcMar>
              <w:top w:w="113" w:type="dxa"/>
              <w:left w:w="57" w:type="dxa"/>
              <w:bottom w:w="113" w:type="dxa"/>
              <w:right w:w="57" w:type="dxa"/>
            </w:tcMar>
            <w:vAlign w:val="center"/>
          </w:tcPr>
          <w:p w14:paraId="2CF83257"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53.1</w:t>
            </w:r>
          </w:p>
        </w:tc>
        <w:tc>
          <w:tcPr>
            <w:tcW w:w="228" w:type="pct"/>
            <w:tcMar>
              <w:top w:w="113" w:type="dxa"/>
              <w:left w:w="57" w:type="dxa"/>
              <w:bottom w:w="113" w:type="dxa"/>
              <w:right w:w="57" w:type="dxa"/>
            </w:tcMar>
            <w:vAlign w:val="center"/>
          </w:tcPr>
          <w:p w14:paraId="48AFF1F2"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54.7</w:t>
            </w:r>
          </w:p>
        </w:tc>
        <w:tc>
          <w:tcPr>
            <w:tcW w:w="228" w:type="pct"/>
            <w:vAlign w:val="center"/>
          </w:tcPr>
          <w:p w14:paraId="20E1AF8D"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56.1</w:t>
            </w:r>
          </w:p>
        </w:tc>
        <w:tc>
          <w:tcPr>
            <w:tcW w:w="228" w:type="pct"/>
            <w:tcMar>
              <w:top w:w="113" w:type="dxa"/>
              <w:left w:w="57" w:type="dxa"/>
              <w:bottom w:w="113" w:type="dxa"/>
              <w:right w:w="57" w:type="dxa"/>
            </w:tcMar>
            <w:vAlign w:val="center"/>
          </w:tcPr>
          <w:p w14:paraId="0D187783"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82.7</w:t>
            </w:r>
          </w:p>
        </w:tc>
        <w:tc>
          <w:tcPr>
            <w:tcW w:w="228" w:type="pct"/>
            <w:tcMar>
              <w:top w:w="113" w:type="dxa"/>
              <w:left w:w="0" w:type="dxa"/>
              <w:bottom w:w="113" w:type="dxa"/>
              <w:right w:w="57" w:type="dxa"/>
            </w:tcMar>
            <w:vAlign w:val="center"/>
          </w:tcPr>
          <w:p w14:paraId="7EAD9468"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83.0</w:t>
            </w:r>
          </w:p>
        </w:tc>
        <w:tc>
          <w:tcPr>
            <w:tcW w:w="228" w:type="pct"/>
            <w:vAlign w:val="center"/>
          </w:tcPr>
          <w:p w14:paraId="64236658"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81.4</w:t>
            </w:r>
          </w:p>
        </w:tc>
        <w:tc>
          <w:tcPr>
            <w:tcW w:w="228" w:type="pct"/>
            <w:tcMar>
              <w:top w:w="113" w:type="dxa"/>
              <w:left w:w="57" w:type="dxa"/>
              <w:bottom w:w="113" w:type="dxa"/>
              <w:right w:w="57" w:type="dxa"/>
            </w:tcMar>
            <w:vAlign w:val="center"/>
          </w:tcPr>
          <w:p w14:paraId="3D1A34E1"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74.1</w:t>
            </w:r>
          </w:p>
        </w:tc>
        <w:tc>
          <w:tcPr>
            <w:tcW w:w="228" w:type="pct"/>
            <w:tcMar>
              <w:top w:w="113" w:type="dxa"/>
              <w:left w:w="57" w:type="dxa"/>
              <w:bottom w:w="113" w:type="dxa"/>
              <w:right w:w="57" w:type="dxa"/>
            </w:tcMar>
            <w:vAlign w:val="center"/>
          </w:tcPr>
          <w:p w14:paraId="316B7FB2"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72.7</w:t>
            </w:r>
          </w:p>
        </w:tc>
        <w:tc>
          <w:tcPr>
            <w:tcW w:w="228" w:type="pct"/>
            <w:vAlign w:val="center"/>
          </w:tcPr>
          <w:p w14:paraId="040E8EFC"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71.3</w:t>
            </w:r>
          </w:p>
        </w:tc>
        <w:tc>
          <w:tcPr>
            <w:tcW w:w="228" w:type="pct"/>
            <w:tcMar>
              <w:top w:w="113" w:type="dxa"/>
              <w:left w:w="57" w:type="dxa"/>
              <w:bottom w:w="113" w:type="dxa"/>
              <w:right w:w="57" w:type="dxa"/>
            </w:tcMar>
            <w:vAlign w:val="center"/>
          </w:tcPr>
          <w:p w14:paraId="3D8FF951"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85.6</w:t>
            </w:r>
          </w:p>
        </w:tc>
        <w:tc>
          <w:tcPr>
            <w:tcW w:w="228" w:type="pct"/>
            <w:tcMar>
              <w:top w:w="113" w:type="dxa"/>
              <w:left w:w="57" w:type="dxa"/>
              <w:bottom w:w="113" w:type="dxa"/>
              <w:right w:w="57" w:type="dxa"/>
            </w:tcMar>
            <w:vAlign w:val="center"/>
          </w:tcPr>
          <w:p w14:paraId="575C72DD"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86.0</w:t>
            </w:r>
          </w:p>
        </w:tc>
        <w:tc>
          <w:tcPr>
            <w:tcW w:w="228" w:type="pct"/>
            <w:vAlign w:val="center"/>
          </w:tcPr>
          <w:p w14:paraId="10AF6B58"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84.2</w:t>
            </w:r>
          </w:p>
        </w:tc>
        <w:tc>
          <w:tcPr>
            <w:tcW w:w="228" w:type="pct"/>
            <w:tcMar>
              <w:top w:w="113" w:type="dxa"/>
              <w:left w:w="57" w:type="dxa"/>
              <w:bottom w:w="113" w:type="dxa"/>
              <w:right w:w="57" w:type="dxa"/>
            </w:tcMar>
            <w:vAlign w:val="center"/>
          </w:tcPr>
          <w:p w14:paraId="34B5C764"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78.7</w:t>
            </w:r>
          </w:p>
        </w:tc>
        <w:tc>
          <w:tcPr>
            <w:tcW w:w="228" w:type="pct"/>
            <w:tcMar>
              <w:top w:w="113" w:type="dxa"/>
              <w:left w:w="0" w:type="dxa"/>
              <w:bottom w:w="113" w:type="dxa"/>
              <w:right w:w="0" w:type="dxa"/>
            </w:tcMar>
            <w:vAlign w:val="center"/>
          </w:tcPr>
          <w:p w14:paraId="3CAF188D"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79.4</w:t>
            </w:r>
          </w:p>
        </w:tc>
        <w:tc>
          <w:tcPr>
            <w:tcW w:w="228" w:type="pct"/>
            <w:vAlign w:val="center"/>
          </w:tcPr>
          <w:p w14:paraId="244DAF2B"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78.2</w:t>
            </w:r>
          </w:p>
        </w:tc>
      </w:tr>
      <w:tr w:rsidR="0066499D" w:rsidRPr="00E8656C" w14:paraId="339FDD32" w14:textId="77777777" w:rsidTr="005E54CB">
        <w:trPr>
          <w:cantSplit/>
          <w:trHeight w:val="60"/>
        </w:trPr>
        <w:tc>
          <w:tcPr>
            <w:tcW w:w="446" w:type="pct"/>
            <w:vAlign w:val="center"/>
          </w:tcPr>
          <w:p w14:paraId="36AB721F" w14:textId="7D188700"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Previous higher education experience</w:t>
            </w:r>
          </w:p>
        </w:tc>
        <w:tc>
          <w:tcPr>
            <w:tcW w:w="449" w:type="pct"/>
            <w:tcMar>
              <w:top w:w="113" w:type="dxa"/>
              <w:left w:w="57" w:type="dxa"/>
              <w:bottom w:w="113" w:type="dxa"/>
              <w:right w:w="57" w:type="dxa"/>
            </w:tcMar>
            <w:vAlign w:val="center"/>
          </w:tcPr>
          <w:p w14:paraId="6A45F05E"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At another institution</w:t>
            </w:r>
          </w:p>
        </w:tc>
        <w:tc>
          <w:tcPr>
            <w:tcW w:w="228" w:type="pct"/>
            <w:tcMar>
              <w:top w:w="113" w:type="dxa"/>
              <w:left w:w="57" w:type="dxa"/>
              <w:bottom w:w="113" w:type="dxa"/>
              <w:right w:w="57" w:type="dxa"/>
            </w:tcMar>
            <w:vAlign w:val="center"/>
          </w:tcPr>
          <w:p w14:paraId="18232F93"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79.4</w:t>
            </w:r>
          </w:p>
        </w:tc>
        <w:tc>
          <w:tcPr>
            <w:tcW w:w="228" w:type="pct"/>
            <w:tcMar>
              <w:top w:w="113" w:type="dxa"/>
              <w:left w:w="57" w:type="dxa"/>
              <w:bottom w:w="113" w:type="dxa"/>
              <w:right w:w="57" w:type="dxa"/>
            </w:tcMar>
            <w:vAlign w:val="center"/>
          </w:tcPr>
          <w:p w14:paraId="18E4E3AF"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80.4</w:t>
            </w:r>
          </w:p>
        </w:tc>
        <w:tc>
          <w:tcPr>
            <w:tcW w:w="228" w:type="pct"/>
            <w:vAlign w:val="center"/>
          </w:tcPr>
          <w:p w14:paraId="1FFF7CC7"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80.0</w:t>
            </w:r>
          </w:p>
        </w:tc>
        <w:tc>
          <w:tcPr>
            <w:tcW w:w="228" w:type="pct"/>
            <w:tcMar>
              <w:top w:w="113" w:type="dxa"/>
              <w:left w:w="57" w:type="dxa"/>
              <w:bottom w:w="113" w:type="dxa"/>
              <w:right w:w="57" w:type="dxa"/>
            </w:tcMar>
            <w:vAlign w:val="center"/>
          </w:tcPr>
          <w:p w14:paraId="2762ADB8"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49.6</w:t>
            </w:r>
          </w:p>
        </w:tc>
        <w:tc>
          <w:tcPr>
            <w:tcW w:w="228" w:type="pct"/>
            <w:tcMar>
              <w:top w:w="113" w:type="dxa"/>
              <w:left w:w="57" w:type="dxa"/>
              <w:bottom w:w="113" w:type="dxa"/>
              <w:right w:w="57" w:type="dxa"/>
            </w:tcMar>
            <w:vAlign w:val="center"/>
          </w:tcPr>
          <w:p w14:paraId="0FAF3401"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53.0</w:t>
            </w:r>
          </w:p>
        </w:tc>
        <w:tc>
          <w:tcPr>
            <w:tcW w:w="228" w:type="pct"/>
            <w:vAlign w:val="center"/>
          </w:tcPr>
          <w:p w14:paraId="4F6ABAC4"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53.6</w:t>
            </w:r>
          </w:p>
        </w:tc>
        <w:tc>
          <w:tcPr>
            <w:tcW w:w="228" w:type="pct"/>
            <w:tcMar>
              <w:top w:w="113" w:type="dxa"/>
              <w:left w:w="57" w:type="dxa"/>
              <w:bottom w:w="113" w:type="dxa"/>
              <w:right w:w="57" w:type="dxa"/>
            </w:tcMar>
            <w:vAlign w:val="center"/>
          </w:tcPr>
          <w:p w14:paraId="4C8BD814"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84.6</w:t>
            </w:r>
          </w:p>
        </w:tc>
        <w:tc>
          <w:tcPr>
            <w:tcW w:w="228" w:type="pct"/>
            <w:tcMar>
              <w:top w:w="113" w:type="dxa"/>
              <w:left w:w="0" w:type="dxa"/>
              <w:bottom w:w="113" w:type="dxa"/>
              <w:right w:w="57" w:type="dxa"/>
            </w:tcMar>
            <w:vAlign w:val="center"/>
          </w:tcPr>
          <w:p w14:paraId="2BED602B"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85.0</w:t>
            </w:r>
          </w:p>
        </w:tc>
        <w:tc>
          <w:tcPr>
            <w:tcW w:w="228" w:type="pct"/>
            <w:vAlign w:val="center"/>
          </w:tcPr>
          <w:p w14:paraId="4C8F107C"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83.7</w:t>
            </w:r>
          </w:p>
        </w:tc>
        <w:tc>
          <w:tcPr>
            <w:tcW w:w="228" w:type="pct"/>
            <w:tcMar>
              <w:top w:w="113" w:type="dxa"/>
              <w:left w:w="57" w:type="dxa"/>
              <w:bottom w:w="113" w:type="dxa"/>
              <w:right w:w="57" w:type="dxa"/>
            </w:tcMar>
            <w:vAlign w:val="center"/>
          </w:tcPr>
          <w:p w14:paraId="27784E19"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78.4</w:t>
            </w:r>
          </w:p>
        </w:tc>
        <w:tc>
          <w:tcPr>
            <w:tcW w:w="228" w:type="pct"/>
            <w:tcMar>
              <w:top w:w="113" w:type="dxa"/>
              <w:left w:w="57" w:type="dxa"/>
              <w:bottom w:w="113" w:type="dxa"/>
              <w:right w:w="57" w:type="dxa"/>
            </w:tcMar>
            <w:vAlign w:val="center"/>
          </w:tcPr>
          <w:p w14:paraId="4D58E1E2"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77.1</w:t>
            </w:r>
          </w:p>
        </w:tc>
        <w:tc>
          <w:tcPr>
            <w:tcW w:w="228" w:type="pct"/>
            <w:vAlign w:val="center"/>
          </w:tcPr>
          <w:p w14:paraId="65DE7BE8"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76.3</w:t>
            </w:r>
          </w:p>
        </w:tc>
        <w:tc>
          <w:tcPr>
            <w:tcW w:w="228" w:type="pct"/>
            <w:tcMar>
              <w:top w:w="113" w:type="dxa"/>
              <w:left w:w="57" w:type="dxa"/>
              <w:bottom w:w="113" w:type="dxa"/>
              <w:right w:w="57" w:type="dxa"/>
            </w:tcMar>
            <w:vAlign w:val="center"/>
          </w:tcPr>
          <w:p w14:paraId="23446733"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86.1</w:t>
            </w:r>
          </w:p>
        </w:tc>
        <w:tc>
          <w:tcPr>
            <w:tcW w:w="228" w:type="pct"/>
            <w:tcMar>
              <w:top w:w="113" w:type="dxa"/>
              <w:left w:w="57" w:type="dxa"/>
              <w:bottom w:w="113" w:type="dxa"/>
              <w:right w:w="57" w:type="dxa"/>
            </w:tcMar>
            <w:vAlign w:val="center"/>
          </w:tcPr>
          <w:p w14:paraId="1237C2EE"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85.8</w:t>
            </w:r>
          </w:p>
        </w:tc>
        <w:tc>
          <w:tcPr>
            <w:tcW w:w="228" w:type="pct"/>
            <w:vAlign w:val="center"/>
          </w:tcPr>
          <w:p w14:paraId="003DEF2B"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84.3</w:t>
            </w:r>
          </w:p>
        </w:tc>
        <w:tc>
          <w:tcPr>
            <w:tcW w:w="228" w:type="pct"/>
            <w:tcMar>
              <w:top w:w="113" w:type="dxa"/>
              <w:left w:w="57" w:type="dxa"/>
              <w:bottom w:w="113" w:type="dxa"/>
              <w:right w:w="57" w:type="dxa"/>
            </w:tcMar>
            <w:vAlign w:val="center"/>
          </w:tcPr>
          <w:p w14:paraId="630CFBC4"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80.9</w:t>
            </w:r>
          </w:p>
        </w:tc>
        <w:tc>
          <w:tcPr>
            <w:tcW w:w="228" w:type="pct"/>
            <w:tcMar>
              <w:top w:w="113" w:type="dxa"/>
              <w:left w:w="0" w:type="dxa"/>
              <w:bottom w:w="113" w:type="dxa"/>
              <w:right w:w="0" w:type="dxa"/>
            </w:tcMar>
            <w:vAlign w:val="center"/>
          </w:tcPr>
          <w:p w14:paraId="0423826C"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81.5</w:t>
            </w:r>
          </w:p>
        </w:tc>
        <w:tc>
          <w:tcPr>
            <w:tcW w:w="228" w:type="pct"/>
            <w:vAlign w:val="center"/>
          </w:tcPr>
          <w:p w14:paraId="614F2088"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80.3</w:t>
            </w:r>
          </w:p>
        </w:tc>
      </w:tr>
      <w:tr w:rsidR="0066499D" w:rsidRPr="00E8656C" w14:paraId="0A34171E" w14:textId="77777777" w:rsidTr="005E54CB">
        <w:trPr>
          <w:cantSplit/>
          <w:trHeight w:val="60"/>
        </w:trPr>
        <w:tc>
          <w:tcPr>
            <w:tcW w:w="446" w:type="pct"/>
            <w:vAlign w:val="center"/>
          </w:tcPr>
          <w:p w14:paraId="16F58E33" w14:textId="31000044"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Previous higher education experience</w:t>
            </w:r>
          </w:p>
        </w:tc>
        <w:tc>
          <w:tcPr>
            <w:tcW w:w="449" w:type="pct"/>
            <w:tcMar>
              <w:top w:w="113" w:type="dxa"/>
              <w:left w:w="57" w:type="dxa"/>
              <w:bottom w:w="113" w:type="dxa"/>
              <w:right w:w="57" w:type="dxa"/>
            </w:tcMar>
            <w:vAlign w:val="center"/>
          </w:tcPr>
          <w:p w14:paraId="655CF57E"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New to higher education</w:t>
            </w:r>
          </w:p>
        </w:tc>
        <w:tc>
          <w:tcPr>
            <w:tcW w:w="228" w:type="pct"/>
            <w:tcMar>
              <w:top w:w="113" w:type="dxa"/>
              <w:left w:w="57" w:type="dxa"/>
              <w:bottom w:w="113" w:type="dxa"/>
              <w:right w:w="57" w:type="dxa"/>
            </w:tcMar>
            <w:vAlign w:val="center"/>
          </w:tcPr>
          <w:p w14:paraId="3A42E11A"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79.6</w:t>
            </w:r>
          </w:p>
        </w:tc>
        <w:tc>
          <w:tcPr>
            <w:tcW w:w="228" w:type="pct"/>
            <w:tcMar>
              <w:top w:w="113" w:type="dxa"/>
              <w:left w:w="57" w:type="dxa"/>
              <w:bottom w:w="113" w:type="dxa"/>
              <w:right w:w="57" w:type="dxa"/>
            </w:tcMar>
            <w:vAlign w:val="center"/>
          </w:tcPr>
          <w:p w14:paraId="32C285BA"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80.1</w:t>
            </w:r>
          </w:p>
        </w:tc>
        <w:tc>
          <w:tcPr>
            <w:tcW w:w="228" w:type="pct"/>
            <w:vAlign w:val="center"/>
          </w:tcPr>
          <w:p w14:paraId="6B90FDE5"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80.0</w:t>
            </w:r>
          </w:p>
        </w:tc>
        <w:tc>
          <w:tcPr>
            <w:tcW w:w="228" w:type="pct"/>
            <w:tcMar>
              <w:top w:w="113" w:type="dxa"/>
              <w:left w:w="57" w:type="dxa"/>
              <w:bottom w:w="113" w:type="dxa"/>
              <w:right w:w="57" w:type="dxa"/>
            </w:tcMar>
            <w:vAlign w:val="center"/>
          </w:tcPr>
          <w:p w14:paraId="3469256A"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58.6</w:t>
            </w:r>
          </w:p>
        </w:tc>
        <w:tc>
          <w:tcPr>
            <w:tcW w:w="228" w:type="pct"/>
            <w:tcMar>
              <w:top w:w="113" w:type="dxa"/>
              <w:left w:w="57" w:type="dxa"/>
              <w:bottom w:w="113" w:type="dxa"/>
              <w:right w:w="57" w:type="dxa"/>
            </w:tcMar>
            <w:vAlign w:val="center"/>
          </w:tcPr>
          <w:p w14:paraId="40CD2AA6"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62.8</w:t>
            </w:r>
          </w:p>
        </w:tc>
        <w:tc>
          <w:tcPr>
            <w:tcW w:w="228" w:type="pct"/>
            <w:vAlign w:val="center"/>
          </w:tcPr>
          <w:p w14:paraId="19EA05AA"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63.7</w:t>
            </w:r>
          </w:p>
        </w:tc>
        <w:tc>
          <w:tcPr>
            <w:tcW w:w="228" w:type="pct"/>
            <w:tcMar>
              <w:top w:w="113" w:type="dxa"/>
              <w:left w:w="57" w:type="dxa"/>
              <w:bottom w:w="113" w:type="dxa"/>
              <w:right w:w="57" w:type="dxa"/>
            </w:tcMar>
            <w:vAlign w:val="center"/>
          </w:tcPr>
          <w:p w14:paraId="41E7F8B0"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82.4</w:t>
            </w:r>
          </w:p>
        </w:tc>
        <w:tc>
          <w:tcPr>
            <w:tcW w:w="228" w:type="pct"/>
            <w:tcMar>
              <w:top w:w="113" w:type="dxa"/>
              <w:left w:w="0" w:type="dxa"/>
              <w:bottom w:w="113" w:type="dxa"/>
              <w:right w:w="57" w:type="dxa"/>
            </w:tcMar>
            <w:vAlign w:val="center"/>
          </w:tcPr>
          <w:p w14:paraId="7B3C5F09"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83.5</w:t>
            </w:r>
          </w:p>
        </w:tc>
        <w:tc>
          <w:tcPr>
            <w:tcW w:w="228" w:type="pct"/>
            <w:vAlign w:val="center"/>
          </w:tcPr>
          <w:p w14:paraId="5616DA13"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82.1</w:t>
            </w:r>
          </w:p>
        </w:tc>
        <w:tc>
          <w:tcPr>
            <w:tcW w:w="228" w:type="pct"/>
            <w:tcMar>
              <w:top w:w="113" w:type="dxa"/>
              <w:left w:w="57" w:type="dxa"/>
              <w:bottom w:w="113" w:type="dxa"/>
              <w:right w:w="57" w:type="dxa"/>
            </w:tcMar>
            <w:vAlign w:val="center"/>
          </w:tcPr>
          <w:p w14:paraId="45B8E3D8"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75.5</w:t>
            </w:r>
          </w:p>
        </w:tc>
        <w:tc>
          <w:tcPr>
            <w:tcW w:w="228" w:type="pct"/>
            <w:tcMar>
              <w:top w:w="113" w:type="dxa"/>
              <w:left w:w="57" w:type="dxa"/>
              <w:bottom w:w="113" w:type="dxa"/>
              <w:right w:w="57" w:type="dxa"/>
            </w:tcMar>
            <w:vAlign w:val="center"/>
          </w:tcPr>
          <w:p w14:paraId="6109A03F"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74.6</w:t>
            </w:r>
          </w:p>
        </w:tc>
        <w:tc>
          <w:tcPr>
            <w:tcW w:w="228" w:type="pct"/>
            <w:vAlign w:val="center"/>
          </w:tcPr>
          <w:p w14:paraId="4955755E"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73.6</w:t>
            </w:r>
          </w:p>
        </w:tc>
        <w:tc>
          <w:tcPr>
            <w:tcW w:w="228" w:type="pct"/>
            <w:tcMar>
              <w:top w:w="113" w:type="dxa"/>
              <w:left w:w="57" w:type="dxa"/>
              <w:bottom w:w="113" w:type="dxa"/>
              <w:right w:w="57" w:type="dxa"/>
            </w:tcMar>
            <w:vAlign w:val="center"/>
          </w:tcPr>
          <w:p w14:paraId="6E8460E0"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87.3</w:t>
            </w:r>
          </w:p>
        </w:tc>
        <w:tc>
          <w:tcPr>
            <w:tcW w:w="228" w:type="pct"/>
            <w:tcMar>
              <w:top w:w="113" w:type="dxa"/>
              <w:left w:w="57" w:type="dxa"/>
              <w:bottom w:w="113" w:type="dxa"/>
              <w:right w:w="57" w:type="dxa"/>
            </w:tcMar>
            <w:vAlign w:val="center"/>
          </w:tcPr>
          <w:p w14:paraId="67856763"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87.7</w:t>
            </w:r>
          </w:p>
        </w:tc>
        <w:tc>
          <w:tcPr>
            <w:tcW w:w="228" w:type="pct"/>
            <w:vAlign w:val="center"/>
          </w:tcPr>
          <w:p w14:paraId="03DC1E1B"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86.8</w:t>
            </w:r>
          </w:p>
        </w:tc>
        <w:tc>
          <w:tcPr>
            <w:tcW w:w="228" w:type="pct"/>
            <w:tcMar>
              <w:top w:w="113" w:type="dxa"/>
              <w:left w:w="57" w:type="dxa"/>
              <w:bottom w:w="113" w:type="dxa"/>
              <w:right w:w="57" w:type="dxa"/>
            </w:tcMar>
            <w:vAlign w:val="center"/>
          </w:tcPr>
          <w:p w14:paraId="2E7B9CD2"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78.5</w:t>
            </w:r>
          </w:p>
        </w:tc>
        <w:tc>
          <w:tcPr>
            <w:tcW w:w="228" w:type="pct"/>
            <w:tcMar>
              <w:top w:w="113" w:type="dxa"/>
              <w:left w:w="0" w:type="dxa"/>
              <w:bottom w:w="113" w:type="dxa"/>
              <w:right w:w="0" w:type="dxa"/>
            </w:tcMar>
            <w:vAlign w:val="center"/>
          </w:tcPr>
          <w:p w14:paraId="573BE1CE"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79.8</w:t>
            </w:r>
          </w:p>
        </w:tc>
        <w:tc>
          <w:tcPr>
            <w:tcW w:w="228" w:type="pct"/>
            <w:vAlign w:val="center"/>
          </w:tcPr>
          <w:p w14:paraId="2F527A8C" w14:textId="77777777" w:rsidR="0066499D" w:rsidRPr="00E8656C" w:rsidRDefault="0066499D" w:rsidP="005E54CB">
            <w:pPr>
              <w:pStyle w:val="Tabletextupdate"/>
              <w:framePr w:wrap="auto"/>
              <w:jc w:val="center"/>
              <w:rPr>
                <w:rFonts w:ascii="Arial" w:hAnsi="Arial" w:cs="Arial"/>
                <w:color w:val="auto"/>
                <w:sz w:val="18"/>
              </w:rPr>
            </w:pPr>
            <w:r w:rsidRPr="00E8656C">
              <w:rPr>
                <w:rFonts w:ascii="Arial" w:hAnsi="Arial" w:cs="Arial"/>
                <w:color w:val="auto"/>
                <w:sz w:val="18"/>
              </w:rPr>
              <w:t>79.1</w:t>
            </w:r>
          </w:p>
        </w:tc>
      </w:tr>
      <w:tr w:rsidR="005E54CB" w:rsidRPr="00E8656C" w14:paraId="02DADF67" w14:textId="77777777" w:rsidTr="005E54CB">
        <w:trPr>
          <w:cantSplit/>
          <w:trHeight w:val="60"/>
        </w:trPr>
        <w:tc>
          <w:tcPr>
            <w:tcW w:w="446" w:type="pct"/>
            <w:vAlign w:val="center"/>
          </w:tcPr>
          <w:p w14:paraId="0B678D9A" w14:textId="31F0C4CA"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Socio-economic status</w:t>
            </w:r>
            <w:r w:rsidRPr="00E8656C">
              <w:rPr>
                <w:rFonts w:ascii="Arial" w:hAnsi="Arial" w:cs="Arial"/>
                <w:b/>
                <w:bCs/>
                <w:color w:val="auto"/>
                <w:sz w:val="18"/>
                <w:vertAlign w:val="superscript"/>
              </w:rPr>
              <w:t xml:space="preserve">** † </w:t>
            </w:r>
          </w:p>
        </w:tc>
        <w:tc>
          <w:tcPr>
            <w:tcW w:w="449" w:type="pct"/>
            <w:tcMar>
              <w:top w:w="113" w:type="dxa"/>
              <w:left w:w="57" w:type="dxa"/>
              <w:bottom w:w="113" w:type="dxa"/>
              <w:right w:w="57" w:type="dxa"/>
            </w:tcMar>
            <w:vAlign w:val="center"/>
          </w:tcPr>
          <w:p w14:paraId="1EB00D29" w14:textId="77777777"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 xml:space="preserve">High </w:t>
            </w:r>
          </w:p>
        </w:tc>
        <w:tc>
          <w:tcPr>
            <w:tcW w:w="228" w:type="pct"/>
            <w:tcMar>
              <w:top w:w="113" w:type="dxa"/>
              <w:left w:w="57" w:type="dxa"/>
              <w:bottom w:w="113" w:type="dxa"/>
              <w:right w:w="57" w:type="dxa"/>
            </w:tcMar>
            <w:vAlign w:val="center"/>
          </w:tcPr>
          <w:p w14:paraId="62F5AAEB" w14:textId="56A14611" w:rsidR="006C7824" w:rsidRPr="00E8656C" w:rsidRDefault="006C7824" w:rsidP="005E54CB">
            <w:pPr>
              <w:pStyle w:val="Tabletextupdate"/>
              <w:framePr w:wrap="auto"/>
              <w:jc w:val="center"/>
              <w:rPr>
                <w:rFonts w:ascii="Arial" w:hAnsi="Arial" w:cs="Arial"/>
                <w:color w:val="auto"/>
                <w:sz w:val="18"/>
              </w:rPr>
            </w:pPr>
            <w:r w:rsidRPr="00E8656C">
              <w:rPr>
                <w:rFonts w:ascii="Arial" w:hAnsi="Arial" w:cs="Arial"/>
                <w:color w:val="auto"/>
                <w:sz w:val="18"/>
              </w:rPr>
              <w:t>79.6</w:t>
            </w:r>
          </w:p>
        </w:tc>
        <w:tc>
          <w:tcPr>
            <w:tcW w:w="228" w:type="pct"/>
            <w:tcMar>
              <w:top w:w="113" w:type="dxa"/>
              <w:left w:w="57" w:type="dxa"/>
              <w:bottom w:w="113" w:type="dxa"/>
              <w:right w:w="57" w:type="dxa"/>
            </w:tcMar>
            <w:vAlign w:val="center"/>
          </w:tcPr>
          <w:p w14:paraId="05AAEF16" w14:textId="3A13BDF6" w:rsidR="006C7824" w:rsidRPr="00E8656C" w:rsidRDefault="006C7824" w:rsidP="005E54CB">
            <w:pPr>
              <w:pStyle w:val="Tabletextupdate"/>
              <w:framePr w:wrap="auto"/>
              <w:jc w:val="center"/>
              <w:rPr>
                <w:rFonts w:ascii="Arial" w:hAnsi="Arial" w:cs="Arial"/>
                <w:color w:val="auto"/>
                <w:sz w:val="18"/>
              </w:rPr>
            </w:pPr>
            <w:r w:rsidRPr="00E8656C">
              <w:rPr>
                <w:rFonts w:ascii="Arial" w:hAnsi="Arial" w:cs="Arial"/>
                <w:color w:val="auto"/>
                <w:sz w:val="18"/>
              </w:rPr>
              <w:t>79.6</w:t>
            </w:r>
          </w:p>
        </w:tc>
        <w:tc>
          <w:tcPr>
            <w:tcW w:w="228" w:type="pct"/>
            <w:vAlign w:val="center"/>
          </w:tcPr>
          <w:p w14:paraId="09A2E02F" w14:textId="78881C3B"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79.3</w:t>
            </w:r>
          </w:p>
        </w:tc>
        <w:tc>
          <w:tcPr>
            <w:tcW w:w="228" w:type="pct"/>
            <w:tcMar>
              <w:top w:w="113" w:type="dxa"/>
              <w:left w:w="57" w:type="dxa"/>
              <w:bottom w:w="113" w:type="dxa"/>
              <w:right w:w="57" w:type="dxa"/>
            </w:tcMar>
            <w:vAlign w:val="center"/>
          </w:tcPr>
          <w:p w14:paraId="487F1F99" w14:textId="3738046F"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56.7</w:t>
            </w:r>
          </w:p>
        </w:tc>
        <w:tc>
          <w:tcPr>
            <w:tcW w:w="228" w:type="pct"/>
            <w:tcMar>
              <w:top w:w="113" w:type="dxa"/>
              <w:left w:w="57" w:type="dxa"/>
              <w:bottom w:w="113" w:type="dxa"/>
              <w:right w:w="57" w:type="dxa"/>
            </w:tcMar>
            <w:vAlign w:val="center"/>
          </w:tcPr>
          <w:p w14:paraId="4FEC1715" w14:textId="7B0ED88F"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60.0</w:t>
            </w:r>
          </w:p>
        </w:tc>
        <w:tc>
          <w:tcPr>
            <w:tcW w:w="228" w:type="pct"/>
            <w:vAlign w:val="center"/>
          </w:tcPr>
          <w:p w14:paraId="2F3E6D0D" w14:textId="287632F8"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61.3</w:t>
            </w:r>
          </w:p>
        </w:tc>
        <w:tc>
          <w:tcPr>
            <w:tcW w:w="228" w:type="pct"/>
            <w:tcMar>
              <w:top w:w="113" w:type="dxa"/>
              <w:left w:w="57" w:type="dxa"/>
              <w:bottom w:w="113" w:type="dxa"/>
              <w:right w:w="57" w:type="dxa"/>
            </w:tcMar>
            <w:vAlign w:val="center"/>
          </w:tcPr>
          <w:p w14:paraId="08EA5F32" w14:textId="0396D5AC"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80.2</w:t>
            </w:r>
          </w:p>
        </w:tc>
        <w:tc>
          <w:tcPr>
            <w:tcW w:w="228" w:type="pct"/>
            <w:tcMar>
              <w:top w:w="113" w:type="dxa"/>
              <w:left w:w="0" w:type="dxa"/>
              <w:bottom w:w="113" w:type="dxa"/>
              <w:right w:w="57" w:type="dxa"/>
            </w:tcMar>
            <w:vAlign w:val="center"/>
          </w:tcPr>
          <w:p w14:paraId="2252C1FB" w14:textId="4C8FD45E"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80.1</w:t>
            </w:r>
          </w:p>
        </w:tc>
        <w:tc>
          <w:tcPr>
            <w:tcW w:w="228" w:type="pct"/>
            <w:vAlign w:val="center"/>
          </w:tcPr>
          <w:p w14:paraId="5BE8723B" w14:textId="64D92731"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79.8</w:t>
            </w:r>
          </w:p>
        </w:tc>
        <w:tc>
          <w:tcPr>
            <w:tcW w:w="228" w:type="pct"/>
            <w:tcMar>
              <w:top w:w="113" w:type="dxa"/>
              <w:left w:w="57" w:type="dxa"/>
              <w:bottom w:w="113" w:type="dxa"/>
              <w:right w:w="57" w:type="dxa"/>
            </w:tcMar>
            <w:vAlign w:val="center"/>
          </w:tcPr>
          <w:p w14:paraId="7F73162D" w14:textId="44D2EC6B"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70.0</w:t>
            </w:r>
          </w:p>
        </w:tc>
        <w:tc>
          <w:tcPr>
            <w:tcW w:w="228" w:type="pct"/>
            <w:tcMar>
              <w:top w:w="113" w:type="dxa"/>
              <w:left w:w="57" w:type="dxa"/>
              <w:bottom w:w="113" w:type="dxa"/>
              <w:right w:w="57" w:type="dxa"/>
            </w:tcMar>
            <w:vAlign w:val="center"/>
          </w:tcPr>
          <w:p w14:paraId="7D26A6E4" w14:textId="6AC4AFA4"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66.2</w:t>
            </w:r>
          </w:p>
        </w:tc>
        <w:tc>
          <w:tcPr>
            <w:tcW w:w="228" w:type="pct"/>
            <w:vAlign w:val="center"/>
          </w:tcPr>
          <w:p w14:paraId="4EDD846B" w14:textId="4FAB53F8"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66.3</w:t>
            </w:r>
          </w:p>
        </w:tc>
        <w:tc>
          <w:tcPr>
            <w:tcW w:w="228" w:type="pct"/>
            <w:tcMar>
              <w:top w:w="113" w:type="dxa"/>
              <w:left w:w="57" w:type="dxa"/>
              <w:bottom w:w="113" w:type="dxa"/>
              <w:right w:w="57" w:type="dxa"/>
            </w:tcMar>
            <w:vAlign w:val="center"/>
          </w:tcPr>
          <w:p w14:paraId="232DE5FF" w14:textId="16932090"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83.2</w:t>
            </w:r>
          </w:p>
        </w:tc>
        <w:tc>
          <w:tcPr>
            <w:tcW w:w="228" w:type="pct"/>
            <w:tcMar>
              <w:top w:w="113" w:type="dxa"/>
              <w:left w:w="57" w:type="dxa"/>
              <w:bottom w:w="113" w:type="dxa"/>
              <w:right w:w="57" w:type="dxa"/>
            </w:tcMar>
            <w:vAlign w:val="center"/>
          </w:tcPr>
          <w:p w14:paraId="32DD3B68" w14:textId="25550310"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83.4</w:t>
            </w:r>
          </w:p>
        </w:tc>
        <w:tc>
          <w:tcPr>
            <w:tcW w:w="228" w:type="pct"/>
            <w:vAlign w:val="center"/>
          </w:tcPr>
          <w:p w14:paraId="6C3CE177" w14:textId="58228DC8"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82.1</w:t>
            </w:r>
          </w:p>
        </w:tc>
        <w:tc>
          <w:tcPr>
            <w:tcW w:w="228" w:type="pct"/>
            <w:tcMar>
              <w:top w:w="113" w:type="dxa"/>
              <w:left w:w="57" w:type="dxa"/>
              <w:bottom w:w="113" w:type="dxa"/>
              <w:right w:w="57" w:type="dxa"/>
            </w:tcMar>
            <w:vAlign w:val="center"/>
          </w:tcPr>
          <w:p w14:paraId="76A28684" w14:textId="496352FB"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76.3</w:t>
            </w:r>
          </w:p>
        </w:tc>
        <w:tc>
          <w:tcPr>
            <w:tcW w:w="228" w:type="pct"/>
            <w:tcMar>
              <w:top w:w="113" w:type="dxa"/>
              <w:left w:w="0" w:type="dxa"/>
              <w:bottom w:w="113" w:type="dxa"/>
              <w:right w:w="0" w:type="dxa"/>
            </w:tcMar>
            <w:vAlign w:val="center"/>
          </w:tcPr>
          <w:p w14:paraId="540F728F" w14:textId="02733CAE"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76.6</w:t>
            </w:r>
          </w:p>
        </w:tc>
        <w:tc>
          <w:tcPr>
            <w:tcW w:w="228" w:type="pct"/>
            <w:vAlign w:val="center"/>
          </w:tcPr>
          <w:p w14:paraId="6FAAB47C" w14:textId="12D0F8A3"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76.8</w:t>
            </w:r>
          </w:p>
        </w:tc>
      </w:tr>
      <w:tr w:rsidR="005E54CB" w:rsidRPr="00E8656C" w14:paraId="34EAB47E" w14:textId="77777777" w:rsidTr="005E54CB">
        <w:trPr>
          <w:cantSplit/>
          <w:trHeight w:val="60"/>
        </w:trPr>
        <w:tc>
          <w:tcPr>
            <w:tcW w:w="446" w:type="pct"/>
            <w:vAlign w:val="center"/>
          </w:tcPr>
          <w:p w14:paraId="21B92AB1" w14:textId="621F5E30"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Socio-economic status</w:t>
            </w:r>
            <w:r w:rsidRPr="00E8656C">
              <w:rPr>
                <w:rFonts w:ascii="Arial" w:hAnsi="Arial" w:cs="Arial"/>
                <w:b/>
                <w:bCs/>
                <w:color w:val="auto"/>
                <w:sz w:val="18"/>
                <w:vertAlign w:val="superscript"/>
              </w:rPr>
              <w:t xml:space="preserve">** † </w:t>
            </w:r>
          </w:p>
        </w:tc>
        <w:tc>
          <w:tcPr>
            <w:tcW w:w="449" w:type="pct"/>
            <w:tcMar>
              <w:top w:w="113" w:type="dxa"/>
              <w:left w:w="57" w:type="dxa"/>
              <w:bottom w:w="113" w:type="dxa"/>
              <w:right w:w="57" w:type="dxa"/>
            </w:tcMar>
            <w:vAlign w:val="center"/>
          </w:tcPr>
          <w:p w14:paraId="57A78B96" w14:textId="77777777"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 xml:space="preserve">Medium </w:t>
            </w:r>
          </w:p>
        </w:tc>
        <w:tc>
          <w:tcPr>
            <w:tcW w:w="228" w:type="pct"/>
            <w:tcMar>
              <w:top w:w="113" w:type="dxa"/>
              <w:left w:w="57" w:type="dxa"/>
              <w:bottom w:w="113" w:type="dxa"/>
              <w:right w:w="57" w:type="dxa"/>
            </w:tcMar>
            <w:vAlign w:val="center"/>
          </w:tcPr>
          <w:p w14:paraId="51A2EEAE" w14:textId="11826225" w:rsidR="006C7824" w:rsidRPr="00E8656C" w:rsidRDefault="006C7824" w:rsidP="005E54CB">
            <w:pPr>
              <w:pStyle w:val="Tabletextupdate"/>
              <w:framePr w:wrap="auto"/>
              <w:jc w:val="center"/>
              <w:rPr>
                <w:rFonts w:ascii="Arial" w:hAnsi="Arial" w:cs="Arial"/>
                <w:color w:val="auto"/>
                <w:sz w:val="18"/>
              </w:rPr>
            </w:pPr>
            <w:r w:rsidRPr="00E8656C">
              <w:rPr>
                <w:rFonts w:ascii="Arial" w:hAnsi="Arial" w:cs="Arial"/>
                <w:color w:val="auto"/>
                <w:sz w:val="18"/>
              </w:rPr>
              <w:t>80.5</w:t>
            </w:r>
          </w:p>
        </w:tc>
        <w:tc>
          <w:tcPr>
            <w:tcW w:w="228" w:type="pct"/>
            <w:tcMar>
              <w:top w:w="113" w:type="dxa"/>
              <w:left w:w="57" w:type="dxa"/>
              <w:bottom w:w="113" w:type="dxa"/>
              <w:right w:w="57" w:type="dxa"/>
            </w:tcMar>
            <w:vAlign w:val="center"/>
          </w:tcPr>
          <w:p w14:paraId="72AB6658" w14:textId="01120C7B" w:rsidR="006C7824" w:rsidRPr="00E8656C" w:rsidRDefault="006C7824" w:rsidP="005E54CB">
            <w:pPr>
              <w:pStyle w:val="Tabletextupdate"/>
              <w:framePr w:wrap="auto"/>
              <w:jc w:val="center"/>
              <w:rPr>
                <w:rFonts w:ascii="Arial" w:hAnsi="Arial" w:cs="Arial"/>
                <w:color w:val="auto"/>
                <w:sz w:val="18"/>
              </w:rPr>
            </w:pPr>
            <w:r w:rsidRPr="00E8656C">
              <w:rPr>
                <w:rFonts w:ascii="Arial" w:hAnsi="Arial" w:cs="Arial"/>
                <w:color w:val="auto"/>
                <w:sz w:val="18"/>
              </w:rPr>
              <w:t>81.2</w:t>
            </w:r>
          </w:p>
        </w:tc>
        <w:tc>
          <w:tcPr>
            <w:tcW w:w="228" w:type="pct"/>
            <w:vAlign w:val="center"/>
          </w:tcPr>
          <w:p w14:paraId="348235B5" w14:textId="75DF2DD3"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80.8</w:t>
            </w:r>
          </w:p>
        </w:tc>
        <w:tc>
          <w:tcPr>
            <w:tcW w:w="228" w:type="pct"/>
            <w:tcMar>
              <w:top w:w="113" w:type="dxa"/>
              <w:left w:w="57" w:type="dxa"/>
              <w:bottom w:w="113" w:type="dxa"/>
              <w:right w:w="57" w:type="dxa"/>
            </w:tcMar>
            <w:vAlign w:val="center"/>
          </w:tcPr>
          <w:p w14:paraId="02531E6D" w14:textId="19EB9C5B"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53.8</w:t>
            </w:r>
          </w:p>
        </w:tc>
        <w:tc>
          <w:tcPr>
            <w:tcW w:w="228" w:type="pct"/>
            <w:tcMar>
              <w:top w:w="113" w:type="dxa"/>
              <w:left w:w="57" w:type="dxa"/>
              <w:bottom w:w="113" w:type="dxa"/>
              <w:right w:w="57" w:type="dxa"/>
            </w:tcMar>
            <w:vAlign w:val="center"/>
          </w:tcPr>
          <w:p w14:paraId="49C2DB84" w14:textId="7EDA0AED"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56.6</w:t>
            </w:r>
          </w:p>
        </w:tc>
        <w:tc>
          <w:tcPr>
            <w:tcW w:w="228" w:type="pct"/>
            <w:vAlign w:val="center"/>
          </w:tcPr>
          <w:p w14:paraId="536C3F54" w14:textId="6553D7A3"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57.4</w:t>
            </w:r>
          </w:p>
        </w:tc>
        <w:tc>
          <w:tcPr>
            <w:tcW w:w="228" w:type="pct"/>
            <w:tcMar>
              <w:top w:w="113" w:type="dxa"/>
              <w:left w:w="57" w:type="dxa"/>
              <w:bottom w:w="113" w:type="dxa"/>
              <w:right w:w="57" w:type="dxa"/>
            </w:tcMar>
            <w:vAlign w:val="center"/>
          </w:tcPr>
          <w:p w14:paraId="7AC66B54" w14:textId="0DE21BF7"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80.2</w:t>
            </w:r>
          </w:p>
        </w:tc>
        <w:tc>
          <w:tcPr>
            <w:tcW w:w="228" w:type="pct"/>
            <w:tcMar>
              <w:top w:w="113" w:type="dxa"/>
              <w:left w:w="0" w:type="dxa"/>
              <w:bottom w:w="113" w:type="dxa"/>
              <w:right w:w="57" w:type="dxa"/>
            </w:tcMar>
            <w:vAlign w:val="center"/>
          </w:tcPr>
          <w:p w14:paraId="29107259" w14:textId="36577B91"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80.7</w:t>
            </w:r>
          </w:p>
        </w:tc>
        <w:tc>
          <w:tcPr>
            <w:tcW w:w="228" w:type="pct"/>
            <w:vAlign w:val="center"/>
          </w:tcPr>
          <w:p w14:paraId="76FF8B7B" w14:textId="2C610A58"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79.8</w:t>
            </w:r>
          </w:p>
        </w:tc>
        <w:tc>
          <w:tcPr>
            <w:tcW w:w="228" w:type="pct"/>
            <w:tcMar>
              <w:top w:w="113" w:type="dxa"/>
              <w:left w:w="57" w:type="dxa"/>
              <w:bottom w:w="113" w:type="dxa"/>
              <w:right w:w="57" w:type="dxa"/>
            </w:tcMar>
            <w:vAlign w:val="center"/>
          </w:tcPr>
          <w:p w14:paraId="4496F501" w14:textId="552C434A"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72.9</w:t>
            </w:r>
          </w:p>
        </w:tc>
        <w:tc>
          <w:tcPr>
            <w:tcW w:w="228" w:type="pct"/>
            <w:tcMar>
              <w:top w:w="113" w:type="dxa"/>
              <w:left w:w="57" w:type="dxa"/>
              <w:bottom w:w="113" w:type="dxa"/>
              <w:right w:w="57" w:type="dxa"/>
            </w:tcMar>
            <w:vAlign w:val="center"/>
          </w:tcPr>
          <w:p w14:paraId="6E420300" w14:textId="1E1E5104"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70.6</w:t>
            </w:r>
          </w:p>
        </w:tc>
        <w:tc>
          <w:tcPr>
            <w:tcW w:w="228" w:type="pct"/>
            <w:vAlign w:val="center"/>
          </w:tcPr>
          <w:p w14:paraId="7579F675" w14:textId="2B3B505E"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69.9</w:t>
            </w:r>
          </w:p>
        </w:tc>
        <w:tc>
          <w:tcPr>
            <w:tcW w:w="228" w:type="pct"/>
            <w:tcMar>
              <w:top w:w="113" w:type="dxa"/>
              <w:left w:w="57" w:type="dxa"/>
              <w:bottom w:w="113" w:type="dxa"/>
              <w:right w:w="57" w:type="dxa"/>
            </w:tcMar>
            <w:vAlign w:val="center"/>
          </w:tcPr>
          <w:p w14:paraId="62F0D03A" w14:textId="0C16C5D9"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83.7</w:t>
            </w:r>
          </w:p>
        </w:tc>
        <w:tc>
          <w:tcPr>
            <w:tcW w:w="228" w:type="pct"/>
            <w:tcMar>
              <w:top w:w="113" w:type="dxa"/>
              <w:left w:w="57" w:type="dxa"/>
              <w:bottom w:w="113" w:type="dxa"/>
              <w:right w:w="57" w:type="dxa"/>
            </w:tcMar>
            <w:vAlign w:val="center"/>
          </w:tcPr>
          <w:p w14:paraId="4B71264C" w14:textId="60B0BC91"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84.1</w:t>
            </w:r>
          </w:p>
        </w:tc>
        <w:tc>
          <w:tcPr>
            <w:tcW w:w="228" w:type="pct"/>
            <w:vAlign w:val="center"/>
          </w:tcPr>
          <w:p w14:paraId="4ED71AA9" w14:textId="1C604E9B"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83.2</w:t>
            </w:r>
          </w:p>
        </w:tc>
        <w:tc>
          <w:tcPr>
            <w:tcW w:w="228" w:type="pct"/>
            <w:tcMar>
              <w:top w:w="113" w:type="dxa"/>
              <w:left w:w="57" w:type="dxa"/>
              <w:bottom w:w="113" w:type="dxa"/>
              <w:right w:w="57" w:type="dxa"/>
            </w:tcMar>
            <w:vAlign w:val="center"/>
          </w:tcPr>
          <w:p w14:paraId="2D269233" w14:textId="773F035A"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76.1</w:t>
            </w:r>
          </w:p>
        </w:tc>
        <w:tc>
          <w:tcPr>
            <w:tcW w:w="228" w:type="pct"/>
            <w:tcMar>
              <w:top w:w="113" w:type="dxa"/>
              <w:left w:w="0" w:type="dxa"/>
              <w:bottom w:w="113" w:type="dxa"/>
              <w:right w:w="0" w:type="dxa"/>
            </w:tcMar>
            <w:vAlign w:val="center"/>
          </w:tcPr>
          <w:p w14:paraId="3BC368F9" w14:textId="47709D7D"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77.1</w:t>
            </w:r>
          </w:p>
        </w:tc>
        <w:tc>
          <w:tcPr>
            <w:tcW w:w="228" w:type="pct"/>
            <w:vAlign w:val="center"/>
          </w:tcPr>
          <w:p w14:paraId="529EE602" w14:textId="2B1570DB"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77.0</w:t>
            </w:r>
          </w:p>
        </w:tc>
      </w:tr>
      <w:tr w:rsidR="005E54CB" w:rsidRPr="00E8656C" w14:paraId="69F9473C" w14:textId="77777777" w:rsidTr="005E54CB">
        <w:trPr>
          <w:cantSplit/>
          <w:trHeight w:val="60"/>
        </w:trPr>
        <w:tc>
          <w:tcPr>
            <w:tcW w:w="446" w:type="pct"/>
            <w:vAlign w:val="center"/>
          </w:tcPr>
          <w:p w14:paraId="2B1B107B" w14:textId="686D3ED6"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lastRenderedPageBreak/>
              <w:t>Socio-economic status</w:t>
            </w:r>
            <w:r w:rsidRPr="00E8656C">
              <w:rPr>
                <w:rFonts w:ascii="Arial" w:hAnsi="Arial" w:cs="Arial"/>
                <w:b/>
                <w:bCs/>
                <w:color w:val="auto"/>
                <w:sz w:val="18"/>
                <w:vertAlign w:val="superscript"/>
              </w:rPr>
              <w:t xml:space="preserve">** † </w:t>
            </w:r>
          </w:p>
        </w:tc>
        <w:tc>
          <w:tcPr>
            <w:tcW w:w="449" w:type="pct"/>
            <w:tcMar>
              <w:top w:w="113" w:type="dxa"/>
              <w:left w:w="57" w:type="dxa"/>
              <w:bottom w:w="113" w:type="dxa"/>
              <w:right w:w="57" w:type="dxa"/>
            </w:tcMar>
            <w:vAlign w:val="center"/>
          </w:tcPr>
          <w:p w14:paraId="4853F5D5" w14:textId="77777777"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Low</w:t>
            </w:r>
          </w:p>
        </w:tc>
        <w:tc>
          <w:tcPr>
            <w:tcW w:w="228" w:type="pct"/>
            <w:tcMar>
              <w:top w:w="113" w:type="dxa"/>
              <w:left w:w="57" w:type="dxa"/>
              <w:bottom w:w="113" w:type="dxa"/>
              <w:right w:w="57" w:type="dxa"/>
            </w:tcMar>
            <w:vAlign w:val="center"/>
          </w:tcPr>
          <w:p w14:paraId="580ABA3A" w14:textId="52E4D4C8" w:rsidR="006C7824" w:rsidRPr="00E8656C" w:rsidRDefault="006C7824" w:rsidP="005E54CB">
            <w:pPr>
              <w:pStyle w:val="Tabletextupdate"/>
              <w:framePr w:wrap="auto"/>
              <w:jc w:val="center"/>
              <w:rPr>
                <w:rFonts w:ascii="Arial" w:hAnsi="Arial" w:cs="Arial"/>
                <w:color w:val="auto"/>
                <w:sz w:val="18"/>
              </w:rPr>
            </w:pPr>
            <w:r w:rsidRPr="00E8656C">
              <w:rPr>
                <w:rFonts w:ascii="Arial" w:hAnsi="Arial" w:cs="Arial"/>
                <w:color w:val="auto"/>
                <w:sz w:val="18"/>
              </w:rPr>
              <w:t>80.3</w:t>
            </w:r>
          </w:p>
        </w:tc>
        <w:tc>
          <w:tcPr>
            <w:tcW w:w="228" w:type="pct"/>
            <w:tcMar>
              <w:top w:w="113" w:type="dxa"/>
              <w:left w:w="57" w:type="dxa"/>
              <w:bottom w:w="113" w:type="dxa"/>
              <w:right w:w="57" w:type="dxa"/>
            </w:tcMar>
            <w:vAlign w:val="center"/>
          </w:tcPr>
          <w:p w14:paraId="2E9738B6" w14:textId="3FE18456" w:rsidR="006C7824" w:rsidRPr="00E8656C" w:rsidRDefault="006C7824" w:rsidP="005E54CB">
            <w:pPr>
              <w:pStyle w:val="Tabletextupdate"/>
              <w:framePr w:wrap="auto"/>
              <w:jc w:val="center"/>
              <w:rPr>
                <w:rFonts w:ascii="Arial" w:hAnsi="Arial" w:cs="Arial"/>
                <w:color w:val="auto"/>
                <w:sz w:val="18"/>
              </w:rPr>
            </w:pPr>
            <w:r w:rsidRPr="00E8656C">
              <w:rPr>
                <w:rFonts w:ascii="Arial" w:hAnsi="Arial" w:cs="Arial"/>
                <w:color w:val="auto"/>
                <w:sz w:val="18"/>
              </w:rPr>
              <w:t>81.0</w:t>
            </w:r>
          </w:p>
        </w:tc>
        <w:tc>
          <w:tcPr>
            <w:tcW w:w="228" w:type="pct"/>
            <w:vAlign w:val="center"/>
          </w:tcPr>
          <w:p w14:paraId="7A675855" w14:textId="70973D33"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81.2</w:t>
            </w:r>
          </w:p>
        </w:tc>
        <w:tc>
          <w:tcPr>
            <w:tcW w:w="228" w:type="pct"/>
            <w:tcMar>
              <w:top w:w="113" w:type="dxa"/>
              <w:left w:w="57" w:type="dxa"/>
              <w:bottom w:w="113" w:type="dxa"/>
              <w:right w:w="57" w:type="dxa"/>
            </w:tcMar>
            <w:vAlign w:val="center"/>
          </w:tcPr>
          <w:p w14:paraId="69B4BA40" w14:textId="46569FBF"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49.2</w:t>
            </w:r>
          </w:p>
        </w:tc>
        <w:tc>
          <w:tcPr>
            <w:tcW w:w="228" w:type="pct"/>
            <w:tcMar>
              <w:top w:w="113" w:type="dxa"/>
              <w:left w:w="57" w:type="dxa"/>
              <w:bottom w:w="113" w:type="dxa"/>
              <w:right w:w="57" w:type="dxa"/>
            </w:tcMar>
            <w:vAlign w:val="center"/>
          </w:tcPr>
          <w:p w14:paraId="555A0F60" w14:textId="043B4C57"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51.1</w:t>
            </w:r>
          </w:p>
        </w:tc>
        <w:tc>
          <w:tcPr>
            <w:tcW w:w="228" w:type="pct"/>
            <w:vAlign w:val="center"/>
          </w:tcPr>
          <w:p w14:paraId="7B0CC5D1" w14:textId="3E85E13C"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52.1</w:t>
            </w:r>
          </w:p>
        </w:tc>
        <w:tc>
          <w:tcPr>
            <w:tcW w:w="228" w:type="pct"/>
            <w:tcMar>
              <w:top w:w="113" w:type="dxa"/>
              <w:left w:w="57" w:type="dxa"/>
              <w:bottom w:w="113" w:type="dxa"/>
              <w:right w:w="57" w:type="dxa"/>
            </w:tcMar>
            <w:vAlign w:val="center"/>
          </w:tcPr>
          <w:p w14:paraId="340DCB01" w14:textId="71EC52EF"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79.6</w:t>
            </w:r>
          </w:p>
        </w:tc>
        <w:tc>
          <w:tcPr>
            <w:tcW w:w="228" w:type="pct"/>
            <w:tcMar>
              <w:top w:w="113" w:type="dxa"/>
              <w:left w:w="0" w:type="dxa"/>
              <w:bottom w:w="113" w:type="dxa"/>
              <w:right w:w="57" w:type="dxa"/>
            </w:tcMar>
            <w:vAlign w:val="center"/>
          </w:tcPr>
          <w:p w14:paraId="1031A462" w14:textId="123696E9"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80.1</w:t>
            </w:r>
          </w:p>
        </w:tc>
        <w:tc>
          <w:tcPr>
            <w:tcW w:w="228" w:type="pct"/>
            <w:vAlign w:val="center"/>
          </w:tcPr>
          <w:p w14:paraId="5B7BEDDC" w14:textId="12A6CEBD"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80.2</w:t>
            </w:r>
          </w:p>
        </w:tc>
        <w:tc>
          <w:tcPr>
            <w:tcW w:w="228" w:type="pct"/>
            <w:tcMar>
              <w:top w:w="113" w:type="dxa"/>
              <w:left w:w="57" w:type="dxa"/>
              <w:bottom w:w="113" w:type="dxa"/>
              <w:right w:w="57" w:type="dxa"/>
            </w:tcMar>
            <w:vAlign w:val="center"/>
          </w:tcPr>
          <w:p w14:paraId="3C60FBD8" w14:textId="53481454"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74.7</w:t>
            </w:r>
          </w:p>
        </w:tc>
        <w:tc>
          <w:tcPr>
            <w:tcW w:w="228" w:type="pct"/>
            <w:tcMar>
              <w:top w:w="113" w:type="dxa"/>
              <w:left w:w="57" w:type="dxa"/>
              <w:bottom w:w="113" w:type="dxa"/>
              <w:right w:w="57" w:type="dxa"/>
            </w:tcMar>
            <w:vAlign w:val="center"/>
          </w:tcPr>
          <w:p w14:paraId="6FAA6F06" w14:textId="0F40B063"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71.7</w:t>
            </w:r>
          </w:p>
        </w:tc>
        <w:tc>
          <w:tcPr>
            <w:tcW w:w="228" w:type="pct"/>
            <w:vAlign w:val="center"/>
          </w:tcPr>
          <w:p w14:paraId="7872260C" w14:textId="66D5D33C"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72.6</w:t>
            </w:r>
          </w:p>
        </w:tc>
        <w:tc>
          <w:tcPr>
            <w:tcW w:w="228" w:type="pct"/>
            <w:tcMar>
              <w:top w:w="113" w:type="dxa"/>
              <w:left w:w="57" w:type="dxa"/>
              <w:bottom w:w="113" w:type="dxa"/>
              <w:right w:w="57" w:type="dxa"/>
            </w:tcMar>
            <w:vAlign w:val="center"/>
          </w:tcPr>
          <w:p w14:paraId="4E2A97B7" w14:textId="3FBB7F96"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83.8</w:t>
            </w:r>
          </w:p>
        </w:tc>
        <w:tc>
          <w:tcPr>
            <w:tcW w:w="228" w:type="pct"/>
            <w:tcMar>
              <w:top w:w="113" w:type="dxa"/>
              <w:left w:w="57" w:type="dxa"/>
              <w:bottom w:w="113" w:type="dxa"/>
              <w:right w:w="57" w:type="dxa"/>
            </w:tcMar>
            <w:vAlign w:val="center"/>
          </w:tcPr>
          <w:p w14:paraId="530B1CF9" w14:textId="171A6B1F"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83.3</w:t>
            </w:r>
          </w:p>
        </w:tc>
        <w:tc>
          <w:tcPr>
            <w:tcW w:w="228" w:type="pct"/>
            <w:vAlign w:val="center"/>
          </w:tcPr>
          <w:p w14:paraId="6C635FF6" w14:textId="09AF2AC1"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83.3</w:t>
            </w:r>
          </w:p>
        </w:tc>
        <w:tc>
          <w:tcPr>
            <w:tcW w:w="228" w:type="pct"/>
            <w:tcMar>
              <w:top w:w="113" w:type="dxa"/>
              <w:left w:w="57" w:type="dxa"/>
              <w:bottom w:w="113" w:type="dxa"/>
              <w:right w:w="57" w:type="dxa"/>
            </w:tcMar>
            <w:vAlign w:val="center"/>
          </w:tcPr>
          <w:p w14:paraId="3B654299" w14:textId="6B8C3EA1"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75.9</w:t>
            </w:r>
          </w:p>
        </w:tc>
        <w:tc>
          <w:tcPr>
            <w:tcW w:w="228" w:type="pct"/>
            <w:tcMar>
              <w:top w:w="113" w:type="dxa"/>
              <w:left w:w="0" w:type="dxa"/>
              <w:bottom w:w="113" w:type="dxa"/>
              <w:right w:w="0" w:type="dxa"/>
            </w:tcMar>
            <w:vAlign w:val="center"/>
          </w:tcPr>
          <w:p w14:paraId="36B8C684" w14:textId="7E4B936E"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77.0</w:t>
            </w:r>
          </w:p>
        </w:tc>
        <w:tc>
          <w:tcPr>
            <w:tcW w:w="228" w:type="pct"/>
            <w:vAlign w:val="center"/>
          </w:tcPr>
          <w:p w14:paraId="69A4951C" w14:textId="74F5615B"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77.0</w:t>
            </w:r>
          </w:p>
        </w:tc>
      </w:tr>
      <w:tr w:rsidR="005E54CB" w:rsidRPr="00E8656C" w14:paraId="3EA414B9" w14:textId="77777777" w:rsidTr="005E54CB">
        <w:trPr>
          <w:cantSplit/>
          <w:trHeight w:val="60"/>
        </w:trPr>
        <w:tc>
          <w:tcPr>
            <w:tcW w:w="446" w:type="pct"/>
            <w:vAlign w:val="center"/>
          </w:tcPr>
          <w:p w14:paraId="1B2EB080" w14:textId="12906976"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 xml:space="preserve">Location </w:t>
            </w:r>
            <w:r w:rsidRPr="00E8656C">
              <w:rPr>
                <w:rFonts w:ascii="Arial" w:hAnsi="Arial" w:cs="Arial"/>
                <w:b/>
                <w:bCs/>
                <w:color w:val="auto"/>
                <w:sz w:val="18"/>
                <w:vertAlign w:val="superscript"/>
              </w:rPr>
              <w:t>** †</w:t>
            </w:r>
          </w:p>
        </w:tc>
        <w:tc>
          <w:tcPr>
            <w:tcW w:w="449" w:type="pct"/>
            <w:tcMar>
              <w:top w:w="113" w:type="dxa"/>
              <w:left w:w="57" w:type="dxa"/>
              <w:bottom w:w="113" w:type="dxa"/>
              <w:right w:w="57" w:type="dxa"/>
            </w:tcMar>
            <w:vAlign w:val="center"/>
          </w:tcPr>
          <w:p w14:paraId="6935E0F6" w14:textId="77777777"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Metro</w:t>
            </w:r>
          </w:p>
        </w:tc>
        <w:tc>
          <w:tcPr>
            <w:tcW w:w="228" w:type="pct"/>
            <w:tcMar>
              <w:top w:w="113" w:type="dxa"/>
              <w:left w:w="57" w:type="dxa"/>
              <w:bottom w:w="113" w:type="dxa"/>
              <w:right w:w="57" w:type="dxa"/>
            </w:tcMar>
            <w:vAlign w:val="center"/>
          </w:tcPr>
          <w:p w14:paraId="53041BA0" w14:textId="25C13479" w:rsidR="006C7824" w:rsidRPr="00E8656C" w:rsidRDefault="006C7824" w:rsidP="005E54CB">
            <w:pPr>
              <w:pStyle w:val="Tabletextupdate"/>
              <w:framePr w:wrap="auto"/>
              <w:jc w:val="center"/>
              <w:rPr>
                <w:rFonts w:ascii="Arial" w:hAnsi="Arial" w:cs="Arial"/>
                <w:color w:val="auto"/>
                <w:sz w:val="18"/>
              </w:rPr>
            </w:pPr>
            <w:r w:rsidRPr="00E8656C">
              <w:rPr>
                <w:rFonts w:ascii="Arial" w:hAnsi="Arial" w:cs="Arial"/>
                <w:color w:val="auto"/>
                <w:sz w:val="18"/>
              </w:rPr>
              <w:t>80.1</w:t>
            </w:r>
          </w:p>
        </w:tc>
        <w:tc>
          <w:tcPr>
            <w:tcW w:w="228" w:type="pct"/>
            <w:tcMar>
              <w:top w:w="113" w:type="dxa"/>
              <w:left w:w="57" w:type="dxa"/>
              <w:bottom w:w="113" w:type="dxa"/>
              <w:right w:w="57" w:type="dxa"/>
            </w:tcMar>
            <w:vAlign w:val="center"/>
          </w:tcPr>
          <w:p w14:paraId="5FA4B64B" w14:textId="0006BED5" w:rsidR="006C7824" w:rsidRPr="00E8656C" w:rsidRDefault="006C7824" w:rsidP="005E54CB">
            <w:pPr>
              <w:pStyle w:val="Tabletextupdate"/>
              <w:framePr w:wrap="auto"/>
              <w:jc w:val="center"/>
              <w:rPr>
                <w:rFonts w:ascii="Arial" w:hAnsi="Arial" w:cs="Arial"/>
                <w:color w:val="auto"/>
                <w:sz w:val="18"/>
              </w:rPr>
            </w:pPr>
            <w:r w:rsidRPr="00E8656C">
              <w:rPr>
                <w:rFonts w:ascii="Arial" w:hAnsi="Arial" w:cs="Arial"/>
                <w:color w:val="auto"/>
                <w:sz w:val="18"/>
              </w:rPr>
              <w:t>80.6</w:t>
            </w:r>
          </w:p>
        </w:tc>
        <w:tc>
          <w:tcPr>
            <w:tcW w:w="228" w:type="pct"/>
            <w:vAlign w:val="center"/>
          </w:tcPr>
          <w:p w14:paraId="4CF24E09" w14:textId="04A4CB6F"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80.2</w:t>
            </w:r>
          </w:p>
        </w:tc>
        <w:tc>
          <w:tcPr>
            <w:tcW w:w="228" w:type="pct"/>
            <w:tcMar>
              <w:top w:w="113" w:type="dxa"/>
              <w:left w:w="57" w:type="dxa"/>
              <w:bottom w:w="113" w:type="dxa"/>
              <w:right w:w="57" w:type="dxa"/>
            </w:tcMar>
            <w:vAlign w:val="center"/>
          </w:tcPr>
          <w:p w14:paraId="06A8939A" w14:textId="3463E75C"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55.3</w:t>
            </w:r>
          </w:p>
        </w:tc>
        <w:tc>
          <w:tcPr>
            <w:tcW w:w="228" w:type="pct"/>
            <w:tcMar>
              <w:top w:w="113" w:type="dxa"/>
              <w:left w:w="57" w:type="dxa"/>
              <w:bottom w:w="113" w:type="dxa"/>
              <w:right w:w="57" w:type="dxa"/>
            </w:tcMar>
            <w:vAlign w:val="center"/>
          </w:tcPr>
          <w:p w14:paraId="0C3336BE" w14:textId="77AF8CC2"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58.0</w:t>
            </w:r>
          </w:p>
        </w:tc>
        <w:tc>
          <w:tcPr>
            <w:tcW w:w="228" w:type="pct"/>
            <w:vAlign w:val="center"/>
          </w:tcPr>
          <w:p w14:paraId="23C7C88E" w14:textId="16CEF66A"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59.3</w:t>
            </w:r>
          </w:p>
        </w:tc>
        <w:tc>
          <w:tcPr>
            <w:tcW w:w="228" w:type="pct"/>
            <w:tcMar>
              <w:top w:w="113" w:type="dxa"/>
              <w:left w:w="57" w:type="dxa"/>
              <w:bottom w:w="113" w:type="dxa"/>
              <w:right w:w="57" w:type="dxa"/>
            </w:tcMar>
            <w:vAlign w:val="center"/>
          </w:tcPr>
          <w:p w14:paraId="4265A589" w14:textId="24B7F49A"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79.9</w:t>
            </w:r>
          </w:p>
        </w:tc>
        <w:tc>
          <w:tcPr>
            <w:tcW w:w="228" w:type="pct"/>
            <w:tcMar>
              <w:top w:w="113" w:type="dxa"/>
              <w:left w:w="0" w:type="dxa"/>
              <w:bottom w:w="113" w:type="dxa"/>
              <w:right w:w="57" w:type="dxa"/>
            </w:tcMar>
            <w:vAlign w:val="center"/>
          </w:tcPr>
          <w:p w14:paraId="508C4A37" w14:textId="402F70D1"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80.2</w:t>
            </w:r>
          </w:p>
        </w:tc>
        <w:tc>
          <w:tcPr>
            <w:tcW w:w="228" w:type="pct"/>
            <w:vAlign w:val="center"/>
          </w:tcPr>
          <w:p w14:paraId="31080AD4" w14:textId="6409C3D3"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79.7</w:t>
            </w:r>
          </w:p>
        </w:tc>
        <w:tc>
          <w:tcPr>
            <w:tcW w:w="228" w:type="pct"/>
            <w:tcMar>
              <w:top w:w="113" w:type="dxa"/>
              <w:left w:w="57" w:type="dxa"/>
              <w:bottom w:w="113" w:type="dxa"/>
              <w:right w:w="57" w:type="dxa"/>
            </w:tcMar>
            <w:vAlign w:val="center"/>
          </w:tcPr>
          <w:p w14:paraId="1C94419B" w14:textId="7707D697"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71.9</w:t>
            </w:r>
          </w:p>
        </w:tc>
        <w:tc>
          <w:tcPr>
            <w:tcW w:w="228" w:type="pct"/>
            <w:tcMar>
              <w:top w:w="113" w:type="dxa"/>
              <w:left w:w="57" w:type="dxa"/>
              <w:bottom w:w="113" w:type="dxa"/>
              <w:right w:w="57" w:type="dxa"/>
            </w:tcMar>
            <w:vAlign w:val="center"/>
          </w:tcPr>
          <w:p w14:paraId="7EA5A1EF" w14:textId="02C068CD"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69.3</w:t>
            </w:r>
          </w:p>
        </w:tc>
        <w:tc>
          <w:tcPr>
            <w:tcW w:w="228" w:type="pct"/>
            <w:vAlign w:val="center"/>
          </w:tcPr>
          <w:p w14:paraId="33424ABB" w14:textId="7248249E"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68.9</w:t>
            </w:r>
          </w:p>
        </w:tc>
        <w:tc>
          <w:tcPr>
            <w:tcW w:w="228" w:type="pct"/>
            <w:tcMar>
              <w:top w:w="113" w:type="dxa"/>
              <w:left w:w="57" w:type="dxa"/>
              <w:bottom w:w="113" w:type="dxa"/>
              <w:right w:w="57" w:type="dxa"/>
            </w:tcMar>
            <w:vAlign w:val="center"/>
          </w:tcPr>
          <w:p w14:paraId="1139B9FC" w14:textId="2A814363"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83.6</w:t>
            </w:r>
          </w:p>
        </w:tc>
        <w:tc>
          <w:tcPr>
            <w:tcW w:w="228" w:type="pct"/>
            <w:tcMar>
              <w:top w:w="113" w:type="dxa"/>
              <w:left w:w="57" w:type="dxa"/>
              <w:bottom w:w="113" w:type="dxa"/>
              <w:right w:w="57" w:type="dxa"/>
            </w:tcMar>
            <w:vAlign w:val="center"/>
          </w:tcPr>
          <w:p w14:paraId="6EA0A80D" w14:textId="3C02E850"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83.8</w:t>
            </w:r>
          </w:p>
        </w:tc>
        <w:tc>
          <w:tcPr>
            <w:tcW w:w="228" w:type="pct"/>
            <w:vAlign w:val="center"/>
          </w:tcPr>
          <w:p w14:paraId="245BDAB5" w14:textId="12705AD7"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82.6</w:t>
            </w:r>
          </w:p>
        </w:tc>
        <w:tc>
          <w:tcPr>
            <w:tcW w:w="228" w:type="pct"/>
            <w:tcMar>
              <w:top w:w="113" w:type="dxa"/>
              <w:left w:w="57" w:type="dxa"/>
              <w:bottom w:w="113" w:type="dxa"/>
              <w:right w:w="57" w:type="dxa"/>
            </w:tcMar>
            <w:vAlign w:val="center"/>
          </w:tcPr>
          <w:p w14:paraId="72E21F74" w14:textId="56970A25"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75.9</w:t>
            </w:r>
          </w:p>
        </w:tc>
        <w:tc>
          <w:tcPr>
            <w:tcW w:w="228" w:type="pct"/>
            <w:tcMar>
              <w:top w:w="113" w:type="dxa"/>
              <w:left w:w="0" w:type="dxa"/>
              <w:bottom w:w="113" w:type="dxa"/>
              <w:right w:w="0" w:type="dxa"/>
            </w:tcMar>
            <w:vAlign w:val="center"/>
          </w:tcPr>
          <w:p w14:paraId="67DD8CD7" w14:textId="7B6D1969"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76.6</w:t>
            </w:r>
          </w:p>
        </w:tc>
        <w:tc>
          <w:tcPr>
            <w:tcW w:w="228" w:type="pct"/>
            <w:vAlign w:val="center"/>
          </w:tcPr>
          <w:p w14:paraId="3970FCEE" w14:textId="169E159C"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76.5</w:t>
            </w:r>
          </w:p>
        </w:tc>
      </w:tr>
      <w:tr w:rsidR="005E54CB" w:rsidRPr="00E8656C" w14:paraId="5B5492FC" w14:textId="77777777" w:rsidTr="005E54CB">
        <w:trPr>
          <w:cantSplit/>
          <w:trHeight w:val="60"/>
        </w:trPr>
        <w:tc>
          <w:tcPr>
            <w:tcW w:w="446" w:type="pct"/>
            <w:vAlign w:val="center"/>
          </w:tcPr>
          <w:p w14:paraId="37BBC404" w14:textId="4A156436"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 xml:space="preserve">Location </w:t>
            </w:r>
            <w:r w:rsidRPr="00E8656C">
              <w:rPr>
                <w:rFonts w:ascii="Arial" w:hAnsi="Arial" w:cs="Arial"/>
                <w:b/>
                <w:bCs/>
                <w:color w:val="auto"/>
                <w:sz w:val="18"/>
                <w:vertAlign w:val="superscript"/>
              </w:rPr>
              <w:t>** †</w:t>
            </w:r>
          </w:p>
        </w:tc>
        <w:tc>
          <w:tcPr>
            <w:tcW w:w="449" w:type="pct"/>
            <w:tcMar>
              <w:top w:w="113" w:type="dxa"/>
              <w:left w:w="57" w:type="dxa"/>
              <w:bottom w:w="113" w:type="dxa"/>
              <w:right w:w="57" w:type="dxa"/>
            </w:tcMar>
            <w:vAlign w:val="center"/>
          </w:tcPr>
          <w:p w14:paraId="395B99E1" w14:textId="77777777"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Regional / remote</w:t>
            </w:r>
          </w:p>
        </w:tc>
        <w:tc>
          <w:tcPr>
            <w:tcW w:w="228" w:type="pct"/>
            <w:tcMar>
              <w:top w:w="113" w:type="dxa"/>
              <w:left w:w="57" w:type="dxa"/>
              <w:bottom w:w="113" w:type="dxa"/>
              <w:right w:w="57" w:type="dxa"/>
            </w:tcMar>
            <w:vAlign w:val="center"/>
          </w:tcPr>
          <w:p w14:paraId="0A2B3112" w14:textId="24C9E8EA" w:rsidR="006C7824" w:rsidRPr="00E8656C" w:rsidRDefault="006C7824" w:rsidP="005E54CB">
            <w:pPr>
              <w:pStyle w:val="Tabletextupdate"/>
              <w:framePr w:wrap="auto"/>
              <w:jc w:val="center"/>
              <w:rPr>
                <w:rFonts w:ascii="Arial" w:hAnsi="Arial" w:cs="Arial"/>
                <w:color w:val="auto"/>
                <w:sz w:val="18"/>
              </w:rPr>
            </w:pPr>
            <w:r w:rsidRPr="00E8656C">
              <w:rPr>
                <w:rFonts w:ascii="Arial" w:hAnsi="Arial" w:cs="Arial"/>
                <w:color w:val="auto"/>
                <w:sz w:val="18"/>
              </w:rPr>
              <w:t>80.5</w:t>
            </w:r>
          </w:p>
        </w:tc>
        <w:tc>
          <w:tcPr>
            <w:tcW w:w="228" w:type="pct"/>
            <w:tcMar>
              <w:top w:w="113" w:type="dxa"/>
              <w:left w:w="57" w:type="dxa"/>
              <w:bottom w:w="113" w:type="dxa"/>
              <w:right w:w="57" w:type="dxa"/>
            </w:tcMar>
            <w:vAlign w:val="center"/>
          </w:tcPr>
          <w:p w14:paraId="36063B55" w14:textId="6646F3B6" w:rsidR="006C7824" w:rsidRPr="00E8656C" w:rsidRDefault="006C7824" w:rsidP="005E54CB">
            <w:pPr>
              <w:pStyle w:val="Tabletextupdate"/>
              <w:framePr w:wrap="auto"/>
              <w:jc w:val="center"/>
              <w:rPr>
                <w:rFonts w:ascii="Arial" w:hAnsi="Arial" w:cs="Arial"/>
                <w:color w:val="auto"/>
                <w:sz w:val="18"/>
              </w:rPr>
            </w:pPr>
            <w:r w:rsidRPr="00E8656C">
              <w:rPr>
                <w:rFonts w:ascii="Arial" w:hAnsi="Arial" w:cs="Arial"/>
                <w:color w:val="auto"/>
                <w:sz w:val="18"/>
              </w:rPr>
              <w:t>80.8</w:t>
            </w:r>
          </w:p>
        </w:tc>
        <w:tc>
          <w:tcPr>
            <w:tcW w:w="228" w:type="pct"/>
            <w:vAlign w:val="center"/>
          </w:tcPr>
          <w:p w14:paraId="281F03C6" w14:textId="49AFB7D8"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81.1</w:t>
            </w:r>
          </w:p>
        </w:tc>
        <w:tc>
          <w:tcPr>
            <w:tcW w:w="228" w:type="pct"/>
            <w:tcMar>
              <w:top w:w="113" w:type="dxa"/>
              <w:left w:w="57" w:type="dxa"/>
              <w:bottom w:w="113" w:type="dxa"/>
              <w:right w:w="57" w:type="dxa"/>
            </w:tcMar>
            <w:vAlign w:val="center"/>
          </w:tcPr>
          <w:p w14:paraId="48E078E1" w14:textId="2374C789"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48.9</w:t>
            </w:r>
          </w:p>
        </w:tc>
        <w:tc>
          <w:tcPr>
            <w:tcW w:w="228" w:type="pct"/>
            <w:tcMar>
              <w:top w:w="113" w:type="dxa"/>
              <w:left w:w="57" w:type="dxa"/>
              <w:bottom w:w="113" w:type="dxa"/>
              <w:right w:w="57" w:type="dxa"/>
            </w:tcMar>
            <w:vAlign w:val="center"/>
          </w:tcPr>
          <w:p w14:paraId="668A212F" w14:textId="521785F2"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51.1</w:t>
            </w:r>
          </w:p>
        </w:tc>
        <w:tc>
          <w:tcPr>
            <w:tcW w:w="228" w:type="pct"/>
            <w:vAlign w:val="center"/>
          </w:tcPr>
          <w:p w14:paraId="5C27F2EC" w14:textId="008A63B6"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51.9</w:t>
            </w:r>
          </w:p>
        </w:tc>
        <w:tc>
          <w:tcPr>
            <w:tcW w:w="228" w:type="pct"/>
            <w:tcMar>
              <w:top w:w="113" w:type="dxa"/>
              <w:left w:w="57" w:type="dxa"/>
              <w:bottom w:w="113" w:type="dxa"/>
              <w:right w:w="57" w:type="dxa"/>
            </w:tcMar>
            <w:vAlign w:val="center"/>
          </w:tcPr>
          <w:p w14:paraId="039F2254" w14:textId="6B7A7113"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80.6</w:t>
            </w:r>
          </w:p>
        </w:tc>
        <w:tc>
          <w:tcPr>
            <w:tcW w:w="228" w:type="pct"/>
            <w:tcMar>
              <w:top w:w="113" w:type="dxa"/>
              <w:left w:w="0" w:type="dxa"/>
              <w:bottom w:w="113" w:type="dxa"/>
              <w:right w:w="57" w:type="dxa"/>
            </w:tcMar>
            <w:vAlign w:val="center"/>
          </w:tcPr>
          <w:p w14:paraId="0AF494C9" w14:textId="5350CFC6"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80.7</w:t>
            </w:r>
          </w:p>
        </w:tc>
        <w:tc>
          <w:tcPr>
            <w:tcW w:w="228" w:type="pct"/>
            <w:vAlign w:val="center"/>
          </w:tcPr>
          <w:p w14:paraId="63FC9332" w14:textId="4D9523D6"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80.6</w:t>
            </w:r>
          </w:p>
        </w:tc>
        <w:tc>
          <w:tcPr>
            <w:tcW w:w="228" w:type="pct"/>
            <w:tcMar>
              <w:top w:w="113" w:type="dxa"/>
              <w:left w:w="57" w:type="dxa"/>
              <w:bottom w:w="113" w:type="dxa"/>
              <w:right w:w="57" w:type="dxa"/>
            </w:tcMar>
            <w:vAlign w:val="center"/>
          </w:tcPr>
          <w:p w14:paraId="6BA7DD7F" w14:textId="5E3FD218"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73.8</w:t>
            </w:r>
          </w:p>
        </w:tc>
        <w:tc>
          <w:tcPr>
            <w:tcW w:w="228" w:type="pct"/>
            <w:tcMar>
              <w:top w:w="113" w:type="dxa"/>
              <w:left w:w="57" w:type="dxa"/>
              <w:bottom w:w="113" w:type="dxa"/>
              <w:right w:w="57" w:type="dxa"/>
            </w:tcMar>
            <w:vAlign w:val="center"/>
          </w:tcPr>
          <w:p w14:paraId="21E94667" w14:textId="516BC386"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69.7</w:t>
            </w:r>
          </w:p>
        </w:tc>
        <w:tc>
          <w:tcPr>
            <w:tcW w:w="228" w:type="pct"/>
            <w:vAlign w:val="center"/>
          </w:tcPr>
          <w:p w14:paraId="0D3E9B3D" w14:textId="1746DA23"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70.4</w:t>
            </w:r>
          </w:p>
        </w:tc>
        <w:tc>
          <w:tcPr>
            <w:tcW w:w="228" w:type="pct"/>
            <w:tcMar>
              <w:top w:w="113" w:type="dxa"/>
              <w:left w:w="57" w:type="dxa"/>
              <w:bottom w:w="113" w:type="dxa"/>
              <w:right w:w="57" w:type="dxa"/>
            </w:tcMar>
            <w:vAlign w:val="center"/>
          </w:tcPr>
          <w:p w14:paraId="35D62104" w14:textId="2E38DF98"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83.5</w:t>
            </w:r>
          </w:p>
        </w:tc>
        <w:tc>
          <w:tcPr>
            <w:tcW w:w="228" w:type="pct"/>
            <w:tcMar>
              <w:top w:w="113" w:type="dxa"/>
              <w:left w:w="57" w:type="dxa"/>
              <w:bottom w:w="113" w:type="dxa"/>
              <w:right w:w="57" w:type="dxa"/>
            </w:tcMar>
            <w:vAlign w:val="center"/>
          </w:tcPr>
          <w:p w14:paraId="72BD7695" w14:textId="56E6A3FB"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83.2</w:t>
            </w:r>
          </w:p>
        </w:tc>
        <w:tc>
          <w:tcPr>
            <w:tcW w:w="228" w:type="pct"/>
            <w:vAlign w:val="center"/>
          </w:tcPr>
          <w:p w14:paraId="697B340D" w14:textId="43F318CC"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83.8</w:t>
            </w:r>
          </w:p>
        </w:tc>
        <w:tc>
          <w:tcPr>
            <w:tcW w:w="228" w:type="pct"/>
            <w:tcMar>
              <w:top w:w="113" w:type="dxa"/>
              <w:left w:w="57" w:type="dxa"/>
              <w:bottom w:w="113" w:type="dxa"/>
              <w:right w:w="57" w:type="dxa"/>
            </w:tcMar>
            <w:vAlign w:val="center"/>
          </w:tcPr>
          <w:p w14:paraId="3688D5BA" w14:textId="692DC540"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76.8</w:t>
            </w:r>
          </w:p>
        </w:tc>
        <w:tc>
          <w:tcPr>
            <w:tcW w:w="228" w:type="pct"/>
            <w:tcMar>
              <w:top w:w="113" w:type="dxa"/>
              <w:left w:w="0" w:type="dxa"/>
              <w:bottom w:w="113" w:type="dxa"/>
              <w:right w:w="0" w:type="dxa"/>
            </w:tcMar>
            <w:vAlign w:val="center"/>
          </w:tcPr>
          <w:p w14:paraId="3A7C15D7" w14:textId="1BF505C3" w:rsidR="006C7824" w:rsidRPr="00E8656C" w:rsidRDefault="006C7824" w:rsidP="005E54CB">
            <w:pPr>
              <w:pStyle w:val="Tabletextupdate"/>
              <w:framePr w:wrap="auto"/>
              <w:jc w:val="center"/>
              <w:rPr>
                <w:rFonts w:ascii="Arial" w:hAnsi="Arial" w:cs="Arial"/>
                <w:color w:val="auto"/>
                <w:sz w:val="18"/>
              </w:rPr>
            </w:pPr>
            <w:r w:rsidRPr="00956AE3">
              <w:rPr>
                <w:rFonts w:ascii="Arial" w:hAnsi="Arial" w:cs="Arial"/>
                <w:sz w:val="18"/>
              </w:rPr>
              <w:t>77.9</w:t>
            </w:r>
          </w:p>
        </w:tc>
        <w:tc>
          <w:tcPr>
            <w:tcW w:w="228" w:type="pct"/>
            <w:vAlign w:val="center"/>
          </w:tcPr>
          <w:p w14:paraId="455EA7B5" w14:textId="7877C5D4" w:rsidR="006C7824" w:rsidRPr="00E8656C" w:rsidRDefault="006C7824" w:rsidP="005E54CB">
            <w:pPr>
              <w:pStyle w:val="Tabletextupdate"/>
              <w:framePr w:wrap="auto"/>
              <w:jc w:val="center"/>
              <w:rPr>
                <w:rFonts w:ascii="Arial" w:hAnsi="Arial" w:cs="Arial"/>
                <w:color w:val="auto"/>
                <w:sz w:val="18"/>
              </w:rPr>
            </w:pPr>
            <w:r w:rsidRPr="00517FD9">
              <w:rPr>
                <w:rFonts w:ascii="Arial" w:hAnsi="Arial" w:cs="Arial"/>
                <w:sz w:val="18"/>
              </w:rPr>
              <w:t>78.5</w:t>
            </w:r>
          </w:p>
        </w:tc>
      </w:tr>
      <w:tr w:rsidR="0066499D" w:rsidRPr="00E8656C" w14:paraId="1B0A68CD" w14:textId="77777777" w:rsidTr="005E54CB">
        <w:trPr>
          <w:cantSplit/>
          <w:trHeight w:val="60"/>
        </w:trPr>
        <w:tc>
          <w:tcPr>
            <w:tcW w:w="446" w:type="pct"/>
            <w:vAlign w:val="center"/>
          </w:tcPr>
          <w:p w14:paraId="5697AB48" w14:textId="77777777" w:rsidR="00BE5305" w:rsidRPr="00E8656C" w:rsidRDefault="00BE5305" w:rsidP="0066499D">
            <w:pPr>
              <w:pStyle w:val="Tabletextupdate"/>
              <w:framePr w:wrap="auto"/>
              <w:rPr>
                <w:rFonts w:ascii="Arial" w:hAnsi="Arial" w:cs="Arial"/>
                <w:b/>
                <w:bCs/>
                <w:color w:val="auto"/>
                <w:sz w:val="18"/>
              </w:rPr>
            </w:pPr>
          </w:p>
        </w:tc>
        <w:tc>
          <w:tcPr>
            <w:tcW w:w="449" w:type="pct"/>
            <w:tcMar>
              <w:top w:w="113" w:type="dxa"/>
              <w:left w:w="57" w:type="dxa"/>
              <w:bottom w:w="113" w:type="dxa"/>
              <w:right w:w="57" w:type="dxa"/>
            </w:tcMar>
            <w:vAlign w:val="center"/>
          </w:tcPr>
          <w:p w14:paraId="1392CBEA" w14:textId="77777777" w:rsidR="00BE5305" w:rsidRPr="00E8656C" w:rsidRDefault="00BE5305" w:rsidP="0066499D">
            <w:pPr>
              <w:pStyle w:val="Tabletextupdate"/>
              <w:framePr w:wrap="auto"/>
              <w:rPr>
                <w:rFonts w:ascii="Arial" w:hAnsi="Arial" w:cs="Arial"/>
                <w:b/>
                <w:bCs/>
                <w:color w:val="auto"/>
                <w:sz w:val="18"/>
                <w:lang w:val="en-US"/>
              </w:rPr>
            </w:pPr>
            <w:r w:rsidRPr="00E8656C">
              <w:rPr>
                <w:rFonts w:ascii="Arial" w:hAnsi="Arial" w:cs="Arial"/>
                <w:b/>
                <w:bCs/>
                <w:color w:val="auto"/>
                <w:sz w:val="18"/>
              </w:rPr>
              <w:t>Total</w:t>
            </w:r>
          </w:p>
        </w:tc>
        <w:tc>
          <w:tcPr>
            <w:tcW w:w="228" w:type="pct"/>
            <w:tcMar>
              <w:top w:w="113" w:type="dxa"/>
              <w:left w:w="57" w:type="dxa"/>
              <w:bottom w:w="113" w:type="dxa"/>
              <w:right w:w="57" w:type="dxa"/>
            </w:tcMar>
            <w:vAlign w:val="center"/>
          </w:tcPr>
          <w:p w14:paraId="01A592EC"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80.5</w:t>
            </w:r>
          </w:p>
        </w:tc>
        <w:tc>
          <w:tcPr>
            <w:tcW w:w="228" w:type="pct"/>
            <w:tcMar>
              <w:top w:w="113" w:type="dxa"/>
              <w:left w:w="57" w:type="dxa"/>
              <w:bottom w:w="113" w:type="dxa"/>
              <w:right w:w="57" w:type="dxa"/>
            </w:tcMar>
            <w:vAlign w:val="center"/>
          </w:tcPr>
          <w:p w14:paraId="48022314"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81.1</w:t>
            </w:r>
          </w:p>
        </w:tc>
        <w:tc>
          <w:tcPr>
            <w:tcW w:w="228" w:type="pct"/>
            <w:vAlign w:val="center"/>
          </w:tcPr>
          <w:p w14:paraId="15088AB7"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81.0</w:t>
            </w:r>
          </w:p>
        </w:tc>
        <w:tc>
          <w:tcPr>
            <w:tcW w:w="228" w:type="pct"/>
            <w:tcMar>
              <w:top w:w="113" w:type="dxa"/>
              <w:left w:w="57" w:type="dxa"/>
              <w:bottom w:w="113" w:type="dxa"/>
              <w:right w:w="57" w:type="dxa"/>
            </w:tcMar>
            <w:vAlign w:val="center"/>
          </w:tcPr>
          <w:p w14:paraId="03BE4243"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55.2</w:t>
            </w:r>
          </w:p>
        </w:tc>
        <w:tc>
          <w:tcPr>
            <w:tcW w:w="228" w:type="pct"/>
            <w:tcMar>
              <w:top w:w="113" w:type="dxa"/>
              <w:left w:w="57" w:type="dxa"/>
              <w:bottom w:w="113" w:type="dxa"/>
              <w:right w:w="57" w:type="dxa"/>
            </w:tcMar>
            <w:vAlign w:val="center"/>
          </w:tcPr>
          <w:p w14:paraId="3500A529"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58.8</w:t>
            </w:r>
          </w:p>
        </w:tc>
        <w:tc>
          <w:tcPr>
            <w:tcW w:w="228" w:type="pct"/>
            <w:vAlign w:val="center"/>
          </w:tcPr>
          <w:p w14:paraId="74CCDECC"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60.2</w:t>
            </w:r>
          </w:p>
        </w:tc>
        <w:tc>
          <w:tcPr>
            <w:tcW w:w="228" w:type="pct"/>
            <w:tcMar>
              <w:top w:w="113" w:type="dxa"/>
              <w:left w:w="57" w:type="dxa"/>
              <w:bottom w:w="113" w:type="dxa"/>
              <w:right w:w="57" w:type="dxa"/>
            </w:tcMar>
            <w:vAlign w:val="center"/>
          </w:tcPr>
          <w:p w14:paraId="728C2E32"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80.1</w:t>
            </w:r>
          </w:p>
        </w:tc>
        <w:tc>
          <w:tcPr>
            <w:tcW w:w="228" w:type="pct"/>
            <w:tcMar>
              <w:top w:w="113" w:type="dxa"/>
              <w:left w:w="0" w:type="dxa"/>
              <w:bottom w:w="113" w:type="dxa"/>
              <w:right w:w="57" w:type="dxa"/>
            </w:tcMar>
            <w:vAlign w:val="center"/>
          </w:tcPr>
          <w:p w14:paraId="06D51832"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80.7</w:t>
            </w:r>
          </w:p>
        </w:tc>
        <w:tc>
          <w:tcPr>
            <w:tcW w:w="228" w:type="pct"/>
            <w:vAlign w:val="center"/>
          </w:tcPr>
          <w:p w14:paraId="380DFC86"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80.3</w:t>
            </w:r>
          </w:p>
        </w:tc>
        <w:tc>
          <w:tcPr>
            <w:tcW w:w="228" w:type="pct"/>
            <w:tcMar>
              <w:top w:w="113" w:type="dxa"/>
              <w:left w:w="57" w:type="dxa"/>
              <w:bottom w:w="113" w:type="dxa"/>
              <w:right w:w="57" w:type="dxa"/>
            </w:tcMar>
            <w:vAlign w:val="center"/>
          </w:tcPr>
          <w:p w14:paraId="0B9D69AA"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72.9</w:t>
            </w:r>
          </w:p>
        </w:tc>
        <w:tc>
          <w:tcPr>
            <w:tcW w:w="228" w:type="pct"/>
            <w:tcMar>
              <w:top w:w="113" w:type="dxa"/>
              <w:left w:w="57" w:type="dxa"/>
              <w:bottom w:w="113" w:type="dxa"/>
              <w:right w:w="57" w:type="dxa"/>
            </w:tcMar>
            <w:vAlign w:val="center"/>
          </w:tcPr>
          <w:p w14:paraId="30EB4F16"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71.2</w:t>
            </w:r>
          </w:p>
        </w:tc>
        <w:tc>
          <w:tcPr>
            <w:tcW w:w="228" w:type="pct"/>
            <w:vAlign w:val="center"/>
          </w:tcPr>
          <w:p w14:paraId="4E45DEE6"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71.2</w:t>
            </w:r>
          </w:p>
        </w:tc>
        <w:tc>
          <w:tcPr>
            <w:tcW w:w="228" w:type="pct"/>
            <w:tcMar>
              <w:top w:w="113" w:type="dxa"/>
              <w:left w:w="57" w:type="dxa"/>
              <w:bottom w:w="113" w:type="dxa"/>
              <w:right w:w="57" w:type="dxa"/>
            </w:tcMar>
            <w:vAlign w:val="center"/>
          </w:tcPr>
          <w:p w14:paraId="69850A93"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83.6</w:t>
            </w:r>
          </w:p>
        </w:tc>
        <w:tc>
          <w:tcPr>
            <w:tcW w:w="228" w:type="pct"/>
            <w:tcMar>
              <w:top w:w="113" w:type="dxa"/>
              <w:left w:w="57" w:type="dxa"/>
              <w:bottom w:w="113" w:type="dxa"/>
              <w:right w:w="57" w:type="dxa"/>
            </w:tcMar>
            <w:vAlign w:val="center"/>
          </w:tcPr>
          <w:p w14:paraId="2FF38E42"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83.8</w:t>
            </w:r>
          </w:p>
        </w:tc>
        <w:tc>
          <w:tcPr>
            <w:tcW w:w="228" w:type="pct"/>
            <w:vAlign w:val="center"/>
          </w:tcPr>
          <w:p w14:paraId="2DA54030"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82.8</w:t>
            </w:r>
          </w:p>
        </w:tc>
        <w:tc>
          <w:tcPr>
            <w:tcW w:w="228" w:type="pct"/>
            <w:tcMar>
              <w:top w:w="113" w:type="dxa"/>
              <w:left w:w="57" w:type="dxa"/>
              <w:bottom w:w="113" w:type="dxa"/>
              <w:right w:w="57" w:type="dxa"/>
            </w:tcMar>
            <w:vAlign w:val="center"/>
          </w:tcPr>
          <w:p w14:paraId="379C2C7B"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75.9</w:t>
            </w:r>
          </w:p>
        </w:tc>
        <w:tc>
          <w:tcPr>
            <w:tcW w:w="228" w:type="pct"/>
            <w:tcMar>
              <w:top w:w="113" w:type="dxa"/>
              <w:left w:w="0" w:type="dxa"/>
              <w:bottom w:w="113" w:type="dxa"/>
              <w:right w:w="0" w:type="dxa"/>
            </w:tcMar>
            <w:vAlign w:val="center"/>
          </w:tcPr>
          <w:p w14:paraId="7D63499D"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76.7</w:t>
            </w:r>
          </w:p>
        </w:tc>
        <w:tc>
          <w:tcPr>
            <w:tcW w:w="228" w:type="pct"/>
            <w:vAlign w:val="center"/>
          </w:tcPr>
          <w:p w14:paraId="650C118E" w14:textId="77777777" w:rsidR="00BE5305" w:rsidRPr="00E8656C" w:rsidRDefault="00BE5305" w:rsidP="005E54CB">
            <w:pPr>
              <w:pStyle w:val="Tabletextupdate"/>
              <w:framePr w:wrap="auto"/>
              <w:jc w:val="center"/>
              <w:rPr>
                <w:rFonts w:ascii="Arial" w:hAnsi="Arial" w:cs="Arial"/>
                <w:color w:val="auto"/>
                <w:sz w:val="18"/>
              </w:rPr>
            </w:pPr>
            <w:r w:rsidRPr="00E8656C">
              <w:rPr>
                <w:rFonts w:ascii="Arial" w:hAnsi="Arial" w:cs="Arial"/>
                <w:color w:val="auto"/>
                <w:sz w:val="18"/>
              </w:rPr>
              <w:t>76.5</w:t>
            </w:r>
          </w:p>
        </w:tc>
      </w:tr>
    </w:tbl>
    <w:bookmarkEnd w:id="136"/>
    <w:p w14:paraId="3CEEDD6E" w14:textId="08EBE2C9" w:rsidR="00417ACD" w:rsidRPr="00E8656C" w:rsidRDefault="001C1A82" w:rsidP="0066499D">
      <w:pPr>
        <w:pStyle w:val="Noteupdate"/>
        <w:spacing w:before="240"/>
        <w:rPr>
          <w:color w:val="auto"/>
          <w:sz w:val="18"/>
          <w:szCs w:val="18"/>
        </w:rPr>
      </w:pPr>
      <w:r w:rsidRPr="00E8656C">
        <w:rPr>
          <w:color w:val="auto"/>
          <w:sz w:val="18"/>
          <w:szCs w:val="18"/>
        </w:rPr>
        <w:t xml:space="preserve">* </w:t>
      </w:r>
      <w:r w:rsidR="00802955" w:rsidRPr="00E8656C">
        <w:rPr>
          <w:color w:val="auto"/>
          <w:sz w:val="18"/>
          <w:szCs w:val="18"/>
        </w:rPr>
        <w:t>Internal mode of attendance is where (</w:t>
      </w:r>
      <w:proofErr w:type="spellStart"/>
      <w:r w:rsidR="00802955" w:rsidRPr="00E8656C">
        <w:rPr>
          <w:color w:val="auto"/>
          <w:sz w:val="18"/>
          <w:szCs w:val="18"/>
        </w:rPr>
        <w:t>i</w:t>
      </w:r>
      <w:proofErr w:type="spellEnd"/>
      <w:r w:rsidR="00802955" w:rsidRPr="00E8656C">
        <w:rPr>
          <w:color w:val="auto"/>
          <w:sz w:val="18"/>
          <w:szCs w:val="18"/>
        </w:rPr>
        <w:t xml:space="preserve">) the study is undertaken through attendance at the higher education provider on a regular basis, or (ii) for higher degree unit enrolments, where regular attendance is not required but the student attends the higher education provider on an agreed schedule for the purposes of supervision and/or instruction. External mode of attendance is where lesson materials, assignments, etc. are delivered to the student, and any associated attendance at the institution is of an incidental, irregular, special or voluntary nature. </w:t>
      </w:r>
      <w:r w:rsidRPr="00E8656C">
        <w:rPr>
          <w:color w:val="auto"/>
          <w:sz w:val="18"/>
          <w:szCs w:val="18"/>
        </w:rPr>
        <w:t>Multi-</w:t>
      </w:r>
      <w:r w:rsidR="00802955" w:rsidRPr="00E8656C">
        <w:rPr>
          <w:color w:val="auto"/>
          <w:sz w:val="18"/>
          <w:szCs w:val="18"/>
        </w:rPr>
        <w:t>mode of attendance is where study is undertaken partially on an internal mode of attendance and partially on an external mode of attendance.</w:t>
      </w:r>
    </w:p>
    <w:p w14:paraId="717E3577" w14:textId="1F474BE5" w:rsidR="00802955" w:rsidRPr="00E8656C" w:rsidRDefault="00417ACD" w:rsidP="00BE5305">
      <w:pPr>
        <w:pStyle w:val="Noteupdate"/>
        <w:rPr>
          <w:color w:val="auto"/>
          <w:sz w:val="18"/>
          <w:szCs w:val="18"/>
        </w:rPr>
      </w:pPr>
      <w:r w:rsidRPr="00E8656C">
        <w:rPr>
          <w:color w:val="auto"/>
          <w:sz w:val="18"/>
          <w:szCs w:val="18"/>
        </w:rPr>
        <w:t xml:space="preserve">** </w:t>
      </w:r>
      <w:r w:rsidR="00E44766" w:rsidRPr="00E8656C">
        <w:rPr>
          <w:color w:val="auto"/>
          <w:sz w:val="18"/>
          <w:szCs w:val="18"/>
        </w:rPr>
        <w:t>First Nations</w:t>
      </w:r>
      <w:r w:rsidR="00596717" w:rsidRPr="00E8656C">
        <w:rPr>
          <w:color w:val="auto"/>
          <w:sz w:val="18"/>
          <w:szCs w:val="18"/>
        </w:rPr>
        <w:t>, socio-economic, and locality data reflect values for domestic students only, excluding international students. The remaining demographic and equity groups include all students, both domestic and international.</w:t>
      </w:r>
    </w:p>
    <w:p w14:paraId="1B304711" w14:textId="712842C1" w:rsidR="00342443" w:rsidRPr="00E8656C" w:rsidRDefault="00395919" w:rsidP="00BE5305">
      <w:pPr>
        <w:pStyle w:val="Noteupdate"/>
        <w:rPr>
          <w:color w:val="auto"/>
          <w:sz w:val="18"/>
          <w:szCs w:val="18"/>
        </w:rPr>
      </w:pPr>
      <w:r w:rsidRPr="00E8656C">
        <w:rPr>
          <w:color w:val="auto"/>
          <w:sz w:val="18"/>
          <w:szCs w:val="18"/>
        </w:rPr>
        <w:t xml:space="preserve">*** Home language other than English refers to graduates who arrived in Australia less than 10 years prior to the year in which the data was </w:t>
      </w:r>
      <w:proofErr w:type="gramStart"/>
      <w:r w:rsidRPr="00E8656C">
        <w:rPr>
          <w:color w:val="auto"/>
          <w:sz w:val="18"/>
          <w:szCs w:val="18"/>
        </w:rPr>
        <w:t>collected, and</w:t>
      </w:r>
      <w:proofErr w:type="gramEnd"/>
      <w:r w:rsidRPr="00E8656C">
        <w:rPr>
          <w:color w:val="auto"/>
          <w:sz w:val="18"/>
          <w:szCs w:val="18"/>
        </w:rPr>
        <w:t xml:space="preserve"> comes from a home where a language other than English is spoken. This information is reported by institutions through the TCSI system.</w:t>
      </w:r>
      <w:r w:rsidR="00A023D6" w:rsidRPr="00E8656C">
        <w:rPr>
          <w:color w:val="auto"/>
          <w:sz w:val="18"/>
          <w:szCs w:val="18"/>
        </w:rPr>
        <w:t xml:space="preserve"> Data presented here includes both domestic and international student responses.</w:t>
      </w:r>
    </w:p>
    <w:p w14:paraId="0172C9C5" w14:textId="3432DB21" w:rsidR="00B02C3F" w:rsidRPr="00E8656C" w:rsidRDefault="00D019E9" w:rsidP="00BE5305">
      <w:pPr>
        <w:pStyle w:val="Noteupdate"/>
        <w:rPr>
          <w:color w:val="auto"/>
          <w:sz w:val="18"/>
          <w:szCs w:val="18"/>
        </w:rPr>
      </w:pPr>
      <w:r w:rsidRPr="00E8656C">
        <w:rPr>
          <w:color w:val="auto"/>
          <w:sz w:val="18"/>
          <w:szCs w:val="18"/>
        </w:rPr>
        <w:t>**</w:t>
      </w:r>
      <w:r w:rsidR="00417ACD" w:rsidRPr="00E8656C">
        <w:rPr>
          <w:color w:val="auto"/>
          <w:sz w:val="18"/>
          <w:szCs w:val="18"/>
        </w:rPr>
        <w:t>*</w:t>
      </w:r>
      <w:r w:rsidR="00760BFF" w:rsidRPr="00E8656C">
        <w:rPr>
          <w:color w:val="auto"/>
          <w:sz w:val="18"/>
          <w:szCs w:val="18"/>
        </w:rPr>
        <w:t>*</w:t>
      </w:r>
      <w:r w:rsidRPr="00E8656C">
        <w:rPr>
          <w:color w:val="auto"/>
          <w:sz w:val="18"/>
          <w:szCs w:val="18"/>
        </w:rPr>
        <w:t xml:space="preserve"> First in family refers to </w:t>
      </w:r>
      <w:r w:rsidR="00BD7C96" w:rsidRPr="00E8656C">
        <w:rPr>
          <w:color w:val="auto"/>
          <w:sz w:val="18"/>
          <w:szCs w:val="18"/>
        </w:rPr>
        <w:t>student</w:t>
      </w:r>
      <w:r w:rsidR="00F64EDF" w:rsidRPr="00E8656C">
        <w:rPr>
          <w:color w:val="auto"/>
          <w:sz w:val="18"/>
          <w:szCs w:val="18"/>
        </w:rPr>
        <w:t>s</w:t>
      </w:r>
      <w:r w:rsidRPr="00E8656C">
        <w:rPr>
          <w:color w:val="auto"/>
          <w:sz w:val="18"/>
          <w:szCs w:val="18"/>
        </w:rPr>
        <w:t xml:space="preserve"> </w:t>
      </w:r>
      <w:r w:rsidR="00F64EDF" w:rsidRPr="00E8656C">
        <w:rPr>
          <w:color w:val="auto"/>
          <w:sz w:val="18"/>
          <w:szCs w:val="18"/>
        </w:rPr>
        <w:t>commencing</w:t>
      </w:r>
      <w:r w:rsidRPr="00E8656C">
        <w:rPr>
          <w:color w:val="auto"/>
          <w:sz w:val="18"/>
          <w:szCs w:val="18"/>
        </w:rPr>
        <w:t xml:space="preserve"> a </w:t>
      </w:r>
      <w:proofErr w:type="gramStart"/>
      <w:r w:rsidRPr="00E8656C">
        <w:rPr>
          <w:color w:val="auto"/>
          <w:sz w:val="18"/>
          <w:szCs w:val="18"/>
        </w:rPr>
        <w:t>bachelor</w:t>
      </w:r>
      <w:proofErr w:type="gramEnd"/>
      <w:r w:rsidRPr="00E8656C">
        <w:rPr>
          <w:color w:val="auto"/>
          <w:sz w:val="18"/>
          <w:szCs w:val="18"/>
        </w:rPr>
        <w:t xml:space="preserve"> degree level qualification when their parent(s) or guardian(s) have not. Based on the highest level of educational attainment of a student’s parent(s) or guardian(s) as identified by the student. This information is reported by institutions through the Tertiary Collection of Student Information (TCSI) system.</w:t>
      </w:r>
      <w:r w:rsidR="006F7F90" w:rsidRPr="00E8656C">
        <w:rPr>
          <w:color w:val="auto"/>
          <w:sz w:val="18"/>
          <w:szCs w:val="18"/>
        </w:rPr>
        <w:t xml:space="preserve"> </w:t>
      </w:r>
    </w:p>
    <w:p w14:paraId="1FBF8050" w14:textId="0E2DA862" w:rsidR="00EC3ED8" w:rsidRPr="00E8656C" w:rsidRDefault="004209D3" w:rsidP="00BE5305">
      <w:pPr>
        <w:pStyle w:val="Noteupdate"/>
        <w:rPr>
          <w:color w:val="auto"/>
          <w:sz w:val="18"/>
          <w:szCs w:val="18"/>
        </w:rPr>
      </w:pPr>
      <w:r w:rsidRPr="00E8656C">
        <w:rPr>
          <w:color w:val="auto"/>
          <w:sz w:val="18"/>
          <w:szCs w:val="18"/>
        </w:rPr>
        <w:t>*</w:t>
      </w:r>
      <w:r w:rsidR="005D3775" w:rsidRPr="00E8656C">
        <w:rPr>
          <w:color w:val="auto"/>
          <w:sz w:val="18"/>
          <w:szCs w:val="18"/>
        </w:rPr>
        <w:t>*</w:t>
      </w:r>
      <w:r w:rsidR="00082E24" w:rsidRPr="00E8656C">
        <w:rPr>
          <w:color w:val="auto"/>
          <w:sz w:val="18"/>
          <w:szCs w:val="18"/>
        </w:rPr>
        <w:t xml:space="preserve"> </w:t>
      </w:r>
      <w:r w:rsidR="003300E9" w:rsidRPr="00E8656C">
        <w:rPr>
          <w:color w:val="auto"/>
          <w:sz w:val="18"/>
          <w:szCs w:val="18"/>
        </w:rPr>
        <w:t xml:space="preserve">† Socio-economic status and Location are derived from </w:t>
      </w:r>
      <w:r w:rsidR="00457BCF" w:rsidRPr="00E8656C">
        <w:rPr>
          <w:color w:val="auto"/>
          <w:sz w:val="18"/>
          <w:szCs w:val="18"/>
        </w:rPr>
        <w:t>students’ permanent home residence against the 2011 SEIFA Index of Education and Occupation by postal area</w:t>
      </w:r>
      <w:r w:rsidR="00FB07AD" w:rsidRPr="00E8656C">
        <w:rPr>
          <w:color w:val="auto"/>
          <w:sz w:val="18"/>
          <w:szCs w:val="18"/>
        </w:rPr>
        <w:t>.</w:t>
      </w:r>
    </w:p>
    <w:p w14:paraId="32973285" w14:textId="15C0C7D9" w:rsidR="00BE5305" w:rsidRPr="00E8656C" w:rsidRDefault="00BE5305" w:rsidP="00BE5305">
      <w:pPr>
        <w:pStyle w:val="Noteupdate"/>
        <w:rPr>
          <w:color w:val="auto"/>
          <w:sz w:val="18"/>
          <w:szCs w:val="18"/>
        </w:rPr>
      </w:pPr>
      <w:r w:rsidRPr="00E8656C">
        <w:rPr>
          <w:color w:val="auto"/>
          <w:sz w:val="18"/>
          <w:szCs w:val="18"/>
        </w:rPr>
        <w:t xml:space="preserve">†† Some </w:t>
      </w:r>
      <w:r w:rsidR="00164D35" w:rsidRPr="00E8656C">
        <w:rPr>
          <w:color w:val="auto"/>
          <w:sz w:val="18"/>
          <w:szCs w:val="18"/>
        </w:rPr>
        <w:t>sub-group</w:t>
      </w:r>
      <w:r w:rsidRPr="00E8656C">
        <w:rPr>
          <w:color w:val="auto"/>
          <w:sz w:val="18"/>
          <w:szCs w:val="18"/>
        </w:rPr>
        <w:t>s may not add to 100 per cent due to rounding.</w:t>
      </w:r>
    </w:p>
    <w:p w14:paraId="241E6552" w14:textId="77777777" w:rsidR="00FB20BC" w:rsidRPr="00E8656C" w:rsidRDefault="00FB20BC" w:rsidP="00FB20BC">
      <w:pPr>
        <w:pStyle w:val="Noteupdate"/>
        <w:rPr>
          <w:color w:val="auto"/>
          <w:sz w:val="18"/>
          <w:szCs w:val="18"/>
          <w:lang w:val="en-AU"/>
        </w:rPr>
      </w:pPr>
      <w:r w:rsidRPr="00E8656C">
        <w:rPr>
          <w:color w:val="auto"/>
          <w:sz w:val="18"/>
          <w:szCs w:val="18"/>
        </w:rPr>
        <w:t xml:space="preserve">Source: </w:t>
      </w:r>
      <w:r w:rsidRPr="00E8656C">
        <w:rPr>
          <w:color w:val="auto"/>
          <w:sz w:val="18"/>
          <w:szCs w:val="18"/>
          <w:lang w:val="en-AU"/>
        </w:rPr>
        <w:t>FOCUS_UG_ALL_17-YY_SG</w:t>
      </w:r>
    </w:p>
    <w:p w14:paraId="6BCD1228" w14:textId="3D21C69E" w:rsidR="00FB20BC" w:rsidRPr="00E8656C" w:rsidRDefault="00FB20BC" w:rsidP="00BE5305">
      <w:pPr>
        <w:pStyle w:val="Noteupdate"/>
        <w:rPr>
          <w:color w:val="auto"/>
        </w:rPr>
      </w:pPr>
    </w:p>
    <w:p w14:paraId="70C33E6D" w14:textId="3A5F564F" w:rsidR="008527D9" w:rsidRPr="00E8656C" w:rsidRDefault="008527D9" w:rsidP="00695177">
      <w:pPr>
        <w:pStyle w:val="Caption"/>
      </w:pPr>
      <w:bookmarkStart w:id="137" w:name="_Toc201065422"/>
      <w:r w:rsidRPr="00E8656C">
        <w:lastRenderedPageBreak/>
        <w:t xml:space="preserve">Table </w:t>
      </w:r>
      <w:r w:rsidRPr="00E8656C">
        <w:fldChar w:fldCharType="begin"/>
      </w:r>
      <w:r w:rsidRPr="00E8656C">
        <w:instrText xml:space="preserve"> SEQ Table \* ARABIC </w:instrText>
      </w:r>
      <w:r w:rsidRPr="00E8656C">
        <w:fldChar w:fldCharType="separate"/>
      </w:r>
      <w:r w:rsidRPr="00E8656C">
        <w:rPr>
          <w:noProof/>
        </w:rPr>
        <w:t>5</w:t>
      </w:r>
      <w:r w:rsidRPr="00E8656C">
        <w:rPr>
          <w:noProof/>
        </w:rPr>
        <w:fldChar w:fldCharType="end"/>
      </w:r>
      <w:r w:rsidR="0066499D" w:rsidRPr="00E8656C">
        <w:tab/>
      </w:r>
      <w:r w:rsidRPr="00E8656C">
        <w:t>Postgraduate coursework student experience by demographic group, 2022–24 (% positive rating)††</w:t>
      </w:r>
      <w:bookmarkEnd w:id="137"/>
    </w:p>
    <w:tbl>
      <w:tblPr>
        <w:tblpPr w:leftFromText="180" w:rightFromText="180" w:vertAnchor="text" w:tblpY="1"/>
        <w:tblOverlap w:val="never"/>
        <w:tblW w:w="5001" w:type="pct"/>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CellMar>
          <w:top w:w="57" w:type="dxa"/>
          <w:left w:w="57" w:type="dxa"/>
          <w:bottom w:w="57" w:type="dxa"/>
          <w:right w:w="57" w:type="dxa"/>
        </w:tblCellMar>
        <w:tblLook w:val="0000" w:firstRow="0" w:lastRow="0" w:firstColumn="0" w:lastColumn="0" w:noHBand="0" w:noVBand="0"/>
      </w:tblPr>
      <w:tblGrid>
        <w:gridCol w:w="1273"/>
        <w:gridCol w:w="1279"/>
        <w:gridCol w:w="715"/>
        <w:gridCol w:w="715"/>
        <w:gridCol w:w="715"/>
        <w:gridCol w:w="714"/>
        <w:gridCol w:w="714"/>
        <w:gridCol w:w="714"/>
        <w:gridCol w:w="714"/>
        <w:gridCol w:w="714"/>
        <w:gridCol w:w="714"/>
        <w:gridCol w:w="714"/>
        <w:gridCol w:w="714"/>
        <w:gridCol w:w="714"/>
        <w:gridCol w:w="714"/>
        <w:gridCol w:w="714"/>
        <w:gridCol w:w="714"/>
        <w:gridCol w:w="714"/>
        <w:gridCol w:w="714"/>
        <w:gridCol w:w="702"/>
      </w:tblGrid>
      <w:tr w:rsidR="0066499D" w:rsidRPr="00E8656C" w14:paraId="7972B4C2" w14:textId="77777777" w:rsidTr="006C7824">
        <w:trPr>
          <w:trHeight w:val="1730"/>
          <w:tblHeader/>
        </w:trPr>
        <w:tc>
          <w:tcPr>
            <w:tcW w:w="413" w:type="pct"/>
            <w:vAlign w:val="bottom"/>
          </w:tcPr>
          <w:p w14:paraId="72AE1E33" w14:textId="77777777" w:rsidR="0066499D" w:rsidRPr="00E8656C" w:rsidRDefault="0066499D" w:rsidP="00E8656C">
            <w:pPr>
              <w:pStyle w:val="Tabletextupdate"/>
              <w:framePr w:wrap="auto"/>
              <w:jc w:val="center"/>
              <w:rPr>
                <w:rFonts w:ascii="Arial" w:hAnsi="Arial" w:cs="Arial"/>
                <w:b/>
                <w:bCs/>
                <w:color w:val="auto"/>
                <w:sz w:val="18"/>
              </w:rPr>
            </w:pPr>
            <w:bookmarkStart w:id="138" w:name="Title_5"/>
            <w:bookmarkEnd w:id="138"/>
          </w:p>
        </w:tc>
        <w:tc>
          <w:tcPr>
            <w:tcW w:w="415" w:type="pct"/>
            <w:vAlign w:val="bottom"/>
          </w:tcPr>
          <w:p w14:paraId="2EEA1664" w14:textId="42E8A927" w:rsidR="0066499D" w:rsidRPr="00E8656C" w:rsidRDefault="0066499D" w:rsidP="00E8656C">
            <w:pPr>
              <w:pStyle w:val="Tabletextupdate"/>
              <w:framePr w:wrap="auto"/>
              <w:jc w:val="center"/>
              <w:rPr>
                <w:rFonts w:ascii="Arial" w:hAnsi="Arial" w:cs="Arial"/>
                <w:b/>
                <w:bCs/>
                <w:color w:val="auto"/>
                <w:sz w:val="18"/>
              </w:rPr>
            </w:pPr>
          </w:p>
        </w:tc>
        <w:tc>
          <w:tcPr>
            <w:tcW w:w="232" w:type="pct"/>
            <w:tcMar>
              <w:top w:w="113" w:type="dxa"/>
              <w:left w:w="57" w:type="dxa"/>
              <w:bottom w:w="113" w:type="dxa"/>
              <w:right w:w="57" w:type="dxa"/>
            </w:tcMar>
            <w:vAlign w:val="bottom"/>
          </w:tcPr>
          <w:p w14:paraId="6569C33B" w14:textId="5D5A3F7F" w:rsidR="0066499D" w:rsidRPr="00E8656C" w:rsidRDefault="0066499D" w:rsidP="00E8656C">
            <w:pPr>
              <w:pStyle w:val="Tabletextupdate"/>
              <w:framePr w:wrap="auto"/>
              <w:jc w:val="center"/>
              <w:rPr>
                <w:rFonts w:ascii="Arial" w:hAnsi="Arial" w:cs="Arial"/>
                <w:b/>
                <w:bCs/>
                <w:color w:val="auto"/>
                <w:sz w:val="14"/>
                <w:szCs w:val="14"/>
              </w:rPr>
            </w:pPr>
            <w:r w:rsidRPr="00E8656C">
              <w:rPr>
                <w:rFonts w:ascii="Arial" w:hAnsi="Arial" w:cs="Arial"/>
                <w:b/>
                <w:bCs/>
                <w:color w:val="auto"/>
                <w:sz w:val="18"/>
              </w:rPr>
              <w:t>Skills Development</w:t>
            </w:r>
            <w:r w:rsidRPr="00E8656C">
              <w:rPr>
                <w:rFonts w:ascii="Arial" w:hAnsi="Arial" w:cs="Arial"/>
                <w:b/>
                <w:bCs/>
                <w:color w:val="auto"/>
                <w:sz w:val="14"/>
                <w:szCs w:val="14"/>
              </w:rPr>
              <w:t xml:space="preserve"> 2022</w:t>
            </w:r>
          </w:p>
        </w:tc>
        <w:tc>
          <w:tcPr>
            <w:tcW w:w="232" w:type="pct"/>
            <w:tcMar>
              <w:top w:w="113" w:type="dxa"/>
              <w:left w:w="57" w:type="dxa"/>
              <w:bottom w:w="113" w:type="dxa"/>
              <w:right w:w="57" w:type="dxa"/>
            </w:tcMar>
            <w:vAlign w:val="bottom"/>
          </w:tcPr>
          <w:p w14:paraId="2573A486" w14:textId="08B19DF4" w:rsidR="0066499D" w:rsidRPr="00E8656C" w:rsidRDefault="0066499D" w:rsidP="00E8656C">
            <w:pPr>
              <w:pStyle w:val="Tabletextupdate"/>
              <w:framePr w:wrap="auto"/>
              <w:jc w:val="center"/>
              <w:rPr>
                <w:rFonts w:ascii="Arial" w:hAnsi="Arial" w:cs="Arial"/>
                <w:b/>
                <w:bCs/>
                <w:color w:val="auto"/>
                <w:sz w:val="14"/>
                <w:szCs w:val="14"/>
              </w:rPr>
            </w:pPr>
            <w:r w:rsidRPr="00E8656C">
              <w:rPr>
                <w:rFonts w:ascii="Arial" w:hAnsi="Arial" w:cs="Arial"/>
                <w:b/>
                <w:bCs/>
                <w:color w:val="auto"/>
                <w:sz w:val="18"/>
              </w:rPr>
              <w:t>Skills Development</w:t>
            </w:r>
            <w:r w:rsidRPr="00E8656C">
              <w:rPr>
                <w:rFonts w:ascii="Arial" w:hAnsi="Arial" w:cs="Arial"/>
                <w:b/>
                <w:bCs/>
                <w:color w:val="auto"/>
                <w:sz w:val="14"/>
                <w:szCs w:val="14"/>
              </w:rPr>
              <w:t xml:space="preserve"> 2023</w:t>
            </w:r>
          </w:p>
        </w:tc>
        <w:tc>
          <w:tcPr>
            <w:tcW w:w="232" w:type="pct"/>
            <w:vAlign w:val="bottom"/>
          </w:tcPr>
          <w:p w14:paraId="607B6658" w14:textId="7D4C44D7" w:rsidR="0066499D" w:rsidRPr="00E8656C" w:rsidRDefault="0066499D" w:rsidP="00E8656C">
            <w:pPr>
              <w:pStyle w:val="Tabletextupdate"/>
              <w:framePr w:wrap="auto"/>
              <w:jc w:val="center"/>
              <w:rPr>
                <w:rFonts w:ascii="Arial" w:hAnsi="Arial" w:cs="Arial"/>
                <w:b/>
                <w:bCs/>
                <w:color w:val="auto"/>
                <w:sz w:val="14"/>
                <w:szCs w:val="14"/>
              </w:rPr>
            </w:pPr>
            <w:r w:rsidRPr="00E8656C">
              <w:rPr>
                <w:rFonts w:ascii="Arial" w:hAnsi="Arial" w:cs="Arial"/>
                <w:b/>
                <w:bCs/>
                <w:color w:val="auto"/>
                <w:sz w:val="18"/>
              </w:rPr>
              <w:t>Skills Development</w:t>
            </w:r>
            <w:r w:rsidRPr="00E8656C">
              <w:rPr>
                <w:rFonts w:ascii="Arial" w:hAnsi="Arial" w:cs="Arial"/>
                <w:b/>
                <w:bCs/>
                <w:color w:val="auto"/>
                <w:sz w:val="14"/>
                <w:szCs w:val="14"/>
              </w:rPr>
              <w:t xml:space="preserve"> 2024</w:t>
            </w:r>
          </w:p>
        </w:tc>
        <w:tc>
          <w:tcPr>
            <w:tcW w:w="232" w:type="pct"/>
            <w:tcMar>
              <w:top w:w="113" w:type="dxa"/>
              <w:left w:w="57" w:type="dxa"/>
              <w:bottom w:w="113" w:type="dxa"/>
              <w:right w:w="57" w:type="dxa"/>
            </w:tcMar>
            <w:vAlign w:val="bottom"/>
          </w:tcPr>
          <w:p w14:paraId="79122A9D" w14:textId="4CC48834" w:rsidR="0066499D" w:rsidRPr="00E8656C" w:rsidRDefault="0066499D" w:rsidP="00E8656C">
            <w:pPr>
              <w:pStyle w:val="Tabletextupdate"/>
              <w:framePr w:wrap="auto"/>
              <w:jc w:val="center"/>
              <w:rPr>
                <w:rFonts w:ascii="Arial" w:hAnsi="Arial" w:cs="Arial"/>
                <w:b/>
                <w:bCs/>
                <w:color w:val="auto"/>
                <w:sz w:val="14"/>
                <w:szCs w:val="14"/>
                <w:lang w:val="en-US"/>
              </w:rPr>
            </w:pPr>
            <w:r w:rsidRPr="00E8656C">
              <w:rPr>
                <w:rFonts w:ascii="Arial" w:hAnsi="Arial" w:cs="Arial"/>
                <w:b/>
                <w:bCs/>
                <w:color w:val="auto"/>
                <w:sz w:val="18"/>
              </w:rPr>
              <w:t>Peer Engagement</w:t>
            </w:r>
            <w:r w:rsidRPr="00E8656C">
              <w:rPr>
                <w:rFonts w:ascii="Arial" w:hAnsi="Arial" w:cs="Arial"/>
                <w:b/>
                <w:bCs/>
                <w:color w:val="auto"/>
                <w:sz w:val="14"/>
                <w:szCs w:val="14"/>
              </w:rPr>
              <w:t xml:space="preserve"> 2022</w:t>
            </w:r>
          </w:p>
        </w:tc>
        <w:tc>
          <w:tcPr>
            <w:tcW w:w="232" w:type="pct"/>
            <w:tcMar>
              <w:top w:w="113" w:type="dxa"/>
              <w:left w:w="57" w:type="dxa"/>
              <w:bottom w:w="113" w:type="dxa"/>
              <w:right w:w="57" w:type="dxa"/>
            </w:tcMar>
            <w:vAlign w:val="bottom"/>
          </w:tcPr>
          <w:p w14:paraId="48F9B169" w14:textId="60F2C6FD" w:rsidR="0066499D" w:rsidRPr="00E8656C" w:rsidRDefault="0066499D" w:rsidP="00E8656C">
            <w:pPr>
              <w:pStyle w:val="Tabletextupdate"/>
              <w:framePr w:wrap="auto"/>
              <w:jc w:val="center"/>
              <w:rPr>
                <w:rFonts w:ascii="Arial" w:hAnsi="Arial" w:cs="Arial"/>
                <w:b/>
                <w:bCs/>
                <w:color w:val="auto"/>
                <w:sz w:val="14"/>
                <w:szCs w:val="14"/>
                <w:lang w:val="en-US"/>
              </w:rPr>
            </w:pPr>
            <w:r w:rsidRPr="00E8656C">
              <w:rPr>
                <w:rFonts w:ascii="Arial" w:hAnsi="Arial" w:cs="Arial"/>
                <w:b/>
                <w:bCs/>
                <w:color w:val="auto"/>
                <w:sz w:val="18"/>
              </w:rPr>
              <w:t>Peer Engagement</w:t>
            </w:r>
            <w:r w:rsidRPr="00E8656C">
              <w:rPr>
                <w:rFonts w:ascii="Arial" w:hAnsi="Arial" w:cs="Arial"/>
                <w:b/>
                <w:bCs/>
                <w:color w:val="auto"/>
                <w:sz w:val="14"/>
                <w:szCs w:val="14"/>
              </w:rPr>
              <w:t xml:space="preserve"> 2023</w:t>
            </w:r>
          </w:p>
        </w:tc>
        <w:tc>
          <w:tcPr>
            <w:tcW w:w="232" w:type="pct"/>
            <w:vAlign w:val="bottom"/>
          </w:tcPr>
          <w:p w14:paraId="2E17E409" w14:textId="2A5F55DE" w:rsidR="0066499D" w:rsidRPr="00E8656C" w:rsidRDefault="0066499D" w:rsidP="00E8656C">
            <w:pPr>
              <w:pStyle w:val="Tabletextupdate"/>
              <w:framePr w:wrap="auto"/>
              <w:jc w:val="center"/>
              <w:rPr>
                <w:rFonts w:ascii="Arial" w:hAnsi="Arial" w:cs="Arial"/>
                <w:b/>
                <w:bCs/>
                <w:color w:val="auto"/>
                <w:sz w:val="14"/>
                <w:szCs w:val="14"/>
              </w:rPr>
            </w:pPr>
            <w:r w:rsidRPr="00E8656C">
              <w:rPr>
                <w:rFonts w:ascii="Arial" w:hAnsi="Arial" w:cs="Arial"/>
                <w:b/>
                <w:bCs/>
                <w:color w:val="auto"/>
                <w:sz w:val="18"/>
              </w:rPr>
              <w:t>Peer Engagement</w:t>
            </w:r>
            <w:r w:rsidRPr="00E8656C">
              <w:rPr>
                <w:rFonts w:ascii="Arial" w:hAnsi="Arial" w:cs="Arial"/>
                <w:b/>
                <w:bCs/>
                <w:color w:val="auto"/>
                <w:sz w:val="14"/>
                <w:szCs w:val="14"/>
              </w:rPr>
              <w:t xml:space="preserve"> 2024</w:t>
            </w:r>
          </w:p>
        </w:tc>
        <w:tc>
          <w:tcPr>
            <w:tcW w:w="232" w:type="pct"/>
            <w:tcMar>
              <w:top w:w="113" w:type="dxa"/>
              <w:left w:w="57" w:type="dxa"/>
              <w:bottom w:w="113" w:type="dxa"/>
              <w:right w:w="57" w:type="dxa"/>
            </w:tcMar>
            <w:vAlign w:val="bottom"/>
          </w:tcPr>
          <w:p w14:paraId="6593ED68" w14:textId="3C315421" w:rsidR="0066499D" w:rsidRPr="00E8656C" w:rsidRDefault="0066499D" w:rsidP="00E8656C">
            <w:pPr>
              <w:pStyle w:val="Tabletextupdate"/>
              <w:framePr w:wrap="auto"/>
              <w:jc w:val="center"/>
              <w:rPr>
                <w:rFonts w:ascii="Arial" w:hAnsi="Arial" w:cs="Arial"/>
                <w:b/>
                <w:bCs/>
                <w:color w:val="auto"/>
                <w:sz w:val="14"/>
                <w:szCs w:val="14"/>
                <w:lang w:val="en-US"/>
              </w:rPr>
            </w:pPr>
            <w:r w:rsidRPr="00E8656C">
              <w:rPr>
                <w:rFonts w:ascii="Arial" w:hAnsi="Arial" w:cs="Arial"/>
                <w:b/>
                <w:bCs/>
                <w:color w:val="auto"/>
                <w:sz w:val="18"/>
              </w:rPr>
              <w:t>Teaching Quality and Engagement</w:t>
            </w:r>
            <w:r w:rsidRPr="00E8656C">
              <w:rPr>
                <w:rFonts w:ascii="Arial" w:hAnsi="Arial" w:cs="Arial"/>
                <w:b/>
                <w:bCs/>
                <w:color w:val="auto"/>
                <w:sz w:val="14"/>
                <w:szCs w:val="14"/>
              </w:rPr>
              <w:t xml:space="preserve"> 2022</w:t>
            </w:r>
          </w:p>
        </w:tc>
        <w:tc>
          <w:tcPr>
            <w:tcW w:w="232" w:type="pct"/>
            <w:tcMar>
              <w:top w:w="113" w:type="dxa"/>
              <w:left w:w="57" w:type="dxa"/>
              <w:bottom w:w="113" w:type="dxa"/>
              <w:right w:w="57" w:type="dxa"/>
            </w:tcMar>
            <w:vAlign w:val="bottom"/>
          </w:tcPr>
          <w:p w14:paraId="77079B33" w14:textId="0310BBBE" w:rsidR="0066499D" w:rsidRPr="00E8656C" w:rsidRDefault="0066499D" w:rsidP="00E8656C">
            <w:pPr>
              <w:pStyle w:val="Tabletextupdate"/>
              <w:framePr w:wrap="auto"/>
              <w:jc w:val="center"/>
              <w:rPr>
                <w:rFonts w:ascii="Arial" w:hAnsi="Arial" w:cs="Arial"/>
                <w:b/>
                <w:bCs/>
                <w:color w:val="auto"/>
                <w:sz w:val="14"/>
                <w:szCs w:val="14"/>
                <w:lang w:val="en-US"/>
              </w:rPr>
            </w:pPr>
            <w:r w:rsidRPr="00E8656C">
              <w:rPr>
                <w:rFonts w:ascii="Arial" w:hAnsi="Arial" w:cs="Arial"/>
                <w:b/>
                <w:bCs/>
                <w:color w:val="auto"/>
                <w:sz w:val="18"/>
              </w:rPr>
              <w:t>Teaching Quality and Engagement</w:t>
            </w:r>
            <w:r w:rsidRPr="00E8656C">
              <w:rPr>
                <w:rFonts w:ascii="Arial" w:hAnsi="Arial" w:cs="Arial"/>
                <w:b/>
                <w:bCs/>
                <w:color w:val="auto"/>
                <w:sz w:val="14"/>
                <w:szCs w:val="14"/>
              </w:rPr>
              <w:t xml:space="preserve"> 2023</w:t>
            </w:r>
          </w:p>
        </w:tc>
        <w:tc>
          <w:tcPr>
            <w:tcW w:w="232" w:type="pct"/>
            <w:vAlign w:val="bottom"/>
          </w:tcPr>
          <w:p w14:paraId="79D9ED5C" w14:textId="0ADB92A0" w:rsidR="0066499D" w:rsidRPr="00E8656C" w:rsidRDefault="0066499D" w:rsidP="00E8656C">
            <w:pPr>
              <w:pStyle w:val="Tabletextupdate"/>
              <w:framePr w:wrap="auto"/>
              <w:jc w:val="center"/>
              <w:rPr>
                <w:rFonts w:ascii="Arial" w:hAnsi="Arial" w:cs="Arial"/>
                <w:b/>
                <w:bCs/>
                <w:color w:val="auto"/>
                <w:sz w:val="14"/>
                <w:szCs w:val="14"/>
              </w:rPr>
            </w:pPr>
            <w:r w:rsidRPr="00E8656C">
              <w:rPr>
                <w:rFonts w:ascii="Arial" w:hAnsi="Arial" w:cs="Arial"/>
                <w:b/>
                <w:bCs/>
                <w:color w:val="auto"/>
                <w:sz w:val="18"/>
              </w:rPr>
              <w:t>Teaching Quality and Engagement</w:t>
            </w:r>
            <w:r w:rsidRPr="00E8656C">
              <w:rPr>
                <w:rFonts w:ascii="Arial" w:hAnsi="Arial" w:cs="Arial"/>
                <w:b/>
                <w:bCs/>
                <w:color w:val="auto"/>
                <w:sz w:val="14"/>
                <w:szCs w:val="14"/>
              </w:rPr>
              <w:t xml:space="preserve"> 2024</w:t>
            </w:r>
          </w:p>
        </w:tc>
        <w:tc>
          <w:tcPr>
            <w:tcW w:w="232" w:type="pct"/>
            <w:tcMar>
              <w:top w:w="113" w:type="dxa"/>
              <w:left w:w="57" w:type="dxa"/>
              <w:bottom w:w="113" w:type="dxa"/>
              <w:right w:w="57" w:type="dxa"/>
            </w:tcMar>
            <w:vAlign w:val="bottom"/>
          </w:tcPr>
          <w:p w14:paraId="3873C9C0" w14:textId="12FB707A" w:rsidR="0066499D" w:rsidRPr="00E8656C" w:rsidRDefault="0066499D" w:rsidP="00E8656C">
            <w:pPr>
              <w:pStyle w:val="Tabletextupdate"/>
              <w:framePr w:wrap="auto"/>
              <w:jc w:val="center"/>
              <w:rPr>
                <w:rFonts w:ascii="Arial" w:hAnsi="Arial" w:cs="Arial"/>
                <w:b/>
                <w:bCs/>
                <w:color w:val="auto"/>
                <w:sz w:val="14"/>
                <w:szCs w:val="14"/>
                <w:lang w:val="en-US"/>
              </w:rPr>
            </w:pPr>
            <w:r w:rsidRPr="00E8656C">
              <w:rPr>
                <w:rFonts w:ascii="Arial" w:hAnsi="Arial" w:cs="Arial"/>
                <w:b/>
                <w:bCs/>
                <w:color w:val="auto"/>
                <w:sz w:val="18"/>
              </w:rPr>
              <w:t>Student Support and Services</w:t>
            </w:r>
            <w:r w:rsidRPr="00E8656C">
              <w:rPr>
                <w:rFonts w:ascii="Arial" w:hAnsi="Arial" w:cs="Arial"/>
                <w:b/>
                <w:bCs/>
                <w:color w:val="auto"/>
                <w:sz w:val="14"/>
                <w:szCs w:val="14"/>
              </w:rPr>
              <w:t xml:space="preserve"> 2022</w:t>
            </w:r>
          </w:p>
        </w:tc>
        <w:tc>
          <w:tcPr>
            <w:tcW w:w="232" w:type="pct"/>
            <w:tcMar>
              <w:top w:w="113" w:type="dxa"/>
              <w:left w:w="57" w:type="dxa"/>
              <w:bottom w:w="113" w:type="dxa"/>
              <w:right w:w="57" w:type="dxa"/>
            </w:tcMar>
            <w:vAlign w:val="bottom"/>
          </w:tcPr>
          <w:p w14:paraId="4D0F90CF" w14:textId="37BAB8FB" w:rsidR="0066499D" w:rsidRPr="00E8656C" w:rsidRDefault="0066499D" w:rsidP="00E8656C">
            <w:pPr>
              <w:pStyle w:val="Tabletextupdate"/>
              <w:framePr w:wrap="auto"/>
              <w:jc w:val="center"/>
              <w:rPr>
                <w:rFonts w:ascii="Arial" w:hAnsi="Arial" w:cs="Arial"/>
                <w:b/>
                <w:bCs/>
                <w:color w:val="auto"/>
                <w:sz w:val="14"/>
                <w:szCs w:val="14"/>
                <w:lang w:val="en-US"/>
              </w:rPr>
            </w:pPr>
            <w:r w:rsidRPr="00E8656C">
              <w:rPr>
                <w:rFonts w:ascii="Arial" w:hAnsi="Arial" w:cs="Arial"/>
                <w:b/>
                <w:bCs/>
                <w:color w:val="auto"/>
                <w:sz w:val="18"/>
              </w:rPr>
              <w:t>Student Support and Services</w:t>
            </w:r>
            <w:r w:rsidRPr="00E8656C">
              <w:rPr>
                <w:rFonts w:ascii="Arial" w:hAnsi="Arial" w:cs="Arial"/>
                <w:b/>
                <w:bCs/>
                <w:color w:val="auto"/>
                <w:sz w:val="14"/>
                <w:szCs w:val="14"/>
              </w:rPr>
              <w:t xml:space="preserve"> 2023</w:t>
            </w:r>
          </w:p>
        </w:tc>
        <w:tc>
          <w:tcPr>
            <w:tcW w:w="232" w:type="pct"/>
            <w:vAlign w:val="bottom"/>
          </w:tcPr>
          <w:p w14:paraId="693328AB" w14:textId="5F26779D" w:rsidR="0066499D" w:rsidRPr="00E8656C" w:rsidRDefault="0066499D" w:rsidP="00E8656C">
            <w:pPr>
              <w:pStyle w:val="Tabletextupdate"/>
              <w:framePr w:wrap="auto"/>
              <w:jc w:val="center"/>
              <w:rPr>
                <w:rFonts w:ascii="Arial" w:hAnsi="Arial" w:cs="Arial"/>
                <w:b/>
                <w:bCs/>
                <w:color w:val="auto"/>
                <w:sz w:val="14"/>
                <w:szCs w:val="14"/>
              </w:rPr>
            </w:pPr>
            <w:r w:rsidRPr="00E8656C">
              <w:rPr>
                <w:rFonts w:ascii="Arial" w:hAnsi="Arial" w:cs="Arial"/>
                <w:b/>
                <w:bCs/>
                <w:color w:val="auto"/>
                <w:sz w:val="18"/>
              </w:rPr>
              <w:t>Student Support and Services</w:t>
            </w:r>
            <w:r w:rsidRPr="00E8656C">
              <w:rPr>
                <w:rFonts w:ascii="Arial" w:hAnsi="Arial" w:cs="Arial"/>
                <w:b/>
                <w:bCs/>
                <w:color w:val="auto"/>
                <w:sz w:val="14"/>
                <w:szCs w:val="14"/>
              </w:rPr>
              <w:t xml:space="preserve"> 2024</w:t>
            </w:r>
          </w:p>
        </w:tc>
        <w:tc>
          <w:tcPr>
            <w:tcW w:w="232" w:type="pct"/>
            <w:tcMar>
              <w:top w:w="113" w:type="dxa"/>
              <w:left w:w="57" w:type="dxa"/>
              <w:bottom w:w="113" w:type="dxa"/>
              <w:right w:w="57" w:type="dxa"/>
            </w:tcMar>
            <w:vAlign w:val="bottom"/>
          </w:tcPr>
          <w:p w14:paraId="6AAC0F4C" w14:textId="0ABDCD50" w:rsidR="0066499D" w:rsidRPr="00E8656C" w:rsidRDefault="0066499D" w:rsidP="00E8656C">
            <w:pPr>
              <w:pStyle w:val="Tabletextupdate"/>
              <w:framePr w:wrap="auto"/>
              <w:jc w:val="center"/>
              <w:rPr>
                <w:rFonts w:ascii="Arial" w:hAnsi="Arial" w:cs="Arial"/>
                <w:b/>
                <w:bCs/>
                <w:color w:val="auto"/>
                <w:sz w:val="14"/>
                <w:szCs w:val="14"/>
                <w:lang w:val="en-US"/>
              </w:rPr>
            </w:pPr>
            <w:r w:rsidRPr="00E8656C">
              <w:rPr>
                <w:rFonts w:ascii="Arial" w:hAnsi="Arial" w:cs="Arial"/>
                <w:b/>
                <w:bCs/>
                <w:color w:val="auto"/>
                <w:sz w:val="18"/>
              </w:rPr>
              <w:t>Learning Resources</w:t>
            </w:r>
            <w:r w:rsidRPr="00E8656C">
              <w:rPr>
                <w:rFonts w:ascii="Arial" w:hAnsi="Arial" w:cs="Arial"/>
                <w:b/>
                <w:bCs/>
                <w:color w:val="auto"/>
                <w:sz w:val="14"/>
                <w:szCs w:val="14"/>
              </w:rPr>
              <w:t xml:space="preserve"> 2022</w:t>
            </w:r>
          </w:p>
        </w:tc>
        <w:tc>
          <w:tcPr>
            <w:tcW w:w="232" w:type="pct"/>
            <w:tcMar>
              <w:top w:w="113" w:type="dxa"/>
              <w:left w:w="57" w:type="dxa"/>
              <w:bottom w:w="113" w:type="dxa"/>
              <w:right w:w="57" w:type="dxa"/>
            </w:tcMar>
            <w:vAlign w:val="bottom"/>
          </w:tcPr>
          <w:p w14:paraId="65D3B504" w14:textId="3DE2444C" w:rsidR="0066499D" w:rsidRPr="00E8656C" w:rsidRDefault="0066499D" w:rsidP="00E8656C">
            <w:pPr>
              <w:pStyle w:val="Tabletextupdate"/>
              <w:framePr w:wrap="auto"/>
              <w:jc w:val="center"/>
              <w:rPr>
                <w:rFonts w:ascii="Arial" w:hAnsi="Arial" w:cs="Arial"/>
                <w:b/>
                <w:bCs/>
                <w:color w:val="auto"/>
                <w:sz w:val="14"/>
                <w:szCs w:val="14"/>
                <w:lang w:val="en-US"/>
              </w:rPr>
            </w:pPr>
            <w:r w:rsidRPr="00E8656C">
              <w:rPr>
                <w:rFonts w:ascii="Arial" w:hAnsi="Arial" w:cs="Arial"/>
                <w:b/>
                <w:bCs/>
                <w:color w:val="auto"/>
                <w:sz w:val="18"/>
              </w:rPr>
              <w:t>Learning Resources</w:t>
            </w:r>
            <w:r w:rsidRPr="00E8656C">
              <w:rPr>
                <w:rFonts w:ascii="Arial" w:hAnsi="Arial" w:cs="Arial"/>
                <w:b/>
                <w:bCs/>
                <w:color w:val="auto"/>
                <w:sz w:val="14"/>
                <w:szCs w:val="14"/>
              </w:rPr>
              <w:t xml:space="preserve"> 2023</w:t>
            </w:r>
          </w:p>
        </w:tc>
        <w:tc>
          <w:tcPr>
            <w:tcW w:w="232" w:type="pct"/>
            <w:vAlign w:val="bottom"/>
          </w:tcPr>
          <w:p w14:paraId="05D45590" w14:textId="03316278" w:rsidR="0066499D" w:rsidRPr="00E8656C" w:rsidRDefault="0066499D" w:rsidP="00E8656C">
            <w:pPr>
              <w:pStyle w:val="Tabletextupdate"/>
              <w:framePr w:wrap="auto"/>
              <w:jc w:val="center"/>
              <w:rPr>
                <w:rFonts w:ascii="Arial" w:hAnsi="Arial" w:cs="Arial"/>
                <w:b/>
                <w:bCs/>
                <w:color w:val="auto"/>
                <w:sz w:val="14"/>
                <w:szCs w:val="14"/>
              </w:rPr>
            </w:pPr>
            <w:r w:rsidRPr="00E8656C">
              <w:rPr>
                <w:rFonts w:ascii="Arial" w:hAnsi="Arial" w:cs="Arial"/>
                <w:b/>
                <w:bCs/>
                <w:color w:val="auto"/>
                <w:sz w:val="18"/>
              </w:rPr>
              <w:t>Learning Resources</w:t>
            </w:r>
            <w:r w:rsidRPr="00E8656C">
              <w:rPr>
                <w:rFonts w:ascii="Arial" w:hAnsi="Arial" w:cs="Arial"/>
                <w:b/>
                <w:bCs/>
                <w:color w:val="auto"/>
                <w:sz w:val="14"/>
                <w:szCs w:val="14"/>
              </w:rPr>
              <w:t xml:space="preserve"> 2024</w:t>
            </w:r>
          </w:p>
        </w:tc>
        <w:tc>
          <w:tcPr>
            <w:tcW w:w="232" w:type="pct"/>
            <w:tcMar>
              <w:top w:w="113" w:type="dxa"/>
              <w:left w:w="57" w:type="dxa"/>
              <w:bottom w:w="113" w:type="dxa"/>
              <w:right w:w="57" w:type="dxa"/>
            </w:tcMar>
            <w:vAlign w:val="bottom"/>
          </w:tcPr>
          <w:p w14:paraId="3DE3397F" w14:textId="7A166D5C" w:rsidR="0066499D" w:rsidRPr="00E8656C" w:rsidRDefault="0066499D" w:rsidP="00E8656C">
            <w:pPr>
              <w:pStyle w:val="Tabletextupdate"/>
              <w:framePr w:wrap="auto"/>
              <w:jc w:val="center"/>
              <w:rPr>
                <w:rFonts w:ascii="Arial" w:hAnsi="Arial" w:cs="Arial"/>
                <w:b/>
                <w:bCs/>
                <w:color w:val="auto"/>
                <w:sz w:val="14"/>
                <w:szCs w:val="14"/>
                <w:lang w:val="en-US"/>
              </w:rPr>
            </w:pPr>
            <w:r w:rsidRPr="00E8656C">
              <w:rPr>
                <w:rFonts w:ascii="Arial" w:hAnsi="Arial" w:cs="Arial"/>
                <w:b/>
                <w:bCs/>
                <w:color w:val="auto"/>
                <w:sz w:val="18"/>
              </w:rPr>
              <w:t>Overall Educational Experience</w:t>
            </w:r>
            <w:r w:rsidRPr="00E8656C">
              <w:rPr>
                <w:rFonts w:ascii="Arial" w:hAnsi="Arial" w:cs="Arial"/>
                <w:b/>
                <w:bCs/>
                <w:color w:val="auto"/>
                <w:sz w:val="14"/>
                <w:szCs w:val="14"/>
              </w:rPr>
              <w:t xml:space="preserve"> 2022</w:t>
            </w:r>
          </w:p>
        </w:tc>
        <w:tc>
          <w:tcPr>
            <w:tcW w:w="232" w:type="pct"/>
            <w:tcMar>
              <w:top w:w="113" w:type="dxa"/>
              <w:left w:w="57" w:type="dxa"/>
              <w:bottom w:w="113" w:type="dxa"/>
              <w:right w:w="57" w:type="dxa"/>
            </w:tcMar>
            <w:vAlign w:val="bottom"/>
          </w:tcPr>
          <w:p w14:paraId="5121A237" w14:textId="53D91D83" w:rsidR="0066499D" w:rsidRPr="00E8656C" w:rsidRDefault="0066499D" w:rsidP="00E8656C">
            <w:pPr>
              <w:pStyle w:val="Tabletextupdate"/>
              <w:framePr w:wrap="auto"/>
              <w:jc w:val="center"/>
              <w:rPr>
                <w:rFonts w:ascii="Arial" w:hAnsi="Arial" w:cs="Arial"/>
                <w:b/>
                <w:bCs/>
                <w:color w:val="auto"/>
                <w:sz w:val="14"/>
                <w:szCs w:val="14"/>
                <w:lang w:val="en-US"/>
              </w:rPr>
            </w:pPr>
            <w:r w:rsidRPr="00E8656C">
              <w:rPr>
                <w:rFonts w:ascii="Arial" w:hAnsi="Arial" w:cs="Arial"/>
                <w:b/>
                <w:bCs/>
                <w:color w:val="auto"/>
                <w:sz w:val="18"/>
              </w:rPr>
              <w:t>Overall Educational Experience</w:t>
            </w:r>
            <w:r w:rsidRPr="00E8656C">
              <w:rPr>
                <w:rFonts w:ascii="Arial" w:hAnsi="Arial" w:cs="Arial"/>
                <w:b/>
                <w:bCs/>
                <w:color w:val="auto"/>
                <w:sz w:val="14"/>
                <w:szCs w:val="14"/>
              </w:rPr>
              <w:t xml:space="preserve"> 2023</w:t>
            </w:r>
          </w:p>
        </w:tc>
        <w:tc>
          <w:tcPr>
            <w:tcW w:w="228" w:type="pct"/>
            <w:vAlign w:val="bottom"/>
          </w:tcPr>
          <w:p w14:paraId="1258F319" w14:textId="75AC9C68" w:rsidR="0066499D" w:rsidRPr="00E8656C" w:rsidRDefault="0066499D" w:rsidP="00E8656C">
            <w:pPr>
              <w:pStyle w:val="Tabletextupdate"/>
              <w:framePr w:wrap="auto"/>
              <w:jc w:val="center"/>
              <w:rPr>
                <w:rFonts w:ascii="Arial" w:hAnsi="Arial" w:cs="Arial"/>
                <w:b/>
                <w:bCs/>
                <w:color w:val="auto"/>
                <w:sz w:val="14"/>
                <w:szCs w:val="14"/>
              </w:rPr>
            </w:pPr>
            <w:r w:rsidRPr="00E8656C">
              <w:rPr>
                <w:rFonts w:ascii="Arial" w:hAnsi="Arial" w:cs="Arial"/>
                <w:b/>
                <w:bCs/>
                <w:color w:val="auto"/>
                <w:sz w:val="18"/>
              </w:rPr>
              <w:t>Overall Educational Experience</w:t>
            </w:r>
            <w:r w:rsidRPr="00E8656C">
              <w:rPr>
                <w:rFonts w:ascii="Arial" w:hAnsi="Arial" w:cs="Arial"/>
                <w:b/>
                <w:bCs/>
                <w:color w:val="auto"/>
                <w:sz w:val="14"/>
                <w:szCs w:val="14"/>
              </w:rPr>
              <w:t xml:space="preserve"> 2024</w:t>
            </w:r>
          </w:p>
        </w:tc>
      </w:tr>
      <w:tr w:rsidR="0066499D" w:rsidRPr="00E8656C" w14:paraId="27900F2F" w14:textId="77777777" w:rsidTr="006C7824">
        <w:trPr>
          <w:trHeight w:val="60"/>
        </w:trPr>
        <w:tc>
          <w:tcPr>
            <w:tcW w:w="413" w:type="pct"/>
            <w:vAlign w:val="center"/>
          </w:tcPr>
          <w:p w14:paraId="408D7CE6"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Stage of studies</w:t>
            </w:r>
          </w:p>
        </w:tc>
        <w:tc>
          <w:tcPr>
            <w:tcW w:w="415" w:type="pct"/>
            <w:tcMar>
              <w:top w:w="113" w:type="dxa"/>
              <w:left w:w="57" w:type="dxa"/>
              <w:bottom w:w="113" w:type="dxa"/>
              <w:right w:w="57" w:type="dxa"/>
            </w:tcMar>
            <w:vAlign w:val="center"/>
          </w:tcPr>
          <w:p w14:paraId="0EFD584D"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Commencing</w:t>
            </w:r>
          </w:p>
        </w:tc>
        <w:tc>
          <w:tcPr>
            <w:tcW w:w="232" w:type="pct"/>
            <w:tcMar>
              <w:top w:w="113" w:type="dxa"/>
              <w:left w:w="57" w:type="dxa"/>
              <w:bottom w:w="113" w:type="dxa"/>
              <w:right w:w="57" w:type="dxa"/>
            </w:tcMar>
            <w:vAlign w:val="center"/>
          </w:tcPr>
          <w:p w14:paraId="28314629" w14:textId="78F64C2B"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80.7</w:t>
            </w:r>
          </w:p>
        </w:tc>
        <w:tc>
          <w:tcPr>
            <w:tcW w:w="232" w:type="pct"/>
            <w:tcMar>
              <w:top w:w="113" w:type="dxa"/>
              <w:left w:w="57" w:type="dxa"/>
              <w:bottom w:w="113" w:type="dxa"/>
              <w:right w:w="57" w:type="dxa"/>
            </w:tcMar>
            <w:vAlign w:val="center"/>
          </w:tcPr>
          <w:p w14:paraId="055D519D" w14:textId="55134555"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81.9</w:t>
            </w:r>
          </w:p>
        </w:tc>
        <w:tc>
          <w:tcPr>
            <w:tcW w:w="232" w:type="pct"/>
            <w:vAlign w:val="center"/>
          </w:tcPr>
          <w:p w14:paraId="6810A8C8" w14:textId="42EF16D1"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82.1</w:t>
            </w:r>
          </w:p>
        </w:tc>
        <w:tc>
          <w:tcPr>
            <w:tcW w:w="232" w:type="pct"/>
            <w:tcMar>
              <w:top w:w="113" w:type="dxa"/>
              <w:left w:w="57" w:type="dxa"/>
              <w:bottom w:w="113" w:type="dxa"/>
              <w:right w:w="57" w:type="dxa"/>
            </w:tcMar>
            <w:vAlign w:val="center"/>
          </w:tcPr>
          <w:p w14:paraId="6227FC10" w14:textId="008318ED"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49.2</w:t>
            </w:r>
          </w:p>
        </w:tc>
        <w:tc>
          <w:tcPr>
            <w:tcW w:w="232" w:type="pct"/>
            <w:tcMar>
              <w:top w:w="113" w:type="dxa"/>
              <w:left w:w="57" w:type="dxa"/>
              <w:bottom w:w="113" w:type="dxa"/>
              <w:right w:w="57" w:type="dxa"/>
            </w:tcMar>
            <w:vAlign w:val="center"/>
          </w:tcPr>
          <w:p w14:paraId="32FDD1DF" w14:textId="3C09457B"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57.1</w:t>
            </w:r>
          </w:p>
        </w:tc>
        <w:tc>
          <w:tcPr>
            <w:tcW w:w="232" w:type="pct"/>
            <w:vAlign w:val="center"/>
          </w:tcPr>
          <w:p w14:paraId="4E692C9B" w14:textId="0F4C880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59.8</w:t>
            </w:r>
          </w:p>
        </w:tc>
        <w:tc>
          <w:tcPr>
            <w:tcW w:w="232" w:type="pct"/>
            <w:tcMar>
              <w:top w:w="113" w:type="dxa"/>
              <w:left w:w="57" w:type="dxa"/>
              <w:bottom w:w="113" w:type="dxa"/>
              <w:right w:w="57" w:type="dxa"/>
            </w:tcMar>
            <w:vAlign w:val="center"/>
          </w:tcPr>
          <w:p w14:paraId="33E112EC" w14:textId="7801F758"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83.7</w:t>
            </w:r>
          </w:p>
        </w:tc>
        <w:tc>
          <w:tcPr>
            <w:tcW w:w="232" w:type="pct"/>
            <w:tcMar>
              <w:top w:w="113" w:type="dxa"/>
              <w:left w:w="0" w:type="dxa"/>
              <w:bottom w:w="113" w:type="dxa"/>
              <w:right w:w="57" w:type="dxa"/>
            </w:tcMar>
            <w:vAlign w:val="center"/>
          </w:tcPr>
          <w:p w14:paraId="5C9FAEB1" w14:textId="4A7AA14E"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84.2</w:t>
            </w:r>
          </w:p>
        </w:tc>
        <w:tc>
          <w:tcPr>
            <w:tcW w:w="232" w:type="pct"/>
            <w:vAlign w:val="center"/>
          </w:tcPr>
          <w:p w14:paraId="74FD96A9" w14:textId="3737F6B2"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83.8</w:t>
            </w:r>
          </w:p>
        </w:tc>
        <w:tc>
          <w:tcPr>
            <w:tcW w:w="232" w:type="pct"/>
            <w:tcMar>
              <w:top w:w="113" w:type="dxa"/>
              <w:left w:w="57" w:type="dxa"/>
              <w:bottom w:w="113" w:type="dxa"/>
              <w:right w:w="57" w:type="dxa"/>
            </w:tcMar>
            <w:vAlign w:val="center"/>
          </w:tcPr>
          <w:p w14:paraId="3F89D3D8" w14:textId="0BCB7C1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76.6</w:t>
            </w:r>
          </w:p>
        </w:tc>
        <w:tc>
          <w:tcPr>
            <w:tcW w:w="232" w:type="pct"/>
            <w:tcMar>
              <w:top w:w="113" w:type="dxa"/>
              <w:left w:w="57" w:type="dxa"/>
              <w:bottom w:w="113" w:type="dxa"/>
              <w:right w:w="57" w:type="dxa"/>
            </w:tcMar>
            <w:vAlign w:val="center"/>
          </w:tcPr>
          <w:p w14:paraId="2590E873" w14:textId="5876776D"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77.7</w:t>
            </w:r>
          </w:p>
        </w:tc>
        <w:tc>
          <w:tcPr>
            <w:tcW w:w="232" w:type="pct"/>
            <w:vAlign w:val="center"/>
          </w:tcPr>
          <w:p w14:paraId="43325B98" w14:textId="008CB9F6"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77.4</w:t>
            </w:r>
          </w:p>
        </w:tc>
        <w:tc>
          <w:tcPr>
            <w:tcW w:w="232" w:type="pct"/>
            <w:tcMar>
              <w:top w:w="113" w:type="dxa"/>
              <w:left w:w="57" w:type="dxa"/>
              <w:bottom w:w="113" w:type="dxa"/>
              <w:right w:w="57" w:type="dxa"/>
            </w:tcMar>
            <w:vAlign w:val="center"/>
          </w:tcPr>
          <w:p w14:paraId="7DF0AB8F" w14:textId="340225BA"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85.3</w:t>
            </w:r>
          </w:p>
        </w:tc>
        <w:tc>
          <w:tcPr>
            <w:tcW w:w="232" w:type="pct"/>
            <w:tcMar>
              <w:top w:w="113" w:type="dxa"/>
              <w:left w:w="57" w:type="dxa"/>
              <w:bottom w:w="113" w:type="dxa"/>
              <w:right w:w="57" w:type="dxa"/>
            </w:tcMar>
            <w:vAlign w:val="center"/>
          </w:tcPr>
          <w:p w14:paraId="14F288E2" w14:textId="07937FF5"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86.2</w:t>
            </w:r>
          </w:p>
        </w:tc>
        <w:tc>
          <w:tcPr>
            <w:tcW w:w="232" w:type="pct"/>
            <w:vAlign w:val="center"/>
          </w:tcPr>
          <w:p w14:paraId="377A0A5D" w14:textId="6B6BCD53"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85.6</w:t>
            </w:r>
          </w:p>
        </w:tc>
        <w:tc>
          <w:tcPr>
            <w:tcW w:w="232" w:type="pct"/>
            <w:tcMar>
              <w:top w:w="113" w:type="dxa"/>
              <w:left w:w="57" w:type="dxa"/>
              <w:bottom w:w="113" w:type="dxa"/>
              <w:right w:w="57" w:type="dxa"/>
            </w:tcMar>
            <w:vAlign w:val="center"/>
          </w:tcPr>
          <w:p w14:paraId="5FEC5778" w14:textId="1AF23A03"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77.9</w:t>
            </w:r>
          </w:p>
        </w:tc>
        <w:tc>
          <w:tcPr>
            <w:tcW w:w="232" w:type="pct"/>
            <w:tcMar>
              <w:top w:w="113" w:type="dxa"/>
              <w:left w:w="0" w:type="dxa"/>
              <w:bottom w:w="113" w:type="dxa"/>
              <w:right w:w="0" w:type="dxa"/>
            </w:tcMar>
            <w:vAlign w:val="center"/>
          </w:tcPr>
          <w:p w14:paraId="08E46D97" w14:textId="283265F5"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78.2</w:t>
            </w:r>
          </w:p>
        </w:tc>
        <w:tc>
          <w:tcPr>
            <w:tcW w:w="228" w:type="pct"/>
            <w:vAlign w:val="center"/>
          </w:tcPr>
          <w:p w14:paraId="3E4CE8E9" w14:textId="75383E1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77.9</w:t>
            </w:r>
          </w:p>
        </w:tc>
      </w:tr>
      <w:tr w:rsidR="0066499D" w:rsidRPr="00E8656C" w14:paraId="3CDCCB62" w14:textId="77777777" w:rsidTr="006C7824">
        <w:trPr>
          <w:trHeight w:val="60"/>
        </w:trPr>
        <w:tc>
          <w:tcPr>
            <w:tcW w:w="413" w:type="pct"/>
            <w:vAlign w:val="center"/>
          </w:tcPr>
          <w:p w14:paraId="5CA33E10" w14:textId="4A32ED5D"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Stage of studies</w:t>
            </w:r>
          </w:p>
        </w:tc>
        <w:tc>
          <w:tcPr>
            <w:tcW w:w="415" w:type="pct"/>
            <w:tcMar>
              <w:top w:w="113" w:type="dxa"/>
              <w:left w:w="57" w:type="dxa"/>
              <w:bottom w:w="113" w:type="dxa"/>
              <w:right w:w="57" w:type="dxa"/>
            </w:tcMar>
            <w:vAlign w:val="center"/>
          </w:tcPr>
          <w:p w14:paraId="7D90CA4B"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Later year</w:t>
            </w:r>
          </w:p>
        </w:tc>
        <w:tc>
          <w:tcPr>
            <w:tcW w:w="232" w:type="pct"/>
            <w:tcMar>
              <w:top w:w="113" w:type="dxa"/>
              <w:left w:w="57" w:type="dxa"/>
              <w:bottom w:w="113" w:type="dxa"/>
              <w:right w:w="57" w:type="dxa"/>
            </w:tcMar>
            <w:vAlign w:val="center"/>
          </w:tcPr>
          <w:p w14:paraId="36ADA153" w14:textId="21103A6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81.6</w:t>
            </w:r>
          </w:p>
        </w:tc>
        <w:tc>
          <w:tcPr>
            <w:tcW w:w="232" w:type="pct"/>
            <w:tcMar>
              <w:top w:w="113" w:type="dxa"/>
              <w:left w:w="57" w:type="dxa"/>
              <w:bottom w:w="113" w:type="dxa"/>
              <w:right w:w="57" w:type="dxa"/>
            </w:tcMar>
            <w:vAlign w:val="center"/>
          </w:tcPr>
          <w:p w14:paraId="3E12AD37" w14:textId="63A22102"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82.3</w:t>
            </w:r>
          </w:p>
        </w:tc>
        <w:tc>
          <w:tcPr>
            <w:tcW w:w="232" w:type="pct"/>
            <w:vAlign w:val="center"/>
          </w:tcPr>
          <w:p w14:paraId="6D8BFC6E" w14:textId="72D96DEF"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84.1</w:t>
            </w:r>
          </w:p>
        </w:tc>
        <w:tc>
          <w:tcPr>
            <w:tcW w:w="232" w:type="pct"/>
            <w:tcMar>
              <w:top w:w="113" w:type="dxa"/>
              <w:left w:w="57" w:type="dxa"/>
              <w:bottom w:w="113" w:type="dxa"/>
              <w:right w:w="57" w:type="dxa"/>
            </w:tcMar>
            <w:vAlign w:val="center"/>
          </w:tcPr>
          <w:p w14:paraId="2E6005EB" w14:textId="3DD49953"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48.3</w:t>
            </w:r>
          </w:p>
        </w:tc>
        <w:tc>
          <w:tcPr>
            <w:tcW w:w="232" w:type="pct"/>
            <w:tcMar>
              <w:top w:w="113" w:type="dxa"/>
              <w:left w:w="57" w:type="dxa"/>
              <w:bottom w:w="113" w:type="dxa"/>
              <w:right w:w="57" w:type="dxa"/>
            </w:tcMar>
            <w:vAlign w:val="center"/>
          </w:tcPr>
          <w:p w14:paraId="34CFC8E3" w14:textId="5C952262"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54.9</w:t>
            </w:r>
          </w:p>
        </w:tc>
        <w:tc>
          <w:tcPr>
            <w:tcW w:w="232" w:type="pct"/>
            <w:vAlign w:val="center"/>
          </w:tcPr>
          <w:p w14:paraId="225A6F01" w14:textId="35C57F48"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64.2</w:t>
            </w:r>
          </w:p>
        </w:tc>
        <w:tc>
          <w:tcPr>
            <w:tcW w:w="232" w:type="pct"/>
            <w:tcMar>
              <w:top w:w="113" w:type="dxa"/>
              <w:left w:w="57" w:type="dxa"/>
              <w:bottom w:w="113" w:type="dxa"/>
              <w:right w:w="57" w:type="dxa"/>
            </w:tcMar>
            <w:vAlign w:val="center"/>
          </w:tcPr>
          <w:p w14:paraId="0261383B" w14:textId="3B002B21"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80.5</w:t>
            </w:r>
          </w:p>
        </w:tc>
        <w:tc>
          <w:tcPr>
            <w:tcW w:w="232" w:type="pct"/>
            <w:tcMar>
              <w:top w:w="113" w:type="dxa"/>
              <w:left w:w="0" w:type="dxa"/>
              <w:bottom w:w="113" w:type="dxa"/>
              <w:right w:w="57" w:type="dxa"/>
            </w:tcMar>
            <w:vAlign w:val="center"/>
          </w:tcPr>
          <w:p w14:paraId="66B6F21E" w14:textId="1E49C5CF"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80.8</w:t>
            </w:r>
          </w:p>
        </w:tc>
        <w:tc>
          <w:tcPr>
            <w:tcW w:w="232" w:type="pct"/>
            <w:vAlign w:val="center"/>
          </w:tcPr>
          <w:p w14:paraId="13735C12" w14:textId="3275AF5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81.8</w:t>
            </w:r>
          </w:p>
        </w:tc>
        <w:tc>
          <w:tcPr>
            <w:tcW w:w="232" w:type="pct"/>
            <w:tcMar>
              <w:top w:w="113" w:type="dxa"/>
              <w:left w:w="57" w:type="dxa"/>
              <w:bottom w:w="113" w:type="dxa"/>
              <w:right w:w="57" w:type="dxa"/>
            </w:tcMar>
            <w:vAlign w:val="center"/>
          </w:tcPr>
          <w:p w14:paraId="4B9FC99F" w14:textId="63E3B39C"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74.0</w:t>
            </w:r>
          </w:p>
        </w:tc>
        <w:tc>
          <w:tcPr>
            <w:tcW w:w="232" w:type="pct"/>
            <w:tcMar>
              <w:top w:w="113" w:type="dxa"/>
              <w:left w:w="57" w:type="dxa"/>
              <w:bottom w:w="113" w:type="dxa"/>
              <w:right w:w="57" w:type="dxa"/>
            </w:tcMar>
            <w:vAlign w:val="center"/>
          </w:tcPr>
          <w:p w14:paraId="4C06C39C" w14:textId="6F9FFB91"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73.0</w:t>
            </w:r>
          </w:p>
        </w:tc>
        <w:tc>
          <w:tcPr>
            <w:tcW w:w="232" w:type="pct"/>
            <w:vAlign w:val="center"/>
          </w:tcPr>
          <w:p w14:paraId="3A8B1243" w14:textId="232DFBAE"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75.9</w:t>
            </w:r>
          </w:p>
        </w:tc>
        <w:tc>
          <w:tcPr>
            <w:tcW w:w="232" w:type="pct"/>
            <w:tcMar>
              <w:top w:w="113" w:type="dxa"/>
              <w:left w:w="57" w:type="dxa"/>
              <w:bottom w:w="113" w:type="dxa"/>
              <w:right w:w="57" w:type="dxa"/>
            </w:tcMar>
            <w:vAlign w:val="center"/>
          </w:tcPr>
          <w:p w14:paraId="04485EF9" w14:textId="10C50A35"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81.8</w:t>
            </w:r>
          </w:p>
        </w:tc>
        <w:tc>
          <w:tcPr>
            <w:tcW w:w="232" w:type="pct"/>
            <w:tcMar>
              <w:top w:w="113" w:type="dxa"/>
              <w:left w:w="57" w:type="dxa"/>
              <w:bottom w:w="113" w:type="dxa"/>
              <w:right w:w="57" w:type="dxa"/>
            </w:tcMar>
            <w:vAlign w:val="center"/>
          </w:tcPr>
          <w:p w14:paraId="677026A2" w14:textId="1B1FE538"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83.0</w:t>
            </w:r>
          </w:p>
        </w:tc>
        <w:tc>
          <w:tcPr>
            <w:tcW w:w="232" w:type="pct"/>
            <w:vAlign w:val="center"/>
          </w:tcPr>
          <w:p w14:paraId="54870D2F" w14:textId="4A3285BB"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84.5</w:t>
            </w:r>
          </w:p>
        </w:tc>
        <w:tc>
          <w:tcPr>
            <w:tcW w:w="232" w:type="pct"/>
            <w:tcMar>
              <w:top w:w="113" w:type="dxa"/>
              <w:left w:w="57" w:type="dxa"/>
              <w:bottom w:w="113" w:type="dxa"/>
              <w:right w:w="57" w:type="dxa"/>
            </w:tcMar>
            <w:vAlign w:val="center"/>
          </w:tcPr>
          <w:p w14:paraId="5C11B956" w14:textId="5468DD0C"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75.7</w:t>
            </w:r>
          </w:p>
        </w:tc>
        <w:tc>
          <w:tcPr>
            <w:tcW w:w="232" w:type="pct"/>
            <w:tcMar>
              <w:top w:w="113" w:type="dxa"/>
              <w:left w:w="0" w:type="dxa"/>
              <w:bottom w:w="113" w:type="dxa"/>
              <w:right w:w="0" w:type="dxa"/>
            </w:tcMar>
            <w:vAlign w:val="center"/>
          </w:tcPr>
          <w:p w14:paraId="2EFFFC59" w14:textId="31E7F96C"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75.9</w:t>
            </w:r>
          </w:p>
        </w:tc>
        <w:tc>
          <w:tcPr>
            <w:tcW w:w="228" w:type="pct"/>
            <w:vAlign w:val="center"/>
          </w:tcPr>
          <w:p w14:paraId="2D80AF96" w14:textId="7C3CF855"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75.5</w:t>
            </w:r>
          </w:p>
        </w:tc>
      </w:tr>
      <w:tr w:rsidR="0066499D" w:rsidRPr="00E8656C" w14:paraId="13067E59" w14:textId="77777777" w:rsidTr="006C7824">
        <w:trPr>
          <w:trHeight w:val="60"/>
        </w:trPr>
        <w:tc>
          <w:tcPr>
            <w:tcW w:w="413" w:type="pct"/>
            <w:vAlign w:val="center"/>
          </w:tcPr>
          <w:p w14:paraId="7D7349C9" w14:textId="53C287FC"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Study mode*</w:t>
            </w:r>
          </w:p>
        </w:tc>
        <w:tc>
          <w:tcPr>
            <w:tcW w:w="415" w:type="pct"/>
            <w:tcMar>
              <w:top w:w="113" w:type="dxa"/>
              <w:left w:w="57" w:type="dxa"/>
              <w:bottom w:w="113" w:type="dxa"/>
              <w:right w:w="57" w:type="dxa"/>
            </w:tcMar>
            <w:vAlign w:val="center"/>
          </w:tcPr>
          <w:p w14:paraId="4AE2A665" w14:textId="1DDA1E51"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Internal/multi-mode</w:t>
            </w:r>
          </w:p>
        </w:tc>
        <w:tc>
          <w:tcPr>
            <w:tcW w:w="232" w:type="pct"/>
            <w:tcMar>
              <w:top w:w="113" w:type="dxa"/>
              <w:left w:w="57" w:type="dxa"/>
              <w:bottom w:w="113" w:type="dxa"/>
              <w:right w:w="57" w:type="dxa"/>
            </w:tcMar>
            <w:vAlign w:val="center"/>
          </w:tcPr>
          <w:p w14:paraId="74164CA0" w14:textId="592CBDE1"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82.7</w:t>
            </w:r>
          </w:p>
        </w:tc>
        <w:tc>
          <w:tcPr>
            <w:tcW w:w="232" w:type="pct"/>
            <w:tcMar>
              <w:top w:w="113" w:type="dxa"/>
              <w:left w:w="57" w:type="dxa"/>
              <w:bottom w:w="113" w:type="dxa"/>
              <w:right w:w="57" w:type="dxa"/>
            </w:tcMar>
            <w:vAlign w:val="center"/>
          </w:tcPr>
          <w:p w14:paraId="16869176" w14:textId="75175C1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84.2</w:t>
            </w:r>
          </w:p>
        </w:tc>
        <w:tc>
          <w:tcPr>
            <w:tcW w:w="232" w:type="pct"/>
            <w:vAlign w:val="center"/>
          </w:tcPr>
          <w:p w14:paraId="43870EBE" w14:textId="3A8EB21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84.9</w:t>
            </w:r>
          </w:p>
        </w:tc>
        <w:tc>
          <w:tcPr>
            <w:tcW w:w="232" w:type="pct"/>
            <w:tcMar>
              <w:top w:w="113" w:type="dxa"/>
              <w:left w:w="57" w:type="dxa"/>
              <w:bottom w:w="113" w:type="dxa"/>
              <w:right w:w="57" w:type="dxa"/>
            </w:tcMar>
            <w:vAlign w:val="center"/>
          </w:tcPr>
          <w:p w14:paraId="2F4D75AD" w14:textId="075DD35E"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59.5</w:t>
            </w:r>
          </w:p>
        </w:tc>
        <w:tc>
          <w:tcPr>
            <w:tcW w:w="232" w:type="pct"/>
            <w:tcMar>
              <w:top w:w="113" w:type="dxa"/>
              <w:left w:w="57" w:type="dxa"/>
              <w:bottom w:w="113" w:type="dxa"/>
              <w:right w:w="57" w:type="dxa"/>
            </w:tcMar>
            <w:vAlign w:val="center"/>
          </w:tcPr>
          <w:p w14:paraId="49A841D8" w14:textId="69A5CA98"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69.3</w:t>
            </w:r>
          </w:p>
        </w:tc>
        <w:tc>
          <w:tcPr>
            <w:tcW w:w="232" w:type="pct"/>
            <w:vAlign w:val="center"/>
          </w:tcPr>
          <w:p w14:paraId="56F2C6B2" w14:textId="543C19B1"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73.8</w:t>
            </w:r>
          </w:p>
        </w:tc>
        <w:tc>
          <w:tcPr>
            <w:tcW w:w="232" w:type="pct"/>
            <w:tcMar>
              <w:top w:w="113" w:type="dxa"/>
              <w:left w:w="57" w:type="dxa"/>
              <w:bottom w:w="113" w:type="dxa"/>
              <w:right w:w="57" w:type="dxa"/>
            </w:tcMar>
            <w:vAlign w:val="center"/>
          </w:tcPr>
          <w:p w14:paraId="3ABD8297" w14:textId="7BB47BAF"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81.6</w:t>
            </w:r>
          </w:p>
        </w:tc>
        <w:tc>
          <w:tcPr>
            <w:tcW w:w="232" w:type="pct"/>
            <w:tcMar>
              <w:top w:w="113" w:type="dxa"/>
              <w:left w:w="0" w:type="dxa"/>
              <w:bottom w:w="113" w:type="dxa"/>
              <w:right w:w="57" w:type="dxa"/>
            </w:tcMar>
            <w:vAlign w:val="center"/>
          </w:tcPr>
          <w:p w14:paraId="1347B23A" w14:textId="6D89A173"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83.1</w:t>
            </w:r>
          </w:p>
        </w:tc>
        <w:tc>
          <w:tcPr>
            <w:tcW w:w="232" w:type="pct"/>
            <w:vAlign w:val="center"/>
          </w:tcPr>
          <w:p w14:paraId="408D069B" w14:textId="2E4C61F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83.4</w:t>
            </w:r>
          </w:p>
        </w:tc>
        <w:tc>
          <w:tcPr>
            <w:tcW w:w="232" w:type="pct"/>
            <w:tcMar>
              <w:top w:w="113" w:type="dxa"/>
              <w:left w:w="57" w:type="dxa"/>
              <w:bottom w:w="113" w:type="dxa"/>
              <w:right w:w="57" w:type="dxa"/>
            </w:tcMar>
            <w:vAlign w:val="center"/>
          </w:tcPr>
          <w:p w14:paraId="7D43303D" w14:textId="7AD1FC30"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73.8</w:t>
            </w:r>
          </w:p>
        </w:tc>
        <w:tc>
          <w:tcPr>
            <w:tcW w:w="232" w:type="pct"/>
            <w:tcMar>
              <w:top w:w="113" w:type="dxa"/>
              <w:left w:w="57" w:type="dxa"/>
              <w:bottom w:w="113" w:type="dxa"/>
              <w:right w:w="57" w:type="dxa"/>
            </w:tcMar>
            <w:vAlign w:val="center"/>
          </w:tcPr>
          <w:p w14:paraId="159E7C63" w14:textId="6B166976"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76.4</w:t>
            </w:r>
          </w:p>
        </w:tc>
        <w:tc>
          <w:tcPr>
            <w:tcW w:w="232" w:type="pct"/>
            <w:vAlign w:val="center"/>
          </w:tcPr>
          <w:p w14:paraId="7C16AEEA" w14:textId="7A60A77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77.6</w:t>
            </w:r>
          </w:p>
        </w:tc>
        <w:tc>
          <w:tcPr>
            <w:tcW w:w="232" w:type="pct"/>
            <w:tcMar>
              <w:top w:w="113" w:type="dxa"/>
              <w:left w:w="57" w:type="dxa"/>
              <w:bottom w:w="113" w:type="dxa"/>
              <w:right w:w="57" w:type="dxa"/>
            </w:tcMar>
            <w:vAlign w:val="center"/>
          </w:tcPr>
          <w:p w14:paraId="0D4135C1" w14:textId="7F90754C"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83.6</w:t>
            </w:r>
          </w:p>
        </w:tc>
        <w:tc>
          <w:tcPr>
            <w:tcW w:w="232" w:type="pct"/>
            <w:tcMar>
              <w:top w:w="113" w:type="dxa"/>
              <w:left w:w="57" w:type="dxa"/>
              <w:bottom w:w="113" w:type="dxa"/>
              <w:right w:w="57" w:type="dxa"/>
            </w:tcMar>
            <w:vAlign w:val="center"/>
          </w:tcPr>
          <w:p w14:paraId="19B7F293" w14:textId="2DABD8AF"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85.3</w:t>
            </w:r>
          </w:p>
        </w:tc>
        <w:tc>
          <w:tcPr>
            <w:tcW w:w="232" w:type="pct"/>
            <w:vAlign w:val="center"/>
          </w:tcPr>
          <w:p w14:paraId="40E1B37D" w14:textId="2690DE2D"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85.6</w:t>
            </w:r>
          </w:p>
        </w:tc>
        <w:tc>
          <w:tcPr>
            <w:tcW w:w="232" w:type="pct"/>
            <w:tcMar>
              <w:top w:w="113" w:type="dxa"/>
              <w:left w:w="57" w:type="dxa"/>
              <w:bottom w:w="113" w:type="dxa"/>
              <w:right w:w="57" w:type="dxa"/>
            </w:tcMar>
            <w:vAlign w:val="center"/>
          </w:tcPr>
          <w:p w14:paraId="2DAFA431" w14:textId="32562370"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75.3</w:t>
            </w:r>
          </w:p>
        </w:tc>
        <w:tc>
          <w:tcPr>
            <w:tcW w:w="232" w:type="pct"/>
            <w:tcMar>
              <w:top w:w="113" w:type="dxa"/>
              <w:left w:w="0" w:type="dxa"/>
              <w:bottom w:w="113" w:type="dxa"/>
              <w:right w:w="0" w:type="dxa"/>
            </w:tcMar>
            <w:vAlign w:val="center"/>
          </w:tcPr>
          <w:p w14:paraId="463AC737" w14:textId="122AA718"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76.5</w:t>
            </w:r>
          </w:p>
        </w:tc>
        <w:tc>
          <w:tcPr>
            <w:tcW w:w="228" w:type="pct"/>
            <w:vAlign w:val="center"/>
          </w:tcPr>
          <w:p w14:paraId="57F95388" w14:textId="3540E8A3"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76.1</w:t>
            </w:r>
          </w:p>
        </w:tc>
      </w:tr>
      <w:tr w:rsidR="0066499D" w:rsidRPr="00E8656C" w14:paraId="47B48356" w14:textId="77777777" w:rsidTr="006C7824">
        <w:trPr>
          <w:trHeight w:val="60"/>
        </w:trPr>
        <w:tc>
          <w:tcPr>
            <w:tcW w:w="413" w:type="pct"/>
            <w:vAlign w:val="center"/>
          </w:tcPr>
          <w:p w14:paraId="7B29CC0F" w14:textId="191A868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Study mode*</w:t>
            </w:r>
          </w:p>
        </w:tc>
        <w:tc>
          <w:tcPr>
            <w:tcW w:w="415" w:type="pct"/>
            <w:tcMar>
              <w:top w:w="113" w:type="dxa"/>
              <w:left w:w="57" w:type="dxa"/>
              <w:bottom w:w="113" w:type="dxa"/>
              <w:right w:w="57" w:type="dxa"/>
            </w:tcMar>
            <w:vAlign w:val="center"/>
          </w:tcPr>
          <w:p w14:paraId="0D865057" w14:textId="169E285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External</w:t>
            </w:r>
          </w:p>
        </w:tc>
        <w:tc>
          <w:tcPr>
            <w:tcW w:w="232" w:type="pct"/>
            <w:tcMar>
              <w:top w:w="113" w:type="dxa"/>
              <w:left w:w="57" w:type="dxa"/>
              <w:bottom w:w="113" w:type="dxa"/>
              <w:right w:w="57" w:type="dxa"/>
            </w:tcMar>
            <w:vAlign w:val="center"/>
          </w:tcPr>
          <w:p w14:paraId="74C4DADD" w14:textId="54507306"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78.1</w:t>
            </w:r>
          </w:p>
        </w:tc>
        <w:tc>
          <w:tcPr>
            <w:tcW w:w="232" w:type="pct"/>
            <w:tcMar>
              <w:top w:w="113" w:type="dxa"/>
              <w:left w:w="57" w:type="dxa"/>
              <w:bottom w:w="113" w:type="dxa"/>
              <w:right w:w="57" w:type="dxa"/>
            </w:tcMar>
            <w:vAlign w:val="center"/>
          </w:tcPr>
          <w:p w14:paraId="3F0D5881" w14:textId="5F07F7B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77.3</w:t>
            </w:r>
          </w:p>
        </w:tc>
        <w:tc>
          <w:tcPr>
            <w:tcW w:w="232" w:type="pct"/>
            <w:vAlign w:val="center"/>
          </w:tcPr>
          <w:p w14:paraId="7E092F64" w14:textId="298F5E3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77.1</w:t>
            </w:r>
          </w:p>
        </w:tc>
        <w:tc>
          <w:tcPr>
            <w:tcW w:w="232" w:type="pct"/>
            <w:tcMar>
              <w:top w:w="113" w:type="dxa"/>
              <w:left w:w="57" w:type="dxa"/>
              <w:bottom w:w="113" w:type="dxa"/>
              <w:right w:w="57" w:type="dxa"/>
            </w:tcMar>
            <w:vAlign w:val="center"/>
          </w:tcPr>
          <w:p w14:paraId="416C0A10" w14:textId="19934C2D"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28.5</w:t>
            </w:r>
          </w:p>
        </w:tc>
        <w:tc>
          <w:tcPr>
            <w:tcW w:w="232" w:type="pct"/>
            <w:tcMar>
              <w:top w:w="113" w:type="dxa"/>
              <w:left w:w="57" w:type="dxa"/>
              <w:bottom w:w="113" w:type="dxa"/>
              <w:right w:w="57" w:type="dxa"/>
            </w:tcMar>
            <w:vAlign w:val="center"/>
          </w:tcPr>
          <w:p w14:paraId="68CACFAB" w14:textId="5BB9A9D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24.7</w:t>
            </w:r>
          </w:p>
        </w:tc>
        <w:tc>
          <w:tcPr>
            <w:tcW w:w="232" w:type="pct"/>
            <w:vAlign w:val="center"/>
          </w:tcPr>
          <w:p w14:paraId="478DB461" w14:textId="5B0817E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22.4</w:t>
            </w:r>
          </w:p>
        </w:tc>
        <w:tc>
          <w:tcPr>
            <w:tcW w:w="232" w:type="pct"/>
            <w:tcMar>
              <w:top w:w="113" w:type="dxa"/>
              <w:left w:w="57" w:type="dxa"/>
              <w:bottom w:w="113" w:type="dxa"/>
              <w:right w:w="57" w:type="dxa"/>
            </w:tcMar>
            <w:vAlign w:val="center"/>
          </w:tcPr>
          <w:p w14:paraId="224DBE3D" w14:textId="2DE6A9B8"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82.9</w:t>
            </w:r>
          </w:p>
        </w:tc>
        <w:tc>
          <w:tcPr>
            <w:tcW w:w="232" w:type="pct"/>
            <w:tcMar>
              <w:top w:w="113" w:type="dxa"/>
              <w:left w:w="0" w:type="dxa"/>
              <w:bottom w:w="113" w:type="dxa"/>
              <w:right w:w="57" w:type="dxa"/>
            </w:tcMar>
            <w:vAlign w:val="center"/>
          </w:tcPr>
          <w:p w14:paraId="1B87EB33" w14:textId="64ACB905"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81.2</w:t>
            </w:r>
          </w:p>
        </w:tc>
        <w:tc>
          <w:tcPr>
            <w:tcW w:w="232" w:type="pct"/>
            <w:vAlign w:val="center"/>
          </w:tcPr>
          <w:p w14:paraId="4856D07B" w14:textId="0EA22ACE"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80.7</w:t>
            </w:r>
          </w:p>
        </w:tc>
        <w:tc>
          <w:tcPr>
            <w:tcW w:w="232" w:type="pct"/>
            <w:tcMar>
              <w:top w:w="113" w:type="dxa"/>
              <w:left w:w="57" w:type="dxa"/>
              <w:bottom w:w="113" w:type="dxa"/>
              <w:right w:w="57" w:type="dxa"/>
            </w:tcMar>
            <w:vAlign w:val="center"/>
          </w:tcPr>
          <w:p w14:paraId="4588C710" w14:textId="7EFC0693"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78.3</w:t>
            </w:r>
          </w:p>
        </w:tc>
        <w:tc>
          <w:tcPr>
            <w:tcW w:w="232" w:type="pct"/>
            <w:tcMar>
              <w:top w:w="113" w:type="dxa"/>
              <w:left w:w="57" w:type="dxa"/>
              <w:bottom w:w="113" w:type="dxa"/>
              <w:right w:w="57" w:type="dxa"/>
            </w:tcMar>
            <w:vAlign w:val="center"/>
          </w:tcPr>
          <w:p w14:paraId="2B499C7C" w14:textId="6795544C"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72.1</w:t>
            </w:r>
          </w:p>
        </w:tc>
        <w:tc>
          <w:tcPr>
            <w:tcW w:w="232" w:type="pct"/>
            <w:vAlign w:val="center"/>
          </w:tcPr>
          <w:p w14:paraId="42051B8F" w14:textId="4C4E3E2A"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71.3</w:t>
            </w:r>
          </w:p>
        </w:tc>
        <w:tc>
          <w:tcPr>
            <w:tcW w:w="232" w:type="pct"/>
            <w:tcMar>
              <w:top w:w="113" w:type="dxa"/>
              <w:left w:w="57" w:type="dxa"/>
              <w:bottom w:w="113" w:type="dxa"/>
              <w:right w:w="57" w:type="dxa"/>
            </w:tcMar>
            <w:vAlign w:val="center"/>
          </w:tcPr>
          <w:p w14:paraId="58FF26F9" w14:textId="36789E1C"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83.0</w:t>
            </w:r>
          </w:p>
        </w:tc>
        <w:tc>
          <w:tcPr>
            <w:tcW w:w="232" w:type="pct"/>
            <w:tcMar>
              <w:top w:w="113" w:type="dxa"/>
              <w:left w:w="57" w:type="dxa"/>
              <w:bottom w:w="113" w:type="dxa"/>
              <w:right w:w="57" w:type="dxa"/>
            </w:tcMar>
            <w:vAlign w:val="center"/>
          </w:tcPr>
          <w:p w14:paraId="4F86F91F" w14:textId="2AE2347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80.3</w:t>
            </w:r>
          </w:p>
        </w:tc>
        <w:tc>
          <w:tcPr>
            <w:tcW w:w="232" w:type="pct"/>
            <w:vAlign w:val="center"/>
          </w:tcPr>
          <w:p w14:paraId="080FEBDD" w14:textId="684B04BC"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79.2</w:t>
            </w:r>
          </w:p>
        </w:tc>
        <w:tc>
          <w:tcPr>
            <w:tcW w:w="232" w:type="pct"/>
            <w:tcMar>
              <w:top w:w="113" w:type="dxa"/>
              <w:left w:w="57" w:type="dxa"/>
              <w:bottom w:w="113" w:type="dxa"/>
              <w:right w:w="57" w:type="dxa"/>
            </w:tcMar>
            <w:vAlign w:val="center"/>
          </w:tcPr>
          <w:p w14:paraId="65D82957" w14:textId="549435E6"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79.2</w:t>
            </w:r>
          </w:p>
        </w:tc>
        <w:tc>
          <w:tcPr>
            <w:tcW w:w="232" w:type="pct"/>
            <w:tcMar>
              <w:top w:w="113" w:type="dxa"/>
              <w:left w:w="0" w:type="dxa"/>
              <w:bottom w:w="113" w:type="dxa"/>
              <w:right w:w="0" w:type="dxa"/>
            </w:tcMar>
            <w:vAlign w:val="center"/>
          </w:tcPr>
          <w:p w14:paraId="30B6E751" w14:textId="6004BC0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78.5</w:t>
            </w:r>
          </w:p>
        </w:tc>
        <w:tc>
          <w:tcPr>
            <w:tcW w:w="228" w:type="pct"/>
            <w:vAlign w:val="center"/>
          </w:tcPr>
          <w:p w14:paraId="73D4D9CD" w14:textId="319FA33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78.5</w:t>
            </w:r>
          </w:p>
        </w:tc>
      </w:tr>
      <w:tr w:rsidR="0066499D" w:rsidRPr="00E8656C" w14:paraId="79A9A37A" w14:textId="77777777" w:rsidTr="006C7824">
        <w:trPr>
          <w:trHeight w:val="60"/>
        </w:trPr>
        <w:tc>
          <w:tcPr>
            <w:tcW w:w="413" w:type="pct"/>
            <w:vAlign w:val="center"/>
          </w:tcPr>
          <w:p w14:paraId="731F4970"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Gender</w:t>
            </w:r>
          </w:p>
        </w:tc>
        <w:tc>
          <w:tcPr>
            <w:tcW w:w="415" w:type="pct"/>
            <w:tcMar>
              <w:top w:w="113" w:type="dxa"/>
              <w:left w:w="57" w:type="dxa"/>
              <w:bottom w:w="113" w:type="dxa"/>
              <w:right w:w="57" w:type="dxa"/>
            </w:tcMar>
            <w:vAlign w:val="center"/>
          </w:tcPr>
          <w:p w14:paraId="12514DAB"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Male</w:t>
            </w:r>
          </w:p>
        </w:tc>
        <w:tc>
          <w:tcPr>
            <w:tcW w:w="232" w:type="pct"/>
            <w:tcMar>
              <w:top w:w="113" w:type="dxa"/>
              <w:left w:w="57" w:type="dxa"/>
              <w:bottom w:w="113" w:type="dxa"/>
              <w:right w:w="57" w:type="dxa"/>
            </w:tcMar>
            <w:vAlign w:val="center"/>
          </w:tcPr>
          <w:p w14:paraId="541D55E3" w14:textId="0D505CD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79.1</w:t>
            </w:r>
          </w:p>
        </w:tc>
        <w:tc>
          <w:tcPr>
            <w:tcW w:w="232" w:type="pct"/>
            <w:tcMar>
              <w:top w:w="113" w:type="dxa"/>
              <w:left w:w="57" w:type="dxa"/>
              <w:bottom w:w="113" w:type="dxa"/>
              <w:right w:w="57" w:type="dxa"/>
            </w:tcMar>
            <w:vAlign w:val="center"/>
          </w:tcPr>
          <w:p w14:paraId="0474CB39" w14:textId="00778350"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80.6</w:t>
            </w:r>
          </w:p>
        </w:tc>
        <w:tc>
          <w:tcPr>
            <w:tcW w:w="232" w:type="pct"/>
            <w:vAlign w:val="center"/>
          </w:tcPr>
          <w:p w14:paraId="0FA4F073" w14:textId="7131288C"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81.3</w:t>
            </w:r>
          </w:p>
        </w:tc>
        <w:tc>
          <w:tcPr>
            <w:tcW w:w="232" w:type="pct"/>
            <w:tcMar>
              <w:top w:w="113" w:type="dxa"/>
              <w:left w:w="57" w:type="dxa"/>
              <w:bottom w:w="113" w:type="dxa"/>
              <w:right w:w="57" w:type="dxa"/>
            </w:tcMar>
            <w:vAlign w:val="center"/>
          </w:tcPr>
          <w:p w14:paraId="45A91BBB" w14:textId="03C270EB"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51.7</w:t>
            </w:r>
          </w:p>
        </w:tc>
        <w:tc>
          <w:tcPr>
            <w:tcW w:w="232" w:type="pct"/>
            <w:tcMar>
              <w:top w:w="113" w:type="dxa"/>
              <w:left w:w="57" w:type="dxa"/>
              <w:bottom w:w="113" w:type="dxa"/>
              <w:right w:w="57" w:type="dxa"/>
            </w:tcMar>
            <w:vAlign w:val="center"/>
          </w:tcPr>
          <w:p w14:paraId="0399B85E" w14:textId="28AE2860"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59.6</w:t>
            </w:r>
          </w:p>
        </w:tc>
        <w:tc>
          <w:tcPr>
            <w:tcW w:w="232" w:type="pct"/>
            <w:vAlign w:val="center"/>
          </w:tcPr>
          <w:p w14:paraId="3B42A30C" w14:textId="5A8B1A0A"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65.3</w:t>
            </w:r>
          </w:p>
        </w:tc>
        <w:tc>
          <w:tcPr>
            <w:tcW w:w="232" w:type="pct"/>
            <w:tcMar>
              <w:top w:w="113" w:type="dxa"/>
              <w:left w:w="57" w:type="dxa"/>
              <w:bottom w:w="113" w:type="dxa"/>
              <w:right w:w="57" w:type="dxa"/>
            </w:tcMar>
            <w:vAlign w:val="center"/>
          </w:tcPr>
          <w:p w14:paraId="0675E658" w14:textId="4310EECE"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80.2</w:t>
            </w:r>
          </w:p>
        </w:tc>
        <w:tc>
          <w:tcPr>
            <w:tcW w:w="232" w:type="pct"/>
            <w:tcMar>
              <w:top w:w="113" w:type="dxa"/>
              <w:left w:w="0" w:type="dxa"/>
              <w:bottom w:w="113" w:type="dxa"/>
              <w:right w:w="57" w:type="dxa"/>
            </w:tcMar>
            <w:vAlign w:val="center"/>
          </w:tcPr>
          <w:p w14:paraId="74126F6B" w14:textId="32AF8522"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81.0</w:t>
            </w:r>
          </w:p>
        </w:tc>
        <w:tc>
          <w:tcPr>
            <w:tcW w:w="232" w:type="pct"/>
            <w:vAlign w:val="center"/>
          </w:tcPr>
          <w:p w14:paraId="02495795" w14:textId="31F674FB"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81.1</w:t>
            </w:r>
          </w:p>
        </w:tc>
        <w:tc>
          <w:tcPr>
            <w:tcW w:w="232" w:type="pct"/>
            <w:tcMar>
              <w:top w:w="113" w:type="dxa"/>
              <w:left w:w="57" w:type="dxa"/>
              <w:bottom w:w="113" w:type="dxa"/>
              <w:right w:w="57" w:type="dxa"/>
            </w:tcMar>
            <w:vAlign w:val="center"/>
          </w:tcPr>
          <w:p w14:paraId="52B19E68" w14:textId="31E7A13C"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74.9</w:t>
            </w:r>
          </w:p>
        </w:tc>
        <w:tc>
          <w:tcPr>
            <w:tcW w:w="232" w:type="pct"/>
            <w:tcMar>
              <w:top w:w="113" w:type="dxa"/>
              <w:left w:w="57" w:type="dxa"/>
              <w:bottom w:w="113" w:type="dxa"/>
              <w:right w:w="57" w:type="dxa"/>
            </w:tcMar>
            <w:vAlign w:val="center"/>
          </w:tcPr>
          <w:p w14:paraId="0316ED3B" w14:textId="7F29095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75.0</w:t>
            </w:r>
          </w:p>
        </w:tc>
        <w:tc>
          <w:tcPr>
            <w:tcW w:w="232" w:type="pct"/>
            <w:vAlign w:val="center"/>
          </w:tcPr>
          <w:p w14:paraId="219794B3" w14:textId="386490B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75.9</w:t>
            </w:r>
          </w:p>
        </w:tc>
        <w:tc>
          <w:tcPr>
            <w:tcW w:w="232" w:type="pct"/>
            <w:tcMar>
              <w:top w:w="113" w:type="dxa"/>
              <w:left w:w="57" w:type="dxa"/>
              <w:bottom w:w="113" w:type="dxa"/>
              <w:right w:w="57" w:type="dxa"/>
            </w:tcMar>
            <w:vAlign w:val="center"/>
          </w:tcPr>
          <w:p w14:paraId="4F306D92" w14:textId="70765C7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83.3</w:t>
            </w:r>
          </w:p>
        </w:tc>
        <w:tc>
          <w:tcPr>
            <w:tcW w:w="232" w:type="pct"/>
            <w:tcMar>
              <w:top w:w="113" w:type="dxa"/>
              <w:left w:w="57" w:type="dxa"/>
              <w:bottom w:w="113" w:type="dxa"/>
              <w:right w:w="57" w:type="dxa"/>
            </w:tcMar>
            <w:vAlign w:val="center"/>
          </w:tcPr>
          <w:p w14:paraId="0FE86304" w14:textId="65DB7CFD"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84.6</w:t>
            </w:r>
          </w:p>
        </w:tc>
        <w:tc>
          <w:tcPr>
            <w:tcW w:w="232" w:type="pct"/>
            <w:vAlign w:val="center"/>
          </w:tcPr>
          <w:p w14:paraId="612B5649" w14:textId="110D40A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85.1</w:t>
            </w:r>
          </w:p>
        </w:tc>
        <w:tc>
          <w:tcPr>
            <w:tcW w:w="232" w:type="pct"/>
            <w:tcMar>
              <w:top w:w="113" w:type="dxa"/>
              <w:left w:w="57" w:type="dxa"/>
              <w:bottom w:w="113" w:type="dxa"/>
              <w:right w:w="57" w:type="dxa"/>
            </w:tcMar>
            <w:vAlign w:val="center"/>
          </w:tcPr>
          <w:p w14:paraId="569A1372" w14:textId="7EB67BD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75.4</w:t>
            </w:r>
          </w:p>
        </w:tc>
        <w:tc>
          <w:tcPr>
            <w:tcW w:w="232" w:type="pct"/>
            <w:tcMar>
              <w:top w:w="113" w:type="dxa"/>
              <w:left w:w="0" w:type="dxa"/>
              <w:bottom w:w="113" w:type="dxa"/>
              <w:right w:w="0" w:type="dxa"/>
            </w:tcMar>
            <w:vAlign w:val="center"/>
          </w:tcPr>
          <w:p w14:paraId="6FE8EFF3" w14:textId="2BD1B4B0"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75.7</w:t>
            </w:r>
          </w:p>
        </w:tc>
        <w:tc>
          <w:tcPr>
            <w:tcW w:w="228" w:type="pct"/>
            <w:vAlign w:val="center"/>
          </w:tcPr>
          <w:p w14:paraId="564A40ED" w14:textId="4C7F7A1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74.9</w:t>
            </w:r>
          </w:p>
        </w:tc>
      </w:tr>
      <w:tr w:rsidR="0066499D" w:rsidRPr="00E8656C" w14:paraId="71C095E7" w14:textId="77777777" w:rsidTr="006C7824">
        <w:trPr>
          <w:trHeight w:val="60"/>
        </w:trPr>
        <w:tc>
          <w:tcPr>
            <w:tcW w:w="413" w:type="pct"/>
            <w:vAlign w:val="center"/>
          </w:tcPr>
          <w:p w14:paraId="7BF18849" w14:textId="1D34D714"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Gender</w:t>
            </w:r>
          </w:p>
        </w:tc>
        <w:tc>
          <w:tcPr>
            <w:tcW w:w="415" w:type="pct"/>
            <w:tcMar>
              <w:top w:w="113" w:type="dxa"/>
              <w:left w:w="57" w:type="dxa"/>
              <w:bottom w:w="113" w:type="dxa"/>
              <w:right w:w="57" w:type="dxa"/>
            </w:tcMar>
            <w:vAlign w:val="center"/>
          </w:tcPr>
          <w:p w14:paraId="7C065A38"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Female</w:t>
            </w:r>
          </w:p>
        </w:tc>
        <w:tc>
          <w:tcPr>
            <w:tcW w:w="232" w:type="pct"/>
            <w:tcMar>
              <w:top w:w="113" w:type="dxa"/>
              <w:left w:w="57" w:type="dxa"/>
              <w:bottom w:w="113" w:type="dxa"/>
              <w:right w:w="57" w:type="dxa"/>
            </w:tcMar>
            <w:vAlign w:val="center"/>
          </w:tcPr>
          <w:p w14:paraId="1AC0005F" w14:textId="1CB071B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82.3</w:t>
            </w:r>
          </w:p>
        </w:tc>
        <w:tc>
          <w:tcPr>
            <w:tcW w:w="232" w:type="pct"/>
            <w:tcMar>
              <w:top w:w="113" w:type="dxa"/>
              <w:left w:w="57" w:type="dxa"/>
              <w:bottom w:w="113" w:type="dxa"/>
              <w:right w:w="57" w:type="dxa"/>
            </w:tcMar>
            <w:vAlign w:val="center"/>
          </w:tcPr>
          <w:p w14:paraId="52DAF0E3" w14:textId="15ADF3E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83.0</w:t>
            </w:r>
          </w:p>
        </w:tc>
        <w:tc>
          <w:tcPr>
            <w:tcW w:w="232" w:type="pct"/>
            <w:vAlign w:val="center"/>
          </w:tcPr>
          <w:p w14:paraId="34580D08" w14:textId="2FDFC991"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84.3</w:t>
            </w:r>
          </w:p>
        </w:tc>
        <w:tc>
          <w:tcPr>
            <w:tcW w:w="232" w:type="pct"/>
            <w:tcMar>
              <w:top w:w="113" w:type="dxa"/>
              <w:left w:w="57" w:type="dxa"/>
              <w:bottom w:w="113" w:type="dxa"/>
              <w:right w:w="57" w:type="dxa"/>
            </w:tcMar>
            <w:vAlign w:val="center"/>
          </w:tcPr>
          <w:p w14:paraId="30F8BA35" w14:textId="5E99C4ED"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47.1</w:t>
            </w:r>
          </w:p>
        </w:tc>
        <w:tc>
          <w:tcPr>
            <w:tcW w:w="232" w:type="pct"/>
            <w:tcMar>
              <w:top w:w="113" w:type="dxa"/>
              <w:left w:w="57" w:type="dxa"/>
              <w:bottom w:w="113" w:type="dxa"/>
              <w:right w:w="57" w:type="dxa"/>
            </w:tcMar>
            <w:vAlign w:val="center"/>
          </w:tcPr>
          <w:p w14:paraId="510C55F9" w14:textId="319ADA63"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53.8</w:t>
            </w:r>
          </w:p>
        </w:tc>
        <w:tc>
          <w:tcPr>
            <w:tcW w:w="232" w:type="pct"/>
            <w:vAlign w:val="center"/>
          </w:tcPr>
          <w:p w14:paraId="614B1FAD" w14:textId="7A489E30"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60.1</w:t>
            </w:r>
          </w:p>
        </w:tc>
        <w:tc>
          <w:tcPr>
            <w:tcW w:w="232" w:type="pct"/>
            <w:tcMar>
              <w:top w:w="113" w:type="dxa"/>
              <w:left w:w="57" w:type="dxa"/>
              <w:bottom w:w="113" w:type="dxa"/>
              <w:right w:w="57" w:type="dxa"/>
            </w:tcMar>
            <w:vAlign w:val="center"/>
          </w:tcPr>
          <w:p w14:paraId="1A0B111B" w14:textId="71882A7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83.2</w:t>
            </w:r>
          </w:p>
        </w:tc>
        <w:tc>
          <w:tcPr>
            <w:tcW w:w="232" w:type="pct"/>
            <w:tcMar>
              <w:top w:w="113" w:type="dxa"/>
              <w:left w:w="0" w:type="dxa"/>
              <w:bottom w:w="113" w:type="dxa"/>
              <w:right w:w="57" w:type="dxa"/>
            </w:tcMar>
            <w:vAlign w:val="center"/>
          </w:tcPr>
          <w:p w14:paraId="359C09CF" w14:textId="06D491F0"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83.4</w:t>
            </w:r>
          </w:p>
        </w:tc>
        <w:tc>
          <w:tcPr>
            <w:tcW w:w="232" w:type="pct"/>
            <w:vAlign w:val="center"/>
          </w:tcPr>
          <w:p w14:paraId="3E310B3D" w14:textId="316FF602"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83.9</w:t>
            </w:r>
          </w:p>
        </w:tc>
        <w:tc>
          <w:tcPr>
            <w:tcW w:w="232" w:type="pct"/>
            <w:tcMar>
              <w:top w:w="113" w:type="dxa"/>
              <w:left w:w="57" w:type="dxa"/>
              <w:bottom w:w="113" w:type="dxa"/>
              <w:right w:w="57" w:type="dxa"/>
            </w:tcMar>
            <w:vAlign w:val="center"/>
          </w:tcPr>
          <w:p w14:paraId="7A88F01C" w14:textId="62508BAC"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75.5</w:t>
            </w:r>
          </w:p>
        </w:tc>
        <w:tc>
          <w:tcPr>
            <w:tcW w:w="232" w:type="pct"/>
            <w:tcMar>
              <w:top w:w="113" w:type="dxa"/>
              <w:left w:w="57" w:type="dxa"/>
              <w:bottom w:w="113" w:type="dxa"/>
              <w:right w:w="57" w:type="dxa"/>
            </w:tcMar>
            <w:vAlign w:val="center"/>
          </w:tcPr>
          <w:p w14:paraId="727050EA" w14:textId="10982682"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75.8</w:t>
            </w:r>
          </w:p>
        </w:tc>
        <w:tc>
          <w:tcPr>
            <w:tcW w:w="232" w:type="pct"/>
            <w:vAlign w:val="center"/>
          </w:tcPr>
          <w:p w14:paraId="59DD0CD4" w14:textId="74669D95"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77.2</w:t>
            </w:r>
          </w:p>
        </w:tc>
        <w:tc>
          <w:tcPr>
            <w:tcW w:w="232" w:type="pct"/>
            <w:tcMar>
              <w:top w:w="113" w:type="dxa"/>
              <w:left w:w="57" w:type="dxa"/>
              <w:bottom w:w="113" w:type="dxa"/>
              <w:right w:w="57" w:type="dxa"/>
            </w:tcMar>
            <w:vAlign w:val="center"/>
          </w:tcPr>
          <w:p w14:paraId="1042098B" w14:textId="7DE18335"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83.7</w:t>
            </w:r>
          </w:p>
        </w:tc>
        <w:tc>
          <w:tcPr>
            <w:tcW w:w="232" w:type="pct"/>
            <w:tcMar>
              <w:top w:w="113" w:type="dxa"/>
              <w:left w:w="57" w:type="dxa"/>
              <w:bottom w:w="113" w:type="dxa"/>
              <w:right w:w="57" w:type="dxa"/>
            </w:tcMar>
            <w:vAlign w:val="center"/>
          </w:tcPr>
          <w:p w14:paraId="5074DBE2" w14:textId="1DC56826"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84.7</w:t>
            </w:r>
          </w:p>
        </w:tc>
        <w:tc>
          <w:tcPr>
            <w:tcW w:w="232" w:type="pct"/>
            <w:vAlign w:val="center"/>
          </w:tcPr>
          <w:p w14:paraId="2E244465" w14:textId="629C088A"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85.1</w:t>
            </w:r>
          </w:p>
        </w:tc>
        <w:tc>
          <w:tcPr>
            <w:tcW w:w="232" w:type="pct"/>
            <w:tcMar>
              <w:top w:w="113" w:type="dxa"/>
              <w:left w:w="57" w:type="dxa"/>
              <w:bottom w:w="113" w:type="dxa"/>
              <w:right w:w="57" w:type="dxa"/>
            </w:tcMar>
            <w:vAlign w:val="center"/>
          </w:tcPr>
          <w:p w14:paraId="4060A19F" w14:textId="0B552146"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77.5</w:t>
            </w:r>
          </w:p>
        </w:tc>
        <w:tc>
          <w:tcPr>
            <w:tcW w:w="232" w:type="pct"/>
            <w:tcMar>
              <w:top w:w="113" w:type="dxa"/>
              <w:left w:w="0" w:type="dxa"/>
              <w:bottom w:w="113" w:type="dxa"/>
              <w:right w:w="0" w:type="dxa"/>
            </w:tcMar>
            <w:vAlign w:val="center"/>
          </w:tcPr>
          <w:p w14:paraId="56251CD0" w14:textId="416E94C6"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77.9</w:t>
            </w:r>
          </w:p>
        </w:tc>
        <w:tc>
          <w:tcPr>
            <w:tcW w:w="228" w:type="pct"/>
            <w:vAlign w:val="center"/>
          </w:tcPr>
          <w:p w14:paraId="68CF3F69" w14:textId="376B4802"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77.8</w:t>
            </w:r>
          </w:p>
        </w:tc>
      </w:tr>
      <w:tr w:rsidR="0066499D" w:rsidRPr="00E8656C" w14:paraId="542D66F8" w14:textId="77777777" w:rsidTr="006C7824">
        <w:trPr>
          <w:trHeight w:val="60"/>
        </w:trPr>
        <w:tc>
          <w:tcPr>
            <w:tcW w:w="413" w:type="pct"/>
            <w:vAlign w:val="center"/>
          </w:tcPr>
          <w:p w14:paraId="0443BB4E"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Age</w:t>
            </w:r>
          </w:p>
        </w:tc>
        <w:tc>
          <w:tcPr>
            <w:tcW w:w="415" w:type="pct"/>
            <w:tcMar>
              <w:top w:w="113" w:type="dxa"/>
              <w:left w:w="57" w:type="dxa"/>
              <w:bottom w:w="113" w:type="dxa"/>
              <w:right w:w="57" w:type="dxa"/>
            </w:tcMar>
            <w:vAlign w:val="center"/>
          </w:tcPr>
          <w:p w14:paraId="35754088"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Under 25</w:t>
            </w:r>
          </w:p>
        </w:tc>
        <w:tc>
          <w:tcPr>
            <w:tcW w:w="232" w:type="pct"/>
            <w:tcMar>
              <w:top w:w="113" w:type="dxa"/>
              <w:left w:w="57" w:type="dxa"/>
              <w:bottom w:w="113" w:type="dxa"/>
              <w:right w:w="57" w:type="dxa"/>
            </w:tcMar>
            <w:vAlign w:val="center"/>
          </w:tcPr>
          <w:p w14:paraId="6E3966CA" w14:textId="509511FF"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84.4</w:t>
            </w:r>
          </w:p>
        </w:tc>
        <w:tc>
          <w:tcPr>
            <w:tcW w:w="232" w:type="pct"/>
            <w:tcMar>
              <w:top w:w="113" w:type="dxa"/>
              <w:left w:w="57" w:type="dxa"/>
              <w:bottom w:w="113" w:type="dxa"/>
              <w:right w:w="57" w:type="dxa"/>
            </w:tcMar>
            <w:vAlign w:val="center"/>
          </w:tcPr>
          <w:p w14:paraId="2B2934DE" w14:textId="128F23E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83.8</w:t>
            </w:r>
          </w:p>
        </w:tc>
        <w:tc>
          <w:tcPr>
            <w:tcW w:w="232" w:type="pct"/>
            <w:vAlign w:val="center"/>
          </w:tcPr>
          <w:p w14:paraId="66DDE843" w14:textId="5C0DA491"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84.7</w:t>
            </w:r>
          </w:p>
        </w:tc>
        <w:tc>
          <w:tcPr>
            <w:tcW w:w="232" w:type="pct"/>
            <w:tcMar>
              <w:top w:w="113" w:type="dxa"/>
              <w:left w:w="57" w:type="dxa"/>
              <w:bottom w:w="113" w:type="dxa"/>
              <w:right w:w="57" w:type="dxa"/>
            </w:tcMar>
            <w:vAlign w:val="center"/>
          </w:tcPr>
          <w:p w14:paraId="6A243458" w14:textId="4DAB9F0A"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62.6</w:t>
            </w:r>
          </w:p>
        </w:tc>
        <w:tc>
          <w:tcPr>
            <w:tcW w:w="232" w:type="pct"/>
            <w:tcMar>
              <w:top w:w="113" w:type="dxa"/>
              <w:left w:w="57" w:type="dxa"/>
              <w:bottom w:w="113" w:type="dxa"/>
              <w:right w:w="57" w:type="dxa"/>
            </w:tcMar>
            <w:vAlign w:val="center"/>
          </w:tcPr>
          <w:p w14:paraId="09F9044A" w14:textId="60C26A3B"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70.2</w:t>
            </w:r>
          </w:p>
        </w:tc>
        <w:tc>
          <w:tcPr>
            <w:tcW w:w="232" w:type="pct"/>
            <w:vAlign w:val="center"/>
          </w:tcPr>
          <w:p w14:paraId="31264913" w14:textId="45BAA156"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73.0</w:t>
            </w:r>
          </w:p>
        </w:tc>
        <w:tc>
          <w:tcPr>
            <w:tcW w:w="232" w:type="pct"/>
            <w:tcMar>
              <w:top w:w="113" w:type="dxa"/>
              <w:left w:w="57" w:type="dxa"/>
              <w:bottom w:w="113" w:type="dxa"/>
              <w:right w:w="57" w:type="dxa"/>
            </w:tcMar>
            <w:vAlign w:val="center"/>
          </w:tcPr>
          <w:p w14:paraId="24CE2E9A" w14:textId="6DC8BEB2"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81.6</w:t>
            </w:r>
          </w:p>
        </w:tc>
        <w:tc>
          <w:tcPr>
            <w:tcW w:w="232" w:type="pct"/>
            <w:tcMar>
              <w:top w:w="113" w:type="dxa"/>
              <w:left w:w="0" w:type="dxa"/>
              <w:bottom w:w="113" w:type="dxa"/>
              <w:right w:w="57" w:type="dxa"/>
            </w:tcMar>
            <w:vAlign w:val="center"/>
          </w:tcPr>
          <w:p w14:paraId="14DE957A" w14:textId="004B76B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81.4</w:t>
            </w:r>
          </w:p>
        </w:tc>
        <w:tc>
          <w:tcPr>
            <w:tcW w:w="232" w:type="pct"/>
            <w:vAlign w:val="center"/>
          </w:tcPr>
          <w:p w14:paraId="3A192065" w14:textId="6A62FEAA"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82.1</w:t>
            </w:r>
          </w:p>
        </w:tc>
        <w:tc>
          <w:tcPr>
            <w:tcW w:w="232" w:type="pct"/>
            <w:tcMar>
              <w:top w:w="113" w:type="dxa"/>
              <w:left w:w="57" w:type="dxa"/>
              <w:bottom w:w="113" w:type="dxa"/>
              <w:right w:w="57" w:type="dxa"/>
            </w:tcMar>
            <w:vAlign w:val="center"/>
          </w:tcPr>
          <w:p w14:paraId="70FC8992" w14:textId="4AEB8E5C"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73.6</w:t>
            </w:r>
          </w:p>
        </w:tc>
        <w:tc>
          <w:tcPr>
            <w:tcW w:w="232" w:type="pct"/>
            <w:tcMar>
              <w:top w:w="113" w:type="dxa"/>
              <w:left w:w="57" w:type="dxa"/>
              <w:bottom w:w="113" w:type="dxa"/>
              <w:right w:w="57" w:type="dxa"/>
            </w:tcMar>
            <w:vAlign w:val="center"/>
          </w:tcPr>
          <w:p w14:paraId="23369FCD" w14:textId="17B56EDF"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75.7</w:t>
            </w:r>
          </w:p>
        </w:tc>
        <w:tc>
          <w:tcPr>
            <w:tcW w:w="232" w:type="pct"/>
            <w:vAlign w:val="center"/>
          </w:tcPr>
          <w:p w14:paraId="019D3565" w14:textId="789B6770"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76.2</w:t>
            </w:r>
          </w:p>
        </w:tc>
        <w:tc>
          <w:tcPr>
            <w:tcW w:w="232" w:type="pct"/>
            <w:tcMar>
              <w:top w:w="113" w:type="dxa"/>
              <w:left w:w="57" w:type="dxa"/>
              <w:bottom w:w="113" w:type="dxa"/>
              <w:right w:w="57" w:type="dxa"/>
            </w:tcMar>
            <w:vAlign w:val="center"/>
          </w:tcPr>
          <w:p w14:paraId="071626D5" w14:textId="234A2B6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84.5</w:t>
            </w:r>
          </w:p>
        </w:tc>
        <w:tc>
          <w:tcPr>
            <w:tcW w:w="232" w:type="pct"/>
            <w:tcMar>
              <w:top w:w="113" w:type="dxa"/>
              <w:left w:w="57" w:type="dxa"/>
              <w:bottom w:w="113" w:type="dxa"/>
              <w:right w:w="57" w:type="dxa"/>
            </w:tcMar>
            <w:vAlign w:val="center"/>
          </w:tcPr>
          <w:p w14:paraId="77DC6343" w14:textId="3A692A5D"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85.0</w:t>
            </w:r>
          </w:p>
        </w:tc>
        <w:tc>
          <w:tcPr>
            <w:tcW w:w="232" w:type="pct"/>
            <w:vAlign w:val="center"/>
          </w:tcPr>
          <w:p w14:paraId="5CD8FB49" w14:textId="4335D736"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85.8</w:t>
            </w:r>
          </w:p>
        </w:tc>
        <w:tc>
          <w:tcPr>
            <w:tcW w:w="232" w:type="pct"/>
            <w:tcMar>
              <w:top w:w="113" w:type="dxa"/>
              <w:left w:w="57" w:type="dxa"/>
              <w:bottom w:w="113" w:type="dxa"/>
              <w:right w:w="57" w:type="dxa"/>
            </w:tcMar>
            <w:vAlign w:val="center"/>
          </w:tcPr>
          <w:p w14:paraId="0B2CFE02" w14:textId="7D4121FF"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75.9</w:t>
            </w:r>
          </w:p>
        </w:tc>
        <w:tc>
          <w:tcPr>
            <w:tcW w:w="232" w:type="pct"/>
            <w:tcMar>
              <w:top w:w="113" w:type="dxa"/>
              <w:left w:w="0" w:type="dxa"/>
              <w:bottom w:w="113" w:type="dxa"/>
              <w:right w:w="0" w:type="dxa"/>
            </w:tcMar>
            <w:vAlign w:val="center"/>
          </w:tcPr>
          <w:p w14:paraId="58194813" w14:textId="249EC198"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74.5</w:t>
            </w:r>
          </w:p>
        </w:tc>
        <w:tc>
          <w:tcPr>
            <w:tcW w:w="228" w:type="pct"/>
            <w:vAlign w:val="center"/>
          </w:tcPr>
          <w:p w14:paraId="5CEEE754" w14:textId="3220989E"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74.3</w:t>
            </w:r>
          </w:p>
        </w:tc>
      </w:tr>
      <w:tr w:rsidR="0066499D" w:rsidRPr="00E8656C" w14:paraId="3C08F91D" w14:textId="77777777" w:rsidTr="006C7824">
        <w:trPr>
          <w:trHeight w:val="60"/>
        </w:trPr>
        <w:tc>
          <w:tcPr>
            <w:tcW w:w="413" w:type="pct"/>
            <w:vAlign w:val="center"/>
          </w:tcPr>
          <w:p w14:paraId="6CD40FAF" w14:textId="64749CD1"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Age</w:t>
            </w:r>
          </w:p>
        </w:tc>
        <w:tc>
          <w:tcPr>
            <w:tcW w:w="415" w:type="pct"/>
            <w:tcMar>
              <w:top w:w="113" w:type="dxa"/>
              <w:left w:w="57" w:type="dxa"/>
              <w:bottom w:w="113" w:type="dxa"/>
              <w:right w:w="57" w:type="dxa"/>
            </w:tcMar>
            <w:vAlign w:val="center"/>
          </w:tcPr>
          <w:p w14:paraId="1E6A9361"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25 to 29</w:t>
            </w:r>
          </w:p>
        </w:tc>
        <w:tc>
          <w:tcPr>
            <w:tcW w:w="232" w:type="pct"/>
            <w:tcMar>
              <w:top w:w="113" w:type="dxa"/>
              <w:left w:w="57" w:type="dxa"/>
              <w:bottom w:w="113" w:type="dxa"/>
              <w:right w:w="57" w:type="dxa"/>
            </w:tcMar>
            <w:vAlign w:val="center"/>
          </w:tcPr>
          <w:p w14:paraId="79A4ABCE" w14:textId="36206540"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80.8</w:t>
            </w:r>
          </w:p>
        </w:tc>
        <w:tc>
          <w:tcPr>
            <w:tcW w:w="232" w:type="pct"/>
            <w:tcMar>
              <w:top w:w="113" w:type="dxa"/>
              <w:left w:w="57" w:type="dxa"/>
              <w:bottom w:w="113" w:type="dxa"/>
              <w:right w:w="57" w:type="dxa"/>
            </w:tcMar>
            <w:vAlign w:val="center"/>
          </w:tcPr>
          <w:p w14:paraId="3D5FE730" w14:textId="07F88C5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83.2</w:t>
            </w:r>
          </w:p>
        </w:tc>
        <w:tc>
          <w:tcPr>
            <w:tcW w:w="232" w:type="pct"/>
            <w:vAlign w:val="center"/>
          </w:tcPr>
          <w:p w14:paraId="2334DEE7" w14:textId="6C49B575"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84.0</w:t>
            </w:r>
          </w:p>
        </w:tc>
        <w:tc>
          <w:tcPr>
            <w:tcW w:w="232" w:type="pct"/>
            <w:tcMar>
              <w:top w:w="113" w:type="dxa"/>
              <w:left w:w="57" w:type="dxa"/>
              <w:bottom w:w="113" w:type="dxa"/>
              <w:right w:w="57" w:type="dxa"/>
            </w:tcMar>
            <w:vAlign w:val="center"/>
          </w:tcPr>
          <w:p w14:paraId="3E57FBD1" w14:textId="7609D7DD"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52.3</w:t>
            </w:r>
          </w:p>
        </w:tc>
        <w:tc>
          <w:tcPr>
            <w:tcW w:w="232" w:type="pct"/>
            <w:tcMar>
              <w:top w:w="113" w:type="dxa"/>
              <w:left w:w="57" w:type="dxa"/>
              <w:bottom w:w="113" w:type="dxa"/>
              <w:right w:w="57" w:type="dxa"/>
            </w:tcMar>
            <w:vAlign w:val="center"/>
          </w:tcPr>
          <w:p w14:paraId="506447BB" w14:textId="2D1FA9B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63.4</w:t>
            </w:r>
          </w:p>
        </w:tc>
        <w:tc>
          <w:tcPr>
            <w:tcW w:w="232" w:type="pct"/>
            <w:vAlign w:val="center"/>
          </w:tcPr>
          <w:p w14:paraId="3220C3BA" w14:textId="53E266F3"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69.4</w:t>
            </w:r>
          </w:p>
        </w:tc>
        <w:tc>
          <w:tcPr>
            <w:tcW w:w="232" w:type="pct"/>
            <w:tcMar>
              <w:top w:w="113" w:type="dxa"/>
              <w:left w:w="57" w:type="dxa"/>
              <w:bottom w:w="113" w:type="dxa"/>
              <w:right w:w="57" w:type="dxa"/>
            </w:tcMar>
            <w:vAlign w:val="center"/>
          </w:tcPr>
          <w:p w14:paraId="2E01748A" w14:textId="67C8DE73"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80.0</w:t>
            </w:r>
          </w:p>
        </w:tc>
        <w:tc>
          <w:tcPr>
            <w:tcW w:w="232" w:type="pct"/>
            <w:tcMar>
              <w:top w:w="113" w:type="dxa"/>
              <w:left w:w="0" w:type="dxa"/>
              <w:bottom w:w="113" w:type="dxa"/>
              <w:right w:w="57" w:type="dxa"/>
            </w:tcMar>
            <w:vAlign w:val="center"/>
          </w:tcPr>
          <w:p w14:paraId="08E08DEE" w14:textId="5802E01A"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81.6</w:t>
            </w:r>
          </w:p>
        </w:tc>
        <w:tc>
          <w:tcPr>
            <w:tcW w:w="232" w:type="pct"/>
            <w:vAlign w:val="center"/>
          </w:tcPr>
          <w:p w14:paraId="29B194FD" w14:textId="48622B96"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82.1</w:t>
            </w:r>
          </w:p>
        </w:tc>
        <w:tc>
          <w:tcPr>
            <w:tcW w:w="232" w:type="pct"/>
            <w:tcMar>
              <w:top w:w="113" w:type="dxa"/>
              <w:left w:w="57" w:type="dxa"/>
              <w:bottom w:w="113" w:type="dxa"/>
              <w:right w:w="57" w:type="dxa"/>
            </w:tcMar>
            <w:vAlign w:val="center"/>
          </w:tcPr>
          <w:p w14:paraId="1CAD8A39" w14:textId="179BF3A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74.3</w:t>
            </w:r>
          </w:p>
        </w:tc>
        <w:tc>
          <w:tcPr>
            <w:tcW w:w="232" w:type="pct"/>
            <w:tcMar>
              <w:top w:w="113" w:type="dxa"/>
              <w:left w:w="57" w:type="dxa"/>
              <w:bottom w:w="113" w:type="dxa"/>
              <w:right w:w="57" w:type="dxa"/>
            </w:tcMar>
            <w:vAlign w:val="center"/>
          </w:tcPr>
          <w:p w14:paraId="489C7E27" w14:textId="7A6C7033"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76.1</w:t>
            </w:r>
          </w:p>
        </w:tc>
        <w:tc>
          <w:tcPr>
            <w:tcW w:w="232" w:type="pct"/>
            <w:vAlign w:val="center"/>
          </w:tcPr>
          <w:p w14:paraId="36A08904" w14:textId="41330BE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77.8</w:t>
            </w:r>
          </w:p>
        </w:tc>
        <w:tc>
          <w:tcPr>
            <w:tcW w:w="232" w:type="pct"/>
            <w:tcMar>
              <w:top w:w="113" w:type="dxa"/>
              <w:left w:w="57" w:type="dxa"/>
              <w:bottom w:w="113" w:type="dxa"/>
              <w:right w:w="57" w:type="dxa"/>
            </w:tcMar>
            <w:vAlign w:val="center"/>
          </w:tcPr>
          <w:p w14:paraId="47B5390B" w14:textId="1CA39DE2"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82.1</w:t>
            </w:r>
          </w:p>
        </w:tc>
        <w:tc>
          <w:tcPr>
            <w:tcW w:w="232" w:type="pct"/>
            <w:tcMar>
              <w:top w:w="113" w:type="dxa"/>
              <w:left w:w="57" w:type="dxa"/>
              <w:bottom w:w="113" w:type="dxa"/>
              <w:right w:w="57" w:type="dxa"/>
            </w:tcMar>
            <w:vAlign w:val="center"/>
          </w:tcPr>
          <w:p w14:paraId="0E5A25A1" w14:textId="517F741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83.9</w:t>
            </w:r>
          </w:p>
        </w:tc>
        <w:tc>
          <w:tcPr>
            <w:tcW w:w="232" w:type="pct"/>
            <w:vAlign w:val="center"/>
          </w:tcPr>
          <w:p w14:paraId="336241AB" w14:textId="6F36FE8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84.7</w:t>
            </w:r>
          </w:p>
        </w:tc>
        <w:tc>
          <w:tcPr>
            <w:tcW w:w="232" w:type="pct"/>
            <w:tcMar>
              <w:top w:w="113" w:type="dxa"/>
              <w:left w:w="57" w:type="dxa"/>
              <w:bottom w:w="113" w:type="dxa"/>
              <w:right w:w="57" w:type="dxa"/>
            </w:tcMar>
            <w:vAlign w:val="center"/>
          </w:tcPr>
          <w:p w14:paraId="5B7E0F17" w14:textId="403113EF"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73.9</w:t>
            </w:r>
          </w:p>
        </w:tc>
        <w:tc>
          <w:tcPr>
            <w:tcW w:w="232" w:type="pct"/>
            <w:tcMar>
              <w:top w:w="113" w:type="dxa"/>
              <w:left w:w="0" w:type="dxa"/>
              <w:bottom w:w="113" w:type="dxa"/>
              <w:right w:w="0" w:type="dxa"/>
            </w:tcMar>
            <w:vAlign w:val="center"/>
          </w:tcPr>
          <w:p w14:paraId="0E15DA9F" w14:textId="017FB0E0"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75.0</w:t>
            </w:r>
          </w:p>
        </w:tc>
        <w:tc>
          <w:tcPr>
            <w:tcW w:w="228" w:type="pct"/>
            <w:vAlign w:val="center"/>
          </w:tcPr>
          <w:p w14:paraId="7770C380" w14:textId="1CF1AD9A"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74.9</w:t>
            </w:r>
          </w:p>
        </w:tc>
      </w:tr>
      <w:tr w:rsidR="0066499D" w:rsidRPr="00E8656C" w14:paraId="18CCA651" w14:textId="77777777" w:rsidTr="006C7824">
        <w:trPr>
          <w:trHeight w:val="60"/>
        </w:trPr>
        <w:tc>
          <w:tcPr>
            <w:tcW w:w="413" w:type="pct"/>
            <w:vAlign w:val="center"/>
          </w:tcPr>
          <w:p w14:paraId="3F49B1DD" w14:textId="233EF556"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Age</w:t>
            </w:r>
          </w:p>
        </w:tc>
        <w:tc>
          <w:tcPr>
            <w:tcW w:w="415" w:type="pct"/>
            <w:tcMar>
              <w:top w:w="113" w:type="dxa"/>
              <w:left w:w="57" w:type="dxa"/>
              <w:bottom w:w="113" w:type="dxa"/>
              <w:right w:w="57" w:type="dxa"/>
            </w:tcMar>
            <w:vAlign w:val="center"/>
          </w:tcPr>
          <w:p w14:paraId="09394D72"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30 to 39</w:t>
            </w:r>
          </w:p>
        </w:tc>
        <w:tc>
          <w:tcPr>
            <w:tcW w:w="232" w:type="pct"/>
            <w:tcMar>
              <w:top w:w="113" w:type="dxa"/>
              <w:left w:w="57" w:type="dxa"/>
              <w:bottom w:w="113" w:type="dxa"/>
              <w:right w:w="57" w:type="dxa"/>
            </w:tcMar>
            <w:vAlign w:val="center"/>
          </w:tcPr>
          <w:p w14:paraId="765CBFF0" w14:textId="01BF7E3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79.7</w:t>
            </w:r>
          </w:p>
        </w:tc>
        <w:tc>
          <w:tcPr>
            <w:tcW w:w="232" w:type="pct"/>
            <w:tcMar>
              <w:top w:w="113" w:type="dxa"/>
              <w:left w:w="57" w:type="dxa"/>
              <w:bottom w:w="113" w:type="dxa"/>
              <w:right w:w="57" w:type="dxa"/>
            </w:tcMar>
            <w:vAlign w:val="center"/>
          </w:tcPr>
          <w:p w14:paraId="5F3C5CDC" w14:textId="5A3152D1"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81.1</w:t>
            </w:r>
          </w:p>
        </w:tc>
        <w:tc>
          <w:tcPr>
            <w:tcW w:w="232" w:type="pct"/>
            <w:vAlign w:val="center"/>
          </w:tcPr>
          <w:p w14:paraId="29C35BBC" w14:textId="729E7D91"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82.5</w:t>
            </w:r>
          </w:p>
        </w:tc>
        <w:tc>
          <w:tcPr>
            <w:tcW w:w="232" w:type="pct"/>
            <w:tcMar>
              <w:top w:w="113" w:type="dxa"/>
              <w:left w:w="57" w:type="dxa"/>
              <w:bottom w:w="113" w:type="dxa"/>
              <w:right w:w="57" w:type="dxa"/>
            </w:tcMar>
            <w:vAlign w:val="center"/>
          </w:tcPr>
          <w:p w14:paraId="46A2FFC8" w14:textId="62D6586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42.4</w:t>
            </w:r>
          </w:p>
        </w:tc>
        <w:tc>
          <w:tcPr>
            <w:tcW w:w="232" w:type="pct"/>
            <w:tcMar>
              <w:top w:w="113" w:type="dxa"/>
              <w:left w:w="57" w:type="dxa"/>
              <w:bottom w:w="113" w:type="dxa"/>
              <w:right w:w="57" w:type="dxa"/>
            </w:tcMar>
            <w:vAlign w:val="center"/>
          </w:tcPr>
          <w:p w14:paraId="763B763E" w14:textId="3751478D"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49.6</w:t>
            </w:r>
          </w:p>
        </w:tc>
        <w:tc>
          <w:tcPr>
            <w:tcW w:w="232" w:type="pct"/>
            <w:vAlign w:val="center"/>
          </w:tcPr>
          <w:p w14:paraId="62341983" w14:textId="6A248E26"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56.6</w:t>
            </w:r>
          </w:p>
        </w:tc>
        <w:tc>
          <w:tcPr>
            <w:tcW w:w="232" w:type="pct"/>
            <w:tcMar>
              <w:top w:w="113" w:type="dxa"/>
              <w:left w:w="57" w:type="dxa"/>
              <w:bottom w:w="113" w:type="dxa"/>
              <w:right w:w="57" w:type="dxa"/>
            </w:tcMar>
            <w:vAlign w:val="center"/>
          </w:tcPr>
          <w:p w14:paraId="03C3B380" w14:textId="781E9C53"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82.0</w:t>
            </w:r>
          </w:p>
        </w:tc>
        <w:tc>
          <w:tcPr>
            <w:tcW w:w="232" w:type="pct"/>
            <w:tcMar>
              <w:top w:w="113" w:type="dxa"/>
              <w:left w:w="0" w:type="dxa"/>
              <w:bottom w:w="113" w:type="dxa"/>
              <w:right w:w="57" w:type="dxa"/>
            </w:tcMar>
            <w:vAlign w:val="center"/>
          </w:tcPr>
          <w:p w14:paraId="05C9E11D" w14:textId="05ED8F1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82.9</w:t>
            </w:r>
          </w:p>
        </w:tc>
        <w:tc>
          <w:tcPr>
            <w:tcW w:w="232" w:type="pct"/>
            <w:vAlign w:val="center"/>
          </w:tcPr>
          <w:p w14:paraId="2CCDBE13" w14:textId="101F1AE0"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83.4</w:t>
            </w:r>
          </w:p>
        </w:tc>
        <w:tc>
          <w:tcPr>
            <w:tcW w:w="232" w:type="pct"/>
            <w:tcMar>
              <w:top w:w="113" w:type="dxa"/>
              <w:left w:w="57" w:type="dxa"/>
              <w:bottom w:w="113" w:type="dxa"/>
              <w:right w:w="57" w:type="dxa"/>
            </w:tcMar>
            <w:vAlign w:val="center"/>
          </w:tcPr>
          <w:p w14:paraId="6C019CA4" w14:textId="5CAC06A2"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75.5</w:t>
            </w:r>
          </w:p>
        </w:tc>
        <w:tc>
          <w:tcPr>
            <w:tcW w:w="232" w:type="pct"/>
            <w:tcMar>
              <w:top w:w="113" w:type="dxa"/>
              <w:left w:w="57" w:type="dxa"/>
              <w:bottom w:w="113" w:type="dxa"/>
              <w:right w:w="57" w:type="dxa"/>
            </w:tcMar>
            <w:vAlign w:val="center"/>
          </w:tcPr>
          <w:p w14:paraId="14E33332" w14:textId="3C469B68"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75.9</w:t>
            </w:r>
          </w:p>
        </w:tc>
        <w:tc>
          <w:tcPr>
            <w:tcW w:w="232" w:type="pct"/>
            <w:vAlign w:val="center"/>
          </w:tcPr>
          <w:p w14:paraId="6B2FC321" w14:textId="45BD8C5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77.2</w:t>
            </w:r>
          </w:p>
        </w:tc>
        <w:tc>
          <w:tcPr>
            <w:tcW w:w="232" w:type="pct"/>
            <w:tcMar>
              <w:top w:w="113" w:type="dxa"/>
              <w:left w:w="57" w:type="dxa"/>
              <w:bottom w:w="113" w:type="dxa"/>
              <w:right w:w="57" w:type="dxa"/>
            </w:tcMar>
            <w:vAlign w:val="center"/>
          </w:tcPr>
          <w:p w14:paraId="225DAB26" w14:textId="6FEADB28"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83.1</w:t>
            </w:r>
          </w:p>
        </w:tc>
        <w:tc>
          <w:tcPr>
            <w:tcW w:w="232" w:type="pct"/>
            <w:tcMar>
              <w:top w:w="113" w:type="dxa"/>
              <w:left w:w="57" w:type="dxa"/>
              <w:bottom w:w="113" w:type="dxa"/>
              <w:right w:w="57" w:type="dxa"/>
            </w:tcMar>
            <w:vAlign w:val="center"/>
          </w:tcPr>
          <w:p w14:paraId="7E7B827B" w14:textId="660FAE22"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85.0</w:t>
            </w:r>
          </w:p>
        </w:tc>
        <w:tc>
          <w:tcPr>
            <w:tcW w:w="232" w:type="pct"/>
            <w:vAlign w:val="center"/>
          </w:tcPr>
          <w:p w14:paraId="634992EE" w14:textId="27A5D3C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84.6</w:t>
            </w:r>
          </w:p>
        </w:tc>
        <w:tc>
          <w:tcPr>
            <w:tcW w:w="232" w:type="pct"/>
            <w:tcMar>
              <w:top w:w="113" w:type="dxa"/>
              <w:left w:w="57" w:type="dxa"/>
              <w:bottom w:w="113" w:type="dxa"/>
              <w:right w:w="57" w:type="dxa"/>
            </w:tcMar>
            <w:vAlign w:val="center"/>
          </w:tcPr>
          <w:p w14:paraId="1896A42F" w14:textId="5420D44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76.7</w:t>
            </w:r>
          </w:p>
        </w:tc>
        <w:tc>
          <w:tcPr>
            <w:tcW w:w="232" w:type="pct"/>
            <w:tcMar>
              <w:top w:w="113" w:type="dxa"/>
              <w:left w:w="0" w:type="dxa"/>
              <w:bottom w:w="113" w:type="dxa"/>
              <w:right w:w="0" w:type="dxa"/>
            </w:tcMar>
            <w:vAlign w:val="center"/>
          </w:tcPr>
          <w:p w14:paraId="66254BE1" w14:textId="6906CD2C"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78.6</w:t>
            </w:r>
          </w:p>
        </w:tc>
        <w:tc>
          <w:tcPr>
            <w:tcW w:w="228" w:type="pct"/>
            <w:vAlign w:val="center"/>
          </w:tcPr>
          <w:p w14:paraId="3FDCE868" w14:textId="456A130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78.4</w:t>
            </w:r>
          </w:p>
        </w:tc>
      </w:tr>
      <w:tr w:rsidR="0066499D" w:rsidRPr="00E8656C" w14:paraId="1024B712" w14:textId="77777777" w:rsidTr="006C7824">
        <w:trPr>
          <w:trHeight w:val="60"/>
        </w:trPr>
        <w:tc>
          <w:tcPr>
            <w:tcW w:w="413" w:type="pct"/>
            <w:vAlign w:val="center"/>
          </w:tcPr>
          <w:p w14:paraId="7E151E4E" w14:textId="4DEE2E03"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Age</w:t>
            </w:r>
          </w:p>
        </w:tc>
        <w:tc>
          <w:tcPr>
            <w:tcW w:w="415" w:type="pct"/>
            <w:tcMar>
              <w:top w:w="113" w:type="dxa"/>
              <w:left w:w="57" w:type="dxa"/>
              <w:bottom w:w="113" w:type="dxa"/>
              <w:right w:w="57" w:type="dxa"/>
            </w:tcMar>
            <w:vAlign w:val="center"/>
          </w:tcPr>
          <w:p w14:paraId="0B388EF9"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40 and over</w:t>
            </w:r>
          </w:p>
        </w:tc>
        <w:tc>
          <w:tcPr>
            <w:tcW w:w="232" w:type="pct"/>
            <w:tcMar>
              <w:top w:w="113" w:type="dxa"/>
              <w:left w:w="57" w:type="dxa"/>
              <w:bottom w:w="113" w:type="dxa"/>
              <w:right w:w="57" w:type="dxa"/>
            </w:tcMar>
            <w:vAlign w:val="center"/>
          </w:tcPr>
          <w:p w14:paraId="13D1AB05" w14:textId="7C907ACA"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79.3</w:t>
            </w:r>
          </w:p>
        </w:tc>
        <w:tc>
          <w:tcPr>
            <w:tcW w:w="232" w:type="pct"/>
            <w:tcMar>
              <w:top w:w="113" w:type="dxa"/>
              <w:left w:w="57" w:type="dxa"/>
              <w:bottom w:w="113" w:type="dxa"/>
              <w:right w:w="57" w:type="dxa"/>
            </w:tcMar>
            <w:vAlign w:val="center"/>
          </w:tcPr>
          <w:p w14:paraId="6D9A9A02" w14:textId="60428DC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79.5</w:t>
            </w:r>
          </w:p>
        </w:tc>
        <w:tc>
          <w:tcPr>
            <w:tcW w:w="232" w:type="pct"/>
            <w:vAlign w:val="center"/>
          </w:tcPr>
          <w:p w14:paraId="5F132B99" w14:textId="397F6EFF"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79.5</w:t>
            </w:r>
          </w:p>
        </w:tc>
        <w:tc>
          <w:tcPr>
            <w:tcW w:w="232" w:type="pct"/>
            <w:tcMar>
              <w:top w:w="113" w:type="dxa"/>
              <w:left w:w="57" w:type="dxa"/>
              <w:bottom w:w="113" w:type="dxa"/>
              <w:right w:w="57" w:type="dxa"/>
            </w:tcMar>
            <w:vAlign w:val="center"/>
          </w:tcPr>
          <w:p w14:paraId="7D7C6392" w14:textId="5C4F47FE"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35.0</w:t>
            </w:r>
          </w:p>
        </w:tc>
        <w:tc>
          <w:tcPr>
            <w:tcW w:w="232" w:type="pct"/>
            <w:tcMar>
              <w:top w:w="113" w:type="dxa"/>
              <w:left w:w="57" w:type="dxa"/>
              <w:bottom w:w="113" w:type="dxa"/>
              <w:right w:w="57" w:type="dxa"/>
            </w:tcMar>
            <w:vAlign w:val="center"/>
          </w:tcPr>
          <w:p w14:paraId="2804D3D3" w14:textId="05E4ABFD"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33.6</w:t>
            </w:r>
          </w:p>
        </w:tc>
        <w:tc>
          <w:tcPr>
            <w:tcW w:w="232" w:type="pct"/>
            <w:vAlign w:val="center"/>
          </w:tcPr>
          <w:p w14:paraId="5C3EFBD3" w14:textId="05798BF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36.6</w:t>
            </w:r>
          </w:p>
        </w:tc>
        <w:tc>
          <w:tcPr>
            <w:tcW w:w="232" w:type="pct"/>
            <w:tcMar>
              <w:top w:w="113" w:type="dxa"/>
              <w:left w:w="57" w:type="dxa"/>
              <w:bottom w:w="113" w:type="dxa"/>
              <w:right w:w="57" w:type="dxa"/>
            </w:tcMar>
            <w:vAlign w:val="center"/>
          </w:tcPr>
          <w:p w14:paraId="774FB400" w14:textId="0A2A5B6B"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85.1</w:t>
            </w:r>
          </w:p>
        </w:tc>
        <w:tc>
          <w:tcPr>
            <w:tcW w:w="232" w:type="pct"/>
            <w:tcMar>
              <w:top w:w="113" w:type="dxa"/>
              <w:left w:w="0" w:type="dxa"/>
              <w:bottom w:w="113" w:type="dxa"/>
              <w:right w:w="57" w:type="dxa"/>
            </w:tcMar>
            <w:vAlign w:val="center"/>
          </w:tcPr>
          <w:p w14:paraId="47B968D9" w14:textId="5D41EE3F"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84.8</w:t>
            </w:r>
          </w:p>
        </w:tc>
        <w:tc>
          <w:tcPr>
            <w:tcW w:w="232" w:type="pct"/>
            <w:vAlign w:val="center"/>
          </w:tcPr>
          <w:p w14:paraId="2EF8289F" w14:textId="38BD30FC"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84.5</w:t>
            </w:r>
          </w:p>
        </w:tc>
        <w:tc>
          <w:tcPr>
            <w:tcW w:w="232" w:type="pct"/>
            <w:tcMar>
              <w:top w:w="113" w:type="dxa"/>
              <w:left w:w="57" w:type="dxa"/>
              <w:bottom w:w="113" w:type="dxa"/>
              <w:right w:w="57" w:type="dxa"/>
            </w:tcMar>
            <w:vAlign w:val="center"/>
          </w:tcPr>
          <w:p w14:paraId="013B22CC" w14:textId="0779EFA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78.2</w:t>
            </w:r>
          </w:p>
        </w:tc>
        <w:tc>
          <w:tcPr>
            <w:tcW w:w="232" w:type="pct"/>
            <w:tcMar>
              <w:top w:w="113" w:type="dxa"/>
              <w:left w:w="57" w:type="dxa"/>
              <w:bottom w:w="113" w:type="dxa"/>
              <w:right w:w="57" w:type="dxa"/>
            </w:tcMar>
            <w:vAlign w:val="center"/>
          </w:tcPr>
          <w:p w14:paraId="54B2A714" w14:textId="37E87F03"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72.7</w:t>
            </w:r>
          </w:p>
        </w:tc>
        <w:tc>
          <w:tcPr>
            <w:tcW w:w="232" w:type="pct"/>
            <w:vAlign w:val="center"/>
          </w:tcPr>
          <w:p w14:paraId="64C0823B" w14:textId="3639BC83"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73.3</w:t>
            </w:r>
          </w:p>
        </w:tc>
        <w:tc>
          <w:tcPr>
            <w:tcW w:w="232" w:type="pct"/>
            <w:tcMar>
              <w:top w:w="113" w:type="dxa"/>
              <w:left w:w="57" w:type="dxa"/>
              <w:bottom w:w="113" w:type="dxa"/>
              <w:right w:w="57" w:type="dxa"/>
            </w:tcMar>
            <w:vAlign w:val="center"/>
          </w:tcPr>
          <w:p w14:paraId="4851002D" w14:textId="3C8F3830"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84.7</w:t>
            </w:r>
          </w:p>
        </w:tc>
        <w:tc>
          <w:tcPr>
            <w:tcW w:w="232" w:type="pct"/>
            <w:tcMar>
              <w:top w:w="113" w:type="dxa"/>
              <w:left w:w="57" w:type="dxa"/>
              <w:bottom w:w="113" w:type="dxa"/>
              <w:right w:w="57" w:type="dxa"/>
            </w:tcMar>
            <w:vAlign w:val="center"/>
          </w:tcPr>
          <w:p w14:paraId="6680AA05" w14:textId="7CF19F45"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84.9</w:t>
            </w:r>
          </w:p>
        </w:tc>
        <w:tc>
          <w:tcPr>
            <w:tcW w:w="232" w:type="pct"/>
            <w:vAlign w:val="center"/>
          </w:tcPr>
          <w:p w14:paraId="71075C54" w14:textId="06C298BF"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84.4</w:t>
            </w:r>
          </w:p>
        </w:tc>
        <w:tc>
          <w:tcPr>
            <w:tcW w:w="232" w:type="pct"/>
            <w:tcMar>
              <w:top w:w="113" w:type="dxa"/>
              <w:left w:w="57" w:type="dxa"/>
              <w:bottom w:w="113" w:type="dxa"/>
              <w:right w:w="57" w:type="dxa"/>
            </w:tcMar>
            <w:vAlign w:val="center"/>
          </w:tcPr>
          <w:p w14:paraId="426DEC8A" w14:textId="7EF6141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81.0</w:t>
            </w:r>
          </w:p>
        </w:tc>
        <w:tc>
          <w:tcPr>
            <w:tcW w:w="232" w:type="pct"/>
            <w:tcMar>
              <w:top w:w="113" w:type="dxa"/>
              <w:left w:w="0" w:type="dxa"/>
              <w:bottom w:w="113" w:type="dxa"/>
              <w:right w:w="0" w:type="dxa"/>
            </w:tcMar>
            <w:vAlign w:val="center"/>
          </w:tcPr>
          <w:p w14:paraId="0E1844E0" w14:textId="18C4D8B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81.6</w:t>
            </w:r>
          </w:p>
        </w:tc>
        <w:tc>
          <w:tcPr>
            <w:tcW w:w="228" w:type="pct"/>
            <w:vAlign w:val="center"/>
          </w:tcPr>
          <w:p w14:paraId="5416F793" w14:textId="4D07E915"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81.7</w:t>
            </w:r>
          </w:p>
        </w:tc>
      </w:tr>
      <w:tr w:rsidR="0066499D" w:rsidRPr="00E8656C" w14:paraId="15889EB6" w14:textId="77777777" w:rsidTr="006C7824">
        <w:trPr>
          <w:trHeight w:val="60"/>
        </w:trPr>
        <w:tc>
          <w:tcPr>
            <w:tcW w:w="413" w:type="pct"/>
            <w:vAlign w:val="center"/>
          </w:tcPr>
          <w:p w14:paraId="6B8FD9E5" w14:textId="2FF7E2BF"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First Nations**</w:t>
            </w:r>
          </w:p>
        </w:tc>
        <w:tc>
          <w:tcPr>
            <w:tcW w:w="415" w:type="pct"/>
            <w:tcMar>
              <w:top w:w="113" w:type="dxa"/>
              <w:left w:w="57" w:type="dxa"/>
              <w:bottom w:w="113" w:type="dxa"/>
              <w:right w:w="57" w:type="dxa"/>
            </w:tcMar>
            <w:vAlign w:val="center"/>
          </w:tcPr>
          <w:p w14:paraId="08A7146A"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First Nations</w:t>
            </w:r>
          </w:p>
        </w:tc>
        <w:tc>
          <w:tcPr>
            <w:tcW w:w="232" w:type="pct"/>
            <w:tcMar>
              <w:top w:w="113" w:type="dxa"/>
              <w:left w:w="57" w:type="dxa"/>
              <w:bottom w:w="113" w:type="dxa"/>
              <w:right w:w="57" w:type="dxa"/>
            </w:tcMar>
            <w:vAlign w:val="center"/>
          </w:tcPr>
          <w:p w14:paraId="0CC6E17B" w14:textId="7A2DA1AE"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79.0</w:t>
            </w:r>
          </w:p>
        </w:tc>
        <w:tc>
          <w:tcPr>
            <w:tcW w:w="232" w:type="pct"/>
            <w:tcMar>
              <w:top w:w="113" w:type="dxa"/>
              <w:left w:w="57" w:type="dxa"/>
              <w:bottom w:w="113" w:type="dxa"/>
              <w:right w:w="57" w:type="dxa"/>
            </w:tcMar>
            <w:vAlign w:val="center"/>
          </w:tcPr>
          <w:p w14:paraId="44C4DD49" w14:textId="005B5512"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79.3</w:t>
            </w:r>
          </w:p>
        </w:tc>
        <w:tc>
          <w:tcPr>
            <w:tcW w:w="232" w:type="pct"/>
            <w:vAlign w:val="center"/>
          </w:tcPr>
          <w:p w14:paraId="4F6A1CCD" w14:textId="5A068D34"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80.3</w:t>
            </w:r>
          </w:p>
        </w:tc>
        <w:tc>
          <w:tcPr>
            <w:tcW w:w="232" w:type="pct"/>
            <w:tcMar>
              <w:top w:w="113" w:type="dxa"/>
              <w:left w:w="57" w:type="dxa"/>
              <w:bottom w:w="113" w:type="dxa"/>
              <w:right w:w="57" w:type="dxa"/>
            </w:tcMar>
            <w:vAlign w:val="center"/>
          </w:tcPr>
          <w:p w14:paraId="34DFB1CD" w14:textId="39F643D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40.1</w:t>
            </w:r>
          </w:p>
        </w:tc>
        <w:tc>
          <w:tcPr>
            <w:tcW w:w="232" w:type="pct"/>
            <w:tcMar>
              <w:top w:w="113" w:type="dxa"/>
              <w:left w:w="57" w:type="dxa"/>
              <w:bottom w:w="113" w:type="dxa"/>
              <w:right w:w="57" w:type="dxa"/>
            </w:tcMar>
            <w:vAlign w:val="center"/>
          </w:tcPr>
          <w:p w14:paraId="04B4CA56" w14:textId="7807D32E"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43.2</w:t>
            </w:r>
          </w:p>
        </w:tc>
        <w:tc>
          <w:tcPr>
            <w:tcW w:w="232" w:type="pct"/>
            <w:vAlign w:val="center"/>
          </w:tcPr>
          <w:p w14:paraId="26C2F5F3" w14:textId="56C3069D"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41.7</w:t>
            </w:r>
          </w:p>
        </w:tc>
        <w:tc>
          <w:tcPr>
            <w:tcW w:w="232" w:type="pct"/>
            <w:tcMar>
              <w:top w:w="113" w:type="dxa"/>
              <w:left w:w="57" w:type="dxa"/>
              <w:bottom w:w="113" w:type="dxa"/>
              <w:right w:w="57" w:type="dxa"/>
            </w:tcMar>
            <w:vAlign w:val="center"/>
          </w:tcPr>
          <w:p w14:paraId="2062214E" w14:textId="74130372"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80.8</w:t>
            </w:r>
          </w:p>
        </w:tc>
        <w:tc>
          <w:tcPr>
            <w:tcW w:w="232" w:type="pct"/>
            <w:tcMar>
              <w:top w:w="113" w:type="dxa"/>
              <w:left w:w="0" w:type="dxa"/>
              <w:bottom w:w="113" w:type="dxa"/>
              <w:right w:w="57" w:type="dxa"/>
            </w:tcMar>
            <w:vAlign w:val="center"/>
          </w:tcPr>
          <w:p w14:paraId="6FA45F63" w14:textId="559C57D6"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78.5</w:t>
            </w:r>
          </w:p>
        </w:tc>
        <w:tc>
          <w:tcPr>
            <w:tcW w:w="232" w:type="pct"/>
            <w:vAlign w:val="center"/>
          </w:tcPr>
          <w:p w14:paraId="0FEC3FB2" w14:textId="340F5FC2"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81.6</w:t>
            </w:r>
          </w:p>
        </w:tc>
        <w:tc>
          <w:tcPr>
            <w:tcW w:w="232" w:type="pct"/>
            <w:tcMar>
              <w:top w:w="113" w:type="dxa"/>
              <w:left w:w="57" w:type="dxa"/>
              <w:bottom w:w="113" w:type="dxa"/>
              <w:right w:w="57" w:type="dxa"/>
            </w:tcMar>
            <w:vAlign w:val="center"/>
          </w:tcPr>
          <w:p w14:paraId="75544456" w14:textId="48C1D3F0"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69.7</w:t>
            </w:r>
          </w:p>
        </w:tc>
        <w:tc>
          <w:tcPr>
            <w:tcW w:w="232" w:type="pct"/>
            <w:tcMar>
              <w:top w:w="113" w:type="dxa"/>
              <w:left w:w="57" w:type="dxa"/>
              <w:bottom w:w="113" w:type="dxa"/>
              <w:right w:w="57" w:type="dxa"/>
            </w:tcMar>
            <w:vAlign w:val="center"/>
          </w:tcPr>
          <w:p w14:paraId="3CCE8BAE" w14:textId="63187B71"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70.5</w:t>
            </w:r>
          </w:p>
        </w:tc>
        <w:tc>
          <w:tcPr>
            <w:tcW w:w="232" w:type="pct"/>
            <w:vAlign w:val="center"/>
          </w:tcPr>
          <w:p w14:paraId="5AD1768A" w14:textId="0B0AE5B7"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70.1</w:t>
            </w:r>
          </w:p>
        </w:tc>
        <w:tc>
          <w:tcPr>
            <w:tcW w:w="232" w:type="pct"/>
            <w:tcMar>
              <w:top w:w="113" w:type="dxa"/>
              <w:left w:w="57" w:type="dxa"/>
              <w:bottom w:w="113" w:type="dxa"/>
              <w:right w:w="57" w:type="dxa"/>
            </w:tcMar>
            <w:vAlign w:val="center"/>
          </w:tcPr>
          <w:p w14:paraId="30BD6E4A" w14:textId="7CDE511D"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80.1</w:t>
            </w:r>
          </w:p>
        </w:tc>
        <w:tc>
          <w:tcPr>
            <w:tcW w:w="232" w:type="pct"/>
            <w:tcMar>
              <w:top w:w="113" w:type="dxa"/>
              <w:left w:w="57" w:type="dxa"/>
              <w:bottom w:w="113" w:type="dxa"/>
              <w:right w:w="57" w:type="dxa"/>
            </w:tcMar>
            <w:vAlign w:val="center"/>
          </w:tcPr>
          <w:p w14:paraId="6E3CE4C5" w14:textId="208D0211"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79.0</w:t>
            </w:r>
          </w:p>
        </w:tc>
        <w:tc>
          <w:tcPr>
            <w:tcW w:w="232" w:type="pct"/>
            <w:vAlign w:val="center"/>
          </w:tcPr>
          <w:p w14:paraId="31215C3E" w14:textId="5A234E60"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81.2</w:t>
            </w:r>
          </w:p>
        </w:tc>
        <w:tc>
          <w:tcPr>
            <w:tcW w:w="232" w:type="pct"/>
            <w:tcMar>
              <w:top w:w="113" w:type="dxa"/>
              <w:left w:w="57" w:type="dxa"/>
              <w:bottom w:w="113" w:type="dxa"/>
              <w:right w:w="57" w:type="dxa"/>
            </w:tcMar>
            <w:vAlign w:val="center"/>
          </w:tcPr>
          <w:p w14:paraId="67DC87F8" w14:textId="0663123E"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78.3</w:t>
            </w:r>
          </w:p>
        </w:tc>
        <w:tc>
          <w:tcPr>
            <w:tcW w:w="232" w:type="pct"/>
            <w:tcMar>
              <w:top w:w="113" w:type="dxa"/>
              <w:left w:w="0" w:type="dxa"/>
              <w:bottom w:w="113" w:type="dxa"/>
              <w:right w:w="0" w:type="dxa"/>
            </w:tcMar>
            <w:vAlign w:val="center"/>
          </w:tcPr>
          <w:p w14:paraId="12591FF2" w14:textId="4DEDA15C"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77.3</w:t>
            </w:r>
          </w:p>
        </w:tc>
        <w:tc>
          <w:tcPr>
            <w:tcW w:w="228" w:type="pct"/>
            <w:vAlign w:val="center"/>
          </w:tcPr>
          <w:p w14:paraId="002B3B25" w14:textId="2535C9B9" w:rsidR="0066499D" w:rsidRPr="00E8656C" w:rsidRDefault="0066499D" w:rsidP="0066499D">
            <w:pPr>
              <w:pStyle w:val="Tabletextupdate"/>
              <w:framePr w:wrap="auto"/>
              <w:jc w:val="center"/>
              <w:rPr>
                <w:rFonts w:ascii="Arial" w:hAnsi="Arial" w:cs="Arial"/>
                <w:color w:val="auto"/>
                <w:sz w:val="16"/>
                <w:szCs w:val="16"/>
              </w:rPr>
            </w:pPr>
            <w:r w:rsidRPr="00E8656C">
              <w:rPr>
                <w:rFonts w:ascii="Arial" w:hAnsi="Arial" w:cs="Arial"/>
                <w:color w:val="auto"/>
                <w:sz w:val="16"/>
                <w:szCs w:val="16"/>
              </w:rPr>
              <w:t>79.0</w:t>
            </w:r>
          </w:p>
        </w:tc>
      </w:tr>
      <w:tr w:rsidR="0066499D" w:rsidRPr="00E8656C" w14:paraId="664E534C" w14:textId="77777777" w:rsidTr="005E54CB">
        <w:trPr>
          <w:trHeight w:val="60"/>
        </w:trPr>
        <w:tc>
          <w:tcPr>
            <w:tcW w:w="413" w:type="pct"/>
            <w:vAlign w:val="center"/>
          </w:tcPr>
          <w:p w14:paraId="353D5C4C" w14:textId="12BABEA5"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lastRenderedPageBreak/>
              <w:t>First Nations**</w:t>
            </w:r>
          </w:p>
        </w:tc>
        <w:tc>
          <w:tcPr>
            <w:tcW w:w="415" w:type="pct"/>
            <w:tcMar>
              <w:top w:w="113" w:type="dxa"/>
              <w:left w:w="57" w:type="dxa"/>
              <w:bottom w:w="113" w:type="dxa"/>
              <w:right w:w="57" w:type="dxa"/>
            </w:tcMar>
            <w:vAlign w:val="center"/>
          </w:tcPr>
          <w:p w14:paraId="0E0AAFF4"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Non-Indigenous</w:t>
            </w:r>
          </w:p>
        </w:tc>
        <w:tc>
          <w:tcPr>
            <w:tcW w:w="232" w:type="pct"/>
            <w:tcMar>
              <w:top w:w="113" w:type="dxa"/>
              <w:left w:w="57" w:type="dxa"/>
              <w:bottom w:w="113" w:type="dxa"/>
              <w:right w:w="57" w:type="dxa"/>
            </w:tcMar>
            <w:vAlign w:val="center"/>
          </w:tcPr>
          <w:p w14:paraId="4B0CCF40" w14:textId="5EA5FF6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79.5</w:t>
            </w:r>
          </w:p>
        </w:tc>
        <w:tc>
          <w:tcPr>
            <w:tcW w:w="232" w:type="pct"/>
            <w:tcMar>
              <w:top w:w="113" w:type="dxa"/>
              <w:left w:w="57" w:type="dxa"/>
              <w:bottom w:w="113" w:type="dxa"/>
              <w:right w:w="57" w:type="dxa"/>
            </w:tcMar>
            <w:vAlign w:val="center"/>
          </w:tcPr>
          <w:p w14:paraId="45779926" w14:textId="592152F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79.0</w:t>
            </w:r>
          </w:p>
        </w:tc>
        <w:tc>
          <w:tcPr>
            <w:tcW w:w="232" w:type="pct"/>
            <w:vAlign w:val="center"/>
          </w:tcPr>
          <w:p w14:paraId="183B2AE9" w14:textId="0ECDE60E"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79.2</w:t>
            </w:r>
          </w:p>
        </w:tc>
        <w:tc>
          <w:tcPr>
            <w:tcW w:w="232" w:type="pct"/>
            <w:tcMar>
              <w:top w:w="113" w:type="dxa"/>
              <w:left w:w="57" w:type="dxa"/>
              <w:bottom w:w="113" w:type="dxa"/>
              <w:right w:w="57" w:type="dxa"/>
            </w:tcMar>
            <w:vAlign w:val="center"/>
          </w:tcPr>
          <w:p w14:paraId="30E9F9E6" w14:textId="617DF2B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41.3</w:t>
            </w:r>
          </w:p>
        </w:tc>
        <w:tc>
          <w:tcPr>
            <w:tcW w:w="232" w:type="pct"/>
            <w:tcMar>
              <w:top w:w="113" w:type="dxa"/>
              <w:left w:w="57" w:type="dxa"/>
              <w:bottom w:w="113" w:type="dxa"/>
              <w:right w:w="57" w:type="dxa"/>
            </w:tcMar>
            <w:vAlign w:val="center"/>
          </w:tcPr>
          <w:p w14:paraId="1B24AA73" w14:textId="2B74BAD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39.5</w:t>
            </w:r>
          </w:p>
        </w:tc>
        <w:tc>
          <w:tcPr>
            <w:tcW w:w="232" w:type="pct"/>
            <w:vAlign w:val="center"/>
          </w:tcPr>
          <w:p w14:paraId="68ABB29A" w14:textId="102FD16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40.5</w:t>
            </w:r>
          </w:p>
        </w:tc>
        <w:tc>
          <w:tcPr>
            <w:tcW w:w="232" w:type="pct"/>
            <w:tcMar>
              <w:top w:w="113" w:type="dxa"/>
              <w:left w:w="57" w:type="dxa"/>
              <w:bottom w:w="113" w:type="dxa"/>
              <w:right w:w="57" w:type="dxa"/>
            </w:tcMar>
            <w:vAlign w:val="center"/>
          </w:tcPr>
          <w:p w14:paraId="1DEF99F6" w14:textId="6C779512"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81.8</w:t>
            </w:r>
          </w:p>
        </w:tc>
        <w:tc>
          <w:tcPr>
            <w:tcW w:w="232" w:type="pct"/>
            <w:tcMar>
              <w:top w:w="113" w:type="dxa"/>
              <w:left w:w="0" w:type="dxa"/>
              <w:bottom w:w="113" w:type="dxa"/>
              <w:right w:w="57" w:type="dxa"/>
            </w:tcMar>
            <w:vAlign w:val="center"/>
          </w:tcPr>
          <w:p w14:paraId="0BF227F2" w14:textId="5F0915F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81.2</w:t>
            </w:r>
          </w:p>
        </w:tc>
        <w:tc>
          <w:tcPr>
            <w:tcW w:w="232" w:type="pct"/>
            <w:vAlign w:val="center"/>
          </w:tcPr>
          <w:p w14:paraId="63F31D85" w14:textId="791C7F6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80.9</w:t>
            </w:r>
          </w:p>
        </w:tc>
        <w:tc>
          <w:tcPr>
            <w:tcW w:w="232" w:type="pct"/>
            <w:tcMar>
              <w:top w:w="113" w:type="dxa"/>
              <w:left w:w="57" w:type="dxa"/>
              <w:bottom w:w="113" w:type="dxa"/>
              <w:right w:w="57" w:type="dxa"/>
            </w:tcMar>
            <w:vAlign w:val="center"/>
          </w:tcPr>
          <w:p w14:paraId="00C05069" w14:textId="2DD40D6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74.3</w:t>
            </w:r>
          </w:p>
        </w:tc>
        <w:tc>
          <w:tcPr>
            <w:tcW w:w="232" w:type="pct"/>
            <w:tcMar>
              <w:top w:w="113" w:type="dxa"/>
              <w:left w:w="57" w:type="dxa"/>
              <w:bottom w:w="113" w:type="dxa"/>
              <w:right w:w="57" w:type="dxa"/>
            </w:tcMar>
            <w:vAlign w:val="center"/>
          </w:tcPr>
          <w:p w14:paraId="6CD97E7E" w14:textId="74D185C5"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67.2</w:t>
            </w:r>
          </w:p>
        </w:tc>
        <w:tc>
          <w:tcPr>
            <w:tcW w:w="232" w:type="pct"/>
            <w:vAlign w:val="center"/>
          </w:tcPr>
          <w:p w14:paraId="6ED6AA5F" w14:textId="680AE38E"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67.4</w:t>
            </w:r>
          </w:p>
        </w:tc>
        <w:tc>
          <w:tcPr>
            <w:tcW w:w="232" w:type="pct"/>
            <w:tcMar>
              <w:top w:w="113" w:type="dxa"/>
              <w:left w:w="57" w:type="dxa"/>
              <w:bottom w:w="113" w:type="dxa"/>
              <w:right w:w="57" w:type="dxa"/>
            </w:tcMar>
            <w:vAlign w:val="center"/>
          </w:tcPr>
          <w:p w14:paraId="3C52FAF8" w14:textId="229450D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80.7</w:t>
            </w:r>
          </w:p>
        </w:tc>
        <w:tc>
          <w:tcPr>
            <w:tcW w:w="232" w:type="pct"/>
            <w:tcMar>
              <w:top w:w="113" w:type="dxa"/>
              <w:left w:w="57" w:type="dxa"/>
              <w:bottom w:w="113" w:type="dxa"/>
              <w:right w:w="57" w:type="dxa"/>
            </w:tcMar>
            <w:vAlign w:val="center"/>
          </w:tcPr>
          <w:p w14:paraId="5672CAB1" w14:textId="0308D687"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79.7</w:t>
            </w:r>
          </w:p>
        </w:tc>
        <w:tc>
          <w:tcPr>
            <w:tcW w:w="232" w:type="pct"/>
            <w:vAlign w:val="center"/>
          </w:tcPr>
          <w:p w14:paraId="0CD6D6E6" w14:textId="697EF154"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79.3</w:t>
            </w:r>
          </w:p>
        </w:tc>
        <w:tc>
          <w:tcPr>
            <w:tcW w:w="232" w:type="pct"/>
            <w:tcMar>
              <w:top w:w="113" w:type="dxa"/>
              <w:left w:w="57" w:type="dxa"/>
              <w:bottom w:w="113" w:type="dxa"/>
              <w:right w:w="57" w:type="dxa"/>
            </w:tcMar>
            <w:vAlign w:val="center"/>
          </w:tcPr>
          <w:p w14:paraId="28FEECEE" w14:textId="175BED07"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76.6</w:t>
            </w:r>
          </w:p>
        </w:tc>
        <w:tc>
          <w:tcPr>
            <w:tcW w:w="232" w:type="pct"/>
            <w:tcMar>
              <w:top w:w="113" w:type="dxa"/>
              <w:left w:w="0" w:type="dxa"/>
              <w:bottom w:w="113" w:type="dxa"/>
              <w:right w:w="0" w:type="dxa"/>
            </w:tcMar>
            <w:vAlign w:val="center"/>
          </w:tcPr>
          <w:p w14:paraId="56D422DA" w14:textId="05FC7517"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77.1</w:t>
            </w:r>
          </w:p>
        </w:tc>
        <w:tc>
          <w:tcPr>
            <w:tcW w:w="228" w:type="pct"/>
            <w:vAlign w:val="center"/>
          </w:tcPr>
          <w:p w14:paraId="2349EE79" w14:textId="35DC0E2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77.1</w:t>
            </w:r>
          </w:p>
        </w:tc>
      </w:tr>
      <w:tr w:rsidR="0066499D" w:rsidRPr="00E8656C" w14:paraId="101B8F22" w14:textId="77777777" w:rsidTr="005E54CB">
        <w:trPr>
          <w:trHeight w:val="60"/>
        </w:trPr>
        <w:tc>
          <w:tcPr>
            <w:tcW w:w="413" w:type="pct"/>
            <w:vAlign w:val="center"/>
          </w:tcPr>
          <w:p w14:paraId="65DE856A" w14:textId="1E166D52"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Home language***</w:t>
            </w:r>
          </w:p>
        </w:tc>
        <w:tc>
          <w:tcPr>
            <w:tcW w:w="415" w:type="pct"/>
            <w:tcMar>
              <w:top w:w="113" w:type="dxa"/>
              <w:left w:w="57" w:type="dxa"/>
              <w:bottom w:w="113" w:type="dxa"/>
              <w:right w:w="57" w:type="dxa"/>
            </w:tcMar>
            <w:vAlign w:val="center"/>
          </w:tcPr>
          <w:p w14:paraId="24B1288C"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English</w:t>
            </w:r>
          </w:p>
        </w:tc>
        <w:tc>
          <w:tcPr>
            <w:tcW w:w="232" w:type="pct"/>
            <w:tcMar>
              <w:top w:w="113" w:type="dxa"/>
              <w:left w:w="57" w:type="dxa"/>
              <w:bottom w:w="113" w:type="dxa"/>
              <w:right w:w="57" w:type="dxa"/>
            </w:tcMar>
            <w:vAlign w:val="center"/>
          </w:tcPr>
          <w:p w14:paraId="3B6D520F" w14:textId="557C164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79.7</w:t>
            </w:r>
          </w:p>
        </w:tc>
        <w:tc>
          <w:tcPr>
            <w:tcW w:w="232" w:type="pct"/>
            <w:tcMar>
              <w:top w:w="113" w:type="dxa"/>
              <w:left w:w="57" w:type="dxa"/>
              <w:bottom w:w="113" w:type="dxa"/>
              <w:right w:w="57" w:type="dxa"/>
            </w:tcMar>
            <w:vAlign w:val="center"/>
          </w:tcPr>
          <w:p w14:paraId="6BF1E310" w14:textId="6FF5857E"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80.3</w:t>
            </w:r>
          </w:p>
        </w:tc>
        <w:tc>
          <w:tcPr>
            <w:tcW w:w="232" w:type="pct"/>
            <w:vAlign w:val="center"/>
          </w:tcPr>
          <w:p w14:paraId="39A0BFF1" w14:textId="16405CB6"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81.0</w:t>
            </w:r>
          </w:p>
        </w:tc>
        <w:tc>
          <w:tcPr>
            <w:tcW w:w="232" w:type="pct"/>
            <w:tcMar>
              <w:top w:w="113" w:type="dxa"/>
              <w:left w:w="57" w:type="dxa"/>
              <w:bottom w:w="113" w:type="dxa"/>
              <w:right w:w="57" w:type="dxa"/>
            </w:tcMar>
            <w:vAlign w:val="center"/>
          </w:tcPr>
          <w:p w14:paraId="66F06660" w14:textId="0ACDCA7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42.9</w:t>
            </w:r>
          </w:p>
        </w:tc>
        <w:tc>
          <w:tcPr>
            <w:tcW w:w="232" w:type="pct"/>
            <w:tcMar>
              <w:top w:w="113" w:type="dxa"/>
              <w:left w:w="57" w:type="dxa"/>
              <w:bottom w:w="113" w:type="dxa"/>
              <w:right w:w="57" w:type="dxa"/>
            </w:tcMar>
            <w:vAlign w:val="center"/>
          </w:tcPr>
          <w:p w14:paraId="2F946B4F" w14:textId="223B18D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45.8</w:t>
            </w:r>
          </w:p>
        </w:tc>
        <w:tc>
          <w:tcPr>
            <w:tcW w:w="232" w:type="pct"/>
            <w:vAlign w:val="center"/>
          </w:tcPr>
          <w:p w14:paraId="6BE587E5" w14:textId="161424FE"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50.0</w:t>
            </w:r>
          </w:p>
        </w:tc>
        <w:tc>
          <w:tcPr>
            <w:tcW w:w="232" w:type="pct"/>
            <w:tcMar>
              <w:top w:w="113" w:type="dxa"/>
              <w:left w:w="57" w:type="dxa"/>
              <w:bottom w:w="113" w:type="dxa"/>
              <w:right w:w="57" w:type="dxa"/>
            </w:tcMar>
            <w:vAlign w:val="center"/>
          </w:tcPr>
          <w:p w14:paraId="5F9B3FFF" w14:textId="16388F31"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81.9</w:t>
            </w:r>
          </w:p>
        </w:tc>
        <w:tc>
          <w:tcPr>
            <w:tcW w:w="232" w:type="pct"/>
            <w:tcMar>
              <w:top w:w="113" w:type="dxa"/>
              <w:left w:w="0" w:type="dxa"/>
              <w:bottom w:w="113" w:type="dxa"/>
              <w:right w:w="57" w:type="dxa"/>
            </w:tcMar>
            <w:vAlign w:val="center"/>
          </w:tcPr>
          <w:p w14:paraId="61F2F160" w14:textId="51BA476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81.8</w:t>
            </w:r>
          </w:p>
        </w:tc>
        <w:tc>
          <w:tcPr>
            <w:tcW w:w="232" w:type="pct"/>
            <w:vAlign w:val="center"/>
          </w:tcPr>
          <w:p w14:paraId="4022E49D" w14:textId="6AD03A6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82.1</w:t>
            </w:r>
          </w:p>
        </w:tc>
        <w:tc>
          <w:tcPr>
            <w:tcW w:w="232" w:type="pct"/>
            <w:tcMar>
              <w:top w:w="113" w:type="dxa"/>
              <w:left w:w="57" w:type="dxa"/>
              <w:bottom w:w="113" w:type="dxa"/>
              <w:right w:w="57" w:type="dxa"/>
            </w:tcMar>
            <w:vAlign w:val="center"/>
          </w:tcPr>
          <w:p w14:paraId="15A934BA" w14:textId="1917E32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74.3</w:t>
            </w:r>
          </w:p>
        </w:tc>
        <w:tc>
          <w:tcPr>
            <w:tcW w:w="232" w:type="pct"/>
            <w:tcMar>
              <w:top w:w="113" w:type="dxa"/>
              <w:left w:w="57" w:type="dxa"/>
              <w:bottom w:w="113" w:type="dxa"/>
              <w:right w:w="57" w:type="dxa"/>
            </w:tcMar>
            <w:vAlign w:val="center"/>
          </w:tcPr>
          <w:p w14:paraId="1758874F" w14:textId="11DA5F6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70.6</w:t>
            </w:r>
          </w:p>
        </w:tc>
        <w:tc>
          <w:tcPr>
            <w:tcW w:w="232" w:type="pct"/>
            <w:vAlign w:val="center"/>
          </w:tcPr>
          <w:p w14:paraId="3A4B9CF8" w14:textId="47F28D4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72.2</w:t>
            </w:r>
          </w:p>
        </w:tc>
        <w:tc>
          <w:tcPr>
            <w:tcW w:w="232" w:type="pct"/>
            <w:tcMar>
              <w:top w:w="113" w:type="dxa"/>
              <w:left w:w="57" w:type="dxa"/>
              <w:bottom w:w="113" w:type="dxa"/>
              <w:right w:w="57" w:type="dxa"/>
            </w:tcMar>
            <w:vAlign w:val="center"/>
          </w:tcPr>
          <w:p w14:paraId="01D1A393" w14:textId="5EA0DD54"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81.2</w:t>
            </w:r>
          </w:p>
        </w:tc>
        <w:tc>
          <w:tcPr>
            <w:tcW w:w="232" w:type="pct"/>
            <w:tcMar>
              <w:top w:w="113" w:type="dxa"/>
              <w:left w:w="57" w:type="dxa"/>
              <w:bottom w:w="113" w:type="dxa"/>
              <w:right w:w="57" w:type="dxa"/>
            </w:tcMar>
            <w:vAlign w:val="center"/>
          </w:tcPr>
          <w:p w14:paraId="627CEAD5" w14:textId="300C4017"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81.7</w:t>
            </w:r>
          </w:p>
        </w:tc>
        <w:tc>
          <w:tcPr>
            <w:tcW w:w="232" w:type="pct"/>
            <w:vAlign w:val="center"/>
          </w:tcPr>
          <w:p w14:paraId="6D49E291" w14:textId="5CB0D3A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82.0</w:t>
            </w:r>
          </w:p>
        </w:tc>
        <w:tc>
          <w:tcPr>
            <w:tcW w:w="232" w:type="pct"/>
            <w:tcMar>
              <w:top w:w="113" w:type="dxa"/>
              <w:left w:w="57" w:type="dxa"/>
              <w:bottom w:w="113" w:type="dxa"/>
              <w:right w:w="57" w:type="dxa"/>
            </w:tcMar>
            <w:vAlign w:val="center"/>
          </w:tcPr>
          <w:p w14:paraId="4685C8D1" w14:textId="6E2B8A1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76.7</w:t>
            </w:r>
          </w:p>
        </w:tc>
        <w:tc>
          <w:tcPr>
            <w:tcW w:w="232" w:type="pct"/>
            <w:tcMar>
              <w:top w:w="113" w:type="dxa"/>
              <w:left w:w="0" w:type="dxa"/>
              <w:bottom w:w="113" w:type="dxa"/>
              <w:right w:w="0" w:type="dxa"/>
            </w:tcMar>
            <w:vAlign w:val="center"/>
          </w:tcPr>
          <w:p w14:paraId="1575C262" w14:textId="298CF83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77.4</w:t>
            </w:r>
          </w:p>
        </w:tc>
        <w:tc>
          <w:tcPr>
            <w:tcW w:w="228" w:type="pct"/>
            <w:vAlign w:val="center"/>
          </w:tcPr>
          <w:p w14:paraId="61AEF5E0" w14:textId="21E87916"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77.4</w:t>
            </w:r>
          </w:p>
        </w:tc>
      </w:tr>
      <w:tr w:rsidR="0066499D" w:rsidRPr="00E8656C" w14:paraId="56D292F6" w14:textId="77777777" w:rsidTr="005E54CB">
        <w:trPr>
          <w:trHeight w:val="60"/>
        </w:trPr>
        <w:tc>
          <w:tcPr>
            <w:tcW w:w="413" w:type="pct"/>
            <w:vAlign w:val="center"/>
          </w:tcPr>
          <w:p w14:paraId="0C4ECF64" w14:textId="1E0B8C6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Home language***</w:t>
            </w:r>
          </w:p>
        </w:tc>
        <w:tc>
          <w:tcPr>
            <w:tcW w:w="415" w:type="pct"/>
            <w:tcMar>
              <w:top w:w="113" w:type="dxa"/>
              <w:left w:w="57" w:type="dxa"/>
              <w:bottom w:w="113" w:type="dxa"/>
              <w:right w:w="57" w:type="dxa"/>
            </w:tcMar>
            <w:vAlign w:val="center"/>
          </w:tcPr>
          <w:p w14:paraId="4676E01B"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Other</w:t>
            </w:r>
          </w:p>
        </w:tc>
        <w:tc>
          <w:tcPr>
            <w:tcW w:w="232" w:type="pct"/>
            <w:tcMar>
              <w:top w:w="113" w:type="dxa"/>
              <w:left w:w="57" w:type="dxa"/>
              <w:bottom w:w="113" w:type="dxa"/>
              <w:right w:w="57" w:type="dxa"/>
            </w:tcMar>
            <w:vAlign w:val="center"/>
          </w:tcPr>
          <w:p w14:paraId="59804F2A" w14:textId="57EC4E0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83.8</w:t>
            </w:r>
          </w:p>
        </w:tc>
        <w:tc>
          <w:tcPr>
            <w:tcW w:w="232" w:type="pct"/>
            <w:tcMar>
              <w:top w:w="113" w:type="dxa"/>
              <w:left w:w="57" w:type="dxa"/>
              <w:bottom w:w="113" w:type="dxa"/>
              <w:right w:w="57" w:type="dxa"/>
            </w:tcMar>
            <w:vAlign w:val="center"/>
          </w:tcPr>
          <w:p w14:paraId="2A69D28E" w14:textId="36EB76E2"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84.9</w:t>
            </w:r>
          </w:p>
        </w:tc>
        <w:tc>
          <w:tcPr>
            <w:tcW w:w="232" w:type="pct"/>
            <w:vAlign w:val="center"/>
          </w:tcPr>
          <w:p w14:paraId="38BF5253" w14:textId="6AA440F6"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85.4</w:t>
            </w:r>
          </w:p>
        </w:tc>
        <w:tc>
          <w:tcPr>
            <w:tcW w:w="232" w:type="pct"/>
            <w:tcMar>
              <w:top w:w="113" w:type="dxa"/>
              <w:left w:w="57" w:type="dxa"/>
              <w:bottom w:w="113" w:type="dxa"/>
              <w:right w:w="57" w:type="dxa"/>
            </w:tcMar>
            <w:vAlign w:val="center"/>
          </w:tcPr>
          <w:p w14:paraId="1EC61199" w14:textId="1D50803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60.0</w:t>
            </w:r>
          </w:p>
        </w:tc>
        <w:tc>
          <w:tcPr>
            <w:tcW w:w="232" w:type="pct"/>
            <w:tcMar>
              <w:top w:w="113" w:type="dxa"/>
              <w:left w:w="57" w:type="dxa"/>
              <w:bottom w:w="113" w:type="dxa"/>
              <w:right w:w="57" w:type="dxa"/>
            </w:tcMar>
            <w:vAlign w:val="center"/>
          </w:tcPr>
          <w:p w14:paraId="2F9DCD16" w14:textId="25F1948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71.5</w:t>
            </w:r>
          </w:p>
        </w:tc>
        <w:tc>
          <w:tcPr>
            <w:tcW w:w="232" w:type="pct"/>
            <w:vAlign w:val="center"/>
          </w:tcPr>
          <w:p w14:paraId="53D188CD" w14:textId="58C9D462"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75.2</w:t>
            </w:r>
          </w:p>
        </w:tc>
        <w:tc>
          <w:tcPr>
            <w:tcW w:w="232" w:type="pct"/>
            <w:tcMar>
              <w:top w:w="113" w:type="dxa"/>
              <w:left w:w="57" w:type="dxa"/>
              <w:bottom w:w="113" w:type="dxa"/>
              <w:right w:w="57" w:type="dxa"/>
            </w:tcMar>
            <w:vAlign w:val="center"/>
          </w:tcPr>
          <w:p w14:paraId="287A0913" w14:textId="6F0852DE"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82.4</w:t>
            </w:r>
          </w:p>
        </w:tc>
        <w:tc>
          <w:tcPr>
            <w:tcW w:w="232" w:type="pct"/>
            <w:tcMar>
              <w:top w:w="113" w:type="dxa"/>
              <w:left w:w="0" w:type="dxa"/>
              <w:bottom w:w="113" w:type="dxa"/>
              <w:right w:w="57" w:type="dxa"/>
            </w:tcMar>
            <w:vAlign w:val="center"/>
          </w:tcPr>
          <w:p w14:paraId="6CBAE741" w14:textId="5518E1B4"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83.6</w:t>
            </w:r>
          </w:p>
        </w:tc>
        <w:tc>
          <w:tcPr>
            <w:tcW w:w="232" w:type="pct"/>
            <w:vAlign w:val="center"/>
          </w:tcPr>
          <w:p w14:paraId="5946A225" w14:textId="7045907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83.6</w:t>
            </w:r>
          </w:p>
        </w:tc>
        <w:tc>
          <w:tcPr>
            <w:tcW w:w="232" w:type="pct"/>
            <w:tcMar>
              <w:top w:w="113" w:type="dxa"/>
              <w:left w:w="57" w:type="dxa"/>
              <w:bottom w:w="113" w:type="dxa"/>
              <w:right w:w="57" w:type="dxa"/>
            </w:tcMar>
            <w:vAlign w:val="center"/>
          </w:tcPr>
          <w:p w14:paraId="05C75743" w14:textId="516B2256"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76.9</w:t>
            </w:r>
          </w:p>
        </w:tc>
        <w:tc>
          <w:tcPr>
            <w:tcW w:w="232" w:type="pct"/>
            <w:tcMar>
              <w:top w:w="113" w:type="dxa"/>
              <w:left w:w="57" w:type="dxa"/>
              <w:bottom w:w="113" w:type="dxa"/>
              <w:right w:w="57" w:type="dxa"/>
            </w:tcMar>
            <w:vAlign w:val="center"/>
          </w:tcPr>
          <w:p w14:paraId="4B6B5572" w14:textId="2B75525C"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80.0</w:t>
            </w:r>
          </w:p>
        </w:tc>
        <w:tc>
          <w:tcPr>
            <w:tcW w:w="232" w:type="pct"/>
            <w:vAlign w:val="center"/>
          </w:tcPr>
          <w:p w14:paraId="6FB9C16A" w14:textId="4F7B791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79.8</w:t>
            </w:r>
          </w:p>
        </w:tc>
        <w:tc>
          <w:tcPr>
            <w:tcW w:w="232" w:type="pct"/>
            <w:tcMar>
              <w:top w:w="113" w:type="dxa"/>
              <w:left w:w="57" w:type="dxa"/>
              <w:bottom w:w="113" w:type="dxa"/>
              <w:right w:w="57" w:type="dxa"/>
            </w:tcMar>
            <w:vAlign w:val="center"/>
          </w:tcPr>
          <w:p w14:paraId="443DF8E4" w14:textId="38124D56"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86.3</w:t>
            </w:r>
          </w:p>
        </w:tc>
        <w:tc>
          <w:tcPr>
            <w:tcW w:w="232" w:type="pct"/>
            <w:tcMar>
              <w:top w:w="113" w:type="dxa"/>
              <w:left w:w="57" w:type="dxa"/>
              <w:bottom w:w="113" w:type="dxa"/>
              <w:right w:w="57" w:type="dxa"/>
            </w:tcMar>
            <w:vAlign w:val="center"/>
          </w:tcPr>
          <w:p w14:paraId="1882268F" w14:textId="4316652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87.4</w:t>
            </w:r>
          </w:p>
        </w:tc>
        <w:tc>
          <w:tcPr>
            <w:tcW w:w="232" w:type="pct"/>
            <w:vAlign w:val="center"/>
          </w:tcPr>
          <w:p w14:paraId="540E0CB9" w14:textId="2DE45B5C"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87.2</w:t>
            </w:r>
          </w:p>
        </w:tc>
        <w:tc>
          <w:tcPr>
            <w:tcW w:w="232" w:type="pct"/>
            <w:tcMar>
              <w:top w:w="113" w:type="dxa"/>
              <w:left w:w="57" w:type="dxa"/>
              <w:bottom w:w="113" w:type="dxa"/>
              <w:right w:w="57" w:type="dxa"/>
            </w:tcMar>
            <w:vAlign w:val="center"/>
          </w:tcPr>
          <w:p w14:paraId="3A0AE7B4" w14:textId="67999DC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76.8</w:t>
            </w:r>
          </w:p>
        </w:tc>
        <w:tc>
          <w:tcPr>
            <w:tcW w:w="232" w:type="pct"/>
            <w:tcMar>
              <w:top w:w="113" w:type="dxa"/>
              <w:left w:w="0" w:type="dxa"/>
              <w:bottom w:w="113" w:type="dxa"/>
              <w:right w:w="0" w:type="dxa"/>
            </w:tcMar>
            <w:vAlign w:val="center"/>
          </w:tcPr>
          <w:p w14:paraId="4F67BDB4" w14:textId="0C080785"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76.5</w:t>
            </w:r>
          </w:p>
        </w:tc>
        <w:tc>
          <w:tcPr>
            <w:tcW w:w="228" w:type="pct"/>
            <w:vAlign w:val="center"/>
          </w:tcPr>
          <w:p w14:paraId="59E59002" w14:textId="67868C5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75.9</w:t>
            </w:r>
          </w:p>
        </w:tc>
      </w:tr>
      <w:tr w:rsidR="0066499D" w:rsidRPr="00E8656C" w14:paraId="7497D6E8" w14:textId="77777777" w:rsidTr="005E54CB">
        <w:trPr>
          <w:trHeight w:val="60"/>
        </w:trPr>
        <w:tc>
          <w:tcPr>
            <w:tcW w:w="413" w:type="pct"/>
            <w:vAlign w:val="center"/>
          </w:tcPr>
          <w:p w14:paraId="675CD955"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Disability</w:t>
            </w:r>
          </w:p>
        </w:tc>
        <w:tc>
          <w:tcPr>
            <w:tcW w:w="415" w:type="pct"/>
            <w:tcMar>
              <w:top w:w="113" w:type="dxa"/>
              <w:left w:w="57" w:type="dxa"/>
              <w:bottom w:w="113" w:type="dxa"/>
              <w:right w:w="57" w:type="dxa"/>
            </w:tcMar>
            <w:vAlign w:val="center"/>
          </w:tcPr>
          <w:p w14:paraId="700A7648"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Disability reported</w:t>
            </w:r>
          </w:p>
        </w:tc>
        <w:tc>
          <w:tcPr>
            <w:tcW w:w="232" w:type="pct"/>
            <w:tcMar>
              <w:top w:w="113" w:type="dxa"/>
              <w:left w:w="57" w:type="dxa"/>
              <w:bottom w:w="113" w:type="dxa"/>
              <w:right w:w="57" w:type="dxa"/>
            </w:tcMar>
            <w:vAlign w:val="center"/>
          </w:tcPr>
          <w:p w14:paraId="5C689147" w14:textId="7502580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75.9</w:t>
            </w:r>
          </w:p>
        </w:tc>
        <w:tc>
          <w:tcPr>
            <w:tcW w:w="232" w:type="pct"/>
            <w:tcMar>
              <w:top w:w="113" w:type="dxa"/>
              <w:left w:w="57" w:type="dxa"/>
              <w:bottom w:w="113" w:type="dxa"/>
              <w:right w:w="57" w:type="dxa"/>
            </w:tcMar>
            <w:vAlign w:val="center"/>
          </w:tcPr>
          <w:p w14:paraId="329A4B01" w14:textId="5A2DE67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78.3</w:t>
            </w:r>
          </w:p>
        </w:tc>
        <w:tc>
          <w:tcPr>
            <w:tcW w:w="232" w:type="pct"/>
            <w:vAlign w:val="center"/>
          </w:tcPr>
          <w:p w14:paraId="643C22A7" w14:textId="71319829"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79.7</w:t>
            </w:r>
          </w:p>
        </w:tc>
        <w:tc>
          <w:tcPr>
            <w:tcW w:w="232" w:type="pct"/>
            <w:tcMar>
              <w:top w:w="113" w:type="dxa"/>
              <w:left w:w="57" w:type="dxa"/>
              <w:bottom w:w="113" w:type="dxa"/>
              <w:right w:w="57" w:type="dxa"/>
            </w:tcMar>
            <w:vAlign w:val="center"/>
          </w:tcPr>
          <w:p w14:paraId="720A50D5" w14:textId="2B0AB81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44.0</w:t>
            </w:r>
          </w:p>
        </w:tc>
        <w:tc>
          <w:tcPr>
            <w:tcW w:w="232" w:type="pct"/>
            <w:tcMar>
              <w:top w:w="113" w:type="dxa"/>
              <w:left w:w="57" w:type="dxa"/>
              <w:bottom w:w="113" w:type="dxa"/>
              <w:right w:w="57" w:type="dxa"/>
            </w:tcMar>
            <w:vAlign w:val="center"/>
          </w:tcPr>
          <w:p w14:paraId="10CBF85D" w14:textId="5A4DAF8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54.2</w:t>
            </w:r>
          </w:p>
        </w:tc>
        <w:tc>
          <w:tcPr>
            <w:tcW w:w="232" w:type="pct"/>
            <w:vAlign w:val="center"/>
          </w:tcPr>
          <w:p w14:paraId="7C03BA5C" w14:textId="37D13069"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59.7</w:t>
            </w:r>
          </w:p>
        </w:tc>
        <w:tc>
          <w:tcPr>
            <w:tcW w:w="232" w:type="pct"/>
            <w:tcMar>
              <w:top w:w="113" w:type="dxa"/>
              <w:left w:w="57" w:type="dxa"/>
              <w:bottom w:w="113" w:type="dxa"/>
              <w:right w:w="57" w:type="dxa"/>
            </w:tcMar>
            <w:vAlign w:val="center"/>
          </w:tcPr>
          <w:p w14:paraId="36114C91" w14:textId="47A9177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77.5</w:t>
            </w:r>
          </w:p>
        </w:tc>
        <w:tc>
          <w:tcPr>
            <w:tcW w:w="232" w:type="pct"/>
            <w:tcMar>
              <w:top w:w="113" w:type="dxa"/>
              <w:left w:w="0" w:type="dxa"/>
              <w:bottom w:w="113" w:type="dxa"/>
              <w:right w:w="57" w:type="dxa"/>
            </w:tcMar>
            <w:vAlign w:val="center"/>
          </w:tcPr>
          <w:p w14:paraId="50B314F1" w14:textId="55B0F0A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79.4</w:t>
            </w:r>
          </w:p>
        </w:tc>
        <w:tc>
          <w:tcPr>
            <w:tcW w:w="232" w:type="pct"/>
            <w:vAlign w:val="center"/>
          </w:tcPr>
          <w:p w14:paraId="01373939" w14:textId="7A375AA2"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80.9</w:t>
            </w:r>
          </w:p>
        </w:tc>
        <w:tc>
          <w:tcPr>
            <w:tcW w:w="232" w:type="pct"/>
            <w:tcMar>
              <w:top w:w="113" w:type="dxa"/>
              <w:left w:w="57" w:type="dxa"/>
              <w:bottom w:w="113" w:type="dxa"/>
              <w:right w:w="57" w:type="dxa"/>
            </w:tcMar>
            <w:vAlign w:val="center"/>
          </w:tcPr>
          <w:p w14:paraId="3E9AE0C0" w14:textId="779B7E05"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70.6</w:t>
            </w:r>
          </w:p>
        </w:tc>
        <w:tc>
          <w:tcPr>
            <w:tcW w:w="232" w:type="pct"/>
            <w:tcMar>
              <w:top w:w="113" w:type="dxa"/>
              <w:left w:w="57" w:type="dxa"/>
              <w:bottom w:w="113" w:type="dxa"/>
              <w:right w:w="57" w:type="dxa"/>
            </w:tcMar>
            <w:vAlign w:val="center"/>
          </w:tcPr>
          <w:p w14:paraId="56AD038F" w14:textId="3088A0E9"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69.0</w:t>
            </w:r>
          </w:p>
        </w:tc>
        <w:tc>
          <w:tcPr>
            <w:tcW w:w="232" w:type="pct"/>
            <w:vAlign w:val="center"/>
          </w:tcPr>
          <w:p w14:paraId="466E7A23" w14:textId="6CF14F77"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72.4</w:t>
            </w:r>
          </w:p>
        </w:tc>
        <w:tc>
          <w:tcPr>
            <w:tcW w:w="232" w:type="pct"/>
            <w:tcMar>
              <w:top w:w="113" w:type="dxa"/>
              <w:left w:w="57" w:type="dxa"/>
              <w:bottom w:w="113" w:type="dxa"/>
              <w:right w:w="57" w:type="dxa"/>
            </w:tcMar>
            <w:vAlign w:val="center"/>
          </w:tcPr>
          <w:p w14:paraId="17506DDB" w14:textId="28AAD3A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76.2</w:t>
            </w:r>
          </w:p>
        </w:tc>
        <w:tc>
          <w:tcPr>
            <w:tcW w:w="232" w:type="pct"/>
            <w:tcMar>
              <w:top w:w="113" w:type="dxa"/>
              <w:left w:w="57" w:type="dxa"/>
              <w:bottom w:w="113" w:type="dxa"/>
              <w:right w:w="57" w:type="dxa"/>
            </w:tcMar>
            <w:vAlign w:val="center"/>
          </w:tcPr>
          <w:p w14:paraId="03931592" w14:textId="1F40542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78.4</w:t>
            </w:r>
          </w:p>
        </w:tc>
        <w:tc>
          <w:tcPr>
            <w:tcW w:w="232" w:type="pct"/>
            <w:vAlign w:val="center"/>
          </w:tcPr>
          <w:p w14:paraId="3CAF3F8E" w14:textId="7AF7E209"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79.3</w:t>
            </w:r>
          </w:p>
        </w:tc>
        <w:tc>
          <w:tcPr>
            <w:tcW w:w="232" w:type="pct"/>
            <w:tcMar>
              <w:top w:w="113" w:type="dxa"/>
              <w:left w:w="57" w:type="dxa"/>
              <w:bottom w:w="113" w:type="dxa"/>
              <w:right w:w="57" w:type="dxa"/>
            </w:tcMar>
            <w:vAlign w:val="center"/>
          </w:tcPr>
          <w:p w14:paraId="2A26094C" w14:textId="3E2264E7"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70.8</w:t>
            </w:r>
          </w:p>
        </w:tc>
        <w:tc>
          <w:tcPr>
            <w:tcW w:w="232" w:type="pct"/>
            <w:tcMar>
              <w:top w:w="113" w:type="dxa"/>
              <w:left w:w="0" w:type="dxa"/>
              <w:bottom w:w="113" w:type="dxa"/>
              <w:right w:w="0" w:type="dxa"/>
            </w:tcMar>
            <w:vAlign w:val="center"/>
          </w:tcPr>
          <w:p w14:paraId="103F72DE" w14:textId="519E6F5C"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74.4</w:t>
            </w:r>
          </w:p>
        </w:tc>
        <w:tc>
          <w:tcPr>
            <w:tcW w:w="228" w:type="pct"/>
            <w:vAlign w:val="center"/>
          </w:tcPr>
          <w:p w14:paraId="6D266259" w14:textId="497BB56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75.4</w:t>
            </w:r>
          </w:p>
        </w:tc>
      </w:tr>
      <w:tr w:rsidR="0066499D" w:rsidRPr="00E8656C" w14:paraId="1E969CB8" w14:textId="77777777" w:rsidTr="005E54CB">
        <w:trPr>
          <w:trHeight w:val="60"/>
        </w:trPr>
        <w:tc>
          <w:tcPr>
            <w:tcW w:w="413" w:type="pct"/>
            <w:vAlign w:val="center"/>
          </w:tcPr>
          <w:p w14:paraId="001C75C0" w14:textId="74522CCF"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Disability</w:t>
            </w:r>
          </w:p>
        </w:tc>
        <w:tc>
          <w:tcPr>
            <w:tcW w:w="415" w:type="pct"/>
            <w:tcMar>
              <w:top w:w="113" w:type="dxa"/>
              <w:left w:w="57" w:type="dxa"/>
              <w:bottom w:w="113" w:type="dxa"/>
              <w:right w:w="57" w:type="dxa"/>
            </w:tcMar>
            <w:vAlign w:val="center"/>
          </w:tcPr>
          <w:p w14:paraId="5EDDF6C7"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No disability reported</w:t>
            </w:r>
          </w:p>
        </w:tc>
        <w:tc>
          <w:tcPr>
            <w:tcW w:w="232" w:type="pct"/>
            <w:tcMar>
              <w:top w:w="113" w:type="dxa"/>
              <w:left w:w="57" w:type="dxa"/>
              <w:bottom w:w="113" w:type="dxa"/>
              <w:right w:w="57" w:type="dxa"/>
            </w:tcMar>
            <w:vAlign w:val="center"/>
          </w:tcPr>
          <w:p w14:paraId="04511AB2" w14:textId="47D60C4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81.5</w:t>
            </w:r>
          </w:p>
        </w:tc>
        <w:tc>
          <w:tcPr>
            <w:tcW w:w="232" w:type="pct"/>
            <w:tcMar>
              <w:top w:w="113" w:type="dxa"/>
              <w:left w:w="57" w:type="dxa"/>
              <w:bottom w:w="113" w:type="dxa"/>
              <w:right w:w="57" w:type="dxa"/>
            </w:tcMar>
            <w:vAlign w:val="center"/>
          </w:tcPr>
          <w:p w14:paraId="3679DDD4" w14:textId="66291B8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82.4</w:t>
            </w:r>
          </w:p>
        </w:tc>
        <w:tc>
          <w:tcPr>
            <w:tcW w:w="232" w:type="pct"/>
            <w:vAlign w:val="center"/>
          </w:tcPr>
          <w:p w14:paraId="7C3FEC92" w14:textId="3BA4170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83.4</w:t>
            </w:r>
          </w:p>
        </w:tc>
        <w:tc>
          <w:tcPr>
            <w:tcW w:w="232" w:type="pct"/>
            <w:tcMar>
              <w:top w:w="113" w:type="dxa"/>
              <w:left w:w="57" w:type="dxa"/>
              <w:bottom w:w="113" w:type="dxa"/>
              <w:right w:w="57" w:type="dxa"/>
            </w:tcMar>
            <w:vAlign w:val="center"/>
          </w:tcPr>
          <w:p w14:paraId="3B63A615" w14:textId="08D0B62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49.1</w:t>
            </w:r>
          </w:p>
        </w:tc>
        <w:tc>
          <w:tcPr>
            <w:tcW w:w="232" w:type="pct"/>
            <w:tcMar>
              <w:top w:w="113" w:type="dxa"/>
              <w:left w:w="57" w:type="dxa"/>
              <w:bottom w:w="113" w:type="dxa"/>
              <w:right w:w="57" w:type="dxa"/>
            </w:tcMar>
            <w:vAlign w:val="center"/>
          </w:tcPr>
          <w:p w14:paraId="78E75602" w14:textId="69571BB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56.1</w:t>
            </w:r>
          </w:p>
        </w:tc>
        <w:tc>
          <w:tcPr>
            <w:tcW w:w="232" w:type="pct"/>
            <w:vAlign w:val="center"/>
          </w:tcPr>
          <w:p w14:paraId="5DDB7785" w14:textId="2F4EE332"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62.3</w:t>
            </w:r>
          </w:p>
        </w:tc>
        <w:tc>
          <w:tcPr>
            <w:tcW w:w="232" w:type="pct"/>
            <w:tcMar>
              <w:top w:w="113" w:type="dxa"/>
              <w:left w:w="57" w:type="dxa"/>
              <w:bottom w:w="113" w:type="dxa"/>
              <w:right w:w="57" w:type="dxa"/>
            </w:tcMar>
            <w:vAlign w:val="center"/>
          </w:tcPr>
          <w:p w14:paraId="47851FA1" w14:textId="33450AD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82.4</w:t>
            </w:r>
          </w:p>
        </w:tc>
        <w:tc>
          <w:tcPr>
            <w:tcW w:w="232" w:type="pct"/>
            <w:tcMar>
              <w:top w:w="113" w:type="dxa"/>
              <w:left w:w="0" w:type="dxa"/>
              <w:bottom w:w="113" w:type="dxa"/>
              <w:right w:w="57" w:type="dxa"/>
            </w:tcMar>
            <w:vAlign w:val="center"/>
          </w:tcPr>
          <w:p w14:paraId="591B360F" w14:textId="688E083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82.8</w:t>
            </w:r>
          </w:p>
        </w:tc>
        <w:tc>
          <w:tcPr>
            <w:tcW w:w="232" w:type="pct"/>
            <w:vAlign w:val="center"/>
          </w:tcPr>
          <w:p w14:paraId="03F5BDBC" w14:textId="2499F81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82.9</w:t>
            </w:r>
          </w:p>
        </w:tc>
        <w:tc>
          <w:tcPr>
            <w:tcW w:w="232" w:type="pct"/>
            <w:tcMar>
              <w:top w:w="113" w:type="dxa"/>
              <w:left w:w="57" w:type="dxa"/>
              <w:bottom w:w="113" w:type="dxa"/>
              <w:right w:w="57" w:type="dxa"/>
            </w:tcMar>
            <w:vAlign w:val="center"/>
          </w:tcPr>
          <w:p w14:paraId="057C9870" w14:textId="586F97A5"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75.6</w:t>
            </w:r>
          </w:p>
        </w:tc>
        <w:tc>
          <w:tcPr>
            <w:tcW w:w="232" w:type="pct"/>
            <w:tcMar>
              <w:top w:w="113" w:type="dxa"/>
              <w:left w:w="57" w:type="dxa"/>
              <w:bottom w:w="113" w:type="dxa"/>
              <w:right w:w="57" w:type="dxa"/>
            </w:tcMar>
            <w:vAlign w:val="center"/>
          </w:tcPr>
          <w:p w14:paraId="17F0AA93" w14:textId="09DADC61"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76.0</w:t>
            </w:r>
          </w:p>
        </w:tc>
        <w:tc>
          <w:tcPr>
            <w:tcW w:w="232" w:type="pct"/>
            <w:vAlign w:val="center"/>
          </w:tcPr>
          <w:p w14:paraId="06CC917D" w14:textId="74EFBDD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76.9</w:t>
            </w:r>
          </w:p>
        </w:tc>
        <w:tc>
          <w:tcPr>
            <w:tcW w:w="232" w:type="pct"/>
            <w:tcMar>
              <w:top w:w="113" w:type="dxa"/>
              <w:left w:w="57" w:type="dxa"/>
              <w:bottom w:w="113" w:type="dxa"/>
              <w:right w:w="57" w:type="dxa"/>
            </w:tcMar>
            <w:vAlign w:val="center"/>
          </w:tcPr>
          <w:p w14:paraId="70F611D8" w14:textId="313F0C3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84.0</w:t>
            </w:r>
          </w:p>
        </w:tc>
        <w:tc>
          <w:tcPr>
            <w:tcW w:w="232" w:type="pct"/>
            <w:tcMar>
              <w:top w:w="113" w:type="dxa"/>
              <w:left w:w="57" w:type="dxa"/>
              <w:bottom w:w="113" w:type="dxa"/>
              <w:right w:w="57" w:type="dxa"/>
            </w:tcMar>
            <w:vAlign w:val="center"/>
          </w:tcPr>
          <w:p w14:paraId="2B177678" w14:textId="4E822E5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85.2</w:t>
            </w:r>
          </w:p>
        </w:tc>
        <w:tc>
          <w:tcPr>
            <w:tcW w:w="232" w:type="pct"/>
            <w:vAlign w:val="center"/>
          </w:tcPr>
          <w:p w14:paraId="3E289BC2" w14:textId="48390FD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85.5</w:t>
            </w:r>
          </w:p>
        </w:tc>
        <w:tc>
          <w:tcPr>
            <w:tcW w:w="232" w:type="pct"/>
            <w:tcMar>
              <w:top w:w="113" w:type="dxa"/>
              <w:left w:w="57" w:type="dxa"/>
              <w:bottom w:w="113" w:type="dxa"/>
              <w:right w:w="57" w:type="dxa"/>
            </w:tcMar>
            <w:vAlign w:val="center"/>
          </w:tcPr>
          <w:p w14:paraId="36EC23DD" w14:textId="56379C7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77.1</w:t>
            </w:r>
          </w:p>
        </w:tc>
        <w:tc>
          <w:tcPr>
            <w:tcW w:w="232" w:type="pct"/>
            <w:tcMar>
              <w:top w:w="113" w:type="dxa"/>
              <w:left w:w="0" w:type="dxa"/>
              <w:bottom w:w="113" w:type="dxa"/>
              <w:right w:w="0" w:type="dxa"/>
            </w:tcMar>
            <w:vAlign w:val="center"/>
          </w:tcPr>
          <w:p w14:paraId="1C28AC94" w14:textId="413F651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77.3</w:t>
            </w:r>
          </w:p>
        </w:tc>
        <w:tc>
          <w:tcPr>
            <w:tcW w:w="228" w:type="pct"/>
            <w:vAlign w:val="center"/>
          </w:tcPr>
          <w:p w14:paraId="5F7174B1" w14:textId="55E8EC9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76.8</w:t>
            </w:r>
          </w:p>
        </w:tc>
      </w:tr>
      <w:tr w:rsidR="0066499D" w:rsidRPr="00E8656C" w14:paraId="15603EAF" w14:textId="77777777" w:rsidTr="005E54CB">
        <w:trPr>
          <w:trHeight w:val="60"/>
        </w:trPr>
        <w:tc>
          <w:tcPr>
            <w:tcW w:w="413" w:type="pct"/>
            <w:vAlign w:val="center"/>
          </w:tcPr>
          <w:p w14:paraId="13070056"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Residence status</w:t>
            </w:r>
          </w:p>
        </w:tc>
        <w:tc>
          <w:tcPr>
            <w:tcW w:w="415" w:type="pct"/>
            <w:tcMar>
              <w:top w:w="113" w:type="dxa"/>
              <w:left w:w="57" w:type="dxa"/>
              <w:bottom w:w="113" w:type="dxa"/>
              <w:right w:w="57" w:type="dxa"/>
            </w:tcMar>
            <w:vAlign w:val="center"/>
          </w:tcPr>
          <w:p w14:paraId="0EA48D48" w14:textId="17B71C94"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Domestic</w:t>
            </w:r>
          </w:p>
        </w:tc>
        <w:tc>
          <w:tcPr>
            <w:tcW w:w="232" w:type="pct"/>
            <w:tcMar>
              <w:top w:w="113" w:type="dxa"/>
              <w:left w:w="57" w:type="dxa"/>
              <w:bottom w:w="113" w:type="dxa"/>
              <w:right w:w="57" w:type="dxa"/>
            </w:tcMar>
            <w:vAlign w:val="center"/>
          </w:tcPr>
          <w:p w14:paraId="59CCB2CF" w14:textId="5CE2021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79.5</w:t>
            </w:r>
          </w:p>
        </w:tc>
        <w:tc>
          <w:tcPr>
            <w:tcW w:w="232" w:type="pct"/>
            <w:tcMar>
              <w:top w:w="113" w:type="dxa"/>
              <w:left w:w="57" w:type="dxa"/>
              <w:bottom w:w="113" w:type="dxa"/>
              <w:right w:w="57" w:type="dxa"/>
            </w:tcMar>
            <w:vAlign w:val="center"/>
          </w:tcPr>
          <w:p w14:paraId="1CF49D1F" w14:textId="461E204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79.0</w:t>
            </w:r>
          </w:p>
        </w:tc>
        <w:tc>
          <w:tcPr>
            <w:tcW w:w="232" w:type="pct"/>
            <w:vAlign w:val="center"/>
          </w:tcPr>
          <w:p w14:paraId="6F3C73A5" w14:textId="74DF5305"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79.2</w:t>
            </w:r>
          </w:p>
        </w:tc>
        <w:tc>
          <w:tcPr>
            <w:tcW w:w="232" w:type="pct"/>
            <w:tcMar>
              <w:top w:w="113" w:type="dxa"/>
              <w:left w:w="57" w:type="dxa"/>
              <w:bottom w:w="113" w:type="dxa"/>
              <w:right w:w="57" w:type="dxa"/>
            </w:tcMar>
            <w:vAlign w:val="center"/>
          </w:tcPr>
          <w:p w14:paraId="7D2D626B" w14:textId="0A8D382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41.3</w:t>
            </w:r>
          </w:p>
        </w:tc>
        <w:tc>
          <w:tcPr>
            <w:tcW w:w="232" w:type="pct"/>
            <w:tcMar>
              <w:top w:w="113" w:type="dxa"/>
              <w:left w:w="57" w:type="dxa"/>
              <w:bottom w:w="113" w:type="dxa"/>
              <w:right w:w="57" w:type="dxa"/>
            </w:tcMar>
            <w:vAlign w:val="center"/>
          </w:tcPr>
          <w:p w14:paraId="5125AF36" w14:textId="1EB5B77C"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39.6</w:t>
            </w:r>
          </w:p>
        </w:tc>
        <w:tc>
          <w:tcPr>
            <w:tcW w:w="232" w:type="pct"/>
            <w:vAlign w:val="center"/>
          </w:tcPr>
          <w:p w14:paraId="2DBF8CB3" w14:textId="6AF53AD2"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40.5</w:t>
            </w:r>
          </w:p>
        </w:tc>
        <w:tc>
          <w:tcPr>
            <w:tcW w:w="232" w:type="pct"/>
            <w:tcMar>
              <w:top w:w="113" w:type="dxa"/>
              <w:left w:w="57" w:type="dxa"/>
              <w:bottom w:w="113" w:type="dxa"/>
              <w:right w:w="57" w:type="dxa"/>
            </w:tcMar>
            <w:vAlign w:val="center"/>
          </w:tcPr>
          <w:p w14:paraId="28857FF4" w14:textId="5C77635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81.8</w:t>
            </w:r>
          </w:p>
        </w:tc>
        <w:tc>
          <w:tcPr>
            <w:tcW w:w="232" w:type="pct"/>
            <w:tcMar>
              <w:top w:w="113" w:type="dxa"/>
              <w:left w:w="0" w:type="dxa"/>
              <w:bottom w:w="113" w:type="dxa"/>
              <w:right w:w="57" w:type="dxa"/>
            </w:tcMar>
            <w:vAlign w:val="center"/>
          </w:tcPr>
          <w:p w14:paraId="248A6DB6" w14:textId="7DBF281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81.1</w:t>
            </w:r>
          </w:p>
        </w:tc>
        <w:tc>
          <w:tcPr>
            <w:tcW w:w="232" w:type="pct"/>
            <w:vAlign w:val="center"/>
          </w:tcPr>
          <w:p w14:paraId="6D9FB030" w14:textId="7EEECBC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81.0</w:t>
            </w:r>
          </w:p>
        </w:tc>
        <w:tc>
          <w:tcPr>
            <w:tcW w:w="232" w:type="pct"/>
            <w:tcMar>
              <w:top w:w="113" w:type="dxa"/>
              <w:left w:w="57" w:type="dxa"/>
              <w:bottom w:w="113" w:type="dxa"/>
              <w:right w:w="57" w:type="dxa"/>
            </w:tcMar>
            <w:vAlign w:val="center"/>
          </w:tcPr>
          <w:p w14:paraId="22370FCF" w14:textId="6CC45A22"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74.2</w:t>
            </w:r>
          </w:p>
        </w:tc>
        <w:tc>
          <w:tcPr>
            <w:tcW w:w="232" w:type="pct"/>
            <w:tcMar>
              <w:top w:w="113" w:type="dxa"/>
              <w:left w:w="57" w:type="dxa"/>
              <w:bottom w:w="113" w:type="dxa"/>
              <w:right w:w="57" w:type="dxa"/>
            </w:tcMar>
            <w:vAlign w:val="center"/>
          </w:tcPr>
          <w:p w14:paraId="3566411B" w14:textId="1E2751D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67.2</w:t>
            </w:r>
          </w:p>
        </w:tc>
        <w:tc>
          <w:tcPr>
            <w:tcW w:w="232" w:type="pct"/>
            <w:vAlign w:val="center"/>
          </w:tcPr>
          <w:p w14:paraId="2EDC7889" w14:textId="62510EC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67.5</w:t>
            </w:r>
          </w:p>
        </w:tc>
        <w:tc>
          <w:tcPr>
            <w:tcW w:w="232" w:type="pct"/>
            <w:tcMar>
              <w:top w:w="113" w:type="dxa"/>
              <w:left w:w="57" w:type="dxa"/>
              <w:bottom w:w="113" w:type="dxa"/>
              <w:right w:w="57" w:type="dxa"/>
            </w:tcMar>
            <w:vAlign w:val="center"/>
          </w:tcPr>
          <w:p w14:paraId="5B08DD6F" w14:textId="5D0B6997"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80.7</w:t>
            </w:r>
          </w:p>
        </w:tc>
        <w:tc>
          <w:tcPr>
            <w:tcW w:w="232" w:type="pct"/>
            <w:tcMar>
              <w:top w:w="113" w:type="dxa"/>
              <w:left w:w="57" w:type="dxa"/>
              <w:bottom w:w="113" w:type="dxa"/>
              <w:right w:w="57" w:type="dxa"/>
            </w:tcMar>
            <w:vAlign w:val="center"/>
          </w:tcPr>
          <w:p w14:paraId="7E23D7F7" w14:textId="0FCEBCB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79.7</w:t>
            </w:r>
          </w:p>
        </w:tc>
        <w:tc>
          <w:tcPr>
            <w:tcW w:w="232" w:type="pct"/>
            <w:vAlign w:val="center"/>
          </w:tcPr>
          <w:p w14:paraId="40212D78" w14:textId="615C1375"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79.4</w:t>
            </w:r>
          </w:p>
        </w:tc>
        <w:tc>
          <w:tcPr>
            <w:tcW w:w="232" w:type="pct"/>
            <w:tcMar>
              <w:top w:w="113" w:type="dxa"/>
              <w:left w:w="57" w:type="dxa"/>
              <w:bottom w:w="113" w:type="dxa"/>
              <w:right w:w="57" w:type="dxa"/>
            </w:tcMar>
            <w:vAlign w:val="center"/>
          </w:tcPr>
          <w:p w14:paraId="53DA2F7B" w14:textId="13C47B52"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76.6</w:t>
            </w:r>
          </w:p>
        </w:tc>
        <w:tc>
          <w:tcPr>
            <w:tcW w:w="232" w:type="pct"/>
            <w:tcMar>
              <w:top w:w="113" w:type="dxa"/>
              <w:left w:w="0" w:type="dxa"/>
              <w:bottom w:w="113" w:type="dxa"/>
              <w:right w:w="0" w:type="dxa"/>
            </w:tcMar>
            <w:vAlign w:val="center"/>
          </w:tcPr>
          <w:p w14:paraId="745C682F" w14:textId="01CF5E4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77.1</w:t>
            </w:r>
          </w:p>
        </w:tc>
        <w:tc>
          <w:tcPr>
            <w:tcW w:w="228" w:type="pct"/>
            <w:vAlign w:val="center"/>
          </w:tcPr>
          <w:p w14:paraId="1815BF80" w14:textId="66C7E901"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77.2</w:t>
            </w:r>
          </w:p>
        </w:tc>
      </w:tr>
      <w:tr w:rsidR="0066499D" w:rsidRPr="00E8656C" w14:paraId="220FF17D" w14:textId="77777777" w:rsidTr="005E54CB">
        <w:trPr>
          <w:trHeight w:val="60"/>
        </w:trPr>
        <w:tc>
          <w:tcPr>
            <w:tcW w:w="413" w:type="pct"/>
            <w:vAlign w:val="center"/>
          </w:tcPr>
          <w:p w14:paraId="2851875B" w14:textId="56C7F5FC"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Residence status</w:t>
            </w:r>
          </w:p>
        </w:tc>
        <w:tc>
          <w:tcPr>
            <w:tcW w:w="415" w:type="pct"/>
            <w:tcMar>
              <w:top w:w="113" w:type="dxa"/>
              <w:left w:w="57" w:type="dxa"/>
              <w:bottom w:w="113" w:type="dxa"/>
              <w:right w:w="57" w:type="dxa"/>
            </w:tcMar>
            <w:vAlign w:val="center"/>
          </w:tcPr>
          <w:p w14:paraId="5AC28859" w14:textId="34B45930"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International</w:t>
            </w:r>
          </w:p>
        </w:tc>
        <w:tc>
          <w:tcPr>
            <w:tcW w:w="232" w:type="pct"/>
            <w:tcMar>
              <w:top w:w="113" w:type="dxa"/>
              <w:left w:w="57" w:type="dxa"/>
              <w:bottom w:w="113" w:type="dxa"/>
              <w:right w:w="57" w:type="dxa"/>
            </w:tcMar>
            <w:vAlign w:val="center"/>
          </w:tcPr>
          <w:p w14:paraId="73F59373" w14:textId="7DF90F59"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84.1</w:t>
            </w:r>
          </w:p>
        </w:tc>
        <w:tc>
          <w:tcPr>
            <w:tcW w:w="232" w:type="pct"/>
            <w:tcMar>
              <w:top w:w="113" w:type="dxa"/>
              <w:left w:w="57" w:type="dxa"/>
              <w:bottom w:w="113" w:type="dxa"/>
              <w:right w:w="57" w:type="dxa"/>
            </w:tcMar>
            <w:vAlign w:val="center"/>
          </w:tcPr>
          <w:p w14:paraId="2F2689CE" w14:textId="56B4777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85.5</w:t>
            </w:r>
          </w:p>
        </w:tc>
        <w:tc>
          <w:tcPr>
            <w:tcW w:w="232" w:type="pct"/>
            <w:vAlign w:val="center"/>
          </w:tcPr>
          <w:p w14:paraId="74817462" w14:textId="2F874236"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86.0</w:t>
            </w:r>
          </w:p>
        </w:tc>
        <w:tc>
          <w:tcPr>
            <w:tcW w:w="232" w:type="pct"/>
            <w:tcMar>
              <w:top w:w="113" w:type="dxa"/>
              <w:left w:w="57" w:type="dxa"/>
              <w:bottom w:w="113" w:type="dxa"/>
              <w:right w:w="57" w:type="dxa"/>
            </w:tcMar>
            <w:vAlign w:val="center"/>
          </w:tcPr>
          <w:p w14:paraId="255AB78F" w14:textId="7625336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62.2</w:t>
            </w:r>
          </w:p>
        </w:tc>
        <w:tc>
          <w:tcPr>
            <w:tcW w:w="232" w:type="pct"/>
            <w:tcMar>
              <w:top w:w="113" w:type="dxa"/>
              <w:left w:w="57" w:type="dxa"/>
              <w:bottom w:w="113" w:type="dxa"/>
              <w:right w:w="57" w:type="dxa"/>
            </w:tcMar>
            <w:vAlign w:val="center"/>
          </w:tcPr>
          <w:p w14:paraId="2440A86A" w14:textId="152283AC"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74.3</w:t>
            </w:r>
          </w:p>
        </w:tc>
        <w:tc>
          <w:tcPr>
            <w:tcW w:w="232" w:type="pct"/>
            <w:vAlign w:val="center"/>
          </w:tcPr>
          <w:p w14:paraId="5F89BE93" w14:textId="7FE88867"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77.7</w:t>
            </w:r>
          </w:p>
        </w:tc>
        <w:tc>
          <w:tcPr>
            <w:tcW w:w="232" w:type="pct"/>
            <w:tcMar>
              <w:top w:w="113" w:type="dxa"/>
              <w:left w:w="57" w:type="dxa"/>
              <w:bottom w:w="113" w:type="dxa"/>
              <w:right w:w="57" w:type="dxa"/>
            </w:tcMar>
            <w:vAlign w:val="center"/>
          </w:tcPr>
          <w:p w14:paraId="426105F6" w14:textId="400493E4"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82.6</w:t>
            </w:r>
          </w:p>
        </w:tc>
        <w:tc>
          <w:tcPr>
            <w:tcW w:w="232" w:type="pct"/>
            <w:tcMar>
              <w:top w:w="113" w:type="dxa"/>
              <w:left w:w="0" w:type="dxa"/>
              <w:bottom w:w="113" w:type="dxa"/>
              <w:right w:w="57" w:type="dxa"/>
            </w:tcMar>
            <w:vAlign w:val="center"/>
          </w:tcPr>
          <w:p w14:paraId="1F2E922D" w14:textId="44760D6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84.1</w:t>
            </w:r>
          </w:p>
        </w:tc>
        <w:tc>
          <w:tcPr>
            <w:tcW w:w="232" w:type="pct"/>
            <w:vAlign w:val="center"/>
          </w:tcPr>
          <w:p w14:paraId="58AA79B9" w14:textId="18AEB122"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84.1</w:t>
            </w:r>
          </w:p>
        </w:tc>
        <w:tc>
          <w:tcPr>
            <w:tcW w:w="232" w:type="pct"/>
            <w:tcMar>
              <w:top w:w="113" w:type="dxa"/>
              <w:left w:w="57" w:type="dxa"/>
              <w:bottom w:w="113" w:type="dxa"/>
              <w:right w:w="57" w:type="dxa"/>
            </w:tcMar>
            <w:vAlign w:val="center"/>
          </w:tcPr>
          <w:p w14:paraId="1F0CA2F3" w14:textId="7D2853D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76.9</w:t>
            </w:r>
          </w:p>
        </w:tc>
        <w:tc>
          <w:tcPr>
            <w:tcW w:w="232" w:type="pct"/>
            <w:tcMar>
              <w:top w:w="113" w:type="dxa"/>
              <w:left w:w="57" w:type="dxa"/>
              <w:bottom w:w="113" w:type="dxa"/>
              <w:right w:w="57" w:type="dxa"/>
            </w:tcMar>
            <w:vAlign w:val="center"/>
          </w:tcPr>
          <w:p w14:paraId="42D3F79A" w14:textId="4068DB3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80.4</w:t>
            </w:r>
          </w:p>
        </w:tc>
        <w:tc>
          <w:tcPr>
            <w:tcW w:w="232" w:type="pct"/>
            <w:vAlign w:val="center"/>
          </w:tcPr>
          <w:p w14:paraId="58CEB90B" w14:textId="1F244A11"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80.3</w:t>
            </w:r>
          </w:p>
        </w:tc>
        <w:tc>
          <w:tcPr>
            <w:tcW w:w="232" w:type="pct"/>
            <w:tcMar>
              <w:top w:w="113" w:type="dxa"/>
              <w:left w:w="57" w:type="dxa"/>
              <w:bottom w:w="113" w:type="dxa"/>
              <w:right w:w="57" w:type="dxa"/>
            </w:tcMar>
            <w:vAlign w:val="center"/>
          </w:tcPr>
          <w:p w14:paraId="0D9DBCA2" w14:textId="2B710411"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86.4</w:t>
            </w:r>
          </w:p>
        </w:tc>
        <w:tc>
          <w:tcPr>
            <w:tcW w:w="232" w:type="pct"/>
            <w:tcMar>
              <w:top w:w="113" w:type="dxa"/>
              <w:left w:w="57" w:type="dxa"/>
              <w:bottom w:w="113" w:type="dxa"/>
              <w:right w:w="57" w:type="dxa"/>
            </w:tcMar>
            <w:vAlign w:val="center"/>
          </w:tcPr>
          <w:p w14:paraId="775A39F6" w14:textId="40D2B91E"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87.7</w:t>
            </w:r>
          </w:p>
        </w:tc>
        <w:tc>
          <w:tcPr>
            <w:tcW w:w="232" w:type="pct"/>
            <w:vAlign w:val="center"/>
          </w:tcPr>
          <w:p w14:paraId="5B6E8B86" w14:textId="009753F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87.3</w:t>
            </w:r>
          </w:p>
        </w:tc>
        <w:tc>
          <w:tcPr>
            <w:tcW w:w="232" w:type="pct"/>
            <w:tcMar>
              <w:top w:w="113" w:type="dxa"/>
              <w:left w:w="57" w:type="dxa"/>
              <w:bottom w:w="113" w:type="dxa"/>
              <w:right w:w="57" w:type="dxa"/>
            </w:tcMar>
            <w:vAlign w:val="center"/>
          </w:tcPr>
          <w:p w14:paraId="3AEB88F1" w14:textId="7DEEB4A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76.9</w:t>
            </w:r>
          </w:p>
        </w:tc>
        <w:tc>
          <w:tcPr>
            <w:tcW w:w="232" w:type="pct"/>
            <w:tcMar>
              <w:top w:w="113" w:type="dxa"/>
              <w:left w:w="0" w:type="dxa"/>
              <w:bottom w:w="113" w:type="dxa"/>
              <w:right w:w="0" w:type="dxa"/>
            </w:tcMar>
            <w:vAlign w:val="center"/>
          </w:tcPr>
          <w:p w14:paraId="78F169A7" w14:textId="260C58E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77.0</w:t>
            </w:r>
          </w:p>
        </w:tc>
        <w:tc>
          <w:tcPr>
            <w:tcW w:w="228" w:type="pct"/>
            <w:vAlign w:val="center"/>
          </w:tcPr>
          <w:p w14:paraId="606F1F48" w14:textId="3FB4F114"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76.3</w:t>
            </w:r>
          </w:p>
        </w:tc>
      </w:tr>
      <w:tr w:rsidR="0066499D" w:rsidRPr="00E8656C" w14:paraId="55AA2BB8" w14:textId="77777777" w:rsidTr="005E54CB">
        <w:trPr>
          <w:trHeight w:val="60"/>
        </w:trPr>
        <w:tc>
          <w:tcPr>
            <w:tcW w:w="413" w:type="pct"/>
            <w:vAlign w:val="center"/>
          </w:tcPr>
          <w:p w14:paraId="58B00434" w14:textId="276B582A"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First in family status</w:t>
            </w:r>
            <w:r w:rsidRPr="00E8656C">
              <w:rPr>
                <w:rFonts w:ascii="Arial" w:hAnsi="Arial" w:cs="Arial"/>
                <w:b/>
                <w:bCs/>
                <w:color w:val="auto"/>
                <w:sz w:val="18"/>
                <w:vertAlign w:val="superscript"/>
              </w:rPr>
              <w:t>****</w:t>
            </w:r>
          </w:p>
        </w:tc>
        <w:tc>
          <w:tcPr>
            <w:tcW w:w="415" w:type="pct"/>
            <w:tcMar>
              <w:top w:w="113" w:type="dxa"/>
              <w:left w:w="57" w:type="dxa"/>
              <w:bottom w:w="113" w:type="dxa"/>
              <w:right w:w="57" w:type="dxa"/>
            </w:tcMar>
            <w:vAlign w:val="center"/>
          </w:tcPr>
          <w:p w14:paraId="739E16C7"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First in family</w:t>
            </w:r>
          </w:p>
        </w:tc>
        <w:tc>
          <w:tcPr>
            <w:tcW w:w="232" w:type="pct"/>
            <w:tcMar>
              <w:top w:w="113" w:type="dxa"/>
              <w:left w:w="57" w:type="dxa"/>
              <w:bottom w:w="113" w:type="dxa"/>
              <w:right w:w="57" w:type="dxa"/>
            </w:tcMar>
            <w:vAlign w:val="center"/>
          </w:tcPr>
          <w:p w14:paraId="12DCD2F9" w14:textId="335D531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80.2</w:t>
            </w:r>
          </w:p>
        </w:tc>
        <w:tc>
          <w:tcPr>
            <w:tcW w:w="232" w:type="pct"/>
            <w:tcMar>
              <w:top w:w="113" w:type="dxa"/>
              <w:left w:w="57" w:type="dxa"/>
              <w:bottom w:w="113" w:type="dxa"/>
              <w:right w:w="57" w:type="dxa"/>
            </w:tcMar>
            <w:vAlign w:val="center"/>
          </w:tcPr>
          <w:p w14:paraId="3C96458B" w14:textId="2173D62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81.7</w:t>
            </w:r>
          </w:p>
        </w:tc>
        <w:tc>
          <w:tcPr>
            <w:tcW w:w="232" w:type="pct"/>
            <w:vAlign w:val="center"/>
          </w:tcPr>
          <w:p w14:paraId="6BF6A9FA" w14:textId="3BBBE485"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81.2</w:t>
            </w:r>
          </w:p>
        </w:tc>
        <w:tc>
          <w:tcPr>
            <w:tcW w:w="232" w:type="pct"/>
            <w:tcMar>
              <w:top w:w="113" w:type="dxa"/>
              <w:left w:w="57" w:type="dxa"/>
              <w:bottom w:w="113" w:type="dxa"/>
              <w:right w:w="57" w:type="dxa"/>
            </w:tcMar>
            <w:vAlign w:val="center"/>
          </w:tcPr>
          <w:p w14:paraId="70E3DCC5" w14:textId="0F45E80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44.8</w:t>
            </w:r>
          </w:p>
        </w:tc>
        <w:tc>
          <w:tcPr>
            <w:tcW w:w="232" w:type="pct"/>
            <w:tcMar>
              <w:top w:w="113" w:type="dxa"/>
              <w:left w:w="57" w:type="dxa"/>
              <w:bottom w:w="113" w:type="dxa"/>
              <w:right w:w="57" w:type="dxa"/>
            </w:tcMar>
            <w:vAlign w:val="center"/>
          </w:tcPr>
          <w:p w14:paraId="709962A1" w14:textId="32CA6804"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49.7</w:t>
            </w:r>
          </w:p>
        </w:tc>
        <w:tc>
          <w:tcPr>
            <w:tcW w:w="232" w:type="pct"/>
            <w:vAlign w:val="center"/>
          </w:tcPr>
          <w:p w14:paraId="4769BE70" w14:textId="51CCAB71"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50.7</w:t>
            </w:r>
          </w:p>
        </w:tc>
        <w:tc>
          <w:tcPr>
            <w:tcW w:w="232" w:type="pct"/>
            <w:tcMar>
              <w:top w:w="113" w:type="dxa"/>
              <w:left w:w="57" w:type="dxa"/>
              <w:bottom w:w="113" w:type="dxa"/>
              <w:right w:w="57" w:type="dxa"/>
            </w:tcMar>
            <w:vAlign w:val="center"/>
          </w:tcPr>
          <w:p w14:paraId="3EBBA395" w14:textId="487CB4B1"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84.1</w:t>
            </w:r>
          </w:p>
        </w:tc>
        <w:tc>
          <w:tcPr>
            <w:tcW w:w="232" w:type="pct"/>
            <w:tcMar>
              <w:top w:w="113" w:type="dxa"/>
              <w:left w:w="0" w:type="dxa"/>
              <w:bottom w:w="113" w:type="dxa"/>
              <w:right w:w="57" w:type="dxa"/>
            </w:tcMar>
            <w:vAlign w:val="center"/>
          </w:tcPr>
          <w:p w14:paraId="3F7F5D40" w14:textId="171CEE6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84.8</w:t>
            </w:r>
          </w:p>
        </w:tc>
        <w:tc>
          <w:tcPr>
            <w:tcW w:w="232" w:type="pct"/>
            <w:vAlign w:val="center"/>
          </w:tcPr>
          <w:p w14:paraId="14293D17" w14:textId="0CA22A5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84.1</w:t>
            </w:r>
          </w:p>
        </w:tc>
        <w:tc>
          <w:tcPr>
            <w:tcW w:w="232" w:type="pct"/>
            <w:tcMar>
              <w:top w:w="113" w:type="dxa"/>
              <w:left w:w="57" w:type="dxa"/>
              <w:bottom w:w="113" w:type="dxa"/>
              <w:right w:w="57" w:type="dxa"/>
            </w:tcMar>
            <w:vAlign w:val="center"/>
          </w:tcPr>
          <w:p w14:paraId="0D1950DC" w14:textId="6DB9495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77.2</w:t>
            </w:r>
          </w:p>
        </w:tc>
        <w:tc>
          <w:tcPr>
            <w:tcW w:w="232" w:type="pct"/>
            <w:tcMar>
              <w:top w:w="113" w:type="dxa"/>
              <w:left w:w="57" w:type="dxa"/>
              <w:bottom w:w="113" w:type="dxa"/>
              <w:right w:w="57" w:type="dxa"/>
            </w:tcMar>
            <w:vAlign w:val="center"/>
          </w:tcPr>
          <w:p w14:paraId="1F3FAF90" w14:textId="4E38FC66"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77.7</w:t>
            </w:r>
          </w:p>
        </w:tc>
        <w:tc>
          <w:tcPr>
            <w:tcW w:w="232" w:type="pct"/>
            <w:vAlign w:val="center"/>
          </w:tcPr>
          <w:p w14:paraId="693EDE28" w14:textId="2459C08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76.6</w:t>
            </w:r>
          </w:p>
        </w:tc>
        <w:tc>
          <w:tcPr>
            <w:tcW w:w="232" w:type="pct"/>
            <w:tcMar>
              <w:top w:w="113" w:type="dxa"/>
              <w:left w:w="57" w:type="dxa"/>
              <w:bottom w:w="113" w:type="dxa"/>
              <w:right w:w="57" w:type="dxa"/>
            </w:tcMar>
            <w:vAlign w:val="center"/>
          </w:tcPr>
          <w:p w14:paraId="2BDDA33D" w14:textId="0DB633F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85.4</w:t>
            </w:r>
          </w:p>
        </w:tc>
        <w:tc>
          <w:tcPr>
            <w:tcW w:w="232" w:type="pct"/>
            <w:tcMar>
              <w:top w:w="113" w:type="dxa"/>
              <w:left w:w="57" w:type="dxa"/>
              <w:bottom w:w="113" w:type="dxa"/>
              <w:right w:w="57" w:type="dxa"/>
            </w:tcMar>
            <w:vAlign w:val="center"/>
          </w:tcPr>
          <w:p w14:paraId="70CC148D" w14:textId="0AB0CDD4"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86.9</w:t>
            </w:r>
          </w:p>
        </w:tc>
        <w:tc>
          <w:tcPr>
            <w:tcW w:w="232" w:type="pct"/>
            <w:vAlign w:val="center"/>
          </w:tcPr>
          <w:p w14:paraId="603D6AAB" w14:textId="7449B48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86.1</w:t>
            </w:r>
          </w:p>
        </w:tc>
        <w:tc>
          <w:tcPr>
            <w:tcW w:w="232" w:type="pct"/>
            <w:tcMar>
              <w:top w:w="113" w:type="dxa"/>
              <w:left w:w="57" w:type="dxa"/>
              <w:bottom w:w="113" w:type="dxa"/>
              <w:right w:w="57" w:type="dxa"/>
            </w:tcMar>
            <w:vAlign w:val="center"/>
          </w:tcPr>
          <w:p w14:paraId="2F320F4B" w14:textId="004735C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78.9</w:t>
            </w:r>
          </w:p>
        </w:tc>
        <w:tc>
          <w:tcPr>
            <w:tcW w:w="232" w:type="pct"/>
            <w:tcMar>
              <w:top w:w="113" w:type="dxa"/>
              <w:left w:w="0" w:type="dxa"/>
              <w:bottom w:w="113" w:type="dxa"/>
              <w:right w:w="0" w:type="dxa"/>
            </w:tcMar>
            <w:vAlign w:val="center"/>
          </w:tcPr>
          <w:p w14:paraId="2E817CAD" w14:textId="378283F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79.8</w:t>
            </w:r>
          </w:p>
        </w:tc>
        <w:tc>
          <w:tcPr>
            <w:tcW w:w="228" w:type="pct"/>
            <w:vAlign w:val="center"/>
          </w:tcPr>
          <w:p w14:paraId="3898B6D0" w14:textId="6858C234"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78.9</w:t>
            </w:r>
          </w:p>
        </w:tc>
      </w:tr>
      <w:tr w:rsidR="0066499D" w:rsidRPr="00E8656C" w14:paraId="450F48CE" w14:textId="77777777" w:rsidTr="005E54CB">
        <w:trPr>
          <w:trHeight w:val="60"/>
        </w:trPr>
        <w:tc>
          <w:tcPr>
            <w:tcW w:w="413" w:type="pct"/>
            <w:vAlign w:val="center"/>
          </w:tcPr>
          <w:p w14:paraId="7C5C09BB" w14:textId="6470D749"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First in family status</w:t>
            </w:r>
            <w:r w:rsidRPr="00E8656C">
              <w:rPr>
                <w:rFonts w:ascii="Arial" w:hAnsi="Arial" w:cs="Arial"/>
                <w:b/>
                <w:bCs/>
                <w:color w:val="auto"/>
                <w:sz w:val="18"/>
                <w:vertAlign w:val="superscript"/>
              </w:rPr>
              <w:t>****</w:t>
            </w:r>
          </w:p>
        </w:tc>
        <w:tc>
          <w:tcPr>
            <w:tcW w:w="415" w:type="pct"/>
            <w:tcMar>
              <w:top w:w="113" w:type="dxa"/>
              <w:left w:w="57" w:type="dxa"/>
              <w:bottom w:w="113" w:type="dxa"/>
              <w:right w:w="57" w:type="dxa"/>
            </w:tcMar>
            <w:vAlign w:val="center"/>
          </w:tcPr>
          <w:p w14:paraId="71EE4D9B"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Not first in family</w:t>
            </w:r>
          </w:p>
        </w:tc>
        <w:tc>
          <w:tcPr>
            <w:tcW w:w="232" w:type="pct"/>
            <w:tcMar>
              <w:top w:w="113" w:type="dxa"/>
              <w:left w:w="57" w:type="dxa"/>
              <w:bottom w:w="113" w:type="dxa"/>
              <w:right w:w="57" w:type="dxa"/>
            </w:tcMar>
            <w:vAlign w:val="center"/>
          </w:tcPr>
          <w:p w14:paraId="5E242B1E" w14:textId="38B37206"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81.0</w:t>
            </w:r>
          </w:p>
        </w:tc>
        <w:tc>
          <w:tcPr>
            <w:tcW w:w="232" w:type="pct"/>
            <w:tcMar>
              <w:top w:w="113" w:type="dxa"/>
              <w:left w:w="57" w:type="dxa"/>
              <w:bottom w:w="113" w:type="dxa"/>
              <w:right w:w="57" w:type="dxa"/>
            </w:tcMar>
            <w:vAlign w:val="center"/>
          </w:tcPr>
          <w:p w14:paraId="2C9708D3" w14:textId="06618197"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80.9</w:t>
            </w:r>
          </w:p>
        </w:tc>
        <w:tc>
          <w:tcPr>
            <w:tcW w:w="232" w:type="pct"/>
            <w:vAlign w:val="center"/>
          </w:tcPr>
          <w:p w14:paraId="393A41D9" w14:textId="7174CF9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81.5</w:t>
            </w:r>
          </w:p>
        </w:tc>
        <w:tc>
          <w:tcPr>
            <w:tcW w:w="232" w:type="pct"/>
            <w:tcMar>
              <w:top w:w="113" w:type="dxa"/>
              <w:left w:w="57" w:type="dxa"/>
              <w:bottom w:w="113" w:type="dxa"/>
              <w:right w:w="57" w:type="dxa"/>
            </w:tcMar>
            <w:vAlign w:val="center"/>
          </w:tcPr>
          <w:p w14:paraId="0AFCE858" w14:textId="071C0AFC"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51.9</w:t>
            </w:r>
          </w:p>
        </w:tc>
        <w:tc>
          <w:tcPr>
            <w:tcW w:w="232" w:type="pct"/>
            <w:tcMar>
              <w:top w:w="113" w:type="dxa"/>
              <w:left w:w="57" w:type="dxa"/>
              <w:bottom w:w="113" w:type="dxa"/>
              <w:right w:w="57" w:type="dxa"/>
            </w:tcMar>
            <w:vAlign w:val="center"/>
          </w:tcPr>
          <w:p w14:paraId="236A2886" w14:textId="39BD5DF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57.4</w:t>
            </w:r>
          </w:p>
        </w:tc>
        <w:tc>
          <w:tcPr>
            <w:tcW w:w="232" w:type="pct"/>
            <w:vAlign w:val="center"/>
          </w:tcPr>
          <w:p w14:paraId="3AA16B21" w14:textId="7E4A700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58.9</w:t>
            </w:r>
          </w:p>
        </w:tc>
        <w:tc>
          <w:tcPr>
            <w:tcW w:w="232" w:type="pct"/>
            <w:tcMar>
              <w:top w:w="113" w:type="dxa"/>
              <w:left w:w="57" w:type="dxa"/>
              <w:bottom w:w="113" w:type="dxa"/>
              <w:right w:w="57" w:type="dxa"/>
            </w:tcMar>
            <w:vAlign w:val="center"/>
          </w:tcPr>
          <w:p w14:paraId="5D97B1A5" w14:textId="385D95F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83.9</w:t>
            </w:r>
          </w:p>
        </w:tc>
        <w:tc>
          <w:tcPr>
            <w:tcW w:w="232" w:type="pct"/>
            <w:tcMar>
              <w:top w:w="113" w:type="dxa"/>
              <w:left w:w="0" w:type="dxa"/>
              <w:bottom w:w="113" w:type="dxa"/>
              <w:right w:w="57" w:type="dxa"/>
            </w:tcMar>
            <w:vAlign w:val="center"/>
          </w:tcPr>
          <w:p w14:paraId="1F86ECEC" w14:textId="507896D6"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83.4</w:t>
            </w:r>
          </w:p>
        </w:tc>
        <w:tc>
          <w:tcPr>
            <w:tcW w:w="232" w:type="pct"/>
            <w:vAlign w:val="center"/>
          </w:tcPr>
          <w:p w14:paraId="163BD561" w14:textId="452F85E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83.3</w:t>
            </w:r>
          </w:p>
        </w:tc>
        <w:tc>
          <w:tcPr>
            <w:tcW w:w="232" w:type="pct"/>
            <w:tcMar>
              <w:top w:w="113" w:type="dxa"/>
              <w:left w:w="57" w:type="dxa"/>
              <w:bottom w:w="113" w:type="dxa"/>
              <w:right w:w="57" w:type="dxa"/>
            </w:tcMar>
            <w:vAlign w:val="center"/>
          </w:tcPr>
          <w:p w14:paraId="1075B432" w14:textId="12099B3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76.4</w:t>
            </w:r>
          </w:p>
        </w:tc>
        <w:tc>
          <w:tcPr>
            <w:tcW w:w="232" w:type="pct"/>
            <w:tcMar>
              <w:top w:w="113" w:type="dxa"/>
              <w:left w:w="57" w:type="dxa"/>
              <w:bottom w:w="113" w:type="dxa"/>
              <w:right w:w="57" w:type="dxa"/>
            </w:tcMar>
            <w:vAlign w:val="center"/>
          </w:tcPr>
          <w:p w14:paraId="0E8EA05C" w14:textId="7A0E0E6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76.0</w:t>
            </w:r>
          </w:p>
        </w:tc>
        <w:tc>
          <w:tcPr>
            <w:tcW w:w="232" w:type="pct"/>
            <w:vAlign w:val="center"/>
          </w:tcPr>
          <w:p w14:paraId="10AA93C2" w14:textId="3D8C7CC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75.5</w:t>
            </w:r>
          </w:p>
        </w:tc>
        <w:tc>
          <w:tcPr>
            <w:tcW w:w="232" w:type="pct"/>
            <w:tcMar>
              <w:top w:w="113" w:type="dxa"/>
              <w:left w:w="57" w:type="dxa"/>
              <w:bottom w:w="113" w:type="dxa"/>
              <w:right w:w="57" w:type="dxa"/>
            </w:tcMar>
            <w:vAlign w:val="center"/>
          </w:tcPr>
          <w:p w14:paraId="7AF34500" w14:textId="63D31E62"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85.8</w:t>
            </w:r>
          </w:p>
        </w:tc>
        <w:tc>
          <w:tcPr>
            <w:tcW w:w="232" w:type="pct"/>
            <w:tcMar>
              <w:top w:w="113" w:type="dxa"/>
              <w:left w:w="57" w:type="dxa"/>
              <w:bottom w:w="113" w:type="dxa"/>
              <w:right w:w="57" w:type="dxa"/>
            </w:tcMar>
            <w:vAlign w:val="center"/>
          </w:tcPr>
          <w:p w14:paraId="61AB14CC" w14:textId="2F003E5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86.1</w:t>
            </w:r>
          </w:p>
        </w:tc>
        <w:tc>
          <w:tcPr>
            <w:tcW w:w="232" w:type="pct"/>
            <w:vAlign w:val="center"/>
          </w:tcPr>
          <w:p w14:paraId="7B49C36D" w14:textId="77C5148C"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85.3</w:t>
            </w:r>
          </w:p>
        </w:tc>
        <w:tc>
          <w:tcPr>
            <w:tcW w:w="232" w:type="pct"/>
            <w:tcMar>
              <w:top w:w="113" w:type="dxa"/>
              <w:left w:w="57" w:type="dxa"/>
              <w:bottom w:w="113" w:type="dxa"/>
              <w:right w:w="57" w:type="dxa"/>
            </w:tcMar>
            <w:vAlign w:val="center"/>
          </w:tcPr>
          <w:p w14:paraId="57DB2D53" w14:textId="758F0CF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78.0</w:t>
            </w:r>
          </w:p>
        </w:tc>
        <w:tc>
          <w:tcPr>
            <w:tcW w:w="232" w:type="pct"/>
            <w:tcMar>
              <w:top w:w="113" w:type="dxa"/>
              <w:left w:w="0" w:type="dxa"/>
              <w:bottom w:w="113" w:type="dxa"/>
              <w:right w:w="0" w:type="dxa"/>
            </w:tcMar>
            <w:vAlign w:val="center"/>
          </w:tcPr>
          <w:p w14:paraId="0E66A564" w14:textId="537C2A11"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77.0</w:t>
            </w:r>
          </w:p>
        </w:tc>
        <w:tc>
          <w:tcPr>
            <w:tcW w:w="228" w:type="pct"/>
            <w:vAlign w:val="center"/>
          </w:tcPr>
          <w:p w14:paraId="12E3B7CF" w14:textId="46FD8AF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76.8</w:t>
            </w:r>
          </w:p>
        </w:tc>
      </w:tr>
      <w:tr w:rsidR="0066499D" w:rsidRPr="00E8656C" w14:paraId="51598C87" w14:textId="77777777" w:rsidTr="005E54CB">
        <w:trPr>
          <w:trHeight w:val="60"/>
        </w:trPr>
        <w:tc>
          <w:tcPr>
            <w:tcW w:w="413" w:type="pct"/>
            <w:vAlign w:val="center"/>
          </w:tcPr>
          <w:p w14:paraId="7668E10C" w14:textId="6F0292A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lastRenderedPageBreak/>
              <w:t>Previous higher education experience</w:t>
            </w:r>
          </w:p>
        </w:tc>
        <w:tc>
          <w:tcPr>
            <w:tcW w:w="415" w:type="pct"/>
            <w:tcMar>
              <w:top w:w="113" w:type="dxa"/>
              <w:left w:w="57" w:type="dxa"/>
              <w:bottom w:w="113" w:type="dxa"/>
              <w:right w:w="57" w:type="dxa"/>
            </w:tcMar>
            <w:vAlign w:val="center"/>
          </w:tcPr>
          <w:p w14:paraId="308E7DE0"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At current institution</w:t>
            </w:r>
          </w:p>
        </w:tc>
        <w:tc>
          <w:tcPr>
            <w:tcW w:w="232" w:type="pct"/>
            <w:tcMar>
              <w:top w:w="113" w:type="dxa"/>
              <w:left w:w="57" w:type="dxa"/>
              <w:bottom w:w="113" w:type="dxa"/>
              <w:right w:w="57" w:type="dxa"/>
            </w:tcMar>
            <w:vAlign w:val="center"/>
          </w:tcPr>
          <w:p w14:paraId="657FBF3B" w14:textId="57856074"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80.7</w:t>
            </w:r>
          </w:p>
        </w:tc>
        <w:tc>
          <w:tcPr>
            <w:tcW w:w="232" w:type="pct"/>
            <w:tcMar>
              <w:top w:w="113" w:type="dxa"/>
              <w:left w:w="57" w:type="dxa"/>
              <w:bottom w:w="113" w:type="dxa"/>
              <w:right w:w="57" w:type="dxa"/>
            </w:tcMar>
            <w:vAlign w:val="center"/>
          </w:tcPr>
          <w:p w14:paraId="70D837DC" w14:textId="40AAE7D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81.1</w:t>
            </w:r>
          </w:p>
        </w:tc>
        <w:tc>
          <w:tcPr>
            <w:tcW w:w="232" w:type="pct"/>
            <w:vAlign w:val="center"/>
          </w:tcPr>
          <w:p w14:paraId="31E3F5AC" w14:textId="5010BFE4"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81.0</w:t>
            </w:r>
          </w:p>
        </w:tc>
        <w:tc>
          <w:tcPr>
            <w:tcW w:w="232" w:type="pct"/>
            <w:tcMar>
              <w:top w:w="113" w:type="dxa"/>
              <w:left w:w="57" w:type="dxa"/>
              <w:bottom w:w="113" w:type="dxa"/>
              <w:right w:w="57" w:type="dxa"/>
            </w:tcMar>
            <w:vAlign w:val="center"/>
          </w:tcPr>
          <w:p w14:paraId="11549FFA" w14:textId="2F46F074"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52.5</w:t>
            </w:r>
          </w:p>
        </w:tc>
        <w:tc>
          <w:tcPr>
            <w:tcW w:w="232" w:type="pct"/>
            <w:tcMar>
              <w:top w:w="113" w:type="dxa"/>
              <w:left w:w="57" w:type="dxa"/>
              <w:bottom w:w="113" w:type="dxa"/>
              <w:right w:w="57" w:type="dxa"/>
            </w:tcMar>
            <w:vAlign w:val="center"/>
          </w:tcPr>
          <w:p w14:paraId="768A0126" w14:textId="7BE43B1E"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55.3</w:t>
            </w:r>
          </w:p>
        </w:tc>
        <w:tc>
          <w:tcPr>
            <w:tcW w:w="232" w:type="pct"/>
            <w:vAlign w:val="center"/>
          </w:tcPr>
          <w:p w14:paraId="275B0C03" w14:textId="51A5C89C"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56.8</w:t>
            </w:r>
          </w:p>
        </w:tc>
        <w:tc>
          <w:tcPr>
            <w:tcW w:w="232" w:type="pct"/>
            <w:tcMar>
              <w:top w:w="113" w:type="dxa"/>
              <w:left w:w="57" w:type="dxa"/>
              <w:bottom w:w="113" w:type="dxa"/>
              <w:right w:w="57" w:type="dxa"/>
            </w:tcMar>
            <w:vAlign w:val="center"/>
          </w:tcPr>
          <w:p w14:paraId="6AE896A5" w14:textId="0F6710E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82.3</w:t>
            </w:r>
          </w:p>
        </w:tc>
        <w:tc>
          <w:tcPr>
            <w:tcW w:w="232" w:type="pct"/>
            <w:tcMar>
              <w:top w:w="113" w:type="dxa"/>
              <w:left w:w="0" w:type="dxa"/>
              <w:bottom w:w="113" w:type="dxa"/>
              <w:right w:w="57" w:type="dxa"/>
            </w:tcMar>
            <w:vAlign w:val="center"/>
          </w:tcPr>
          <w:p w14:paraId="77E823AF" w14:textId="09093A7C"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82.9</w:t>
            </w:r>
          </w:p>
        </w:tc>
        <w:tc>
          <w:tcPr>
            <w:tcW w:w="232" w:type="pct"/>
            <w:vAlign w:val="center"/>
          </w:tcPr>
          <w:p w14:paraId="1FADF892" w14:textId="49698AE7"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82.8</w:t>
            </w:r>
          </w:p>
        </w:tc>
        <w:tc>
          <w:tcPr>
            <w:tcW w:w="232" w:type="pct"/>
            <w:tcMar>
              <w:top w:w="113" w:type="dxa"/>
              <w:left w:w="57" w:type="dxa"/>
              <w:bottom w:w="113" w:type="dxa"/>
              <w:right w:w="57" w:type="dxa"/>
            </w:tcMar>
            <w:vAlign w:val="center"/>
          </w:tcPr>
          <w:p w14:paraId="7025C696" w14:textId="0AC3454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72.5</w:t>
            </w:r>
          </w:p>
        </w:tc>
        <w:tc>
          <w:tcPr>
            <w:tcW w:w="232" w:type="pct"/>
            <w:tcMar>
              <w:top w:w="113" w:type="dxa"/>
              <w:left w:w="57" w:type="dxa"/>
              <w:bottom w:w="113" w:type="dxa"/>
              <w:right w:w="57" w:type="dxa"/>
            </w:tcMar>
            <w:vAlign w:val="center"/>
          </w:tcPr>
          <w:p w14:paraId="7440689E" w14:textId="303A5955"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72.6</w:t>
            </w:r>
          </w:p>
        </w:tc>
        <w:tc>
          <w:tcPr>
            <w:tcW w:w="232" w:type="pct"/>
            <w:vAlign w:val="center"/>
          </w:tcPr>
          <w:p w14:paraId="65FA669D" w14:textId="13FE42C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71.5</w:t>
            </w:r>
          </w:p>
        </w:tc>
        <w:tc>
          <w:tcPr>
            <w:tcW w:w="232" w:type="pct"/>
            <w:tcMar>
              <w:top w:w="113" w:type="dxa"/>
              <w:left w:w="57" w:type="dxa"/>
              <w:bottom w:w="113" w:type="dxa"/>
              <w:right w:w="57" w:type="dxa"/>
            </w:tcMar>
            <w:vAlign w:val="center"/>
          </w:tcPr>
          <w:p w14:paraId="523F808E" w14:textId="04A7948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83.6</w:t>
            </w:r>
          </w:p>
        </w:tc>
        <w:tc>
          <w:tcPr>
            <w:tcW w:w="232" w:type="pct"/>
            <w:tcMar>
              <w:top w:w="113" w:type="dxa"/>
              <w:left w:w="57" w:type="dxa"/>
              <w:bottom w:w="113" w:type="dxa"/>
              <w:right w:w="57" w:type="dxa"/>
            </w:tcMar>
            <w:vAlign w:val="center"/>
          </w:tcPr>
          <w:p w14:paraId="6933BA86" w14:textId="54710A8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84.5</w:t>
            </w:r>
          </w:p>
        </w:tc>
        <w:tc>
          <w:tcPr>
            <w:tcW w:w="232" w:type="pct"/>
            <w:vAlign w:val="center"/>
          </w:tcPr>
          <w:p w14:paraId="008798F3" w14:textId="47C11439"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83.4</w:t>
            </w:r>
          </w:p>
        </w:tc>
        <w:tc>
          <w:tcPr>
            <w:tcW w:w="232" w:type="pct"/>
            <w:tcMar>
              <w:top w:w="113" w:type="dxa"/>
              <w:left w:w="57" w:type="dxa"/>
              <w:bottom w:w="113" w:type="dxa"/>
              <w:right w:w="57" w:type="dxa"/>
            </w:tcMar>
            <w:vAlign w:val="center"/>
          </w:tcPr>
          <w:p w14:paraId="6D0355D3" w14:textId="6C8C1AF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75.6</w:t>
            </w:r>
          </w:p>
        </w:tc>
        <w:tc>
          <w:tcPr>
            <w:tcW w:w="232" w:type="pct"/>
            <w:tcMar>
              <w:top w:w="113" w:type="dxa"/>
              <w:left w:w="0" w:type="dxa"/>
              <w:bottom w:w="113" w:type="dxa"/>
              <w:right w:w="0" w:type="dxa"/>
            </w:tcMar>
            <w:vAlign w:val="center"/>
          </w:tcPr>
          <w:p w14:paraId="34007EA8" w14:textId="224F3C46"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77.3</w:t>
            </w:r>
          </w:p>
        </w:tc>
        <w:tc>
          <w:tcPr>
            <w:tcW w:w="228" w:type="pct"/>
            <w:vAlign w:val="center"/>
          </w:tcPr>
          <w:p w14:paraId="1207D3EB" w14:textId="1991272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76.5</w:t>
            </w:r>
          </w:p>
        </w:tc>
      </w:tr>
      <w:tr w:rsidR="0066499D" w:rsidRPr="00E8656C" w14:paraId="7819D25A" w14:textId="77777777" w:rsidTr="005E54CB">
        <w:trPr>
          <w:trHeight w:val="60"/>
        </w:trPr>
        <w:tc>
          <w:tcPr>
            <w:tcW w:w="413" w:type="pct"/>
            <w:vAlign w:val="center"/>
          </w:tcPr>
          <w:p w14:paraId="7370ECAF" w14:textId="50330646"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Previous higher education experience</w:t>
            </w:r>
          </w:p>
        </w:tc>
        <w:tc>
          <w:tcPr>
            <w:tcW w:w="415" w:type="pct"/>
            <w:tcMar>
              <w:top w:w="113" w:type="dxa"/>
              <w:left w:w="57" w:type="dxa"/>
              <w:bottom w:w="113" w:type="dxa"/>
              <w:right w:w="57" w:type="dxa"/>
            </w:tcMar>
            <w:vAlign w:val="center"/>
          </w:tcPr>
          <w:p w14:paraId="4E34E704"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At another institution</w:t>
            </w:r>
          </w:p>
        </w:tc>
        <w:tc>
          <w:tcPr>
            <w:tcW w:w="232" w:type="pct"/>
            <w:tcMar>
              <w:top w:w="113" w:type="dxa"/>
              <w:left w:w="57" w:type="dxa"/>
              <w:bottom w:w="113" w:type="dxa"/>
              <w:right w:w="57" w:type="dxa"/>
            </w:tcMar>
            <w:vAlign w:val="center"/>
          </w:tcPr>
          <w:p w14:paraId="5E8F5E97" w14:textId="3997461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80.2</w:t>
            </w:r>
          </w:p>
        </w:tc>
        <w:tc>
          <w:tcPr>
            <w:tcW w:w="232" w:type="pct"/>
            <w:tcMar>
              <w:top w:w="113" w:type="dxa"/>
              <w:left w:w="57" w:type="dxa"/>
              <w:bottom w:w="113" w:type="dxa"/>
              <w:right w:w="57" w:type="dxa"/>
            </w:tcMar>
            <w:vAlign w:val="center"/>
          </w:tcPr>
          <w:p w14:paraId="3D2CB467" w14:textId="109E714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81.2</w:t>
            </w:r>
          </w:p>
        </w:tc>
        <w:tc>
          <w:tcPr>
            <w:tcW w:w="232" w:type="pct"/>
            <w:vAlign w:val="center"/>
          </w:tcPr>
          <w:p w14:paraId="77119C52" w14:textId="56626776"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81.7</w:t>
            </w:r>
          </w:p>
        </w:tc>
        <w:tc>
          <w:tcPr>
            <w:tcW w:w="232" w:type="pct"/>
            <w:tcMar>
              <w:top w:w="113" w:type="dxa"/>
              <w:left w:w="57" w:type="dxa"/>
              <w:bottom w:w="113" w:type="dxa"/>
              <w:right w:w="57" w:type="dxa"/>
            </w:tcMar>
            <w:vAlign w:val="center"/>
          </w:tcPr>
          <w:p w14:paraId="79A6EBDF" w14:textId="539FCBAE"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47.1</w:t>
            </w:r>
          </w:p>
        </w:tc>
        <w:tc>
          <w:tcPr>
            <w:tcW w:w="232" w:type="pct"/>
            <w:tcMar>
              <w:top w:w="113" w:type="dxa"/>
              <w:left w:w="57" w:type="dxa"/>
              <w:bottom w:w="113" w:type="dxa"/>
              <w:right w:w="57" w:type="dxa"/>
            </w:tcMar>
            <w:vAlign w:val="center"/>
          </w:tcPr>
          <w:p w14:paraId="13B3D468" w14:textId="54ADCC4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54.5</w:t>
            </w:r>
          </w:p>
        </w:tc>
        <w:tc>
          <w:tcPr>
            <w:tcW w:w="232" w:type="pct"/>
            <w:vAlign w:val="center"/>
          </w:tcPr>
          <w:p w14:paraId="74E86023" w14:textId="058DED34"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58.3</w:t>
            </w:r>
          </w:p>
        </w:tc>
        <w:tc>
          <w:tcPr>
            <w:tcW w:w="232" w:type="pct"/>
            <w:tcMar>
              <w:top w:w="113" w:type="dxa"/>
              <w:left w:w="57" w:type="dxa"/>
              <w:bottom w:w="113" w:type="dxa"/>
              <w:right w:w="57" w:type="dxa"/>
            </w:tcMar>
            <w:vAlign w:val="center"/>
          </w:tcPr>
          <w:p w14:paraId="11BD0E10" w14:textId="741BBDA5"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84.1</w:t>
            </w:r>
          </w:p>
        </w:tc>
        <w:tc>
          <w:tcPr>
            <w:tcW w:w="232" w:type="pct"/>
            <w:tcMar>
              <w:top w:w="113" w:type="dxa"/>
              <w:left w:w="0" w:type="dxa"/>
              <w:bottom w:w="113" w:type="dxa"/>
              <w:right w:w="57" w:type="dxa"/>
            </w:tcMar>
            <w:vAlign w:val="center"/>
          </w:tcPr>
          <w:p w14:paraId="1CD12C4B" w14:textId="36ED289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84.1</w:t>
            </w:r>
          </w:p>
        </w:tc>
        <w:tc>
          <w:tcPr>
            <w:tcW w:w="232" w:type="pct"/>
            <w:vAlign w:val="center"/>
          </w:tcPr>
          <w:p w14:paraId="1F9D00BB" w14:textId="78B2FD2C"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83.6</w:t>
            </w:r>
          </w:p>
        </w:tc>
        <w:tc>
          <w:tcPr>
            <w:tcW w:w="232" w:type="pct"/>
            <w:tcMar>
              <w:top w:w="113" w:type="dxa"/>
              <w:left w:w="57" w:type="dxa"/>
              <w:bottom w:w="113" w:type="dxa"/>
              <w:right w:w="57" w:type="dxa"/>
            </w:tcMar>
            <w:vAlign w:val="center"/>
          </w:tcPr>
          <w:p w14:paraId="6531C459" w14:textId="06EB769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77.1</w:t>
            </w:r>
          </w:p>
        </w:tc>
        <w:tc>
          <w:tcPr>
            <w:tcW w:w="232" w:type="pct"/>
            <w:tcMar>
              <w:top w:w="113" w:type="dxa"/>
              <w:left w:w="57" w:type="dxa"/>
              <w:bottom w:w="113" w:type="dxa"/>
              <w:right w:w="57" w:type="dxa"/>
            </w:tcMar>
            <w:vAlign w:val="center"/>
          </w:tcPr>
          <w:p w14:paraId="41466FEF" w14:textId="5DD89486"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76.8</w:t>
            </w:r>
          </w:p>
        </w:tc>
        <w:tc>
          <w:tcPr>
            <w:tcW w:w="232" w:type="pct"/>
            <w:vAlign w:val="center"/>
          </w:tcPr>
          <w:p w14:paraId="4641095A" w14:textId="5E251729"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77.0</w:t>
            </w:r>
          </w:p>
        </w:tc>
        <w:tc>
          <w:tcPr>
            <w:tcW w:w="232" w:type="pct"/>
            <w:tcMar>
              <w:top w:w="113" w:type="dxa"/>
              <w:left w:w="57" w:type="dxa"/>
              <w:bottom w:w="113" w:type="dxa"/>
              <w:right w:w="57" w:type="dxa"/>
            </w:tcMar>
            <w:vAlign w:val="center"/>
          </w:tcPr>
          <w:p w14:paraId="4810A041" w14:textId="3D4CBFE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85.4</w:t>
            </w:r>
          </w:p>
        </w:tc>
        <w:tc>
          <w:tcPr>
            <w:tcW w:w="232" w:type="pct"/>
            <w:tcMar>
              <w:top w:w="113" w:type="dxa"/>
              <w:left w:w="57" w:type="dxa"/>
              <w:bottom w:w="113" w:type="dxa"/>
              <w:right w:w="57" w:type="dxa"/>
            </w:tcMar>
            <w:vAlign w:val="center"/>
          </w:tcPr>
          <w:p w14:paraId="40E0C04B" w14:textId="38CB9C5E"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85.8</w:t>
            </w:r>
          </w:p>
        </w:tc>
        <w:tc>
          <w:tcPr>
            <w:tcW w:w="232" w:type="pct"/>
            <w:vAlign w:val="center"/>
          </w:tcPr>
          <w:p w14:paraId="093DDF8E" w14:textId="3DE45419"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85.1</w:t>
            </w:r>
          </w:p>
        </w:tc>
        <w:tc>
          <w:tcPr>
            <w:tcW w:w="232" w:type="pct"/>
            <w:tcMar>
              <w:top w:w="113" w:type="dxa"/>
              <w:left w:w="57" w:type="dxa"/>
              <w:bottom w:w="113" w:type="dxa"/>
              <w:right w:w="57" w:type="dxa"/>
            </w:tcMar>
            <w:vAlign w:val="center"/>
          </w:tcPr>
          <w:p w14:paraId="25B60A0D" w14:textId="3A093E5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78.3</w:t>
            </w:r>
          </w:p>
        </w:tc>
        <w:tc>
          <w:tcPr>
            <w:tcW w:w="232" w:type="pct"/>
            <w:tcMar>
              <w:top w:w="113" w:type="dxa"/>
              <w:left w:w="0" w:type="dxa"/>
              <w:bottom w:w="113" w:type="dxa"/>
              <w:right w:w="0" w:type="dxa"/>
            </w:tcMar>
            <w:vAlign w:val="center"/>
          </w:tcPr>
          <w:p w14:paraId="53AC68CB" w14:textId="5A349576"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77.8</w:t>
            </w:r>
          </w:p>
        </w:tc>
        <w:tc>
          <w:tcPr>
            <w:tcW w:w="228" w:type="pct"/>
            <w:vAlign w:val="center"/>
          </w:tcPr>
          <w:p w14:paraId="183D05F2" w14:textId="50207AC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77.9</w:t>
            </w:r>
          </w:p>
        </w:tc>
      </w:tr>
      <w:tr w:rsidR="0066499D" w:rsidRPr="00E8656C" w14:paraId="514605E4" w14:textId="77777777" w:rsidTr="005E54CB">
        <w:trPr>
          <w:trHeight w:val="60"/>
        </w:trPr>
        <w:tc>
          <w:tcPr>
            <w:tcW w:w="413" w:type="pct"/>
            <w:vAlign w:val="center"/>
          </w:tcPr>
          <w:p w14:paraId="11A7C4CE" w14:textId="16E6EF4E"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Previous higher education experience</w:t>
            </w:r>
          </w:p>
        </w:tc>
        <w:tc>
          <w:tcPr>
            <w:tcW w:w="415" w:type="pct"/>
            <w:tcMar>
              <w:top w:w="113" w:type="dxa"/>
              <w:left w:w="57" w:type="dxa"/>
              <w:bottom w:w="113" w:type="dxa"/>
              <w:right w:w="57" w:type="dxa"/>
            </w:tcMar>
            <w:vAlign w:val="center"/>
          </w:tcPr>
          <w:p w14:paraId="6C35BAEC"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New to higher education</w:t>
            </w:r>
          </w:p>
        </w:tc>
        <w:tc>
          <w:tcPr>
            <w:tcW w:w="232" w:type="pct"/>
            <w:tcMar>
              <w:top w:w="113" w:type="dxa"/>
              <w:left w:w="57" w:type="dxa"/>
              <w:bottom w:w="113" w:type="dxa"/>
              <w:right w:w="57" w:type="dxa"/>
            </w:tcMar>
            <w:vAlign w:val="center"/>
          </w:tcPr>
          <w:p w14:paraId="6450D064" w14:textId="106DFF8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83.1</w:t>
            </w:r>
          </w:p>
        </w:tc>
        <w:tc>
          <w:tcPr>
            <w:tcW w:w="232" w:type="pct"/>
            <w:tcMar>
              <w:top w:w="113" w:type="dxa"/>
              <w:left w:w="57" w:type="dxa"/>
              <w:bottom w:w="113" w:type="dxa"/>
              <w:right w:w="57" w:type="dxa"/>
            </w:tcMar>
            <w:vAlign w:val="center"/>
          </w:tcPr>
          <w:p w14:paraId="0B577275" w14:textId="3BB9EB8D"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85.4</w:t>
            </w:r>
          </w:p>
        </w:tc>
        <w:tc>
          <w:tcPr>
            <w:tcW w:w="232" w:type="pct"/>
            <w:vAlign w:val="center"/>
          </w:tcPr>
          <w:p w14:paraId="34CEBC16" w14:textId="7C0581C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85.1</w:t>
            </w:r>
          </w:p>
        </w:tc>
        <w:tc>
          <w:tcPr>
            <w:tcW w:w="232" w:type="pct"/>
            <w:tcMar>
              <w:top w:w="113" w:type="dxa"/>
              <w:left w:w="57" w:type="dxa"/>
              <w:bottom w:w="113" w:type="dxa"/>
              <w:right w:w="57" w:type="dxa"/>
            </w:tcMar>
            <w:vAlign w:val="center"/>
          </w:tcPr>
          <w:p w14:paraId="7A1259B3" w14:textId="1C7697D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55.8</w:t>
            </w:r>
          </w:p>
        </w:tc>
        <w:tc>
          <w:tcPr>
            <w:tcW w:w="232" w:type="pct"/>
            <w:tcMar>
              <w:top w:w="113" w:type="dxa"/>
              <w:left w:w="57" w:type="dxa"/>
              <w:bottom w:w="113" w:type="dxa"/>
              <w:right w:w="57" w:type="dxa"/>
            </w:tcMar>
            <w:vAlign w:val="center"/>
          </w:tcPr>
          <w:p w14:paraId="2D0833B2" w14:textId="63593D2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69.6</w:t>
            </w:r>
          </w:p>
        </w:tc>
        <w:tc>
          <w:tcPr>
            <w:tcW w:w="232" w:type="pct"/>
            <w:vAlign w:val="center"/>
          </w:tcPr>
          <w:p w14:paraId="2EB3FD52" w14:textId="33D2AABF"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70.3</w:t>
            </w:r>
          </w:p>
        </w:tc>
        <w:tc>
          <w:tcPr>
            <w:tcW w:w="232" w:type="pct"/>
            <w:tcMar>
              <w:top w:w="113" w:type="dxa"/>
              <w:left w:w="57" w:type="dxa"/>
              <w:bottom w:w="113" w:type="dxa"/>
              <w:right w:w="57" w:type="dxa"/>
            </w:tcMar>
            <w:vAlign w:val="center"/>
          </w:tcPr>
          <w:p w14:paraId="4A09FB78" w14:textId="2FE067E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84.6</w:t>
            </w:r>
          </w:p>
        </w:tc>
        <w:tc>
          <w:tcPr>
            <w:tcW w:w="232" w:type="pct"/>
            <w:tcMar>
              <w:top w:w="113" w:type="dxa"/>
              <w:left w:w="0" w:type="dxa"/>
              <w:bottom w:w="113" w:type="dxa"/>
              <w:right w:w="57" w:type="dxa"/>
            </w:tcMar>
            <w:vAlign w:val="center"/>
          </w:tcPr>
          <w:p w14:paraId="7C010BC6" w14:textId="338A8325"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86.1</w:t>
            </w:r>
          </w:p>
        </w:tc>
        <w:tc>
          <w:tcPr>
            <w:tcW w:w="232" w:type="pct"/>
            <w:vAlign w:val="center"/>
          </w:tcPr>
          <w:p w14:paraId="4F2D9B52" w14:textId="21423E97"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85.8</w:t>
            </w:r>
          </w:p>
        </w:tc>
        <w:tc>
          <w:tcPr>
            <w:tcW w:w="232" w:type="pct"/>
            <w:tcMar>
              <w:top w:w="113" w:type="dxa"/>
              <w:left w:w="57" w:type="dxa"/>
              <w:bottom w:w="113" w:type="dxa"/>
              <w:right w:w="57" w:type="dxa"/>
            </w:tcMar>
            <w:vAlign w:val="center"/>
          </w:tcPr>
          <w:p w14:paraId="23AC8450" w14:textId="01544553"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80.9</w:t>
            </w:r>
          </w:p>
        </w:tc>
        <w:tc>
          <w:tcPr>
            <w:tcW w:w="232" w:type="pct"/>
            <w:tcMar>
              <w:top w:w="113" w:type="dxa"/>
              <w:left w:w="57" w:type="dxa"/>
              <w:bottom w:w="113" w:type="dxa"/>
              <w:right w:w="57" w:type="dxa"/>
            </w:tcMar>
            <w:vAlign w:val="center"/>
          </w:tcPr>
          <w:p w14:paraId="2C5CBDA4" w14:textId="6A5D6420"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84.7</w:t>
            </w:r>
          </w:p>
        </w:tc>
        <w:tc>
          <w:tcPr>
            <w:tcW w:w="232" w:type="pct"/>
            <w:vAlign w:val="center"/>
          </w:tcPr>
          <w:p w14:paraId="7CE4087A" w14:textId="264A7109"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83.7</w:t>
            </w:r>
          </w:p>
        </w:tc>
        <w:tc>
          <w:tcPr>
            <w:tcW w:w="232" w:type="pct"/>
            <w:tcMar>
              <w:top w:w="113" w:type="dxa"/>
              <w:left w:w="57" w:type="dxa"/>
              <w:bottom w:w="113" w:type="dxa"/>
              <w:right w:w="57" w:type="dxa"/>
            </w:tcMar>
            <w:vAlign w:val="center"/>
          </w:tcPr>
          <w:p w14:paraId="53263099" w14:textId="5AC5FC3A"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87.6</w:t>
            </w:r>
          </w:p>
        </w:tc>
        <w:tc>
          <w:tcPr>
            <w:tcW w:w="232" w:type="pct"/>
            <w:tcMar>
              <w:top w:w="113" w:type="dxa"/>
              <w:left w:w="57" w:type="dxa"/>
              <w:bottom w:w="113" w:type="dxa"/>
              <w:right w:w="57" w:type="dxa"/>
            </w:tcMar>
            <w:vAlign w:val="center"/>
          </w:tcPr>
          <w:p w14:paraId="7B233638" w14:textId="1DBAC3BE"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88.9</w:t>
            </w:r>
          </w:p>
        </w:tc>
        <w:tc>
          <w:tcPr>
            <w:tcW w:w="232" w:type="pct"/>
            <w:vAlign w:val="center"/>
          </w:tcPr>
          <w:p w14:paraId="10E3FDFB" w14:textId="4FFCEBB8"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89.4</w:t>
            </w:r>
          </w:p>
        </w:tc>
        <w:tc>
          <w:tcPr>
            <w:tcW w:w="232" w:type="pct"/>
            <w:tcMar>
              <w:top w:w="113" w:type="dxa"/>
              <w:left w:w="57" w:type="dxa"/>
              <w:bottom w:w="113" w:type="dxa"/>
              <w:right w:w="57" w:type="dxa"/>
            </w:tcMar>
            <w:vAlign w:val="center"/>
          </w:tcPr>
          <w:p w14:paraId="15932E93" w14:textId="5456913B"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80.1</w:t>
            </w:r>
          </w:p>
        </w:tc>
        <w:tc>
          <w:tcPr>
            <w:tcW w:w="232" w:type="pct"/>
            <w:tcMar>
              <w:top w:w="113" w:type="dxa"/>
              <w:left w:w="0" w:type="dxa"/>
              <w:bottom w:w="113" w:type="dxa"/>
              <w:right w:w="0" w:type="dxa"/>
            </w:tcMar>
            <w:vAlign w:val="center"/>
          </w:tcPr>
          <w:p w14:paraId="4A6E6D35" w14:textId="790D0311"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81.0</w:t>
            </w:r>
          </w:p>
        </w:tc>
        <w:tc>
          <w:tcPr>
            <w:tcW w:w="228" w:type="pct"/>
            <w:vAlign w:val="center"/>
          </w:tcPr>
          <w:p w14:paraId="09605FC0" w14:textId="1F9BED25" w:rsidR="0066499D" w:rsidRPr="00E8656C" w:rsidRDefault="0066499D"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79.4</w:t>
            </w:r>
          </w:p>
        </w:tc>
      </w:tr>
      <w:tr w:rsidR="00143B7B" w:rsidRPr="00E8656C" w14:paraId="63E0799A" w14:textId="77777777" w:rsidTr="005E54CB">
        <w:trPr>
          <w:trHeight w:val="60"/>
        </w:trPr>
        <w:tc>
          <w:tcPr>
            <w:tcW w:w="413" w:type="pct"/>
            <w:vAlign w:val="center"/>
          </w:tcPr>
          <w:p w14:paraId="065CDE10" w14:textId="05FB1E3F"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Socio-economic status</w:t>
            </w:r>
            <w:r w:rsidRPr="00E8656C">
              <w:rPr>
                <w:rFonts w:ascii="Arial" w:hAnsi="Arial" w:cs="Arial"/>
                <w:b/>
                <w:bCs/>
                <w:color w:val="auto"/>
                <w:sz w:val="18"/>
                <w:vertAlign w:val="superscript"/>
              </w:rPr>
              <w:t>** †</w:t>
            </w:r>
          </w:p>
        </w:tc>
        <w:tc>
          <w:tcPr>
            <w:tcW w:w="415" w:type="pct"/>
            <w:tcMar>
              <w:top w:w="113" w:type="dxa"/>
              <w:left w:w="57" w:type="dxa"/>
              <w:bottom w:w="113" w:type="dxa"/>
              <w:right w:w="57" w:type="dxa"/>
            </w:tcMar>
            <w:vAlign w:val="center"/>
          </w:tcPr>
          <w:p w14:paraId="33BFC44F" w14:textId="77777777"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 xml:space="preserve">High </w:t>
            </w:r>
          </w:p>
        </w:tc>
        <w:tc>
          <w:tcPr>
            <w:tcW w:w="232" w:type="pct"/>
            <w:tcMar>
              <w:top w:w="113" w:type="dxa"/>
              <w:left w:w="57" w:type="dxa"/>
              <w:bottom w:w="113" w:type="dxa"/>
              <w:right w:w="57" w:type="dxa"/>
            </w:tcMar>
            <w:vAlign w:val="center"/>
          </w:tcPr>
          <w:p w14:paraId="5EDAE2E3" w14:textId="58851CA2" w:rsidR="006C7824" w:rsidRPr="00E8656C" w:rsidRDefault="006C7824"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78.6</w:t>
            </w:r>
          </w:p>
        </w:tc>
        <w:tc>
          <w:tcPr>
            <w:tcW w:w="232" w:type="pct"/>
            <w:tcMar>
              <w:top w:w="113" w:type="dxa"/>
              <w:left w:w="57" w:type="dxa"/>
              <w:bottom w:w="113" w:type="dxa"/>
              <w:right w:w="57" w:type="dxa"/>
            </w:tcMar>
            <w:vAlign w:val="center"/>
          </w:tcPr>
          <w:p w14:paraId="0E3F16A7" w14:textId="05A8480D" w:rsidR="006C7824" w:rsidRPr="00E8656C" w:rsidRDefault="006C7824"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78.3</w:t>
            </w:r>
          </w:p>
        </w:tc>
        <w:tc>
          <w:tcPr>
            <w:tcW w:w="232" w:type="pct"/>
            <w:vAlign w:val="center"/>
          </w:tcPr>
          <w:p w14:paraId="2554C5A2" w14:textId="5ED79B4C"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78.0</w:t>
            </w:r>
          </w:p>
        </w:tc>
        <w:tc>
          <w:tcPr>
            <w:tcW w:w="232" w:type="pct"/>
            <w:tcMar>
              <w:top w:w="113" w:type="dxa"/>
              <w:left w:w="57" w:type="dxa"/>
              <w:bottom w:w="113" w:type="dxa"/>
              <w:right w:w="57" w:type="dxa"/>
            </w:tcMar>
            <w:vAlign w:val="center"/>
          </w:tcPr>
          <w:p w14:paraId="402E9DD6" w14:textId="08A169F5" w:rsidR="006C7824" w:rsidRPr="00E8656C" w:rsidRDefault="006C7824" w:rsidP="005E54CB">
            <w:pPr>
              <w:pStyle w:val="Tabletextupdate"/>
              <w:framePr w:wrap="auto"/>
              <w:jc w:val="center"/>
              <w:rPr>
                <w:rFonts w:ascii="Arial" w:hAnsi="Arial" w:cs="Arial"/>
                <w:color w:val="auto"/>
                <w:sz w:val="16"/>
                <w:szCs w:val="16"/>
              </w:rPr>
            </w:pPr>
            <w:r w:rsidRPr="00956AE3">
              <w:rPr>
                <w:rFonts w:ascii="Arial" w:hAnsi="Arial" w:cs="Arial"/>
                <w:sz w:val="16"/>
                <w:szCs w:val="16"/>
              </w:rPr>
              <w:t>44.1</w:t>
            </w:r>
          </w:p>
        </w:tc>
        <w:tc>
          <w:tcPr>
            <w:tcW w:w="232" w:type="pct"/>
            <w:tcMar>
              <w:top w:w="113" w:type="dxa"/>
              <w:left w:w="57" w:type="dxa"/>
              <w:bottom w:w="113" w:type="dxa"/>
              <w:right w:w="57" w:type="dxa"/>
            </w:tcMar>
            <w:vAlign w:val="center"/>
          </w:tcPr>
          <w:p w14:paraId="5769E73E" w14:textId="336A91E1" w:rsidR="006C7824" w:rsidRPr="00E8656C" w:rsidRDefault="006C7824" w:rsidP="005E54CB">
            <w:pPr>
              <w:pStyle w:val="Tabletextupdate"/>
              <w:framePr w:wrap="auto"/>
              <w:jc w:val="center"/>
              <w:rPr>
                <w:rFonts w:ascii="Arial" w:hAnsi="Arial" w:cs="Arial"/>
                <w:color w:val="auto"/>
                <w:sz w:val="16"/>
                <w:szCs w:val="16"/>
              </w:rPr>
            </w:pPr>
            <w:r w:rsidRPr="00956AE3">
              <w:rPr>
                <w:rFonts w:ascii="Arial" w:hAnsi="Arial" w:cs="Arial"/>
                <w:sz w:val="16"/>
                <w:szCs w:val="16"/>
              </w:rPr>
              <w:t>43.4</w:t>
            </w:r>
          </w:p>
        </w:tc>
        <w:tc>
          <w:tcPr>
            <w:tcW w:w="232" w:type="pct"/>
            <w:vAlign w:val="center"/>
          </w:tcPr>
          <w:p w14:paraId="14D920D3" w14:textId="6EFDDBDF"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45.2</w:t>
            </w:r>
          </w:p>
        </w:tc>
        <w:tc>
          <w:tcPr>
            <w:tcW w:w="232" w:type="pct"/>
            <w:tcMar>
              <w:top w:w="113" w:type="dxa"/>
              <w:left w:w="57" w:type="dxa"/>
              <w:bottom w:w="113" w:type="dxa"/>
              <w:right w:w="57" w:type="dxa"/>
            </w:tcMar>
            <w:vAlign w:val="center"/>
          </w:tcPr>
          <w:p w14:paraId="68CCF652" w14:textId="1A6B2F38"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80.9</w:t>
            </w:r>
          </w:p>
        </w:tc>
        <w:tc>
          <w:tcPr>
            <w:tcW w:w="232" w:type="pct"/>
            <w:tcMar>
              <w:top w:w="113" w:type="dxa"/>
              <w:left w:w="0" w:type="dxa"/>
              <w:bottom w:w="113" w:type="dxa"/>
              <w:right w:w="57" w:type="dxa"/>
            </w:tcMar>
            <w:vAlign w:val="center"/>
          </w:tcPr>
          <w:p w14:paraId="1A12A66C" w14:textId="1CFF3FF4"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80.1</w:t>
            </w:r>
          </w:p>
        </w:tc>
        <w:tc>
          <w:tcPr>
            <w:tcW w:w="232" w:type="pct"/>
            <w:vAlign w:val="center"/>
          </w:tcPr>
          <w:p w14:paraId="58872FA9" w14:textId="06937A6B"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80.4</w:t>
            </w:r>
          </w:p>
        </w:tc>
        <w:tc>
          <w:tcPr>
            <w:tcW w:w="232" w:type="pct"/>
            <w:tcMar>
              <w:top w:w="113" w:type="dxa"/>
              <w:left w:w="57" w:type="dxa"/>
              <w:bottom w:w="113" w:type="dxa"/>
              <w:right w:w="57" w:type="dxa"/>
            </w:tcMar>
            <w:vAlign w:val="center"/>
          </w:tcPr>
          <w:p w14:paraId="553C4999" w14:textId="0745277F"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71.8</w:t>
            </w:r>
          </w:p>
        </w:tc>
        <w:tc>
          <w:tcPr>
            <w:tcW w:w="232" w:type="pct"/>
            <w:tcMar>
              <w:top w:w="113" w:type="dxa"/>
              <w:left w:w="57" w:type="dxa"/>
              <w:bottom w:w="113" w:type="dxa"/>
              <w:right w:w="57" w:type="dxa"/>
            </w:tcMar>
            <w:vAlign w:val="center"/>
          </w:tcPr>
          <w:p w14:paraId="04E05F4F" w14:textId="0308DAED"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64.0</w:t>
            </w:r>
          </w:p>
        </w:tc>
        <w:tc>
          <w:tcPr>
            <w:tcW w:w="232" w:type="pct"/>
            <w:vAlign w:val="center"/>
          </w:tcPr>
          <w:p w14:paraId="2EB4FC51" w14:textId="62C7BBEE"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63.9</w:t>
            </w:r>
          </w:p>
        </w:tc>
        <w:tc>
          <w:tcPr>
            <w:tcW w:w="232" w:type="pct"/>
            <w:tcMar>
              <w:top w:w="113" w:type="dxa"/>
              <w:left w:w="57" w:type="dxa"/>
              <w:bottom w:w="113" w:type="dxa"/>
              <w:right w:w="57" w:type="dxa"/>
            </w:tcMar>
            <w:vAlign w:val="center"/>
          </w:tcPr>
          <w:p w14:paraId="7040861D" w14:textId="05C37AE3"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79.7</w:t>
            </w:r>
          </w:p>
        </w:tc>
        <w:tc>
          <w:tcPr>
            <w:tcW w:w="232" w:type="pct"/>
            <w:tcMar>
              <w:top w:w="113" w:type="dxa"/>
              <w:left w:w="57" w:type="dxa"/>
              <w:bottom w:w="113" w:type="dxa"/>
              <w:right w:w="57" w:type="dxa"/>
            </w:tcMar>
            <w:vAlign w:val="center"/>
          </w:tcPr>
          <w:p w14:paraId="76660CCE" w14:textId="374E0034"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78.0</w:t>
            </w:r>
          </w:p>
        </w:tc>
        <w:tc>
          <w:tcPr>
            <w:tcW w:w="232" w:type="pct"/>
            <w:vAlign w:val="center"/>
          </w:tcPr>
          <w:p w14:paraId="440627DB" w14:textId="178B986E"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78.2</w:t>
            </w:r>
          </w:p>
        </w:tc>
        <w:tc>
          <w:tcPr>
            <w:tcW w:w="232" w:type="pct"/>
            <w:tcMar>
              <w:top w:w="113" w:type="dxa"/>
              <w:left w:w="57" w:type="dxa"/>
              <w:bottom w:w="113" w:type="dxa"/>
              <w:right w:w="57" w:type="dxa"/>
            </w:tcMar>
            <w:vAlign w:val="center"/>
          </w:tcPr>
          <w:p w14:paraId="3B33E17D" w14:textId="466A9C07"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75.2</w:t>
            </w:r>
          </w:p>
        </w:tc>
        <w:tc>
          <w:tcPr>
            <w:tcW w:w="232" w:type="pct"/>
            <w:tcMar>
              <w:top w:w="113" w:type="dxa"/>
              <w:left w:w="0" w:type="dxa"/>
              <w:bottom w:w="113" w:type="dxa"/>
              <w:right w:w="0" w:type="dxa"/>
            </w:tcMar>
            <w:vAlign w:val="center"/>
          </w:tcPr>
          <w:p w14:paraId="505E4596" w14:textId="02F09E99"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75.6</w:t>
            </w:r>
          </w:p>
        </w:tc>
        <w:tc>
          <w:tcPr>
            <w:tcW w:w="228" w:type="pct"/>
            <w:vAlign w:val="center"/>
          </w:tcPr>
          <w:p w14:paraId="4BA068C7" w14:textId="79C3B1B7"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76.0</w:t>
            </w:r>
          </w:p>
        </w:tc>
      </w:tr>
      <w:tr w:rsidR="00143B7B" w:rsidRPr="00E8656C" w14:paraId="0DBFA051" w14:textId="77777777" w:rsidTr="005E54CB">
        <w:trPr>
          <w:trHeight w:val="60"/>
        </w:trPr>
        <w:tc>
          <w:tcPr>
            <w:tcW w:w="413" w:type="pct"/>
            <w:vAlign w:val="center"/>
          </w:tcPr>
          <w:p w14:paraId="35A5E495" w14:textId="40C5A1EF"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Socio-economic status</w:t>
            </w:r>
            <w:r w:rsidRPr="00E8656C">
              <w:rPr>
                <w:rFonts w:ascii="Arial" w:hAnsi="Arial" w:cs="Arial"/>
                <w:b/>
                <w:bCs/>
                <w:color w:val="auto"/>
                <w:sz w:val="18"/>
                <w:vertAlign w:val="superscript"/>
              </w:rPr>
              <w:t>** †</w:t>
            </w:r>
          </w:p>
        </w:tc>
        <w:tc>
          <w:tcPr>
            <w:tcW w:w="415" w:type="pct"/>
            <w:tcMar>
              <w:top w:w="113" w:type="dxa"/>
              <w:left w:w="57" w:type="dxa"/>
              <w:bottom w:w="113" w:type="dxa"/>
              <w:right w:w="57" w:type="dxa"/>
            </w:tcMar>
            <w:vAlign w:val="center"/>
          </w:tcPr>
          <w:p w14:paraId="383F0797" w14:textId="77777777"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 xml:space="preserve">Medium </w:t>
            </w:r>
          </w:p>
        </w:tc>
        <w:tc>
          <w:tcPr>
            <w:tcW w:w="232" w:type="pct"/>
            <w:tcMar>
              <w:top w:w="113" w:type="dxa"/>
              <w:left w:w="57" w:type="dxa"/>
              <w:bottom w:w="113" w:type="dxa"/>
              <w:right w:w="57" w:type="dxa"/>
            </w:tcMar>
            <w:vAlign w:val="center"/>
          </w:tcPr>
          <w:p w14:paraId="6512EF10" w14:textId="421AEC22" w:rsidR="006C7824" w:rsidRPr="00E8656C" w:rsidRDefault="006C7824"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80.0</w:t>
            </w:r>
          </w:p>
        </w:tc>
        <w:tc>
          <w:tcPr>
            <w:tcW w:w="232" w:type="pct"/>
            <w:tcMar>
              <w:top w:w="113" w:type="dxa"/>
              <w:left w:w="57" w:type="dxa"/>
              <w:bottom w:w="113" w:type="dxa"/>
              <w:right w:w="57" w:type="dxa"/>
            </w:tcMar>
            <w:vAlign w:val="center"/>
          </w:tcPr>
          <w:p w14:paraId="226A3665" w14:textId="1DE1A31B" w:rsidR="006C7824" w:rsidRPr="00E8656C" w:rsidRDefault="006C7824"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80.1</w:t>
            </w:r>
          </w:p>
        </w:tc>
        <w:tc>
          <w:tcPr>
            <w:tcW w:w="232" w:type="pct"/>
            <w:vAlign w:val="center"/>
          </w:tcPr>
          <w:p w14:paraId="5FB584A6" w14:textId="63859FC1"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80.1</w:t>
            </w:r>
          </w:p>
        </w:tc>
        <w:tc>
          <w:tcPr>
            <w:tcW w:w="232" w:type="pct"/>
            <w:tcMar>
              <w:top w:w="113" w:type="dxa"/>
              <w:left w:w="57" w:type="dxa"/>
              <w:bottom w:w="113" w:type="dxa"/>
              <w:right w:w="57" w:type="dxa"/>
            </w:tcMar>
            <w:vAlign w:val="center"/>
          </w:tcPr>
          <w:p w14:paraId="51AECAD7" w14:textId="64011631" w:rsidR="006C7824" w:rsidRPr="00E8656C" w:rsidRDefault="006C7824" w:rsidP="005E54CB">
            <w:pPr>
              <w:pStyle w:val="Tabletextupdate"/>
              <w:framePr w:wrap="auto"/>
              <w:jc w:val="center"/>
              <w:rPr>
                <w:rFonts w:ascii="Arial" w:hAnsi="Arial" w:cs="Arial"/>
                <w:color w:val="auto"/>
                <w:sz w:val="16"/>
                <w:szCs w:val="16"/>
              </w:rPr>
            </w:pPr>
            <w:r w:rsidRPr="00956AE3">
              <w:rPr>
                <w:rFonts w:ascii="Arial" w:hAnsi="Arial" w:cs="Arial"/>
                <w:sz w:val="16"/>
                <w:szCs w:val="16"/>
              </w:rPr>
              <w:t>40.2</w:t>
            </w:r>
          </w:p>
        </w:tc>
        <w:tc>
          <w:tcPr>
            <w:tcW w:w="232" w:type="pct"/>
            <w:tcMar>
              <w:top w:w="113" w:type="dxa"/>
              <w:left w:w="57" w:type="dxa"/>
              <w:bottom w:w="113" w:type="dxa"/>
              <w:right w:w="57" w:type="dxa"/>
            </w:tcMar>
            <w:vAlign w:val="center"/>
          </w:tcPr>
          <w:p w14:paraId="39A88195" w14:textId="18BD4201" w:rsidR="006C7824" w:rsidRPr="00E8656C" w:rsidRDefault="006C7824" w:rsidP="005E54CB">
            <w:pPr>
              <w:pStyle w:val="Tabletextupdate"/>
              <w:framePr w:wrap="auto"/>
              <w:jc w:val="center"/>
              <w:rPr>
                <w:rFonts w:ascii="Arial" w:hAnsi="Arial" w:cs="Arial"/>
                <w:color w:val="auto"/>
                <w:sz w:val="16"/>
                <w:szCs w:val="16"/>
              </w:rPr>
            </w:pPr>
            <w:r w:rsidRPr="00956AE3">
              <w:rPr>
                <w:rFonts w:ascii="Arial" w:hAnsi="Arial" w:cs="Arial"/>
                <w:sz w:val="16"/>
                <w:szCs w:val="16"/>
              </w:rPr>
              <w:t>38.9</w:t>
            </w:r>
          </w:p>
        </w:tc>
        <w:tc>
          <w:tcPr>
            <w:tcW w:w="232" w:type="pct"/>
            <w:vAlign w:val="center"/>
          </w:tcPr>
          <w:p w14:paraId="1080050D" w14:textId="04E1C9E9"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38.8</w:t>
            </w:r>
          </w:p>
        </w:tc>
        <w:tc>
          <w:tcPr>
            <w:tcW w:w="232" w:type="pct"/>
            <w:tcMar>
              <w:top w:w="113" w:type="dxa"/>
              <w:left w:w="57" w:type="dxa"/>
              <w:bottom w:w="113" w:type="dxa"/>
              <w:right w:w="57" w:type="dxa"/>
            </w:tcMar>
            <w:vAlign w:val="center"/>
          </w:tcPr>
          <w:p w14:paraId="1A4E87FC" w14:textId="2F99CF92"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82.0</w:t>
            </w:r>
          </w:p>
        </w:tc>
        <w:tc>
          <w:tcPr>
            <w:tcW w:w="232" w:type="pct"/>
            <w:tcMar>
              <w:top w:w="113" w:type="dxa"/>
              <w:left w:w="0" w:type="dxa"/>
              <w:bottom w:w="113" w:type="dxa"/>
              <w:right w:w="57" w:type="dxa"/>
            </w:tcMar>
            <w:vAlign w:val="center"/>
          </w:tcPr>
          <w:p w14:paraId="51C3943B" w14:textId="3ABCD826"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81.7</w:t>
            </w:r>
          </w:p>
        </w:tc>
        <w:tc>
          <w:tcPr>
            <w:tcW w:w="232" w:type="pct"/>
            <w:vAlign w:val="center"/>
          </w:tcPr>
          <w:p w14:paraId="571A726D" w14:textId="2FE796DA"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81.6</w:t>
            </w:r>
          </w:p>
        </w:tc>
        <w:tc>
          <w:tcPr>
            <w:tcW w:w="232" w:type="pct"/>
            <w:tcMar>
              <w:top w:w="113" w:type="dxa"/>
              <w:left w:w="57" w:type="dxa"/>
              <w:bottom w:w="113" w:type="dxa"/>
              <w:right w:w="57" w:type="dxa"/>
            </w:tcMar>
            <w:vAlign w:val="center"/>
          </w:tcPr>
          <w:p w14:paraId="2CA49504" w14:textId="79BD07E9"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75.1</w:t>
            </w:r>
          </w:p>
        </w:tc>
        <w:tc>
          <w:tcPr>
            <w:tcW w:w="232" w:type="pct"/>
            <w:tcMar>
              <w:top w:w="113" w:type="dxa"/>
              <w:left w:w="57" w:type="dxa"/>
              <w:bottom w:w="113" w:type="dxa"/>
              <w:right w:w="57" w:type="dxa"/>
            </w:tcMar>
            <w:vAlign w:val="center"/>
          </w:tcPr>
          <w:p w14:paraId="40F596FD" w14:textId="63E57B3D"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69.3</w:t>
            </w:r>
          </w:p>
        </w:tc>
        <w:tc>
          <w:tcPr>
            <w:tcW w:w="232" w:type="pct"/>
            <w:vAlign w:val="center"/>
          </w:tcPr>
          <w:p w14:paraId="28AE4E44" w14:textId="3A4AC5C5"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69.7</w:t>
            </w:r>
          </w:p>
        </w:tc>
        <w:tc>
          <w:tcPr>
            <w:tcW w:w="232" w:type="pct"/>
            <w:tcMar>
              <w:top w:w="113" w:type="dxa"/>
              <w:left w:w="57" w:type="dxa"/>
              <w:bottom w:w="113" w:type="dxa"/>
              <w:right w:w="57" w:type="dxa"/>
            </w:tcMar>
            <w:vAlign w:val="center"/>
          </w:tcPr>
          <w:p w14:paraId="41FD3ED3" w14:textId="75B5CE44"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81.3</w:t>
            </w:r>
          </w:p>
        </w:tc>
        <w:tc>
          <w:tcPr>
            <w:tcW w:w="232" w:type="pct"/>
            <w:tcMar>
              <w:top w:w="113" w:type="dxa"/>
              <w:left w:w="57" w:type="dxa"/>
              <w:bottom w:w="113" w:type="dxa"/>
              <w:right w:w="57" w:type="dxa"/>
            </w:tcMar>
            <w:vAlign w:val="center"/>
          </w:tcPr>
          <w:p w14:paraId="2B60005E" w14:textId="5AB6F140"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80.5</w:t>
            </w:r>
          </w:p>
        </w:tc>
        <w:tc>
          <w:tcPr>
            <w:tcW w:w="232" w:type="pct"/>
            <w:vAlign w:val="center"/>
          </w:tcPr>
          <w:p w14:paraId="1CFAD637" w14:textId="655DABEC"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80.5</w:t>
            </w:r>
          </w:p>
        </w:tc>
        <w:tc>
          <w:tcPr>
            <w:tcW w:w="232" w:type="pct"/>
            <w:tcMar>
              <w:top w:w="113" w:type="dxa"/>
              <w:left w:w="57" w:type="dxa"/>
              <w:bottom w:w="113" w:type="dxa"/>
              <w:right w:w="57" w:type="dxa"/>
            </w:tcMar>
            <w:vAlign w:val="center"/>
          </w:tcPr>
          <w:p w14:paraId="5DF8BB12" w14:textId="3752097B"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77.1</w:t>
            </w:r>
          </w:p>
        </w:tc>
        <w:tc>
          <w:tcPr>
            <w:tcW w:w="232" w:type="pct"/>
            <w:tcMar>
              <w:top w:w="113" w:type="dxa"/>
              <w:left w:w="0" w:type="dxa"/>
              <w:bottom w:w="113" w:type="dxa"/>
              <w:right w:w="0" w:type="dxa"/>
            </w:tcMar>
            <w:vAlign w:val="center"/>
          </w:tcPr>
          <w:p w14:paraId="2A2D7922" w14:textId="6142765E"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78.0</w:t>
            </w:r>
          </w:p>
        </w:tc>
        <w:tc>
          <w:tcPr>
            <w:tcW w:w="228" w:type="pct"/>
            <w:vAlign w:val="center"/>
          </w:tcPr>
          <w:p w14:paraId="2D8CCDCB" w14:textId="5B660226"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78.2</w:t>
            </w:r>
          </w:p>
        </w:tc>
      </w:tr>
      <w:tr w:rsidR="00143B7B" w:rsidRPr="00E8656C" w14:paraId="46EA7244" w14:textId="77777777" w:rsidTr="005E54CB">
        <w:trPr>
          <w:trHeight w:val="60"/>
        </w:trPr>
        <w:tc>
          <w:tcPr>
            <w:tcW w:w="413" w:type="pct"/>
            <w:vAlign w:val="center"/>
          </w:tcPr>
          <w:p w14:paraId="0B76066A" w14:textId="651D9FAF"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Socio-economic status</w:t>
            </w:r>
            <w:r w:rsidRPr="00E8656C">
              <w:rPr>
                <w:rFonts w:ascii="Arial" w:hAnsi="Arial" w:cs="Arial"/>
                <w:b/>
                <w:bCs/>
                <w:color w:val="auto"/>
                <w:sz w:val="18"/>
                <w:vertAlign w:val="superscript"/>
              </w:rPr>
              <w:t>** †</w:t>
            </w:r>
          </w:p>
        </w:tc>
        <w:tc>
          <w:tcPr>
            <w:tcW w:w="415" w:type="pct"/>
            <w:tcMar>
              <w:top w:w="113" w:type="dxa"/>
              <w:left w:w="57" w:type="dxa"/>
              <w:bottom w:w="113" w:type="dxa"/>
              <w:right w:w="57" w:type="dxa"/>
            </w:tcMar>
            <w:vAlign w:val="center"/>
          </w:tcPr>
          <w:p w14:paraId="49E0D2D2" w14:textId="77777777"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Low</w:t>
            </w:r>
          </w:p>
        </w:tc>
        <w:tc>
          <w:tcPr>
            <w:tcW w:w="232" w:type="pct"/>
            <w:tcMar>
              <w:top w:w="113" w:type="dxa"/>
              <w:left w:w="57" w:type="dxa"/>
              <w:bottom w:w="113" w:type="dxa"/>
              <w:right w:w="57" w:type="dxa"/>
            </w:tcMar>
            <w:vAlign w:val="center"/>
          </w:tcPr>
          <w:p w14:paraId="5104929D" w14:textId="15C15715" w:rsidR="006C7824" w:rsidRPr="00E8656C" w:rsidRDefault="006C7824"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80.3</w:t>
            </w:r>
          </w:p>
        </w:tc>
        <w:tc>
          <w:tcPr>
            <w:tcW w:w="232" w:type="pct"/>
            <w:tcMar>
              <w:top w:w="113" w:type="dxa"/>
              <w:left w:w="57" w:type="dxa"/>
              <w:bottom w:w="113" w:type="dxa"/>
              <w:right w:w="57" w:type="dxa"/>
            </w:tcMar>
            <w:vAlign w:val="center"/>
          </w:tcPr>
          <w:p w14:paraId="37796016" w14:textId="3536814B" w:rsidR="006C7824" w:rsidRPr="00E8656C" w:rsidRDefault="006C7824"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79.2</w:t>
            </w:r>
          </w:p>
        </w:tc>
        <w:tc>
          <w:tcPr>
            <w:tcW w:w="232" w:type="pct"/>
            <w:vAlign w:val="center"/>
          </w:tcPr>
          <w:p w14:paraId="4667F7AB" w14:textId="736D4711"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80.1</w:t>
            </w:r>
          </w:p>
        </w:tc>
        <w:tc>
          <w:tcPr>
            <w:tcW w:w="232" w:type="pct"/>
            <w:tcMar>
              <w:top w:w="113" w:type="dxa"/>
              <w:left w:w="57" w:type="dxa"/>
              <w:bottom w:w="113" w:type="dxa"/>
              <w:right w:w="57" w:type="dxa"/>
            </w:tcMar>
            <w:vAlign w:val="center"/>
          </w:tcPr>
          <w:p w14:paraId="1D95467F" w14:textId="4DC3E750" w:rsidR="006C7824" w:rsidRPr="00E8656C" w:rsidRDefault="006C7824" w:rsidP="005E54CB">
            <w:pPr>
              <w:pStyle w:val="Tabletextupdate"/>
              <w:framePr w:wrap="auto"/>
              <w:jc w:val="center"/>
              <w:rPr>
                <w:rFonts w:ascii="Arial" w:hAnsi="Arial" w:cs="Arial"/>
                <w:color w:val="auto"/>
                <w:sz w:val="16"/>
                <w:szCs w:val="16"/>
              </w:rPr>
            </w:pPr>
            <w:r w:rsidRPr="00956AE3">
              <w:rPr>
                <w:rFonts w:ascii="Arial" w:hAnsi="Arial" w:cs="Arial"/>
                <w:sz w:val="16"/>
                <w:szCs w:val="16"/>
              </w:rPr>
              <w:t>37.2</w:t>
            </w:r>
          </w:p>
        </w:tc>
        <w:tc>
          <w:tcPr>
            <w:tcW w:w="232" w:type="pct"/>
            <w:tcMar>
              <w:top w:w="113" w:type="dxa"/>
              <w:left w:w="57" w:type="dxa"/>
              <w:bottom w:w="113" w:type="dxa"/>
              <w:right w:w="57" w:type="dxa"/>
            </w:tcMar>
            <w:vAlign w:val="center"/>
          </w:tcPr>
          <w:p w14:paraId="02BE34C8" w14:textId="6F8DC8DE" w:rsidR="006C7824" w:rsidRPr="00E8656C" w:rsidRDefault="006C7824" w:rsidP="005E54CB">
            <w:pPr>
              <w:pStyle w:val="Tabletextupdate"/>
              <w:framePr w:wrap="auto"/>
              <w:jc w:val="center"/>
              <w:rPr>
                <w:rFonts w:ascii="Arial" w:hAnsi="Arial" w:cs="Arial"/>
                <w:color w:val="auto"/>
                <w:sz w:val="16"/>
                <w:szCs w:val="16"/>
              </w:rPr>
            </w:pPr>
            <w:r w:rsidRPr="00956AE3">
              <w:rPr>
                <w:rFonts w:ascii="Arial" w:hAnsi="Arial" w:cs="Arial"/>
                <w:sz w:val="16"/>
                <w:szCs w:val="16"/>
              </w:rPr>
              <w:t>34.6</w:t>
            </w:r>
          </w:p>
        </w:tc>
        <w:tc>
          <w:tcPr>
            <w:tcW w:w="232" w:type="pct"/>
            <w:vAlign w:val="center"/>
          </w:tcPr>
          <w:p w14:paraId="55FB8A70" w14:textId="16B3EDA7"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35.3</w:t>
            </w:r>
          </w:p>
        </w:tc>
        <w:tc>
          <w:tcPr>
            <w:tcW w:w="232" w:type="pct"/>
            <w:tcMar>
              <w:top w:w="113" w:type="dxa"/>
              <w:left w:w="57" w:type="dxa"/>
              <w:bottom w:w="113" w:type="dxa"/>
              <w:right w:w="57" w:type="dxa"/>
            </w:tcMar>
            <w:vAlign w:val="center"/>
          </w:tcPr>
          <w:p w14:paraId="2DFAC3DB" w14:textId="2D5FE090"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82.7</w:t>
            </w:r>
          </w:p>
        </w:tc>
        <w:tc>
          <w:tcPr>
            <w:tcW w:w="232" w:type="pct"/>
            <w:tcMar>
              <w:top w:w="113" w:type="dxa"/>
              <w:left w:w="0" w:type="dxa"/>
              <w:bottom w:w="113" w:type="dxa"/>
              <w:right w:w="57" w:type="dxa"/>
            </w:tcMar>
            <w:vAlign w:val="center"/>
          </w:tcPr>
          <w:p w14:paraId="083878E3" w14:textId="5236CE27"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81.3</w:t>
            </w:r>
          </w:p>
        </w:tc>
        <w:tc>
          <w:tcPr>
            <w:tcW w:w="232" w:type="pct"/>
            <w:vAlign w:val="center"/>
          </w:tcPr>
          <w:p w14:paraId="79824526" w14:textId="00D2F81E"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82.0</w:t>
            </w:r>
          </w:p>
        </w:tc>
        <w:tc>
          <w:tcPr>
            <w:tcW w:w="232" w:type="pct"/>
            <w:tcMar>
              <w:top w:w="113" w:type="dxa"/>
              <w:left w:w="57" w:type="dxa"/>
              <w:bottom w:w="113" w:type="dxa"/>
              <w:right w:w="57" w:type="dxa"/>
            </w:tcMar>
            <w:vAlign w:val="center"/>
          </w:tcPr>
          <w:p w14:paraId="15A3B4D9" w14:textId="1B8F7FD8"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75.9</w:t>
            </w:r>
          </w:p>
        </w:tc>
        <w:tc>
          <w:tcPr>
            <w:tcW w:w="232" w:type="pct"/>
            <w:tcMar>
              <w:top w:w="113" w:type="dxa"/>
              <w:left w:w="57" w:type="dxa"/>
              <w:bottom w:w="113" w:type="dxa"/>
              <w:right w:w="57" w:type="dxa"/>
            </w:tcMar>
            <w:vAlign w:val="center"/>
          </w:tcPr>
          <w:p w14:paraId="445DADFE" w14:textId="6B28347E"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68.7</w:t>
            </w:r>
          </w:p>
        </w:tc>
        <w:tc>
          <w:tcPr>
            <w:tcW w:w="232" w:type="pct"/>
            <w:vAlign w:val="center"/>
          </w:tcPr>
          <w:p w14:paraId="58E8B5D9" w14:textId="51F734E6"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70.5</w:t>
            </w:r>
          </w:p>
        </w:tc>
        <w:tc>
          <w:tcPr>
            <w:tcW w:w="232" w:type="pct"/>
            <w:tcMar>
              <w:top w:w="113" w:type="dxa"/>
              <w:left w:w="57" w:type="dxa"/>
              <w:bottom w:w="113" w:type="dxa"/>
              <w:right w:w="57" w:type="dxa"/>
            </w:tcMar>
            <w:vAlign w:val="center"/>
          </w:tcPr>
          <w:p w14:paraId="72953818" w14:textId="0072BA5E"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81.0</w:t>
            </w:r>
          </w:p>
        </w:tc>
        <w:tc>
          <w:tcPr>
            <w:tcW w:w="232" w:type="pct"/>
            <w:tcMar>
              <w:top w:w="113" w:type="dxa"/>
              <w:left w:w="57" w:type="dxa"/>
              <w:bottom w:w="113" w:type="dxa"/>
              <w:right w:w="57" w:type="dxa"/>
            </w:tcMar>
            <w:vAlign w:val="center"/>
          </w:tcPr>
          <w:p w14:paraId="6195F0FF" w14:textId="4C644D8A"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79.3</w:t>
            </w:r>
          </w:p>
        </w:tc>
        <w:tc>
          <w:tcPr>
            <w:tcW w:w="232" w:type="pct"/>
            <w:vAlign w:val="center"/>
          </w:tcPr>
          <w:p w14:paraId="504B3F47" w14:textId="5CCDF714"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80.3</w:t>
            </w:r>
          </w:p>
        </w:tc>
        <w:tc>
          <w:tcPr>
            <w:tcW w:w="232" w:type="pct"/>
            <w:tcMar>
              <w:top w:w="113" w:type="dxa"/>
              <w:left w:w="57" w:type="dxa"/>
              <w:bottom w:w="113" w:type="dxa"/>
              <w:right w:w="57" w:type="dxa"/>
            </w:tcMar>
            <w:vAlign w:val="center"/>
          </w:tcPr>
          <w:p w14:paraId="71C75C0F" w14:textId="3EFF731D"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77.7</w:t>
            </w:r>
          </w:p>
        </w:tc>
        <w:tc>
          <w:tcPr>
            <w:tcW w:w="232" w:type="pct"/>
            <w:tcMar>
              <w:top w:w="113" w:type="dxa"/>
              <w:left w:w="0" w:type="dxa"/>
              <w:bottom w:w="113" w:type="dxa"/>
              <w:right w:w="0" w:type="dxa"/>
            </w:tcMar>
            <w:vAlign w:val="center"/>
          </w:tcPr>
          <w:p w14:paraId="0823A06B" w14:textId="68EFE584"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77.9</w:t>
            </w:r>
          </w:p>
        </w:tc>
        <w:tc>
          <w:tcPr>
            <w:tcW w:w="228" w:type="pct"/>
            <w:vAlign w:val="center"/>
          </w:tcPr>
          <w:p w14:paraId="59CDCAD0" w14:textId="49C180AA"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78.3</w:t>
            </w:r>
          </w:p>
        </w:tc>
      </w:tr>
      <w:tr w:rsidR="00143B7B" w:rsidRPr="00E8656C" w14:paraId="5DB7646A" w14:textId="77777777" w:rsidTr="005E54CB">
        <w:trPr>
          <w:trHeight w:val="60"/>
        </w:trPr>
        <w:tc>
          <w:tcPr>
            <w:tcW w:w="413" w:type="pct"/>
            <w:vAlign w:val="center"/>
          </w:tcPr>
          <w:p w14:paraId="2B2E7957" w14:textId="4F743220"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Location</w:t>
            </w:r>
            <w:r w:rsidRPr="00E8656C">
              <w:rPr>
                <w:rFonts w:ascii="Arial" w:hAnsi="Arial" w:cs="Arial"/>
                <w:b/>
                <w:bCs/>
                <w:color w:val="auto"/>
                <w:sz w:val="18"/>
                <w:vertAlign w:val="superscript"/>
              </w:rPr>
              <w:t>** †</w:t>
            </w:r>
          </w:p>
        </w:tc>
        <w:tc>
          <w:tcPr>
            <w:tcW w:w="415" w:type="pct"/>
            <w:tcMar>
              <w:top w:w="113" w:type="dxa"/>
              <w:left w:w="57" w:type="dxa"/>
              <w:bottom w:w="113" w:type="dxa"/>
              <w:right w:w="57" w:type="dxa"/>
            </w:tcMar>
            <w:vAlign w:val="center"/>
          </w:tcPr>
          <w:p w14:paraId="30F1C1E4" w14:textId="77777777"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Metro</w:t>
            </w:r>
          </w:p>
        </w:tc>
        <w:tc>
          <w:tcPr>
            <w:tcW w:w="232" w:type="pct"/>
            <w:tcMar>
              <w:top w:w="113" w:type="dxa"/>
              <w:left w:w="57" w:type="dxa"/>
              <w:bottom w:w="113" w:type="dxa"/>
              <w:right w:w="57" w:type="dxa"/>
            </w:tcMar>
            <w:vAlign w:val="center"/>
          </w:tcPr>
          <w:p w14:paraId="45A82603" w14:textId="5E5130A3" w:rsidR="006C7824" w:rsidRPr="00E8656C" w:rsidRDefault="006C7824"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78.6</w:t>
            </w:r>
          </w:p>
        </w:tc>
        <w:tc>
          <w:tcPr>
            <w:tcW w:w="232" w:type="pct"/>
            <w:tcMar>
              <w:top w:w="113" w:type="dxa"/>
              <w:left w:w="57" w:type="dxa"/>
              <w:bottom w:w="113" w:type="dxa"/>
              <w:right w:w="57" w:type="dxa"/>
            </w:tcMar>
            <w:vAlign w:val="center"/>
          </w:tcPr>
          <w:p w14:paraId="5EC7274A" w14:textId="6BC3CC08" w:rsidR="006C7824" w:rsidRPr="00E8656C" w:rsidRDefault="006C7824"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78.3</w:t>
            </w:r>
          </w:p>
        </w:tc>
        <w:tc>
          <w:tcPr>
            <w:tcW w:w="232" w:type="pct"/>
            <w:vAlign w:val="center"/>
          </w:tcPr>
          <w:p w14:paraId="193B38CC" w14:textId="1F71D699"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79.5</w:t>
            </w:r>
          </w:p>
        </w:tc>
        <w:tc>
          <w:tcPr>
            <w:tcW w:w="232" w:type="pct"/>
            <w:tcMar>
              <w:top w:w="113" w:type="dxa"/>
              <w:left w:w="57" w:type="dxa"/>
              <w:bottom w:w="113" w:type="dxa"/>
              <w:right w:w="57" w:type="dxa"/>
            </w:tcMar>
            <w:vAlign w:val="center"/>
          </w:tcPr>
          <w:p w14:paraId="0FFEA7B4" w14:textId="5644EBD1" w:rsidR="006C7824" w:rsidRPr="00E8656C" w:rsidRDefault="006C7824" w:rsidP="005E54CB">
            <w:pPr>
              <w:pStyle w:val="Tabletextupdate"/>
              <w:framePr w:wrap="auto"/>
              <w:jc w:val="center"/>
              <w:rPr>
                <w:rFonts w:ascii="Arial" w:hAnsi="Arial" w:cs="Arial"/>
                <w:color w:val="auto"/>
                <w:sz w:val="16"/>
                <w:szCs w:val="16"/>
              </w:rPr>
            </w:pPr>
            <w:r w:rsidRPr="002605F8">
              <w:rPr>
                <w:rFonts w:ascii="Arial" w:hAnsi="Arial" w:cs="Arial"/>
                <w:sz w:val="16"/>
                <w:szCs w:val="16"/>
              </w:rPr>
              <w:t>44.1</w:t>
            </w:r>
          </w:p>
        </w:tc>
        <w:tc>
          <w:tcPr>
            <w:tcW w:w="232" w:type="pct"/>
            <w:tcMar>
              <w:top w:w="113" w:type="dxa"/>
              <w:left w:w="57" w:type="dxa"/>
              <w:bottom w:w="113" w:type="dxa"/>
              <w:right w:w="57" w:type="dxa"/>
            </w:tcMar>
            <w:vAlign w:val="center"/>
          </w:tcPr>
          <w:p w14:paraId="377463B5" w14:textId="2D179C39" w:rsidR="006C7824" w:rsidRPr="00E8656C" w:rsidRDefault="006C7824" w:rsidP="005E54CB">
            <w:pPr>
              <w:pStyle w:val="Tabletextupdate"/>
              <w:framePr w:wrap="auto"/>
              <w:jc w:val="center"/>
              <w:rPr>
                <w:rFonts w:ascii="Arial" w:hAnsi="Arial" w:cs="Arial"/>
                <w:color w:val="auto"/>
                <w:sz w:val="16"/>
                <w:szCs w:val="16"/>
              </w:rPr>
            </w:pPr>
            <w:r w:rsidRPr="002605F8">
              <w:rPr>
                <w:rFonts w:ascii="Arial" w:hAnsi="Arial" w:cs="Arial"/>
                <w:sz w:val="16"/>
                <w:szCs w:val="16"/>
              </w:rPr>
              <w:t>43.4</w:t>
            </w:r>
          </w:p>
        </w:tc>
        <w:tc>
          <w:tcPr>
            <w:tcW w:w="232" w:type="pct"/>
            <w:vAlign w:val="center"/>
          </w:tcPr>
          <w:p w14:paraId="0721DCE4" w14:textId="7A6013CB"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42.8</w:t>
            </w:r>
          </w:p>
        </w:tc>
        <w:tc>
          <w:tcPr>
            <w:tcW w:w="232" w:type="pct"/>
            <w:tcMar>
              <w:top w:w="113" w:type="dxa"/>
              <w:left w:w="57" w:type="dxa"/>
              <w:bottom w:w="113" w:type="dxa"/>
              <w:right w:w="57" w:type="dxa"/>
            </w:tcMar>
            <w:vAlign w:val="center"/>
          </w:tcPr>
          <w:p w14:paraId="3923CAE7" w14:textId="7DD114BD"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80.9</w:t>
            </w:r>
          </w:p>
        </w:tc>
        <w:tc>
          <w:tcPr>
            <w:tcW w:w="232" w:type="pct"/>
            <w:tcMar>
              <w:top w:w="113" w:type="dxa"/>
              <w:left w:w="0" w:type="dxa"/>
              <w:bottom w:w="113" w:type="dxa"/>
              <w:right w:w="57" w:type="dxa"/>
            </w:tcMar>
            <w:vAlign w:val="center"/>
          </w:tcPr>
          <w:p w14:paraId="2D2BE2FA" w14:textId="5915954A"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80.1</w:t>
            </w:r>
          </w:p>
        </w:tc>
        <w:tc>
          <w:tcPr>
            <w:tcW w:w="232" w:type="pct"/>
            <w:vAlign w:val="center"/>
          </w:tcPr>
          <w:p w14:paraId="07AF493F" w14:textId="41B3853D"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81.0</w:t>
            </w:r>
          </w:p>
        </w:tc>
        <w:tc>
          <w:tcPr>
            <w:tcW w:w="232" w:type="pct"/>
            <w:tcMar>
              <w:top w:w="113" w:type="dxa"/>
              <w:left w:w="57" w:type="dxa"/>
              <w:bottom w:w="113" w:type="dxa"/>
              <w:right w:w="57" w:type="dxa"/>
            </w:tcMar>
            <w:vAlign w:val="center"/>
          </w:tcPr>
          <w:p w14:paraId="6A99A0BE" w14:textId="2C0D10D3"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71.8</w:t>
            </w:r>
          </w:p>
        </w:tc>
        <w:tc>
          <w:tcPr>
            <w:tcW w:w="232" w:type="pct"/>
            <w:tcMar>
              <w:top w:w="113" w:type="dxa"/>
              <w:left w:w="57" w:type="dxa"/>
              <w:bottom w:w="113" w:type="dxa"/>
              <w:right w:w="57" w:type="dxa"/>
            </w:tcMar>
            <w:vAlign w:val="center"/>
          </w:tcPr>
          <w:p w14:paraId="22B89555" w14:textId="0C4B396F"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64.0</w:t>
            </w:r>
          </w:p>
        </w:tc>
        <w:tc>
          <w:tcPr>
            <w:tcW w:w="232" w:type="pct"/>
            <w:vAlign w:val="center"/>
          </w:tcPr>
          <w:p w14:paraId="1E459E78" w14:textId="1BB1EADC"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67.3</w:t>
            </w:r>
          </w:p>
        </w:tc>
        <w:tc>
          <w:tcPr>
            <w:tcW w:w="232" w:type="pct"/>
            <w:tcMar>
              <w:top w:w="113" w:type="dxa"/>
              <w:left w:w="57" w:type="dxa"/>
              <w:bottom w:w="113" w:type="dxa"/>
              <w:right w:w="57" w:type="dxa"/>
            </w:tcMar>
            <w:vAlign w:val="center"/>
          </w:tcPr>
          <w:p w14:paraId="6FDD2B19" w14:textId="3CE71571"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79.7</w:t>
            </w:r>
          </w:p>
        </w:tc>
        <w:tc>
          <w:tcPr>
            <w:tcW w:w="232" w:type="pct"/>
            <w:tcMar>
              <w:top w:w="113" w:type="dxa"/>
              <w:left w:w="57" w:type="dxa"/>
              <w:bottom w:w="113" w:type="dxa"/>
              <w:right w:w="57" w:type="dxa"/>
            </w:tcMar>
            <w:vAlign w:val="center"/>
          </w:tcPr>
          <w:p w14:paraId="12CB3F31" w14:textId="082E59C9"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78.0</w:t>
            </w:r>
          </w:p>
        </w:tc>
        <w:tc>
          <w:tcPr>
            <w:tcW w:w="232" w:type="pct"/>
            <w:vAlign w:val="center"/>
          </w:tcPr>
          <w:p w14:paraId="1A43FDDD" w14:textId="30D505F1"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79.4</w:t>
            </w:r>
          </w:p>
        </w:tc>
        <w:tc>
          <w:tcPr>
            <w:tcW w:w="232" w:type="pct"/>
            <w:tcMar>
              <w:top w:w="113" w:type="dxa"/>
              <w:left w:w="57" w:type="dxa"/>
              <w:bottom w:w="113" w:type="dxa"/>
              <w:right w:w="57" w:type="dxa"/>
            </w:tcMar>
            <w:vAlign w:val="center"/>
          </w:tcPr>
          <w:p w14:paraId="3D6ED091" w14:textId="75371D4D"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75.2</w:t>
            </w:r>
          </w:p>
        </w:tc>
        <w:tc>
          <w:tcPr>
            <w:tcW w:w="232" w:type="pct"/>
            <w:tcMar>
              <w:top w:w="113" w:type="dxa"/>
              <w:left w:w="0" w:type="dxa"/>
              <w:bottom w:w="113" w:type="dxa"/>
              <w:right w:w="0" w:type="dxa"/>
            </w:tcMar>
            <w:vAlign w:val="center"/>
          </w:tcPr>
          <w:p w14:paraId="5F4416E0" w14:textId="5E6C1665"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75.6</w:t>
            </w:r>
          </w:p>
        </w:tc>
        <w:tc>
          <w:tcPr>
            <w:tcW w:w="228" w:type="pct"/>
            <w:vAlign w:val="center"/>
          </w:tcPr>
          <w:p w14:paraId="522E8529" w14:textId="10A9EFBE"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76.8</w:t>
            </w:r>
          </w:p>
        </w:tc>
      </w:tr>
      <w:tr w:rsidR="00143B7B" w:rsidRPr="00E8656C" w14:paraId="3D515CCB" w14:textId="77777777" w:rsidTr="005E54CB">
        <w:trPr>
          <w:trHeight w:val="60"/>
        </w:trPr>
        <w:tc>
          <w:tcPr>
            <w:tcW w:w="413" w:type="pct"/>
            <w:vAlign w:val="center"/>
          </w:tcPr>
          <w:p w14:paraId="5F940D46" w14:textId="0F87478C"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lastRenderedPageBreak/>
              <w:t>Location</w:t>
            </w:r>
            <w:r w:rsidRPr="00E8656C">
              <w:rPr>
                <w:rFonts w:ascii="Arial" w:hAnsi="Arial" w:cs="Arial"/>
                <w:b/>
                <w:bCs/>
                <w:color w:val="auto"/>
                <w:sz w:val="18"/>
                <w:vertAlign w:val="superscript"/>
              </w:rPr>
              <w:t>** †</w:t>
            </w:r>
          </w:p>
        </w:tc>
        <w:tc>
          <w:tcPr>
            <w:tcW w:w="415" w:type="pct"/>
            <w:tcMar>
              <w:top w:w="113" w:type="dxa"/>
              <w:left w:w="57" w:type="dxa"/>
              <w:bottom w:w="113" w:type="dxa"/>
              <w:right w:w="57" w:type="dxa"/>
            </w:tcMar>
            <w:vAlign w:val="center"/>
          </w:tcPr>
          <w:p w14:paraId="4DCE1D4E" w14:textId="77777777" w:rsidR="006C7824" w:rsidRPr="00E8656C" w:rsidRDefault="006C7824" w:rsidP="006C7824">
            <w:pPr>
              <w:pStyle w:val="Tabletextupdate"/>
              <w:framePr w:wrap="auto"/>
              <w:rPr>
                <w:rFonts w:ascii="Arial" w:hAnsi="Arial" w:cs="Arial"/>
                <w:b/>
                <w:bCs/>
                <w:color w:val="auto"/>
                <w:sz w:val="18"/>
              </w:rPr>
            </w:pPr>
            <w:r w:rsidRPr="00E8656C">
              <w:rPr>
                <w:rFonts w:ascii="Arial" w:hAnsi="Arial" w:cs="Arial"/>
                <w:b/>
                <w:bCs/>
                <w:color w:val="auto"/>
                <w:sz w:val="18"/>
              </w:rPr>
              <w:t>Regional / remote</w:t>
            </w:r>
          </w:p>
        </w:tc>
        <w:tc>
          <w:tcPr>
            <w:tcW w:w="232" w:type="pct"/>
            <w:tcMar>
              <w:top w:w="113" w:type="dxa"/>
              <w:left w:w="57" w:type="dxa"/>
              <w:bottom w:w="113" w:type="dxa"/>
              <w:right w:w="57" w:type="dxa"/>
            </w:tcMar>
            <w:vAlign w:val="center"/>
          </w:tcPr>
          <w:p w14:paraId="7747223C" w14:textId="09E1A0D1" w:rsidR="006C7824" w:rsidRPr="00E8656C" w:rsidRDefault="006C7824"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80.0</w:t>
            </w:r>
          </w:p>
        </w:tc>
        <w:tc>
          <w:tcPr>
            <w:tcW w:w="232" w:type="pct"/>
            <w:tcMar>
              <w:top w:w="113" w:type="dxa"/>
              <w:left w:w="57" w:type="dxa"/>
              <w:bottom w:w="113" w:type="dxa"/>
              <w:right w:w="57" w:type="dxa"/>
            </w:tcMar>
            <w:vAlign w:val="center"/>
          </w:tcPr>
          <w:p w14:paraId="7EF93D06" w14:textId="2FE31B10" w:rsidR="006C7824" w:rsidRPr="00E8656C" w:rsidRDefault="006C7824" w:rsidP="005E54CB">
            <w:pPr>
              <w:pStyle w:val="Tabletextupdate"/>
              <w:framePr w:wrap="auto"/>
              <w:jc w:val="center"/>
              <w:rPr>
                <w:rFonts w:ascii="Arial" w:hAnsi="Arial" w:cs="Arial"/>
                <w:color w:val="auto"/>
                <w:sz w:val="16"/>
                <w:szCs w:val="16"/>
              </w:rPr>
            </w:pPr>
            <w:r w:rsidRPr="00E8656C">
              <w:rPr>
                <w:rFonts w:ascii="Arial" w:hAnsi="Arial" w:cs="Arial"/>
                <w:color w:val="auto"/>
                <w:sz w:val="16"/>
                <w:szCs w:val="16"/>
              </w:rPr>
              <w:t>80.1</w:t>
            </w:r>
          </w:p>
        </w:tc>
        <w:tc>
          <w:tcPr>
            <w:tcW w:w="232" w:type="pct"/>
            <w:vAlign w:val="center"/>
          </w:tcPr>
          <w:p w14:paraId="3AA6F84E" w14:textId="625F1228"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78.6</w:t>
            </w:r>
          </w:p>
        </w:tc>
        <w:tc>
          <w:tcPr>
            <w:tcW w:w="232" w:type="pct"/>
            <w:tcMar>
              <w:top w:w="113" w:type="dxa"/>
              <w:left w:w="57" w:type="dxa"/>
              <w:bottom w:w="113" w:type="dxa"/>
              <w:right w:w="57" w:type="dxa"/>
            </w:tcMar>
            <w:vAlign w:val="center"/>
          </w:tcPr>
          <w:p w14:paraId="32909C2F" w14:textId="73A4119B" w:rsidR="006C7824" w:rsidRPr="00E8656C" w:rsidRDefault="006C7824" w:rsidP="005E54CB">
            <w:pPr>
              <w:pStyle w:val="Tabletextupdate"/>
              <w:framePr w:wrap="auto"/>
              <w:jc w:val="center"/>
              <w:rPr>
                <w:rFonts w:ascii="Arial" w:hAnsi="Arial" w:cs="Arial"/>
                <w:color w:val="auto"/>
                <w:sz w:val="16"/>
                <w:szCs w:val="16"/>
              </w:rPr>
            </w:pPr>
            <w:r w:rsidRPr="002605F8">
              <w:rPr>
                <w:rFonts w:ascii="Arial" w:hAnsi="Arial" w:cs="Arial"/>
                <w:sz w:val="16"/>
                <w:szCs w:val="16"/>
              </w:rPr>
              <w:t>40.2</w:t>
            </w:r>
          </w:p>
        </w:tc>
        <w:tc>
          <w:tcPr>
            <w:tcW w:w="232" w:type="pct"/>
            <w:tcMar>
              <w:top w:w="113" w:type="dxa"/>
              <w:left w:w="57" w:type="dxa"/>
              <w:bottom w:w="113" w:type="dxa"/>
              <w:right w:w="57" w:type="dxa"/>
            </w:tcMar>
            <w:vAlign w:val="center"/>
          </w:tcPr>
          <w:p w14:paraId="70C4745D" w14:textId="78445D3E" w:rsidR="006C7824" w:rsidRPr="00E8656C" w:rsidRDefault="006C7824" w:rsidP="005E54CB">
            <w:pPr>
              <w:pStyle w:val="Tabletextupdate"/>
              <w:framePr w:wrap="auto"/>
              <w:jc w:val="center"/>
              <w:rPr>
                <w:rFonts w:ascii="Arial" w:hAnsi="Arial" w:cs="Arial"/>
                <w:color w:val="auto"/>
                <w:sz w:val="16"/>
                <w:szCs w:val="16"/>
              </w:rPr>
            </w:pPr>
            <w:r w:rsidRPr="002605F8">
              <w:rPr>
                <w:rFonts w:ascii="Arial" w:hAnsi="Arial" w:cs="Arial"/>
                <w:sz w:val="16"/>
                <w:szCs w:val="16"/>
              </w:rPr>
              <w:t>38.9</w:t>
            </w:r>
          </w:p>
        </w:tc>
        <w:tc>
          <w:tcPr>
            <w:tcW w:w="232" w:type="pct"/>
            <w:vAlign w:val="center"/>
          </w:tcPr>
          <w:p w14:paraId="3BB103F4" w14:textId="23F465FE"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31.9</w:t>
            </w:r>
          </w:p>
        </w:tc>
        <w:tc>
          <w:tcPr>
            <w:tcW w:w="232" w:type="pct"/>
            <w:tcMar>
              <w:top w:w="113" w:type="dxa"/>
              <w:left w:w="57" w:type="dxa"/>
              <w:bottom w:w="113" w:type="dxa"/>
              <w:right w:w="57" w:type="dxa"/>
            </w:tcMar>
            <w:vAlign w:val="center"/>
          </w:tcPr>
          <w:p w14:paraId="10F17E56" w14:textId="71BA1020"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82.0</w:t>
            </w:r>
          </w:p>
        </w:tc>
        <w:tc>
          <w:tcPr>
            <w:tcW w:w="232" w:type="pct"/>
            <w:tcMar>
              <w:top w:w="113" w:type="dxa"/>
              <w:left w:w="0" w:type="dxa"/>
              <w:bottom w:w="113" w:type="dxa"/>
              <w:right w:w="57" w:type="dxa"/>
            </w:tcMar>
            <w:vAlign w:val="center"/>
          </w:tcPr>
          <w:p w14:paraId="1B8862CA" w14:textId="0A099E87"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81.7</w:t>
            </w:r>
          </w:p>
        </w:tc>
        <w:tc>
          <w:tcPr>
            <w:tcW w:w="232" w:type="pct"/>
            <w:vAlign w:val="center"/>
          </w:tcPr>
          <w:p w14:paraId="5A42A60A" w14:textId="3B77EC9A"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82.0</w:t>
            </w:r>
          </w:p>
        </w:tc>
        <w:tc>
          <w:tcPr>
            <w:tcW w:w="232" w:type="pct"/>
            <w:tcMar>
              <w:top w:w="113" w:type="dxa"/>
              <w:left w:w="57" w:type="dxa"/>
              <w:bottom w:w="113" w:type="dxa"/>
              <w:right w:w="57" w:type="dxa"/>
            </w:tcMar>
            <w:vAlign w:val="center"/>
          </w:tcPr>
          <w:p w14:paraId="49E8B27C" w14:textId="2E13611C"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75.1</w:t>
            </w:r>
          </w:p>
        </w:tc>
        <w:tc>
          <w:tcPr>
            <w:tcW w:w="232" w:type="pct"/>
            <w:tcMar>
              <w:top w:w="113" w:type="dxa"/>
              <w:left w:w="57" w:type="dxa"/>
              <w:bottom w:w="113" w:type="dxa"/>
              <w:right w:w="57" w:type="dxa"/>
            </w:tcMar>
            <w:vAlign w:val="center"/>
          </w:tcPr>
          <w:p w14:paraId="7F142B9D" w14:textId="38812E43"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69.3</w:t>
            </w:r>
          </w:p>
        </w:tc>
        <w:tc>
          <w:tcPr>
            <w:tcW w:w="232" w:type="pct"/>
            <w:vAlign w:val="center"/>
          </w:tcPr>
          <w:p w14:paraId="43DA2DCE" w14:textId="7ED73F98"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69.4</w:t>
            </w:r>
          </w:p>
        </w:tc>
        <w:tc>
          <w:tcPr>
            <w:tcW w:w="232" w:type="pct"/>
            <w:tcMar>
              <w:top w:w="113" w:type="dxa"/>
              <w:left w:w="57" w:type="dxa"/>
              <w:bottom w:w="113" w:type="dxa"/>
              <w:right w:w="57" w:type="dxa"/>
            </w:tcMar>
            <w:vAlign w:val="center"/>
          </w:tcPr>
          <w:p w14:paraId="241C16C6" w14:textId="4ED897EE"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81.3</w:t>
            </w:r>
          </w:p>
        </w:tc>
        <w:tc>
          <w:tcPr>
            <w:tcW w:w="232" w:type="pct"/>
            <w:tcMar>
              <w:top w:w="113" w:type="dxa"/>
              <w:left w:w="57" w:type="dxa"/>
              <w:bottom w:w="113" w:type="dxa"/>
              <w:right w:w="57" w:type="dxa"/>
            </w:tcMar>
            <w:vAlign w:val="center"/>
          </w:tcPr>
          <w:p w14:paraId="64A262B9" w14:textId="66496C43"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80.5</w:t>
            </w:r>
          </w:p>
        </w:tc>
        <w:tc>
          <w:tcPr>
            <w:tcW w:w="232" w:type="pct"/>
            <w:vAlign w:val="center"/>
          </w:tcPr>
          <w:p w14:paraId="44B24745" w14:textId="5C697494"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80.4</w:t>
            </w:r>
          </w:p>
        </w:tc>
        <w:tc>
          <w:tcPr>
            <w:tcW w:w="232" w:type="pct"/>
            <w:tcMar>
              <w:top w:w="113" w:type="dxa"/>
              <w:left w:w="57" w:type="dxa"/>
              <w:bottom w:w="113" w:type="dxa"/>
              <w:right w:w="57" w:type="dxa"/>
            </w:tcMar>
            <w:vAlign w:val="center"/>
          </w:tcPr>
          <w:p w14:paraId="066509C5" w14:textId="29CB2846"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77.1</w:t>
            </w:r>
          </w:p>
        </w:tc>
        <w:tc>
          <w:tcPr>
            <w:tcW w:w="232" w:type="pct"/>
            <w:tcMar>
              <w:top w:w="113" w:type="dxa"/>
              <w:left w:w="0" w:type="dxa"/>
              <w:bottom w:w="113" w:type="dxa"/>
              <w:right w:w="0" w:type="dxa"/>
            </w:tcMar>
            <w:vAlign w:val="center"/>
          </w:tcPr>
          <w:p w14:paraId="6D348D06" w14:textId="71D4C86A" w:rsidR="006C7824" w:rsidRPr="00E8656C" w:rsidRDefault="006C7824" w:rsidP="005E54CB">
            <w:pPr>
              <w:pStyle w:val="Tabletextupdate"/>
              <w:framePr w:wrap="auto"/>
              <w:jc w:val="center"/>
              <w:rPr>
                <w:rFonts w:ascii="Arial" w:hAnsi="Arial" w:cs="Arial"/>
                <w:color w:val="auto"/>
                <w:sz w:val="16"/>
                <w:szCs w:val="16"/>
              </w:rPr>
            </w:pPr>
            <w:r w:rsidRPr="00C51F0A">
              <w:rPr>
                <w:rFonts w:ascii="Arial" w:hAnsi="Arial" w:cs="Arial"/>
                <w:sz w:val="16"/>
                <w:szCs w:val="16"/>
              </w:rPr>
              <w:t>78.0</w:t>
            </w:r>
          </w:p>
        </w:tc>
        <w:tc>
          <w:tcPr>
            <w:tcW w:w="228" w:type="pct"/>
            <w:vAlign w:val="center"/>
          </w:tcPr>
          <w:p w14:paraId="141323CE" w14:textId="776D3548" w:rsidR="006C7824" w:rsidRPr="00E8656C" w:rsidRDefault="006C7824" w:rsidP="005E54CB">
            <w:pPr>
              <w:pStyle w:val="Tabletextupdate"/>
              <w:framePr w:wrap="auto"/>
              <w:jc w:val="center"/>
              <w:rPr>
                <w:rFonts w:ascii="Arial" w:hAnsi="Arial" w:cs="Arial"/>
                <w:color w:val="auto"/>
                <w:sz w:val="16"/>
                <w:szCs w:val="16"/>
              </w:rPr>
            </w:pPr>
            <w:r w:rsidRPr="00517FD9">
              <w:rPr>
                <w:rFonts w:ascii="Arial" w:hAnsi="Arial" w:cs="Arial"/>
                <w:sz w:val="16"/>
                <w:szCs w:val="16"/>
              </w:rPr>
              <w:t>79.6</w:t>
            </w:r>
          </w:p>
        </w:tc>
      </w:tr>
      <w:tr w:rsidR="0066499D" w:rsidRPr="00E8656C" w14:paraId="7B1F8B2B" w14:textId="77777777" w:rsidTr="005E54CB">
        <w:trPr>
          <w:trHeight w:val="60"/>
        </w:trPr>
        <w:tc>
          <w:tcPr>
            <w:tcW w:w="413" w:type="pct"/>
            <w:vAlign w:val="center"/>
          </w:tcPr>
          <w:p w14:paraId="7561B21B" w14:textId="77777777" w:rsidR="0066499D" w:rsidRPr="00E8656C" w:rsidRDefault="0066499D" w:rsidP="0066499D">
            <w:pPr>
              <w:pStyle w:val="Tabletextupdate"/>
              <w:framePr w:wrap="auto"/>
              <w:rPr>
                <w:rFonts w:ascii="Arial" w:hAnsi="Arial" w:cs="Arial"/>
                <w:b/>
                <w:bCs/>
                <w:color w:val="auto"/>
                <w:sz w:val="18"/>
              </w:rPr>
            </w:pPr>
          </w:p>
        </w:tc>
        <w:tc>
          <w:tcPr>
            <w:tcW w:w="415" w:type="pct"/>
            <w:tcMar>
              <w:top w:w="113" w:type="dxa"/>
              <w:left w:w="57" w:type="dxa"/>
              <w:bottom w:w="113" w:type="dxa"/>
              <w:right w:w="57" w:type="dxa"/>
            </w:tcMar>
            <w:vAlign w:val="center"/>
          </w:tcPr>
          <w:p w14:paraId="3FFAB842" w14:textId="77777777" w:rsidR="0066499D" w:rsidRPr="00E8656C" w:rsidRDefault="0066499D" w:rsidP="0066499D">
            <w:pPr>
              <w:pStyle w:val="Tabletextupdate"/>
              <w:framePr w:wrap="auto"/>
              <w:rPr>
                <w:rFonts w:ascii="Arial" w:hAnsi="Arial" w:cs="Arial"/>
                <w:b/>
                <w:bCs/>
                <w:color w:val="auto"/>
                <w:sz w:val="18"/>
              </w:rPr>
            </w:pPr>
            <w:r w:rsidRPr="00E8656C">
              <w:rPr>
                <w:rFonts w:ascii="Arial" w:hAnsi="Arial" w:cs="Arial"/>
                <w:b/>
                <w:bCs/>
                <w:color w:val="auto"/>
                <w:sz w:val="18"/>
              </w:rPr>
              <w:t>Total</w:t>
            </w:r>
          </w:p>
        </w:tc>
        <w:tc>
          <w:tcPr>
            <w:tcW w:w="232" w:type="pct"/>
            <w:tcMar>
              <w:top w:w="113" w:type="dxa"/>
              <w:left w:w="57" w:type="dxa"/>
              <w:bottom w:w="113" w:type="dxa"/>
              <w:right w:w="57" w:type="dxa"/>
            </w:tcMar>
            <w:vAlign w:val="center"/>
          </w:tcPr>
          <w:p w14:paraId="107B9EF6" w14:textId="688F01AE"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81.1</w:t>
            </w:r>
          </w:p>
        </w:tc>
        <w:tc>
          <w:tcPr>
            <w:tcW w:w="232" w:type="pct"/>
            <w:tcMar>
              <w:top w:w="113" w:type="dxa"/>
              <w:left w:w="57" w:type="dxa"/>
              <w:bottom w:w="113" w:type="dxa"/>
              <w:right w:w="57" w:type="dxa"/>
            </w:tcMar>
            <w:vAlign w:val="center"/>
          </w:tcPr>
          <w:p w14:paraId="718DF4D1" w14:textId="2CF2290A"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82.1</w:t>
            </w:r>
          </w:p>
        </w:tc>
        <w:tc>
          <w:tcPr>
            <w:tcW w:w="232" w:type="pct"/>
            <w:vAlign w:val="center"/>
          </w:tcPr>
          <w:p w14:paraId="6DF5F1A1" w14:textId="37AAF3E2"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83.1</w:t>
            </w:r>
          </w:p>
        </w:tc>
        <w:tc>
          <w:tcPr>
            <w:tcW w:w="232" w:type="pct"/>
            <w:tcMar>
              <w:top w:w="113" w:type="dxa"/>
              <w:left w:w="57" w:type="dxa"/>
              <w:bottom w:w="113" w:type="dxa"/>
              <w:right w:w="57" w:type="dxa"/>
            </w:tcMar>
            <w:vAlign w:val="center"/>
          </w:tcPr>
          <w:p w14:paraId="0F43A97F" w14:textId="20C562CE"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48.7</w:t>
            </w:r>
          </w:p>
        </w:tc>
        <w:tc>
          <w:tcPr>
            <w:tcW w:w="232" w:type="pct"/>
            <w:tcMar>
              <w:top w:w="113" w:type="dxa"/>
              <w:left w:w="57" w:type="dxa"/>
              <w:bottom w:w="113" w:type="dxa"/>
              <w:right w:w="57" w:type="dxa"/>
            </w:tcMar>
            <w:vAlign w:val="center"/>
          </w:tcPr>
          <w:p w14:paraId="31CA384A" w14:textId="05769905"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56.0</w:t>
            </w:r>
          </w:p>
        </w:tc>
        <w:tc>
          <w:tcPr>
            <w:tcW w:w="232" w:type="pct"/>
            <w:vAlign w:val="center"/>
          </w:tcPr>
          <w:p w14:paraId="35DE4FD7" w14:textId="6FAF84F0"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62.1</w:t>
            </w:r>
          </w:p>
        </w:tc>
        <w:tc>
          <w:tcPr>
            <w:tcW w:w="232" w:type="pct"/>
            <w:tcMar>
              <w:top w:w="113" w:type="dxa"/>
              <w:left w:w="57" w:type="dxa"/>
              <w:bottom w:w="113" w:type="dxa"/>
              <w:right w:w="57" w:type="dxa"/>
            </w:tcMar>
            <w:vAlign w:val="center"/>
          </w:tcPr>
          <w:p w14:paraId="2CA9C698" w14:textId="02258941"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82.1</w:t>
            </w:r>
          </w:p>
        </w:tc>
        <w:tc>
          <w:tcPr>
            <w:tcW w:w="232" w:type="pct"/>
            <w:tcMar>
              <w:top w:w="113" w:type="dxa"/>
              <w:left w:w="0" w:type="dxa"/>
              <w:bottom w:w="113" w:type="dxa"/>
              <w:right w:w="57" w:type="dxa"/>
            </w:tcMar>
            <w:vAlign w:val="center"/>
          </w:tcPr>
          <w:p w14:paraId="083486BF" w14:textId="62E00A6F"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82.5</w:t>
            </w:r>
          </w:p>
        </w:tc>
        <w:tc>
          <w:tcPr>
            <w:tcW w:w="232" w:type="pct"/>
            <w:vAlign w:val="center"/>
          </w:tcPr>
          <w:p w14:paraId="6221F279" w14:textId="57C25D2A"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82.8</w:t>
            </w:r>
          </w:p>
        </w:tc>
        <w:tc>
          <w:tcPr>
            <w:tcW w:w="232" w:type="pct"/>
            <w:tcMar>
              <w:top w:w="113" w:type="dxa"/>
              <w:left w:w="57" w:type="dxa"/>
              <w:bottom w:w="113" w:type="dxa"/>
              <w:right w:w="57" w:type="dxa"/>
            </w:tcMar>
            <w:vAlign w:val="center"/>
          </w:tcPr>
          <w:p w14:paraId="4B6008CA" w14:textId="15591DA2"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75.3</w:t>
            </w:r>
          </w:p>
        </w:tc>
        <w:tc>
          <w:tcPr>
            <w:tcW w:w="232" w:type="pct"/>
            <w:tcMar>
              <w:top w:w="113" w:type="dxa"/>
              <w:left w:w="57" w:type="dxa"/>
              <w:bottom w:w="113" w:type="dxa"/>
              <w:right w:w="57" w:type="dxa"/>
            </w:tcMar>
            <w:vAlign w:val="center"/>
          </w:tcPr>
          <w:p w14:paraId="3E3DF863" w14:textId="24080A92"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75.5</w:t>
            </w:r>
          </w:p>
        </w:tc>
        <w:tc>
          <w:tcPr>
            <w:tcW w:w="232" w:type="pct"/>
            <w:vAlign w:val="center"/>
          </w:tcPr>
          <w:p w14:paraId="6A6EC0FC" w14:textId="4AE3DA66"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76.6</w:t>
            </w:r>
          </w:p>
        </w:tc>
        <w:tc>
          <w:tcPr>
            <w:tcW w:w="232" w:type="pct"/>
            <w:tcMar>
              <w:top w:w="113" w:type="dxa"/>
              <w:left w:w="57" w:type="dxa"/>
              <w:bottom w:w="113" w:type="dxa"/>
              <w:right w:w="57" w:type="dxa"/>
            </w:tcMar>
            <w:vAlign w:val="center"/>
          </w:tcPr>
          <w:p w14:paraId="35EE6747" w14:textId="4AA23A01"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83.5</w:t>
            </w:r>
          </w:p>
        </w:tc>
        <w:tc>
          <w:tcPr>
            <w:tcW w:w="232" w:type="pct"/>
            <w:tcMar>
              <w:top w:w="113" w:type="dxa"/>
              <w:left w:w="57" w:type="dxa"/>
              <w:bottom w:w="113" w:type="dxa"/>
              <w:right w:w="57" w:type="dxa"/>
            </w:tcMar>
            <w:vAlign w:val="center"/>
          </w:tcPr>
          <w:p w14:paraId="15FCDF92" w14:textId="00586E11"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84.6</w:t>
            </w:r>
          </w:p>
        </w:tc>
        <w:tc>
          <w:tcPr>
            <w:tcW w:w="232" w:type="pct"/>
            <w:vAlign w:val="center"/>
          </w:tcPr>
          <w:p w14:paraId="2119902D" w14:textId="54F00ADB"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85.0</w:t>
            </w:r>
          </w:p>
        </w:tc>
        <w:tc>
          <w:tcPr>
            <w:tcW w:w="232" w:type="pct"/>
            <w:tcMar>
              <w:top w:w="113" w:type="dxa"/>
              <w:left w:w="57" w:type="dxa"/>
              <w:bottom w:w="113" w:type="dxa"/>
              <w:right w:w="57" w:type="dxa"/>
            </w:tcMar>
            <w:vAlign w:val="center"/>
          </w:tcPr>
          <w:p w14:paraId="6CBCC14C" w14:textId="21D7BDBE"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76.7</w:t>
            </w:r>
          </w:p>
        </w:tc>
        <w:tc>
          <w:tcPr>
            <w:tcW w:w="232" w:type="pct"/>
            <w:tcMar>
              <w:top w:w="113" w:type="dxa"/>
              <w:left w:w="0" w:type="dxa"/>
              <w:bottom w:w="113" w:type="dxa"/>
              <w:right w:w="0" w:type="dxa"/>
            </w:tcMar>
            <w:vAlign w:val="center"/>
          </w:tcPr>
          <w:p w14:paraId="20506E3B" w14:textId="75B6B10F"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77.1</w:t>
            </w:r>
          </w:p>
        </w:tc>
        <w:tc>
          <w:tcPr>
            <w:tcW w:w="228" w:type="pct"/>
            <w:vAlign w:val="center"/>
          </w:tcPr>
          <w:p w14:paraId="48A19D62" w14:textId="0F55B259" w:rsidR="0066499D" w:rsidRPr="00E8656C" w:rsidRDefault="0066499D" w:rsidP="005E54CB">
            <w:pPr>
              <w:pStyle w:val="Tabletextupdate"/>
              <w:framePr w:wrap="auto"/>
              <w:jc w:val="center"/>
              <w:rPr>
                <w:rFonts w:ascii="Arial" w:hAnsi="Arial" w:cs="Arial"/>
                <w:b/>
                <w:bCs/>
                <w:color w:val="auto"/>
                <w:sz w:val="16"/>
                <w:szCs w:val="16"/>
              </w:rPr>
            </w:pPr>
            <w:r w:rsidRPr="00E8656C">
              <w:rPr>
                <w:rFonts w:ascii="Arial" w:hAnsi="Arial" w:cs="Arial"/>
                <w:b/>
                <w:bCs/>
                <w:color w:val="auto"/>
                <w:sz w:val="16"/>
                <w:szCs w:val="16"/>
              </w:rPr>
              <w:t>76.7</w:t>
            </w:r>
          </w:p>
        </w:tc>
      </w:tr>
    </w:tbl>
    <w:p w14:paraId="460293A7" w14:textId="77777777" w:rsidR="00FB07AD" w:rsidRPr="00E8656C" w:rsidRDefault="00FB07AD" w:rsidP="0066499D">
      <w:pPr>
        <w:pStyle w:val="Noteupdate"/>
        <w:spacing w:before="240"/>
        <w:rPr>
          <w:color w:val="auto"/>
          <w:sz w:val="18"/>
          <w:szCs w:val="18"/>
        </w:rPr>
      </w:pPr>
      <w:r w:rsidRPr="00E8656C">
        <w:rPr>
          <w:color w:val="auto"/>
          <w:sz w:val="18"/>
          <w:szCs w:val="18"/>
        </w:rPr>
        <w:t>* Internal mode of attendance is where (</w:t>
      </w:r>
      <w:proofErr w:type="spellStart"/>
      <w:r w:rsidRPr="00E8656C">
        <w:rPr>
          <w:color w:val="auto"/>
          <w:sz w:val="18"/>
          <w:szCs w:val="18"/>
        </w:rPr>
        <w:t>i</w:t>
      </w:r>
      <w:proofErr w:type="spellEnd"/>
      <w:r w:rsidRPr="00E8656C">
        <w:rPr>
          <w:color w:val="auto"/>
          <w:sz w:val="18"/>
          <w:szCs w:val="18"/>
        </w:rPr>
        <w:t>) the study is undertaken through attendance at the higher education provider on a regular basis, or (ii) for higher degree unit enrolments, where regular attendance is not required but the student attends the higher education provider on an agreed schedule for the purposes of supervision and/or instruction. External mode of attendance is where lesson materials, assignments, etc. are delivered to the student, and any associated attendance at the institution is of an incidental, irregular, special or voluntary nature. Multi-mode of attendance is where study is undertaken partially on an internal mode of attendance and partially on an external mode of attendance.</w:t>
      </w:r>
    </w:p>
    <w:p w14:paraId="6BE745C8" w14:textId="77777777" w:rsidR="00FB07AD" w:rsidRPr="00E8656C" w:rsidRDefault="00FB07AD" w:rsidP="00FB07AD">
      <w:pPr>
        <w:pStyle w:val="Noteupdate"/>
        <w:rPr>
          <w:color w:val="auto"/>
          <w:sz w:val="18"/>
          <w:szCs w:val="18"/>
        </w:rPr>
      </w:pPr>
      <w:r w:rsidRPr="00E8656C">
        <w:rPr>
          <w:color w:val="auto"/>
          <w:sz w:val="18"/>
          <w:szCs w:val="18"/>
        </w:rPr>
        <w:t>** First Nations, socio-economic, and locality data reflect values for domestic students only, excluding international students. The remaining demographic and equity groups include all students, both domestic and international.</w:t>
      </w:r>
    </w:p>
    <w:p w14:paraId="226CFAE0" w14:textId="77777777" w:rsidR="00FB07AD" w:rsidRPr="00E8656C" w:rsidRDefault="00FB07AD" w:rsidP="00FB07AD">
      <w:pPr>
        <w:pStyle w:val="Noteupdate"/>
        <w:rPr>
          <w:color w:val="auto"/>
          <w:sz w:val="18"/>
          <w:szCs w:val="18"/>
        </w:rPr>
      </w:pPr>
      <w:r w:rsidRPr="00E8656C">
        <w:rPr>
          <w:color w:val="auto"/>
          <w:sz w:val="18"/>
          <w:szCs w:val="18"/>
        </w:rPr>
        <w:t xml:space="preserve">*** Home language other than English refers to graduates who arrived in Australia less than 10 years prior to the year in which the data was </w:t>
      </w:r>
      <w:proofErr w:type="gramStart"/>
      <w:r w:rsidRPr="00E8656C">
        <w:rPr>
          <w:color w:val="auto"/>
          <w:sz w:val="18"/>
          <w:szCs w:val="18"/>
        </w:rPr>
        <w:t>collected, and</w:t>
      </w:r>
      <w:proofErr w:type="gramEnd"/>
      <w:r w:rsidRPr="00E8656C">
        <w:rPr>
          <w:color w:val="auto"/>
          <w:sz w:val="18"/>
          <w:szCs w:val="18"/>
        </w:rPr>
        <w:t xml:space="preserve"> comes from a home where a language other than English is spoken. This information is reported by institutions through the TCSI system. Data presented here includes both domestic and international student responses.</w:t>
      </w:r>
    </w:p>
    <w:p w14:paraId="49E12889" w14:textId="522EB604" w:rsidR="00FB07AD" w:rsidRPr="00E8656C" w:rsidRDefault="00FB07AD" w:rsidP="00FB07AD">
      <w:pPr>
        <w:pStyle w:val="Noteupdate"/>
        <w:rPr>
          <w:color w:val="auto"/>
          <w:sz w:val="18"/>
          <w:szCs w:val="18"/>
        </w:rPr>
      </w:pPr>
      <w:r w:rsidRPr="00E8656C">
        <w:rPr>
          <w:color w:val="auto"/>
          <w:sz w:val="18"/>
          <w:szCs w:val="18"/>
        </w:rPr>
        <w:t xml:space="preserve">**** First in family refers to students commencing a </w:t>
      </w:r>
      <w:proofErr w:type="gramStart"/>
      <w:r w:rsidRPr="00E8656C">
        <w:rPr>
          <w:color w:val="auto"/>
          <w:sz w:val="18"/>
          <w:szCs w:val="18"/>
        </w:rPr>
        <w:t>bachelor</w:t>
      </w:r>
      <w:proofErr w:type="gramEnd"/>
      <w:r w:rsidRPr="00E8656C">
        <w:rPr>
          <w:color w:val="auto"/>
          <w:sz w:val="18"/>
          <w:szCs w:val="18"/>
        </w:rPr>
        <w:t xml:space="preserve"> degree level qualification when their parent(s) or guardian(s) have not. Based on the highest level of educational attainment of a student’s parent(s) or guardian(s) as identified by the student. This information is reported by institutions through the Tertiary Collection of Student Information (TCSI) system.</w:t>
      </w:r>
      <w:r w:rsidR="006F7F90" w:rsidRPr="00E8656C">
        <w:rPr>
          <w:color w:val="auto"/>
          <w:sz w:val="18"/>
          <w:szCs w:val="18"/>
        </w:rPr>
        <w:t xml:space="preserve"> </w:t>
      </w:r>
    </w:p>
    <w:p w14:paraId="5DDCDC58" w14:textId="0B197330" w:rsidR="00FB07AD" w:rsidRPr="00E8656C" w:rsidRDefault="004209D3" w:rsidP="00FB07AD">
      <w:pPr>
        <w:pStyle w:val="Noteupdate"/>
        <w:rPr>
          <w:color w:val="auto"/>
          <w:sz w:val="18"/>
          <w:szCs w:val="18"/>
        </w:rPr>
      </w:pPr>
      <w:r w:rsidRPr="00E8656C">
        <w:rPr>
          <w:color w:val="auto"/>
          <w:sz w:val="18"/>
          <w:szCs w:val="18"/>
        </w:rPr>
        <w:t>**</w:t>
      </w:r>
      <w:r w:rsidR="00FB07AD" w:rsidRPr="00E8656C">
        <w:rPr>
          <w:color w:val="auto"/>
          <w:sz w:val="18"/>
          <w:szCs w:val="18"/>
        </w:rPr>
        <w:t>† Socio-economic status and Location are derived from students’ permanent home residence against the 2011 SEIFA Index of Education and Occupation by postal area.</w:t>
      </w:r>
    </w:p>
    <w:p w14:paraId="7CFE0E3B" w14:textId="77777777" w:rsidR="00FB07AD" w:rsidRPr="00E8656C" w:rsidRDefault="00FB07AD" w:rsidP="00FB07AD">
      <w:pPr>
        <w:pStyle w:val="Noteupdate"/>
        <w:rPr>
          <w:color w:val="auto"/>
          <w:sz w:val="18"/>
          <w:szCs w:val="18"/>
        </w:rPr>
      </w:pPr>
      <w:r w:rsidRPr="00E8656C">
        <w:rPr>
          <w:color w:val="auto"/>
          <w:sz w:val="18"/>
          <w:szCs w:val="18"/>
        </w:rPr>
        <w:t>†† Some sub-groups may not add to 100 per cent due to rounding.</w:t>
      </w:r>
    </w:p>
    <w:p w14:paraId="396BAFB8" w14:textId="77777777" w:rsidR="00FB20BC" w:rsidRPr="00E8656C" w:rsidRDefault="00FB20BC" w:rsidP="00FB20BC">
      <w:pPr>
        <w:pStyle w:val="Noteupdate"/>
        <w:rPr>
          <w:color w:val="auto"/>
          <w:sz w:val="18"/>
          <w:szCs w:val="18"/>
          <w:lang w:val="en-AU"/>
        </w:rPr>
      </w:pPr>
      <w:r w:rsidRPr="00E8656C">
        <w:rPr>
          <w:color w:val="auto"/>
          <w:sz w:val="18"/>
          <w:szCs w:val="18"/>
        </w:rPr>
        <w:t xml:space="preserve">Source: </w:t>
      </w:r>
      <w:r w:rsidRPr="00E8656C">
        <w:rPr>
          <w:color w:val="auto"/>
          <w:sz w:val="18"/>
          <w:szCs w:val="18"/>
          <w:lang w:val="en-AU"/>
        </w:rPr>
        <w:t>FOCUS_PGC_ALL_17-YY_SG</w:t>
      </w:r>
    </w:p>
    <w:p w14:paraId="63EEF6D9" w14:textId="1C928A83" w:rsidR="00DD5527" w:rsidRPr="00E8656C" w:rsidRDefault="00DD5527">
      <w:pPr>
        <w:spacing w:after="160" w:line="259" w:lineRule="auto"/>
        <w:rPr>
          <w:rFonts w:eastAsiaTheme="minorEastAsia" w:cs="Arial"/>
          <w:spacing w:val="1"/>
          <w:sz w:val="18"/>
          <w:lang w:val="en-GB"/>
        </w:rPr>
      </w:pPr>
      <w:r w:rsidRPr="00E8656C">
        <w:rPr>
          <w:rFonts w:cs="Arial"/>
          <w:sz w:val="22"/>
          <w:szCs w:val="20"/>
        </w:rPr>
        <w:br w:type="page"/>
      </w:r>
    </w:p>
    <w:p w14:paraId="68088480" w14:textId="77777777" w:rsidR="0066499D" w:rsidRPr="00E8656C" w:rsidRDefault="0066499D" w:rsidP="00BE5305">
      <w:pPr>
        <w:pStyle w:val="Noteupdate"/>
        <w:rPr>
          <w:color w:val="auto"/>
        </w:rPr>
        <w:sectPr w:rsidR="0066499D" w:rsidRPr="00E8656C" w:rsidSect="0066499D">
          <w:headerReference w:type="default" r:id="rId98"/>
          <w:pgSz w:w="16838" w:h="11906" w:orient="landscape" w:code="9"/>
          <w:pgMar w:top="720" w:right="720" w:bottom="720" w:left="720" w:header="567" w:footer="567" w:gutter="0"/>
          <w:cols w:space="708"/>
          <w:docGrid w:linePitch="360"/>
        </w:sectPr>
      </w:pPr>
    </w:p>
    <w:p w14:paraId="3CD877AA" w14:textId="77777777" w:rsidR="00FB20BC" w:rsidRPr="00E8656C" w:rsidRDefault="00FB20BC" w:rsidP="00BE5305">
      <w:pPr>
        <w:pStyle w:val="Noteupdate"/>
        <w:rPr>
          <w:color w:val="auto"/>
        </w:rPr>
      </w:pPr>
    </w:p>
    <w:p w14:paraId="44C05909" w14:textId="32D6E06B" w:rsidR="005E3F94" w:rsidRPr="00E8656C" w:rsidRDefault="005E3F94" w:rsidP="0066499D">
      <w:pPr>
        <w:pStyle w:val="Appendix2"/>
      </w:pPr>
      <w:bookmarkStart w:id="139" w:name="_Toc207802619"/>
      <w:r w:rsidRPr="00E8656C">
        <w:t>Other aspects of the student experience</w:t>
      </w:r>
      <w:bookmarkEnd w:id="139"/>
    </w:p>
    <w:p w14:paraId="2566DD75" w14:textId="1725B150" w:rsidR="005E3F94" w:rsidRPr="00E8656C" w:rsidRDefault="005E3F94" w:rsidP="00AC1207">
      <w:pPr>
        <w:pStyle w:val="Appendix3"/>
      </w:pPr>
      <w:bookmarkStart w:id="140" w:name="_Toc207802620"/>
      <w:r w:rsidRPr="00E8656C">
        <w:t>Sense of belonging</w:t>
      </w:r>
      <w:bookmarkEnd w:id="140"/>
    </w:p>
    <w:p w14:paraId="2C2F5766" w14:textId="429B4F58" w:rsidR="005E3F94" w:rsidRPr="00E8656C" w:rsidRDefault="005E3F94" w:rsidP="00695177">
      <w:pPr>
        <w:pStyle w:val="Caption"/>
      </w:pPr>
    </w:p>
    <w:p w14:paraId="12CE452B" w14:textId="65CD6780" w:rsidR="008527D9" w:rsidRPr="00E8656C" w:rsidRDefault="008527D9" w:rsidP="00695177">
      <w:pPr>
        <w:pStyle w:val="Caption"/>
      </w:pPr>
      <w:bookmarkStart w:id="141" w:name="_Toc201065423"/>
      <w:r w:rsidRPr="00E8656C">
        <w:t xml:space="preserve">Table </w:t>
      </w:r>
      <w:r w:rsidRPr="00E8656C">
        <w:fldChar w:fldCharType="begin"/>
      </w:r>
      <w:r w:rsidRPr="00E8656C">
        <w:instrText xml:space="preserve"> SEQ Table \* ARABIC </w:instrText>
      </w:r>
      <w:r w:rsidRPr="00E8656C">
        <w:fldChar w:fldCharType="separate"/>
      </w:r>
      <w:r w:rsidRPr="00E8656C">
        <w:rPr>
          <w:noProof/>
        </w:rPr>
        <w:t>6</w:t>
      </w:r>
      <w:r w:rsidRPr="00E8656C">
        <w:rPr>
          <w:noProof/>
        </w:rPr>
        <w:fldChar w:fldCharType="end"/>
      </w:r>
      <w:r w:rsidR="00021A08" w:rsidRPr="00E8656C">
        <w:tab/>
      </w:r>
      <w:r w:rsidRPr="00E8656C">
        <w:t>Undergraduate sense of belonging to institution, 2017–24 (% positive rating)</w:t>
      </w:r>
      <w:bookmarkEnd w:id="141"/>
    </w:p>
    <w:tbl>
      <w:tblPr>
        <w:tblpPr w:leftFromText="180" w:rightFromText="180" w:vertAnchor="text" w:tblpY="1"/>
        <w:tblOverlap w:val="never"/>
        <w:tblW w:w="5000" w:type="pct"/>
        <w:tblLayout w:type="fixed"/>
        <w:tblCellMar>
          <w:top w:w="57" w:type="dxa"/>
          <w:left w:w="57" w:type="dxa"/>
          <w:bottom w:w="57" w:type="dxa"/>
          <w:right w:w="57" w:type="dxa"/>
        </w:tblCellMar>
        <w:tblLook w:val="0000" w:firstRow="0" w:lastRow="0" w:firstColumn="0" w:lastColumn="0" w:noHBand="0" w:noVBand="0"/>
      </w:tblPr>
      <w:tblGrid>
        <w:gridCol w:w="1555"/>
        <w:gridCol w:w="2045"/>
        <w:gridCol w:w="862"/>
        <w:gridCol w:w="862"/>
        <w:gridCol w:w="862"/>
        <w:gridCol w:w="862"/>
        <w:gridCol w:w="862"/>
        <w:gridCol w:w="862"/>
        <w:gridCol w:w="845"/>
        <w:gridCol w:w="839"/>
      </w:tblGrid>
      <w:tr w:rsidR="00021A08" w:rsidRPr="00E8656C" w14:paraId="0B1FFF5B" w14:textId="77777777" w:rsidTr="00021A08">
        <w:trPr>
          <w:trHeight w:val="558"/>
          <w:tblHeader/>
        </w:trPr>
        <w:tc>
          <w:tcPr>
            <w:tcW w:w="744" w:type="pct"/>
            <w:tcBorders>
              <w:top w:val="single" w:sz="4" w:space="0" w:color="000000"/>
              <w:left w:val="single" w:sz="4" w:space="0" w:color="000000"/>
              <w:right w:val="single" w:sz="4" w:space="0" w:color="000000"/>
            </w:tcBorders>
            <w:vAlign w:val="center"/>
          </w:tcPr>
          <w:p w14:paraId="4443D643" w14:textId="77777777" w:rsidR="00021A08" w:rsidRPr="00E8656C" w:rsidRDefault="00021A08" w:rsidP="00021A08">
            <w:pPr>
              <w:pStyle w:val="Tabletextupdate"/>
              <w:framePr w:wrap="auto"/>
              <w:jc w:val="center"/>
              <w:rPr>
                <w:rFonts w:ascii="Arial" w:hAnsi="Arial" w:cs="Arial"/>
                <w:color w:val="auto"/>
              </w:rPr>
            </w:pPr>
            <w:bookmarkStart w:id="142" w:name="Title_6"/>
            <w:bookmarkEnd w:id="142"/>
          </w:p>
        </w:tc>
        <w:tc>
          <w:tcPr>
            <w:tcW w:w="978" w:type="pct"/>
            <w:tcBorders>
              <w:top w:val="single" w:sz="4" w:space="0" w:color="000000"/>
              <w:left w:val="single" w:sz="4" w:space="0" w:color="000000"/>
              <w:right w:val="single" w:sz="4" w:space="0" w:color="000000"/>
            </w:tcBorders>
            <w:vAlign w:val="center"/>
          </w:tcPr>
          <w:p w14:paraId="2F38AA1D" w14:textId="30804780" w:rsidR="00021A08" w:rsidRPr="005E54CB" w:rsidRDefault="00021A08" w:rsidP="00021A08">
            <w:pPr>
              <w:pStyle w:val="Tabletextupdate"/>
              <w:framePr w:wrap="auto"/>
              <w:jc w:val="center"/>
              <w:rPr>
                <w:rFonts w:ascii="Arial" w:hAnsi="Arial" w:cs="Arial"/>
                <w:b/>
                <w:bCs/>
                <w:color w:val="auto"/>
              </w:rPr>
            </w:pPr>
          </w:p>
        </w:tc>
        <w:tc>
          <w:tcPr>
            <w:tcW w:w="412" w:type="pct"/>
            <w:tcBorders>
              <w:top w:val="single" w:sz="4" w:space="0" w:color="000000"/>
              <w:left w:val="single" w:sz="4" w:space="0" w:color="000000"/>
              <w:right w:val="single" w:sz="4" w:space="0" w:color="000000"/>
            </w:tcBorders>
            <w:vAlign w:val="center"/>
          </w:tcPr>
          <w:p w14:paraId="2BE2EE02" w14:textId="77777777" w:rsidR="00021A08" w:rsidRPr="00E8656C" w:rsidRDefault="00021A08" w:rsidP="00021A08">
            <w:pPr>
              <w:pStyle w:val="Tabletextupdate"/>
              <w:framePr w:wrap="auto"/>
              <w:jc w:val="center"/>
              <w:rPr>
                <w:rFonts w:ascii="Arial" w:hAnsi="Arial" w:cs="Arial"/>
                <w:color w:val="auto"/>
              </w:rPr>
            </w:pPr>
            <w:r w:rsidRPr="00E8656C">
              <w:rPr>
                <w:rFonts w:ascii="Arial" w:hAnsi="Arial" w:cs="Arial"/>
                <w:b/>
                <w:bCs/>
                <w:color w:val="auto"/>
              </w:rPr>
              <w:t>2017</w:t>
            </w:r>
          </w:p>
        </w:tc>
        <w:tc>
          <w:tcPr>
            <w:tcW w:w="412" w:type="pct"/>
            <w:tcBorders>
              <w:top w:val="single" w:sz="4" w:space="0" w:color="000000"/>
              <w:left w:val="single" w:sz="4" w:space="0" w:color="000000"/>
              <w:right w:val="single" w:sz="4" w:space="0" w:color="000000"/>
            </w:tcBorders>
            <w:vAlign w:val="center"/>
          </w:tcPr>
          <w:p w14:paraId="3BD1838A" w14:textId="77777777" w:rsidR="00021A08" w:rsidRPr="00E8656C" w:rsidRDefault="00021A08" w:rsidP="00021A08">
            <w:pPr>
              <w:pStyle w:val="Tabletextupdate"/>
              <w:framePr w:wrap="auto"/>
              <w:jc w:val="center"/>
              <w:rPr>
                <w:rFonts w:ascii="Arial" w:hAnsi="Arial" w:cs="Arial"/>
                <w:b/>
                <w:bCs/>
                <w:color w:val="auto"/>
              </w:rPr>
            </w:pPr>
            <w:r w:rsidRPr="00E8656C">
              <w:rPr>
                <w:rFonts w:ascii="Arial" w:hAnsi="Arial" w:cs="Arial"/>
                <w:b/>
                <w:bCs/>
                <w:color w:val="auto"/>
              </w:rPr>
              <w:t>2018</w:t>
            </w:r>
          </w:p>
        </w:tc>
        <w:tc>
          <w:tcPr>
            <w:tcW w:w="412" w:type="pct"/>
            <w:tcBorders>
              <w:top w:val="single" w:sz="4" w:space="0" w:color="000000"/>
              <w:left w:val="single" w:sz="4" w:space="0" w:color="000000"/>
              <w:right w:val="single" w:sz="4" w:space="0" w:color="000000"/>
            </w:tcBorders>
            <w:vAlign w:val="center"/>
          </w:tcPr>
          <w:p w14:paraId="6FB0238A" w14:textId="77777777" w:rsidR="00021A08" w:rsidRPr="00E8656C" w:rsidRDefault="00021A08" w:rsidP="00021A08">
            <w:pPr>
              <w:pStyle w:val="Tabletextupdate"/>
              <w:framePr w:wrap="auto"/>
              <w:jc w:val="center"/>
              <w:rPr>
                <w:rFonts w:ascii="Arial" w:hAnsi="Arial" w:cs="Arial"/>
                <w:b/>
                <w:bCs/>
                <w:color w:val="auto"/>
              </w:rPr>
            </w:pPr>
            <w:r w:rsidRPr="00E8656C">
              <w:rPr>
                <w:rFonts w:ascii="Arial" w:hAnsi="Arial" w:cs="Arial"/>
                <w:b/>
                <w:bCs/>
                <w:color w:val="auto"/>
              </w:rPr>
              <w:t>2019</w:t>
            </w:r>
          </w:p>
        </w:tc>
        <w:tc>
          <w:tcPr>
            <w:tcW w:w="412" w:type="pct"/>
            <w:tcBorders>
              <w:top w:val="single" w:sz="4" w:space="0" w:color="000000"/>
              <w:left w:val="single" w:sz="4" w:space="0" w:color="000000"/>
              <w:right w:val="single" w:sz="4" w:space="0" w:color="000000"/>
            </w:tcBorders>
            <w:vAlign w:val="center"/>
          </w:tcPr>
          <w:p w14:paraId="5350603D" w14:textId="77777777" w:rsidR="00021A08" w:rsidRPr="00E8656C" w:rsidRDefault="00021A08" w:rsidP="00021A08">
            <w:pPr>
              <w:pStyle w:val="Tabletextupdate"/>
              <w:framePr w:wrap="auto"/>
              <w:jc w:val="center"/>
              <w:rPr>
                <w:rFonts w:ascii="Arial" w:hAnsi="Arial" w:cs="Arial"/>
                <w:b/>
                <w:bCs/>
                <w:color w:val="auto"/>
              </w:rPr>
            </w:pPr>
            <w:r w:rsidRPr="00E8656C">
              <w:rPr>
                <w:rFonts w:ascii="Arial" w:hAnsi="Arial" w:cs="Arial"/>
                <w:b/>
                <w:bCs/>
                <w:color w:val="auto"/>
              </w:rPr>
              <w:t>2020</w:t>
            </w:r>
          </w:p>
        </w:tc>
        <w:tc>
          <w:tcPr>
            <w:tcW w:w="412" w:type="pct"/>
            <w:tcBorders>
              <w:top w:val="single" w:sz="4" w:space="0" w:color="000000"/>
              <w:left w:val="single" w:sz="4" w:space="0" w:color="000000"/>
              <w:right w:val="single" w:sz="4" w:space="0" w:color="000000"/>
            </w:tcBorders>
            <w:vAlign w:val="center"/>
          </w:tcPr>
          <w:p w14:paraId="4D88EEC8" w14:textId="77777777" w:rsidR="00021A08" w:rsidRPr="00E8656C" w:rsidRDefault="00021A08" w:rsidP="00021A08">
            <w:pPr>
              <w:pStyle w:val="Tabletextupdate"/>
              <w:framePr w:wrap="auto"/>
              <w:jc w:val="center"/>
              <w:rPr>
                <w:rFonts w:ascii="Arial" w:hAnsi="Arial" w:cs="Arial"/>
                <w:b/>
                <w:bCs/>
                <w:color w:val="auto"/>
              </w:rPr>
            </w:pPr>
            <w:r w:rsidRPr="00E8656C">
              <w:rPr>
                <w:rFonts w:ascii="Arial" w:hAnsi="Arial" w:cs="Arial"/>
                <w:b/>
                <w:bCs/>
                <w:color w:val="auto"/>
              </w:rPr>
              <w:t>2021</w:t>
            </w:r>
          </w:p>
        </w:tc>
        <w:tc>
          <w:tcPr>
            <w:tcW w:w="412" w:type="pct"/>
            <w:tcBorders>
              <w:top w:val="single" w:sz="4" w:space="0" w:color="000000"/>
              <w:left w:val="single" w:sz="4" w:space="0" w:color="000000"/>
              <w:right w:val="single" w:sz="4" w:space="0" w:color="000000"/>
            </w:tcBorders>
            <w:vAlign w:val="center"/>
          </w:tcPr>
          <w:p w14:paraId="193D5AB5" w14:textId="77777777" w:rsidR="00021A08" w:rsidRPr="00E8656C" w:rsidRDefault="00021A08" w:rsidP="00021A08">
            <w:pPr>
              <w:pStyle w:val="Tabletextupdate"/>
              <w:framePr w:wrap="auto"/>
              <w:jc w:val="center"/>
              <w:rPr>
                <w:rFonts w:ascii="Arial" w:hAnsi="Arial" w:cs="Arial"/>
                <w:b/>
                <w:bCs/>
                <w:color w:val="auto"/>
              </w:rPr>
            </w:pPr>
            <w:r w:rsidRPr="00E8656C">
              <w:rPr>
                <w:rFonts w:ascii="Arial" w:hAnsi="Arial" w:cs="Arial"/>
                <w:b/>
                <w:bCs/>
                <w:color w:val="auto"/>
              </w:rPr>
              <w:t>2022</w:t>
            </w:r>
          </w:p>
        </w:tc>
        <w:tc>
          <w:tcPr>
            <w:tcW w:w="404" w:type="pct"/>
            <w:tcBorders>
              <w:top w:val="single" w:sz="4" w:space="0" w:color="000000"/>
              <w:left w:val="single" w:sz="4" w:space="0" w:color="000000"/>
              <w:right w:val="single" w:sz="4" w:space="0" w:color="000000"/>
            </w:tcBorders>
            <w:vAlign w:val="center"/>
          </w:tcPr>
          <w:p w14:paraId="61CD8261" w14:textId="77777777" w:rsidR="00021A08" w:rsidRPr="00E8656C" w:rsidRDefault="00021A08" w:rsidP="00021A08">
            <w:pPr>
              <w:pStyle w:val="Tabletextupdate"/>
              <w:framePr w:wrap="auto"/>
              <w:jc w:val="center"/>
              <w:rPr>
                <w:rFonts w:ascii="Arial" w:hAnsi="Arial" w:cs="Arial"/>
                <w:b/>
                <w:bCs/>
                <w:color w:val="auto"/>
              </w:rPr>
            </w:pPr>
            <w:r w:rsidRPr="00E8656C">
              <w:rPr>
                <w:rFonts w:ascii="Arial" w:hAnsi="Arial" w:cs="Arial"/>
                <w:b/>
                <w:bCs/>
                <w:color w:val="auto"/>
              </w:rPr>
              <w:t>2023</w:t>
            </w:r>
          </w:p>
        </w:tc>
        <w:tc>
          <w:tcPr>
            <w:tcW w:w="401" w:type="pct"/>
            <w:tcBorders>
              <w:top w:val="single" w:sz="4" w:space="0" w:color="000000"/>
              <w:left w:val="single" w:sz="4" w:space="0" w:color="000000"/>
              <w:right w:val="single" w:sz="4" w:space="0" w:color="000000"/>
            </w:tcBorders>
            <w:vAlign w:val="center"/>
          </w:tcPr>
          <w:p w14:paraId="240FBF06" w14:textId="77777777" w:rsidR="00021A08" w:rsidRPr="00E8656C" w:rsidRDefault="00021A08" w:rsidP="00021A08">
            <w:pPr>
              <w:pStyle w:val="Tabletextupdate"/>
              <w:framePr w:wrap="auto"/>
              <w:jc w:val="center"/>
              <w:rPr>
                <w:rFonts w:ascii="Arial" w:hAnsi="Arial" w:cs="Arial"/>
                <w:b/>
                <w:bCs/>
                <w:color w:val="auto"/>
              </w:rPr>
            </w:pPr>
            <w:r w:rsidRPr="00E8656C">
              <w:rPr>
                <w:rFonts w:ascii="Arial" w:hAnsi="Arial" w:cs="Arial"/>
                <w:b/>
                <w:bCs/>
                <w:color w:val="auto"/>
              </w:rPr>
              <w:t>2024</w:t>
            </w:r>
          </w:p>
        </w:tc>
      </w:tr>
      <w:tr w:rsidR="004D7A82" w:rsidRPr="00E8656C" w14:paraId="154F28F2" w14:textId="77777777" w:rsidTr="005E54CB">
        <w:trPr>
          <w:trHeight w:val="60"/>
        </w:trPr>
        <w:tc>
          <w:tcPr>
            <w:tcW w:w="744" w:type="pct"/>
            <w:tcBorders>
              <w:top w:val="single" w:sz="4" w:space="0" w:color="000000"/>
              <w:left w:val="single" w:sz="4" w:space="0" w:color="000000"/>
              <w:bottom w:val="single" w:sz="4" w:space="0" w:color="auto"/>
              <w:right w:val="single" w:sz="4" w:space="0" w:color="000000"/>
            </w:tcBorders>
          </w:tcPr>
          <w:p w14:paraId="6594060C" w14:textId="77777777" w:rsidR="005E3F94" w:rsidRPr="00E8656C" w:rsidRDefault="005E3F94" w:rsidP="00893F25">
            <w:pPr>
              <w:pStyle w:val="Tabletextupdate"/>
              <w:framePr w:wrap="auto"/>
              <w:rPr>
                <w:rFonts w:ascii="Arial" w:hAnsi="Arial" w:cs="Arial"/>
                <w:b/>
                <w:bCs/>
                <w:color w:val="auto"/>
              </w:rPr>
            </w:pPr>
            <w:r w:rsidRPr="00E8656C">
              <w:rPr>
                <w:rFonts w:ascii="Arial" w:hAnsi="Arial" w:cs="Arial"/>
                <w:b/>
                <w:bCs/>
                <w:color w:val="auto"/>
              </w:rPr>
              <w:t>Stage of studies</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7AB8D8D7"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Commencing</w:t>
            </w:r>
          </w:p>
        </w:tc>
        <w:tc>
          <w:tcPr>
            <w:tcW w:w="412" w:type="pct"/>
            <w:tcBorders>
              <w:top w:val="single" w:sz="4" w:space="0" w:color="000000"/>
              <w:left w:val="single" w:sz="4" w:space="0" w:color="000000"/>
              <w:bottom w:val="single" w:sz="4" w:space="0" w:color="000000"/>
              <w:right w:val="single" w:sz="4" w:space="0" w:color="000000"/>
            </w:tcBorders>
            <w:vAlign w:val="center"/>
          </w:tcPr>
          <w:p w14:paraId="2063B22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52.7</w:t>
            </w:r>
          </w:p>
        </w:tc>
        <w:tc>
          <w:tcPr>
            <w:tcW w:w="412" w:type="pct"/>
            <w:tcBorders>
              <w:top w:val="single" w:sz="4" w:space="0" w:color="000000"/>
              <w:left w:val="single" w:sz="4" w:space="0" w:color="000000"/>
              <w:bottom w:val="single" w:sz="4" w:space="0" w:color="000000"/>
              <w:right w:val="single" w:sz="4" w:space="0" w:color="000000"/>
            </w:tcBorders>
            <w:vAlign w:val="center"/>
          </w:tcPr>
          <w:p w14:paraId="2BB77524"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54.3</w:t>
            </w:r>
          </w:p>
        </w:tc>
        <w:tc>
          <w:tcPr>
            <w:tcW w:w="412" w:type="pct"/>
            <w:tcBorders>
              <w:top w:val="single" w:sz="4" w:space="0" w:color="000000"/>
              <w:left w:val="single" w:sz="4" w:space="0" w:color="000000"/>
              <w:bottom w:val="single" w:sz="4" w:space="0" w:color="000000"/>
              <w:right w:val="single" w:sz="4" w:space="0" w:color="000000"/>
            </w:tcBorders>
            <w:vAlign w:val="center"/>
          </w:tcPr>
          <w:p w14:paraId="3815A52B"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53.5</w:t>
            </w:r>
          </w:p>
        </w:tc>
        <w:tc>
          <w:tcPr>
            <w:tcW w:w="412" w:type="pct"/>
            <w:tcBorders>
              <w:top w:val="single" w:sz="4" w:space="0" w:color="000000"/>
              <w:left w:val="single" w:sz="4" w:space="0" w:color="000000"/>
              <w:bottom w:val="single" w:sz="4" w:space="0" w:color="000000"/>
              <w:right w:val="single" w:sz="4" w:space="0" w:color="000000"/>
            </w:tcBorders>
            <w:vAlign w:val="center"/>
          </w:tcPr>
          <w:p w14:paraId="316E3A37"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41.8</w:t>
            </w:r>
          </w:p>
        </w:tc>
        <w:tc>
          <w:tcPr>
            <w:tcW w:w="412" w:type="pct"/>
            <w:tcBorders>
              <w:top w:val="single" w:sz="4" w:space="0" w:color="000000"/>
              <w:left w:val="single" w:sz="4" w:space="0" w:color="000000"/>
              <w:bottom w:val="single" w:sz="4" w:space="0" w:color="000000"/>
              <w:right w:val="single" w:sz="4" w:space="0" w:color="000000"/>
            </w:tcBorders>
            <w:vAlign w:val="center"/>
          </w:tcPr>
          <w:p w14:paraId="6CBC106B"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44.4</w:t>
            </w:r>
          </w:p>
        </w:tc>
        <w:tc>
          <w:tcPr>
            <w:tcW w:w="412" w:type="pct"/>
            <w:tcBorders>
              <w:top w:val="single" w:sz="4" w:space="0" w:color="000000"/>
              <w:left w:val="single" w:sz="4" w:space="0" w:color="000000"/>
              <w:bottom w:val="single" w:sz="4" w:space="0" w:color="000000"/>
              <w:right w:val="single" w:sz="4" w:space="0" w:color="000000"/>
            </w:tcBorders>
            <w:vAlign w:val="center"/>
          </w:tcPr>
          <w:p w14:paraId="05CEBACE"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49.3</w:t>
            </w:r>
          </w:p>
        </w:tc>
        <w:tc>
          <w:tcPr>
            <w:tcW w:w="404" w:type="pct"/>
            <w:tcBorders>
              <w:top w:val="single" w:sz="4" w:space="0" w:color="000000"/>
              <w:left w:val="single" w:sz="4" w:space="0" w:color="000000"/>
              <w:bottom w:val="single" w:sz="4" w:space="0" w:color="000000"/>
              <w:right w:val="single" w:sz="4" w:space="0" w:color="000000"/>
            </w:tcBorders>
            <w:vAlign w:val="center"/>
          </w:tcPr>
          <w:p w14:paraId="66E133E5"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49.8</w:t>
            </w:r>
          </w:p>
        </w:tc>
        <w:tc>
          <w:tcPr>
            <w:tcW w:w="401" w:type="pct"/>
            <w:tcBorders>
              <w:top w:val="single" w:sz="4" w:space="0" w:color="000000"/>
              <w:left w:val="single" w:sz="4" w:space="0" w:color="000000"/>
              <w:bottom w:val="single" w:sz="4" w:space="0" w:color="000000"/>
              <w:right w:val="single" w:sz="4" w:space="0" w:color="000000"/>
            </w:tcBorders>
            <w:vAlign w:val="center"/>
          </w:tcPr>
          <w:p w14:paraId="6890C7D5"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48.8</w:t>
            </w:r>
          </w:p>
        </w:tc>
      </w:tr>
      <w:tr w:rsidR="004D7A82" w:rsidRPr="00E8656C" w14:paraId="4DA62624" w14:textId="77777777" w:rsidTr="005E54CB">
        <w:trPr>
          <w:trHeight w:val="60"/>
        </w:trPr>
        <w:tc>
          <w:tcPr>
            <w:tcW w:w="744" w:type="pct"/>
            <w:tcBorders>
              <w:left w:val="single" w:sz="4" w:space="0" w:color="000000"/>
              <w:bottom w:val="single" w:sz="4" w:space="0" w:color="auto"/>
              <w:right w:val="single" w:sz="4" w:space="0" w:color="000000"/>
            </w:tcBorders>
          </w:tcPr>
          <w:p w14:paraId="18E29B57" w14:textId="4ACFB0FB" w:rsidR="005E3F94" w:rsidRPr="00E8656C" w:rsidRDefault="00021A08" w:rsidP="00893F25">
            <w:pPr>
              <w:pStyle w:val="Tabletextupdate"/>
              <w:framePr w:wrap="auto"/>
              <w:rPr>
                <w:rFonts w:ascii="Arial" w:hAnsi="Arial" w:cs="Arial"/>
                <w:b/>
                <w:bCs/>
                <w:color w:val="auto"/>
              </w:rPr>
            </w:pPr>
            <w:r w:rsidRPr="00E8656C">
              <w:rPr>
                <w:rFonts w:ascii="Arial" w:hAnsi="Arial" w:cs="Arial"/>
                <w:b/>
                <w:bCs/>
                <w:color w:val="auto"/>
              </w:rPr>
              <w:t>Stage of studies</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486E20C3"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Later years</w:t>
            </w:r>
          </w:p>
        </w:tc>
        <w:tc>
          <w:tcPr>
            <w:tcW w:w="412" w:type="pct"/>
            <w:tcBorders>
              <w:top w:val="single" w:sz="4" w:space="0" w:color="000000"/>
              <w:left w:val="single" w:sz="4" w:space="0" w:color="000000"/>
              <w:bottom w:val="single" w:sz="4" w:space="0" w:color="000000"/>
              <w:right w:val="single" w:sz="4" w:space="0" w:color="000000"/>
            </w:tcBorders>
            <w:vAlign w:val="center"/>
          </w:tcPr>
          <w:p w14:paraId="43EBAF9B"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49.6</w:t>
            </w:r>
          </w:p>
        </w:tc>
        <w:tc>
          <w:tcPr>
            <w:tcW w:w="412" w:type="pct"/>
            <w:tcBorders>
              <w:top w:val="single" w:sz="4" w:space="0" w:color="000000"/>
              <w:left w:val="single" w:sz="4" w:space="0" w:color="000000"/>
              <w:bottom w:val="single" w:sz="4" w:space="0" w:color="000000"/>
              <w:right w:val="single" w:sz="4" w:space="0" w:color="000000"/>
            </w:tcBorders>
            <w:vAlign w:val="center"/>
          </w:tcPr>
          <w:p w14:paraId="43BCB42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50.4</w:t>
            </w:r>
          </w:p>
        </w:tc>
        <w:tc>
          <w:tcPr>
            <w:tcW w:w="412" w:type="pct"/>
            <w:tcBorders>
              <w:top w:val="single" w:sz="4" w:space="0" w:color="000000"/>
              <w:left w:val="single" w:sz="4" w:space="0" w:color="000000"/>
              <w:bottom w:val="single" w:sz="4" w:space="0" w:color="000000"/>
              <w:right w:val="single" w:sz="4" w:space="0" w:color="000000"/>
            </w:tcBorders>
            <w:vAlign w:val="center"/>
          </w:tcPr>
          <w:p w14:paraId="395957F9"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49.3</w:t>
            </w:r>
          </w:p>
        </w:tc>
        <w:tc>
          <w:tcPr>
            <w:tcW w:w="412" w:type="pct"/>
            <w:tcBorders>
              <w:top w:val="single" w:sz="4" w:space="0" w:color="000000"/>
              <w:left w:val="single" w:sz="4" w:space="0" w:color="000000"/>
              <w:bottom w:val="single" w:sz="4" w:space="0" w:color="000000"/>
              <w:right w:val="single" w:sz="4" w:space="0" w:color="000000"/>
            </w:tcBorders>
            <w:vAlign w:val="center"/>
          </w:tcPr>
          <w:p w14:paraId="3390D0B0"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40.1</w:t>
            </w:r>
          </w:p>
        </w:tc>
        <w:tc>
          <w:tcPr>
            <w:tcW w:w="412" w:type="pct"/>
            <w:tcBorders>
              <w:top w:val="single" w:sz="4" w:space="0" w:color="000000"/>
              <w:left w:val="single" w:sz="4" w:space="0" w:color="000000"/>
              <w:bottom w:val="single" w:sz="4" w:space="0" w:color="000000"/>
              <w:right w:val="single" w:sz="4" w:space="0" w:color="000000"/>
            </w:tcBorders>
            <w:vAlign w:val="center"/>
          </w:tcPr>
          <w:p w14:paraId="55A2B29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39.3</w:t>
            </w:r>
          </w:p>
        </w:tc>
        <w:tc>
          <w:tcPr>
            <w:tcW w:w="412" w:type="pct"/>
            <w:tcBorders>
              <w:top w:val="single" w:sz="4" w:space="0" w:color="000000"/>
              <w:left w:val="single" w:sz="4" w:space="0" w:color="000000"/>
              <w:bottom w:val="single" w:sz="4" w:space="0" w:color="000000"/>
              <w:right w:val="single" w:sz="4" w:space="0" w:color="000000"/>
            </w:tcBorders>
            <w:vAlign w:val="center"/>
          </w:tcPr>
          <w:p w14:paraId="5DAB70ED"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43.3</w:t>
            </w:r>
          </w:p>
        </w:tc>
        <w:tc>
          <w:tcPr>
            <w:tcW w:w="404" w:type="pct"/>
            <w:tcBorders>
              <w:top w:val="single" w:sz="4" w:space="0" w:color="000000"/>
              <w:left w:val="single" w:sz="4" w:space="0" w:color="000000"/>
              <w:bottom w:val="single" w:sz="4" w:space="0" w:color="000000"/>
              <w:right w:val="single" w:sz="4" w:space="0" w:color="000000"/>
            </w:tcBorders>
            <w:vAlign w:val="center"/>
          </w:tcPr>
          <w:p w14:paraId="151814E8"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42.4</w:t>
            </w:r>
          </w:p>
        </w:tc>
        <w:tc>
          <w:tcPr>
            <w:tcW w:w="401" w:type="pct"/>
            <w:tcBorders>
              <w:top w:val="single" w:sz="4" w:space="0" w:color="000000"/>
              <w:left w:val="single" w:sz="4" w:space="0" w:color="000000"/>
              <w:bottom w:val="single" w:sz="4" w:space="0" w:color="000000"/>
              <w:right w:val="single" w:sz="4" w:space="0" w:color="000000"/>
            </w:tcBorders>
            <w:vAlign w:val="center"/>
          </w:tcPr>
          <w:p w14:paraId="57E6D5D5"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43.4</w:t>
            </w:r>
          </w:p>
        </w:tc>
      </w:tr>
      <w:tr w:rsidR="004D7A82" w:rsidRPr="00E8656C" w14:paraId="7969B308" w14:textId="77777777" w:rsidTr="005E54CB">
        <w:trPr>
          <w:trHeight w:val="60"/>
        </w:trPr>
        <w:tc>
          <w:tcPr>
            <w:tcW w:w="744" w:type="pct"/>
            <w:tcBorders>
              <w:top w:val="single" w:sz="4" w:space="0" w:color="auto"/>
              <w:left w:val="single" w:sz="4" w:space="0" w:color="000000"/>
              <w:bottom w:val="single" w:sz="4" w:space="0" w:color="auto"/>
              <w:right w:val="single" w:sz="4" w:space="0" w:color="000000"/>
            </w:tcBorders>
          </w:tcPr>
          <w:p w14:paraId="7A122424" w14:textId="1579EF9B" w:rsidR="005E3F94" w:rsidRPr="00E8656C" w:rsidRDefault="005E3F94" w:rsidP="00893F25">
            <w:pPr>
              <w:pStyle w:val="Tabletextupdate"/>
              <w:framePr w:wrap="auto"/>
              <w:rPr>
                <w:rFonts w:ascii="Arial" w:hAnsi="Arial" w:cs="Arial"/>
                <w:b/>
                <w:bCs/>
                <w:color w:val="auto"/>
              </w:rPr>
            </w:pPr>
            <w:r w:rsidRPr="00E8656C">
              <w:rPr>
                <w:rFonts w:ascii="Arial" w:hAnsi="Arial" w:cs="Arial"/>
                <w:b/>
                <w:bCs/>
                <w:color w:val="auto"/>
              </w:rPr>
              <w:t>Study mode</w:t>
            </w:r>
            <w:r w:rsidR="008212FD" w:rsidRPr="00E8656C">
              <w:rPr>
                <w:rFonts w:ascii="Arial" w:hAnsi="Arial" w:cs="Arial"/>
                <w:b/>
                <w:bCs/>
                <w:color w:val="auto"/>
              </w:rPr>
              <w:t>*</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25017CF4" w14:textId="1016F134"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Internal/</w:t>
            </w:r>
            <w:r w:rsidR="0018504B" w:rsidRPr="005E54CB">
              <w:rPr>
                <w:rFonts w:ascii="Arial" w:hAnsi="Arial" w:cs="Arial"/>
                <w:b/>
                <w:bCs/>
                <w:color w:val="auto"/>
              </w:rPr>
              <w:t>m</w:t>
            </w:r>
            <w:r w:rsidR="00F36250" w:rsidRPr="005E54CB">
              <w:rPr>
                <w:rFonts w:ascii="Arial" w:hAnsi="Arial" w:cs="Arial"/>
                <w:b/>
                <w:bCs/>
                <w:color w:val="auto"/>
              </w:rPr>
              <w:t>ulti</w:t>
            </w:r>
            <w:r w:rsidR="0018504B" w:rsidRPr="005E54CB">
              <w:rPr>
                <w:rFonts w:ascii="Arial" w:hAnsi="Arial" w:cs="Arial"/>
                <w:b/>
                <w:bCs/>
                <w:color w:val="auto"/>
              </w:rPr>
              <w:t>-</w:t>
            </w:r>
            <w:r w:rsidRPr="005E54CB">
              <w:rPr>
                <w:rFonts w:ascii="Arial" w:hAnsi="Arial" w:cs="Arial"/>
                <w:b/>
                <w:bCs/>
                <w:color w:val="auto"/>
              </w:rPr>
              <w:t>mode</w:t>
            </w:r>
          </w:p>
        </w:tc>
        <w:tc>
          <w:tcPr>
            <w:tcW w:w="412" w:type="pct"/>
            <w:tcBorders>
              <w:top w:val="single" w:sz="4" w:space="0" w:color="000000"/>
              <w:left w:val="single" w:sz="4" w:space="0" w:color="000000"/>
              <w:bottom w:val="single" w:sz="4" w:space="0" w:color="000000"/>
              <w:right w:val="single" w:sz="4" w:space="0" w:color="000000"/>
            </w:tcBorders>
            <w:vAlign w:val="center"/>
          </w:tcPr>
          <w:p w14:paraId="45236A7E"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52.7</w:t>
            </w:r>
          </w:p>
        </w:tc>
        <w:tc>
          <w:tcPr>
            <w:tcW w:w="412" w:type="pct"/>
            <w:tcBorders>
              <w:top w:val="single" w:sz="4" w:space="0" w:color="000000"/>
              <w:left w:val="single" w:sz="4" w:space="0" w:color="000000"/>
              <w:bottom w:val="single" w:sz="4" w:space="0" w:color="000000"/>
              <w:right w:val="single" w:sz="4" w:space="0" w:color="000000"/>
            </w:tcBorders>
            <w:vAlign w:val="center"/>
          </w:tcPr>
          <w:p w14:paraId="7AB9330B"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54.0</w:t>
            </w:r>
          </w:p>
        </w:tc>
        <w:tc>
          <w:tcPr>
            <w:tcW w:w="412" w:type="pct"/>
            <w:tcBorders>
              <w:top w:val="single" w:sz="4" w:space="0" w:color="000000"/>
              <w:left w:val="single" w:sz="4" w:space="0" w:color="000000"/>
              <w:bottom w:val="single" w:sz="4" w:space="0" w:color="000000"/>
              <w:right w:val="single" w:sz="4" w:space="0" w:color="000000"/>
            </w:tcBorders>
            <w:vAlign w:val="center"/>
          </w:tcPr>
          <w:p w14:paraId="2DE833F2"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52.8</w:t>
            </w:r>
          </w:p>
        </w:tc>
        <w:tc>
          <w:tcPr>
            <w:tcW w:w="412" w:type="pct"/>
            <w:tcBorders>
              <w:top w:val="single" w:sz="4" w:space="0" w:color="000000"/>
              <w:left w:val="single" w:sz="4" w:space="0" w:color="000000"/>
              <w:bottom w:val="single" w:sz="4" w:space="0" w:color="000000"/>
              <w:right w:val="single" w:sz="4" w:space="0" w:color="000000"/>
            </w:tcBorders>
            <w:vAlign w:val="center"/>
          </w:tcPr>
          <w:p w14:paraId="401D83A3"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41.0</w:t>
            </w:r>
          </w:p>
        </w:tc>
        <w:tc>
          <w:tcPr>
            <w:tcW w:w="412" w:type="pct"/>
            <w:tcBorders>
              <w:top w:val="single" w:sz="4" w:space="0" w:color="000000"/>
              <w:left w:val="single" w:sz="4" w:space="0" w:color="000000"/>
              <w:bottom w:val="single" w:sz="4" w:space="0" w:color="000000"/>
              <w:right w:val="single" w:sz="4" w:space="0" w:color="000000"/>
            </w:tcBorders>
            <w:vAlign w:val="center"/>
          </w:tcPr>
          <w:p w14:paraId="474FCAF2"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42.6</w:t>
            </w:r>
          </w:p>
        </w:tc>
        <w:tc>
          <w:tcPr>
            <w:tcW w:w="412" w:type="pct"/>
            <w:tcBorders>
              <w:top w:val="single" w:sz="4" w:space="0" w:color="000000"/>
              <w:left w:val="single" w:sz="4" w:space="0" w:color="000000"/>
              <w:bottom w:val="single" w:sz="4" w:space="0" w:color="000000"/>
              <w:right w:val="single" w:sz="4" w:space="0" w:color="000000"/>
            </w:tcBorders>
            <w:vAlign w:val="center"/>
          </w:tcPr>
          <w:p w14:paraId="5B2991BC"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47.5</w:t>
            </w:r>
          </w:p>
        </w:tc>
        <w:tc>
          <w:tcPr>
            <w:tcW w:w="404" w:type="pct"/>
            <w:tcBorders>
              <w:top w:val="single" w:sz="4" w:space="0" w:color="000000"/>
              <w:left w:val="single" w:sz="4" w:space="0" w:color="000000"/>
              <w:bottom w:val="single" w:sz="4" w:space="0" w:color="000000"/>
              <w:right w:val="single" w:sz="4" w:space="0" w:color="000000"/>
            </w:tcBorders>
            <w:vAlign w:val="center"/>
          </w:tcPr>
          <w:p w14:paraId="64C8C1B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47.2</w:t>
            </w:r>
          </w:p>
        </w:tc>
        <w:tc>
          <w:tcPr>
            <w:tcW w:w="401" w:type="pct"/>
            <w:tcBorders>
              <w:top w:val="single" w:sz="4" w:space="0" w:color="000000"/>
              <w:left w:val="single" w:sz="4" w:space="0" w:color="000000"/>
              <w:bottom w:val="single" w:sz="4" w:space="0" w:color="000000"/>
              <w:right w:val="single" w:sz="4" w:space="0" w:color="000000"/>
            </w:tcBorders>
            <w:vAlign w:val="center"/>
          </w:tcPr>
          <w:p w14:paraId="04BD9E2C"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47.6</w:t>
            </w:r>
          </w:p>
        </w:tc>
      </w:tr>
      <w:tr w:rsidR="004D7A82" w:rsidRPr="00E8656C" w14:paraId="090FAD22" w14:textId="77777777" w:rsidTr="005E54CB">
        <w:trPr>
          <w:trHeight w:val="60"/>
        </w:trPr>
        <w:tc>
          <w:tcPr>
            <w:tcW w:w="744" w:type="pct"/>
            <w:tcBorders>
              <w:left w:val="single" w:sz="4" w:space="0" w:color="000000"/>
              <w:bottom w:val="single" w:sz="4" w:space="0" w:color="auto"/>
              <w:right w:val="single" w:sz="4" w:space="0" w:color="000000"/>
            </w:tcBorders>
          </w:tcPr>
          <w:p w14:paraId="67062AD2" w14:textId="156C1B5F" w:rsidR="005E3F94" w:rsidRPr="00E8656C" w:rsidRDefault="00021A08" w:rsidP="00893F25">
            <w:pPr>
              <w:pStyle w:val="Tabletextupdate"/>
              <w:framePr w:wrap="auto"/>
              <w:rPr>
                <w:rFonts w:ascii="Arial" w:hAnsi="Arial" w:cs="Arial"/>
                <w:b/>
                <w:bCs/>
                <w:color w:val="auto"/>
              </w:rPr>
            </w:pPr>
            <w:r w:rsidRPr="00E8656C">
              <w:rPr>
                <w:rFonts w:ascii="Arial" w:hAnsi="Arial" w:cs="Arial"/>
                <w:b/>
                <w:bCs/>
                <w:color w:val="auto"/>
              </w:rPr>
              <w:t>Study mode*</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72A5B04C" w14:textId="7CC8D2DF"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External</w:t>
            </w:r>
          </w:p>
        </w:tc>
        <w:tc>
          <w:tcPr>
            <w:tcW w:w="412" w:type="pct"/>
            <w:tcBorders>
              <w:top w:val="single" w:sz="4" w:space="0" w:color="000000"/>
              <w:left w:val="single" w:sz="4" w:space="0" w:color="000000"/>
              <w:bottom w:val="single" w:sz="4" w:space="0" w:color="000000"/>
              <w:right w:val="single" w:sz="4" w:space="0" w:color="000000"/>
            </w:tcBorders>
            <w:vAlign w:val="center"/>
          </w:tcPr>
          <w:p w14:paraId="59695708"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36.5</w:t>
            </w:r>
          </w:p>
        </w:tc>
        <w:tc>
          <w:tcPr>
            <w:tcW w:w="412" w:type="pct"/>
            <w:tcBorders>
              <w:top w:val="single" w:sz="4" w:space="0" w:color="000000"/>
              <w:left w:val="single" w:sz="4" w:space="0" w:color="000000"/>
              <w:bottom w:val="single" w:sz="4" w:space="0" w:color="000000"/>
              <w:right w:val="single" w:sz="4" w:space="0" w:color="000000"/>
            </w:tcBorders>
            <w:vAlign w:val="center"/>
          </w:tcPr>
          <w:p w14:paraId="393CBED3"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40.1</w:t>
            </w:r>
          </w:p>
        </w:tc>
        <w:tc>
          <w:tcPr>
            <w:tcW w:w="412" w:type="pct"/>
            <w:tcBorders>
              <w:top w:val="single" w:sz="4" w:space="0" w:color="000000"/>
              <w:left w:val="single" w:sz="4" w:space="0" w:color="000000"/>
              <w:bottom w:val="single" w:sz="4" w:space="0" w:color="000000"/>
              <w:right w:val="single" w:sz="4" w:space="0" w:color="000000"/>
            </w:tcBorders>
            <w:vAlign w:val="center"/>
          </w:tcPr>
          <w:p w14:paraId="6A717439"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39.8</w:t>
            </w:r>
          </w:p>
        </w:tc>
        <w:tc>
          <w:tcPr>
            <w:tcW w:w="412" w:type="pct"/>
            <w:tcBorders>
              <w:top w:val="single" w:sz="4" w:space="0" w:color="000000"/>
              <w:left w:val="single" w:sz="4" w:space="0" w:color="000000"/>
              <w:bottom w:val="single" w:sz="4" w:space="0" w:color="000000"/>
              <w:right w:val="single" w:sz="4" w:space="0" w:color="000000"/>
            </w:tcBorders>
            <w:vAlign w:val="center"/>
          </w:tcPr>
          <w:p w14:paraId="1D84AB2A"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42.0</w:t>
            </w:r>
          </w:p>
        </w:tc>
        <w:tc>
          <w:tcPr>
            <w:tcW w:w="412" w:type="pct"/>
            <w:tcBorders>
              <w:top w:val="single" w:sz="4" w:space="0" w:color="000000"/>
              <w:left w:val="single" w:sz="4" w:space="0" w:color="000000"/>
              <w:bottom w:val="single" w:sz="4" w:space="0" w:color="000000"/>
              <w:right w:val="single" w:sz="4" w:space="0" w:color="000000"/>
            </w:tcBorders>
            <w:vAlign w:val="center"/>
          </w:tcPr>
          <w:p w14:paraId="05A738C9"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39.2</w:t>
            </w:r>
          </w:p>
        </w:tc>
        <w:tc>
          <w:tcPr>
            <w:tcW w:w="412" w:type="pct"/>
            <w:tcBorders>
              <w:top w:val="single" w:sz="4" w:space="0" w:color="000000"/>
              <w:left w:val="single" w:sz="4" w:space="0" w:color="000000"/>
              <w:bottom w:val="single" w:sz="4" w:space="0" w:color="000000"/>
              <w:right w:val="single" w:sz="4" w:space="0" w:color="000000"/>
            </w:tcBorders>
            <w:vAlign w:val="center"/>
          </w:tcPr>
          <w:p w14:paraId="7B3A3847"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40.5</w:t>
            </w:r>
          </w:p>
        </w:tc>
        <w:tc>
          <w:tcPr>
            <w:tcW w:w="404" w:type="pct"/>
            <w:tcBorders>
              <w:top w:val="single" w:sz="4" w:space="0" w:color="000000"/>
              <w:left w:val="single" w:sz="4" w:space="0" w:color="000000"/>
              <w:bottom w:val="single" w:sz="4" w:space="0" w:color="000000"/>
              <w:right w:val="single" w:sz="4" w:space="0" w:color="000000"/>
            </w:tcBorders>
            <w:vAlign w:val="center"/>
          </w:tcPr>
          <w:p w14:paraId="038E0404"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40.0</w:t>
            </w:r>
          </w:p>
        </w:tc>
        <w:tc>
          <w:tcPr>
            <w:tcW w:w="401" w:type="pct"/>
            <w:tcBorders>
              <w:top w:val="single" w:sz="4" w:space="0" w:color="000000"/>
              <w:left w:val="single" w:sz="4" w:space="0" w:color="000000"/>
              <w:bottom w:val="single" w:sz="4" w:space="0" w:color="000000"/>
              <w:right w:val="single" w:sz="4" w:space="0" w:color="000000"/>
            </w:tcBorders>
            <w:vAlign w:val="center"/>
          </w:tcPr>
          <w:p w14:paraId="7A3CC99E"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38.6</w:t>
            </w:r>
          </w:p>
        </w:tc>
      </w:tr>
      <w:tr w:rsidR="004D7A82" w:rsidRPr="00E8656C" w14:paraId="5C23B375" w14:textId="77777777" w:rsidTr="005E54CB">
        <w:trPr>
          <w:trHeight w:val="60"/>
        </w:trPr>
        <w:tc>
          <w:tcPr>
            <w:tcW w:w="744" w:type="pct"/>
            <w:tcBorders>
              <w:top w:val="single" w:sz="4" w:space="0" w:color="auto"/>
              <w:left w:val="single" w:sz="4" w:space="0" w:color="000000"/>
              <w:right w:val="single" w:sz="4" w:space="0" w:color="000000"/>
            </w:tcBorders>
          </w:tcPr>
          <w:p w14:paraId="3971B935" w14:textId="77777777" w:rsidR="005E3F94" w:rsidRPr="00E8656C" w:rsidRDefault="005E3F94" w:rsidP="00893F25">
            <w:pPr>
              <w:pStyle w:val="Tabletextupdate"/>
              <w:framePr w:wrap="auto"/>
              <w:rPr>
                <w:rFonts w:ascii="Arial" w:hAnsi="Arial" w:cs="Arial"/>
                <w:b/>
                <w:bCs/>
                <w:color w:val="auto"/>
              </w:rPr>
            </w:pPr>
            <w:r w:rsidRPr="00E8656C">
              <w:rPr>
                <w:rFonts w:ascii="Arial" w:hAnsi="Arial" w:cs="Arial"/>
                <w:b/>
                <w:bCs/>
                <w:color w:val="auto"/>
              </w:rPr>
              <w:t>Institution type</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vAlign w:val="bottom"/>
          </w:tcPr>
          <w:p w14:paraId="5ADB0782"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NUHEIs</w:t>
            </w:r>
          </w:p>
        </w:tc>
        <w:tc>
          <w:tcPr>
            <w:tcW w:w="412" w:type="pct"/>
            <w:tcBorders>
              <w:top w:val="single" w:sz="4" w:space="0" w:color="000000"/>
              <w:left w:val="single" w:sz="4" w:space="0" w:color="000000"/>
              <w:bottom w:val="single" w:sz="4" w:space="0" w:color="000000"/>
              <w:right w:val="single" w:sz="4" w:space="0" w:color="000000"/>
            </w:tcBorders>
            <w:vAlign w:val="center"/>
          </w:tcPr>
          <w:p w14:paraId="1FBBFD97"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59.4</w:t>
            </w:r>
          </w:p>
        </w:tc>
        <w:tc>
          <w:tcPr>
            <w:tcW w:w="412" w:type="pct"/>
            <w:tcBorders>
              <w:top w:val="single" w:sz="4" w:space="0" w:color="000000"/>
              <w:left w:val="single" w:sz="4" w:space="0" w:color="000000"/>
              <w:bottom w:val="single" w:sz="4" w:space="0" w:color="000000"/>
              <w:right w:val="single" w:sz="4" w:space="0" w:color="000000"/>
            </w:tcBorders>
            <w:vAlign w:val="center"/>
          </w:tcPr>
          <w:p w14:paraId="09FC4AE6"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60.9</w:t>
            </w:r>
          </w:p>
        </w:tc>
        <w:tc>
          <w:tcPr>
            <w:tcW w:w="412" w:type="pct"/>
            <w:tcBorders>
              <w:top w:val="single" w:sz="4" w:space="0" w:color="000000"/>
              <w:left w:val="single" w:sz="4" w:space="0" w:color="000000"/>
              <w:bottom w:val="single" w:sz="4" w:space="0" w:color="000000"/>
              <w:right w:val="single" w:sz="4" w:space="0" w:color="000000"/>
            </w:tcBorders>
            <w:vAlign w:val="center"/>
          </w:tcPr>
          <w:p w14:paraId="2ED20025"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60.7</w:t>
            </w:r>
          </w:p>
        </w:tc>
        <w:tc>
          <w:tcPr>
            <w:tcW w:w="412" w:type="pct"/>
            <w:tcBorders>
              <w:top w:val="single" w:sz="4" w:space="0" w:color="000000"/>
              <w:left w:val="single" w:sz="4" w:space="0" w:color="000000"/>
              <w:bottom w:val="single" w:sz="4" w:space="0" w:color="000000"/>
              <w:right w:val="single" w:sz="4" w:space="0" w:color="000000"/>
            </w:tcBorders>
            <w:vAlign w:val="center"/>
          </w:tcPr>
          <w:p w14:paraId="495C53D2"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56.0</w:t>
            </w:r>
          </w:p>
        </w:tc>
        <w:tc>
          <w:tcPr>
            <w:tcW w:w="412" w:type="pct"/>
            <w:tcBorders>
              <w:top w:val="single" w:sz="4" w:space="0" w:color="000000"/>
              <w:left w:val="single" w:sz="4" w:space="0" w:color="000000"/>
              <w:bottom w:val="single" w:sz="4" w:space="0" w:color="000000"/>
              <w:right w:val="single" w:sz="4" w:space="0" w:color="000000"/>
            </w:tcBorders>
            <w:vAlign w:val="center"/>
          </w:tcPr>
          <w:p w14:paraId="76088AF5"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56.0</w:t>
            </w:r>
          </w:p>
        </w:tc>
        <w:tc>
          <w:tcPr>
            <w:tcW w:w="412" w:type="pct"/>
            <w:tcBorders>
              <w:top w:val="single" w:sz="4" w:space="0" w:color="000000"/>
              <w:left w:val="single" w:sz="4" w:space="0" w:color="000000"/>
              <w:bottom w:val="single" w:sz="4" w:space="0" w:color="000000"/>
              <w:right w:val="single" w:sz="4" w:space="0" w:color="000000"/>
            </w:tcBorders>
            <w:vAlign w:val="center"/>
          </w:tcPr>
          <w:p w14:paraId="40C7D9E1"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59.0</w:t>
            </w:r>
          </w:p>
        </w:tc>
        <w:tc>
          <w:tcPr>
            <w:tcW w:w="404" w:type="pct"/>
            <w:tcBorders>
              <w:top w:val="single" w:sz="4" w:space="0" w:color="000000"/>
              <w:left w:val="single" w:sz="4" w:space="0" w:color="000000"/>
              <w:bottom w:val="single" w:sz="4" w:space="0" w:color="000000"/>
              <w:right w:val="single" w:sz="4" w:space="0" w:color="000000"/>
            </w:tcBorders>
            <w:vAlign w:val="center"/>
          </w:tcPr>
          <w:p w14:paraId="4DFE76C3"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60.0</w:t>
            </w:r>
          </w:p>
        </w:tc>
        <w:tc>
          <w:tcPr>
            <w:tcW w:w="401" w:type="pct"/>
            <w:tcBorders>
              <w:top w:val="single" w:sz="4" w:space="0" w:color="000000"/>
              <w:left w:val="single" w:sz="4" w:space="0" w:color="000000"/>
              <w:bottom w:val="single" w:sz="4" w:space="0" w:color="000000"/>
              <w:right w:val="single" w:sz="4" w:space="0" w:color="000000"/>
            </w:tcBorders>
            <w:vAlign w:val="center"/>
          </w:tcPr>
          <w:p w14:paraId="361EF181"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60.1</w:t>
            </w:r>
          </w:p>
        </w:tc>
      </w:tr>
      <w:tr w:rsidR="004D7A82" w:rsidRPr="00E8656C" w14:paraId="0FCB9F78" w14:textId="77777777" w:rsidTr="005E54CB">
        <w:trPr>
          <w:trHeight w:val="60"/>
        </w:trPr>
        <w:tc>
          <w:tcPr>
            <w:tcW w:w="744" w:type="pct"/>
            <w:tcBorders>
              <w:left w:val="single" w:sz="4" w:space="0" w:color="000000"/>
              <w:right w:val="single" w:sz="4" w:space="0" w:color="000000"/>
            </w:tcBorders>
          </w:tcPr>
          <w:p w14:paraId="60A88849" w14:textId="594B32BD" w:rsidR="005E3F94" w:rsidRPr="00E8656C" w:rsidRDefault="00021A08" w:rsidP="00893F25">
            <w:pPr>
              <w:pStyle w:val="Tabletextupdate"/>
              <w:framePr w:wrap="auto"/>
              <w:rPr>
                <w:rFonts w:ascii="Arial" w:hAnsi="Arial" w:cs="Arial"/>
                <w:b/>
                <w:bCs/>
                <w:color w:val="auto"/>
              </w:rPr>
            </w:pPr>
            <w:r w:rsidRPr="00E8656C">
              <w:rPr>
                <w:rFonts w:ascii="Arial" w:hAnsi="Arial" w:cs="Arial"/>
                <w:b/>
                <w:bCs/>
                <w:color w:val="auto"/>
              </w:rPr>
              <w:t>Institution type</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vAlign w:val="bottom"/>
          </w:tcPr>
          <w:p w14:paraId="3C81513B"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Universities</w:t>
            </w:r>
          </w:p>
        </w:tc>
        <w:tc>
          <w:tcPr>
            <w:tcW w:w="412" w:type="pct"/>
            <w:tcBorders>
              <w:top w:val="single" w:sz="4" w:space="0" w:color="000000"/>
              <w:left w:val="single" w:sz="4" w:space="0" w:color="000000"/>
              <w:bottom w:val="single" w:sz="4" w:space="0" w:color="000000"/>
              <w:right w:val="single" w:sz="4" w:space="0" w:color="000000"/>
            </w:tcBorders>
            <w:vAlign w:val="center"/>
          </w:tcPr>
          <w:p w14:paraId="48160FD0"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50.8</w:t>
            </w:r>
          </w:p>
        </w:tc>
        <w:tc>
          <w:tcPr>
            <w:tcW w:w="412" w:type="pct"/>
            <w:tcBorders>
              <w:top w:val="single" w:sz="4" w:space="0" w:color="000000"/>
              <w:left w:val="single" w:sz="4" w:space="0" w:color="000000"/>
              <w:bottom w:val="single" w:sz="4" w:space="0" w:color="000000"/>
              <w:right w:val="single" w:sz="4" w:space="0" w:color="000000"/>
            </w:tcBorders>
            <w:vAlign w:val="center"/>
          </w:tcPr>
          <w:p w14:paraId="11696E11"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52.0</w:t>
            </w:r>
          </w:p>
        </w:tc>
        <w:tc>
          <w:tcPr>
            <w:tcW w:w="412" w:type="pct"/>
            <w:tcBorders>
              <w:top w:val="single" w:sz="4" w:space="0" w:color="000000"/>
              <w:left w:val="single" w:sz="4" w:space="0" w:color="000000"/>
              <w:bottom w:val="single" w:sz="4" w:space="0" w:color="000000"/>
              <w:right w:val="single" w:sz="4" w:space="0" w:color="000000"/>
            </w:tcBorders>
            <w:vAlign w:val="center"/>
          </w:tcPr>
          <w:p w14:paraId="14B02AF1"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50.8</w:t>
            </w:r>
          </w:p>
        </w:tc>
        <w:tc>
          <w:tcPr>
            <w:tcW w:w="412" w:type="pct"/>
            <w:tcBorders>
              <w:top w:val="single" w:sz="4" w:space="0" w:color="000000"/>
              <w:left w:val="single" w:sz="4" w:space="0" w:color="000000"/>
              <w:bottom w:val="single" w:sz="4" w:space="0" w:color="000000"/>
              <w:right w:val="single" w:sz="4" w:space="0" w:color="000000"/>
            </w:tcBorders>
            <w:vAlign w:val="center"/>
          </w:tcPr>
          <w:p w14:paraId="456C0BD5"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39.4</w:t>
            </w:r>
          </w:p>
        </w:tc>
        <w:tc>
          <w:tcPr>
            <w:tcW w:w="412" w:type="pct"/>
            <w:tcBorders>
              <w:top w:val="single" w:sz="4" w:space="0" w:color="000000"/>
              <w:left w:val="single" w:sz="4" w:space="0" w:color="000000"/>
              <w:bottom w:val="single" w:sz="4" w:space="0" w:color="000000"/>
              <w:right w:val="single" w:sz="4" w:space="0" w:color="000000"/>
            </w:tcBorders>
            <w:vAlign w:val="center"/>
          </w:tcPr>
          <w:p w14:paraId="5D0ED1A1"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40.9</w:t>
            </w:r>
          </w:p>
        </w:tc>
        <w:tc>
          <w:tcPr>
            <w:tcW w:w="412" w:type="pct"/>
            <w:tcBorders>
              <w:top w:val="single" w:sz="4" w:space="0" w:color="000000"/>
              <w:left w:val="single" w:sz="4" w:space="0" w:color="000000"/>
              <w:bottom w:val="single" w:sz="4" w:space="0" w:color="000000"/>
              <w:right w:val="single" w:sz="4" w:space="0" w:color="000000"/>
            </w:tcBorders>
            <w:vAlign w:val="center"/>
          </w:tcPr>
          <w:p w14:paraId="1C8CF2DE"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45.5</w:t>
            </w:r>
          </w:p>
        </w:tc>
        <w:tc>
          <w:tcPr>
            <w:tcW w:w="404" w:type="pct"/>
            <w:tcBorders>
              <w:top w:val="single" w:sz="4" w:space="0" w:color="000000"/>
              <w:left w:val="single" w:sz="4" w:space="0" w:color="000000"/>
              <w:bottom w:val="single" w:sz="4" w:space="0" w:color="000000"/>
              <w:right w:val="single" w:sz="4" w:space="0" w:color="000000"/>
            </w:tcBorders>
            <w:vAlign w:val="center"/>
          </w:tcPr>
          <w:p w14:paraId="664DFF45"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45.0</w:t>
            </w:r>
          </w:p>
        </w:tc>
        <w:tc>
          <w:tcPr>
            <w:tcW w:w="401" w:type="pct"/>
            <w:tcBorders>
              <w:top w:val="single" w:sz="4" w:space="0" w:color="000000"/>
              <w:left w:val="single" w:sz="4" w:space="0" w:color="000000"/>
              <w:bottom w:val="single" w:sz="4" w:space="0" w:color="000000"/>
              <w:right w:val="single" w:sz="4" w:space="0" w:color="000000"/>
            </w:tcBorders>
            <w:vAlign w:val="center"/>
          </w:tcPr>
          <w:p w14:paraId="5946E4FD"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44.9</w:t>
            </w:r>
          </w:p>
        </w:tc>
      </w:tr>
      <w:tr w:rsidR="004D7A82" w:rsidRPr="00E8656C" w14:paraId="53BABCAF" w14:textId="77777777" w:rsidTr="005E54CB">
        <w:trPr>
          <w:trHeight w:val="60"/>
        </w:trPr>
        <w:tc>
          <w:tcPr>
            <w:tcW w:w="744" w:type="pct"/>
            <w:tcBorders>
              <w:top w:val="single" w:sz="4" w:space="0" w:color="000000"/>
              <w:left w:val="single" w:sz="4" w:space="0" w:color="000000"/>
              <w:right w:val="single" w:sz="4" w:space="0" w:color="000000"/>
            </w:tcBorders>
          </w:tcPr>
          <w:p w14:paraId="11B1851B" w14:textId="77777777" w:rsidR="005E3F94" w:rsidRPr="00E8656C" w:rsidRDefault="005E3F94" w:rsidP="00893F25">
            <w:pPr>
              <w:pStyle w:val="Tabletextupdate"/>
              <w:framePr w:wrap="auto"/>
              <w:rPr>
                <w:rFonts w:ascii="Arial" w:hAnsi="Arial" w:cs="Arial"/>
                <w:b/>
                <w:bCs/>
                <w:color w:val="auto"/>
              </w:rPr>
            </w:pPr>
            <w:r w:rsidRPr="00E8656C">
              <w:rPr>
                <w:rFonts w:ascii="Arial" w:hAnsi="Arial" w:cs="Arial"/>
                <w:b/>
                <w:bCs/>
                <w:color w:val="auto"/>
              </w:rPr>
              <w:t>Gender</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624C0D5C"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Male</w:t>
            </w:r>
          </w:p>
        </w:tc>
        <w:tc>
          <w:tcPr>
            <w:tcW w:w="412" w:type="pct"/>
            <w:tcBorders>
              <w:top w:val="single" w:sz="4" w:space="0" w:color="000000"/>
              <w:left w:val="single" w:sz="4" w:space="0" w:color="000000"/>
              <w:bottom w:val="single" w:sz="4" w:space="0" w:color="000000"/>
              <w:right w:val="single" w:sz="4" w:space="0" w:color="000000"/>
            </w:tcBorders>
            <w:vAlign w:val="center"/>
          </w:tcPr>
          <w:p w14:paraId="1AA9773D"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50.7</w:t>
            </w:r>
          </w:p>
        </w:tc>
        <w:tc>
          <w:tcPr>
            <w:tcW w:w="412" w:type="pct"/>
            <w:tcBorders>
              <w:top w:val="single" w:sz="4" w:space="0" w:color="000000"/>
              <w:left w:val="single" w:sz="4" w:space="0" w:color="000000"/>
              <w:bottom w:val="single" w:sz="4" w:space="0" w:color="000000"/>
              <w:right w:val="single" w:sz="4" w:space="0" w:color="000000"/>
            </w:tcBorders>
            <w:vAlign w:val="center"/>
          </w:tcPr>
          <w:p w14:paraId="72501974"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51.7</w:t>
            </w:r>
          </w:p>
        </w:tc>
        <w:tc>
          <w:tcPr>
            <w:tcW w:w="412" w:type="pct"/>
            <w:tcBorders>
              <w:top w:val="single" w:sz="4" w:space="0" w:color="000000"/>
              <w:left w:val="single" w:sz="4" w:space="0" w:color="000000"/>
              <w:bottom w:val="single" w:sz="4" w:space="0" w:color="000000"/>
              <w:right w:val="single" w:sz="4" w:space="0" w:color="000000"/>
            </w:tcBorders>
            <w:vAlign w:val="center"/>
          </w:tcPr>
          <w:p w14:paraId="05ED5D1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50.8</w:t>
            </w:r>
          </w:p>
        </w:tc>
        <w:tc>
          <w:tcPr>
            <w:tcW w:w="412" w:type="pct"/>
            <w:tcBorders>
              <w:top w:val="single" w:sz="4" w:space="0" w:color="000000"/>
              <w:left w:val="single" w:sz="4" w:space="0" w:color="000000"/>
              <w:bottom w:val="single" w:sz="4" w:space="0" w:color="000000"/>
              <w:right w:val="single" w:sz="4" w:space="0" w:color="000000"/>
            </w:tcBorders>
            <w:vAlign w:val="center"/>
          </w:tcPr>
          <w:p w14:paraId="7E1A29FA"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39.8</w:t>
            </w:r>
          </w:p>
        </w:tc>
        <w:tc>
          <w:tcPr>
            <w:tcW w:w="412" w:type="pct"/>
            <w:tcBorders>
              <w:top w:val="single" w:sz="4" w:space="0" w:color="000000"/>
              <w:left w:val="single" w:sz="4" w:space="0" w:color="000000"/>
              <w:bottom w:val="single" w:sz="4" w:space="0" w:color="000000"/>
              <w:right w:val="single" w:sz="4" w:space="0" w:color="000000"/>
            </w:tcBorders>
            <w:vAlign w:val="center"/>
          </w:tcPr>
          <w:p w14:paraId="4CC9531B"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40.7</w:t>
            </w:r>
          </w:p>
        </w:tc>
        <w:tc>
          <w:tcPr>
            <w:tcW w:w="412" w:type="pct"/>
            <w:tcBorders>
              <w:top w:val="single" w:sz="4" w:space="0" w:color="000000"/>
              <w:left w:val="single" w:sz="4" w:space="0" w:color="000000"/>
              <w:bottom w:val="single" w:sz="4" w:space="0" w:color="000000"/>
              <w:right w:val="single" w:sz="4" w:space="0" w:color="000000"/>
            </w:tcBorders>
            <w:vAlign w:val="center"/>
          </w:tcPr>
          <w:p w14:paraId="6286133D"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45.9</w:t>
            </w:r>
          </w:p>
        </w:tc>
        <w:tc>
          <w:tcPr>
            <w:tcW w:w="404" w:type="pct"/>
            <w:tcBorders>
              <w:top w:val="single" w:sz="4" w:space="0" w:color="000000"/>
              <w:left w:val="single" w:sz="4" w:space="0" w:color="000000"/>
              <w:bottom w:val="single" w:sz="4" w:space="0" w:color="000000"/>
              <w:right w:val="single" w:sz="4" w:space="0" w:color="000000"/>
            </w:tcBorders>
            <w:vAlign w:val="center"/>
          </w:tcPr>
          <w:p w14:paraId="4C9D0298"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45.3</w:t>
            </w:r>
          </w:p>
        </w:tc>
        <w:tc>
          <w:tcPr>
            <w:tcW w:w="401" w:type="pct"/>
            <w:tcBorders>
              <w:top w:val="single" w:sz="4" w:space="0" w:color="000000"/>
              <w:left w:val="single" w:sz="4" w:space="0" w:color="000000"/>
              <w:bottom w:val="single" w:sz="4" w:space="0" w:color="000000"/>
              <w:right w:val="single" w:sz="4" w:space="0" w:color="000000"/>
            </w:tcBorders>
            <w:vAlign w:val="center"/>
          </w:tcPr>
          <w:p w14:paraId="3E796F97"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45.8</w:t>
            </w:r>
          </w:p>
        </w:tc>
      </w:tr>
      <w:tr w:rsidR="004D7A82" w:rsidRPr="00E8656C" w14:paraId="56120F57" w14:textId="77777777" w:rsidTr="005E54CB">
        <w:trPr>
          <w:trHeight w:val="60"/>
        </w:trPr>
        <w:tc>
          <w:tcPr>
            <w:tcW w:w="744" w:type="pct"/>
            <w:tcBorders>
              <w:left w:val="single" w:sz="4" w:space="0" w:color="000000"/>
              <w:bottom w:val="single" w:sz="4" w:space="0" w:color="000000"/>
              <w:right w:val="single" w:sz="4" w:space="0" w:color="000000"/>
            </w:tcBorders>
          </w:tcPr>
          <w:p w14:paraId="3DE574B1" w14:textId="63AF91FE" w:rsidR="005E3F94" w:rsidRPr="00E8656C" w:rsidRDefault="00021A08" w:rsidP="00893F25">
            <w:pPr>
              <w:pStyle w:val="Tabletextupdate"/>
              <w:framePr w:wrap="auto"/>
              <w:rPr>
                <w:rFonts w:ascii="Arial" w:hAnsi="Arial" w:cs="Arial"/>
                <w:b/>
                <w:bCs/>
                <w:color w:val="auto"/>
              </w:rPr>
            </w:pPr>
            <w:r w:rsidRPr="00E8656C">
              <w:rPr>
                <w:rFonts w:ascii="Arial" w:hAnsi="Arial" w:cs="Arial"/>
                <w:b/>
                <w:bCs/>
                <w:color w:val="auto"/>
              </w:rPr>
              <w:t>Gender</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26BA9274"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Female</w:t>
            </w:r>
          </w:p>
        </w:tc>
        <w:tc>
          <w:tcPr>
            <w:tcW w:w="412" w:type="pct"/>
            <w:tcBorders>
              <w:top w:val="single" w:sz="4" w:space="0" w:color="000000"/>
              <w:left w:val="single" w:sz="4" w:space="0" w:color="000000"/>
              <w:bottom w:val="single" w:sz="4" w:space="0" w:color="000000"/>
              <w:right w:val="single" w:sz="4" w:space="0" w:color="000000"/>
            </w:tcBorders>
            <w:vAlign w:val="center"/>
          </w:tcPr>
          <w:p w14:paraId="5E91320C"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51.8</w:t>
            </w:r>
          </w:p>
        </w:tc>
        <w:tc>
          <w:tcPr>
            <w:tcW w:w="412" w:type="pct"/>
            <w:tcBorders>
              <w:top w:val="single" w:sz="4" w:space="0" w:color="000000"/>
              <w:left w:val="single" w:sz="4" w:space="0" w:color="000000"/>
              <w:bottom w:val="single" w:sz="4" w:space="0" w:color="000000"/>
              <w:right w:val="single" w:sz="4" w:space="0" w:color="000000"/>
            </w:tcBorders>
            <w:vAlign w:val="center"/>
          </w:tcPr>
          <w:p w14:paraId="0339E243"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53.3</w:t>
            </w:r>
          </w:p>
        </w:tc>
        <w:tc>
          <w:tcPr>
            <w:tcW w:w="412" w:type="pct"/>
            <w:tcBorders>
              <w:top w:val="single" w:sz="4" w:space="0" w:color="000000"/>
              <w:left w:val="single" w:sz="4" w:space="0" w:color="000000"/>
              <w:bottom w:val="single" w:sz="4" w:space="0" w:color="000000"/>
              <w:right w:val="single" w:sz="4" w:space="0" w:color="000000"/>
            </w:tcBorders>
            <w:vAlign w:val="center"/>
          </w:tcPr>
          <w:p w14:paraId="5EA9C708"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52.3</w:t>
            </w:r>
          </w:p>
        </w:tc>
        <w:tc>
          <w:tcPr>
            <w:tcW w:w="412" w:type="pct"/>
            <w:tcBorders>
              <w:top w:val="single" w:sz="4" w:space="0" w:color="000000"/>
              <w:left w:val="single" w:sz="4" w:space="0" w:color="000000"/>
              <w:bottom w:val="single" w:sz="4" w:space="0" w:color="000000"/>
              <w:right w:val="single" w:sz="4" w:space="0" w:color="000000"/>
            </w:tcBorders>
            <w:vAlign w:val="center"/>
          </w:tcPr>
          <w:p w14:paraId="32455B92"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41.8</w:t>
            </w:r>
          </w:p>
        </w:tc>
        <w:tc>
          <w:tcPr>
            <w:tcW w:w="412" w:type="pct"/>
            <w:tcBorders>
              <w:top w:val="single" w:sz="4" w:space="0" w:color="000000"/>
              <w:left w:val="single" w:sz="4" w:space="0" w:color="000000"/>
              <w:bottom w:val="single" w:sz="4" w:space="0" w:color="000000"/>
              <w:right w:val="single" w:sz="4" w:space="0" w:color="000000"/>
            </w:tcBorders>
            <w:vAlign w:val="center"/>
          </w:tcPr>
          <w:p w14:paraId="29D6BC78"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43.0</w:t>
            </w:r>
          </w:p>
        </w:tc>
        <w:tc>
          <w:tcPr>
            <w:tcW w:w="412" w:type="pct"/>
            <w:tcBorders>
              <w:top w:val="single" w:sz="4" w:space="0" w:color="000000"/>
              <w:left w:val="single" w:sz="4" w:space="0" w:color="000000"/>
              <w:bottom w:val="single" w:sz="4" w:space="0" w:color="000000"/>
              <w:right w:val="single" w:sz="4" w:space="0" w:color="000000"/>
            </w:tcBorders>
            <w:vAlign w:val="center"/>
          </w:tcPr>
          <w:p w14:paraId="2E090590"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46.9</w:t>
            </w:r>
          </w:p>
        </w:tc>
        <w:tc>
          <w:tcPr>
            <w:tcW w:w="404" w:type="pct"/>
            <w:tcBorders>
              <w:top w:val="single" w:sz="4" w:space="0" w:color="000000"/>
              <w:left w:val="single" w:sz="4" w:space="0" w:color="000000"/>
              <w:bottom w:val="single" w:sz="4" w:space="0" w:color="000000"/>
              <w:right w:val="single" w:sz="4" w:space="0" w:color="000000"/>
            </w:tcBorders>
            <w:vAlign w:val="center"/>
          </w:tcPr>
          <w:p w14:paraId="2B27211B"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46.8</w:t>
            </w:r>
          </w:p>
        </w:tc>
        <w:tc>
          <w:tcPr>
            <w:tcW w:w="401" w:type="pct"/>
            <w:tcBorders>
              <w:top w:val="single" w:sz="4" w:space="0" w:color="000000"/>
              <w:left w:val="single" w:sz="4" w:space="0" w:color="000000"/>
              <w:bottom w:val="single" w:sz="4" w:space="0" w:color="000000"/>
              <w:right w:val="single" w:sz="4" w:space="0" w:color="000000"/>
            </w:tcBorders>
            <w:vAlign w:val="center"/>
          </w:tcPr>
          <w:p w14:paraId="172DE0B4"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47.1</w:t>
            </w:r>
          </w:p>
        </w:tc>
      </w:tr>
      <w:tr w:rsidR="004D7A82" w:rsidRPr="00E8656C" w14:paraId="052904E9" w14:textId="77777777" w:rsidTr="005E54CB">
        <w:trPr>
          <w:trHeight w:val="60"/>
        </w:trPr>
        <w:tc>
          <w:tcPr>
            <w:tcW w:w="744" w:type="pct"/>
            <w:tcBorders>
              <w:top w:val="single" w:sz="4" w:space="0" w:color="000000"/>
              <w:left w:val="single" w:sz="4" w:space="0" w:color="000000"/>
              <w:right w:val="single" w:sz="4" w:space="0" w:color="000000"/>
            </w:tcBorders>
          </w:tcPr>
          <w:p w14:paraId="0DE34E0E" w14:textId="77777777" w:rsidR="005E3F94" w:rsidRPr="00E8656C" w:rsidRDefault="005E3F94" w:rsidP="00893F25">
            <w:pPr>
              <w:pStyle w:val="Tabletextupdate"/>
              <w:framePr w:wrap="auto"/>
              <w:rPr>
                <w:rFonts w:ascii="Arial" w:hAnsi="Arial" w:cs="Arial"/>
                <w:b/>
                <w:bCs/>
                <w:color w:val="auto"/>
              </w:rPr>
            </w:pPr>
            <w:r w:rsidRPr="00E8656C">
              <w:rPr>
                <w:rFonts w:ascii="Arial" w:hAnsi="Arial" w:cs="Arial"/>
                <w:b/>
                <w:bCs/>
                <w:color w:val="auto"/>
              </w:rPr>
              <w:t>Age</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64363392"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Under 25</w:t>
            </w:r>
          </w:p>
        </w:tc>
        <w:tc>
          <w:tcPr>
            <w:tcW w:w="412" w:type="pct"/>
            <w:tcBorders>
              <w:top w:val="single" w:sz="4" w:space="0" w:color="000000"/>
              <w:left w:val="single" w:sz="4" w:space="0" w:color="000000"/>
              <w:bottom w:val="single" w:sz="4" w:space="0" w:color="000000"/>
              <w:right w:val="single" w:sz="4" w:space="0" w:color="000000"/>
            </w:tcBorders>
            <w:vAlign w:val="center"/>
          </w:tcPr>
          <w:p w14:paraId="0E6542A1"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52.8</w:t>
            </w:r>
          </w:p>
        </w:tc>
        <w:tc>
          <w:tcPr>
            <w:tcW w:w="412" w:type="pct"/>
            <w:tcBorders>
              <w:top w:val="single" w:sz="4" w:space="0" w:color="000000"/>
              <w:left w:val="single" w:sz="4" w:space="0" w:color="000000"/>
              <w:bottom w:val="single" w:sz="4" w:space="0" w:color="000000"/>
              <w:right w:val="single" w:sz="4" w:space="0" w:color="000000"/>
            </w:tcBorders>
            <w:vAlign w:val="center"/>
          </w:tcPr>
          <w:p w14:paraId="5DB9E51E"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53.9</w:t>
            </w:r>
          </w:p>
        </w:tc>
        <w:tc>
          <w:tcPr>
            <w:tcW w:w="412" w:type="pct"/>
            <w:tcBorders>
              <w:top w:val="single" w:sz="4" w:space="0" w:color="000000"/>
              <w:left w:val="single" w:sz="4" w:space="0" w:color="000000"/>
              <w:bottom w:val="single" w:sz="4" w:space="0" w:color="000000"/>
              <w:right w:val="single" w:sz="4" w:space="0" w:color="000000"/>
            </w:tcBorders>
            <w:vAlign w:val="center"/>
          </w:tcPr>
          <w:p w14:paraId="3F978671"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52.7</w:t>
            </w:r>
          </w:p>
        </w:tc>
        <w:tc>
          <w:tcPr>
            <w:tcW w:w="412" w:type="pct"/>
            <w:tcBorders>
              <w:top w:val="single" w:sz="4" w:space="0" w:color="000000"/>
              <w:left w:val="single" w:sz="4" w:space="0" w:color="000000"/>
              <w:bottom w:val="single" w:sz="4" w:space="0" w:color="000000"/>
              <w:right w:val="single" w:sz="4" w:space="0" w:color="000000"/>
            </w:tcBorders>
            <w:vAlign w:val="center"/>
          </w:tcPr>
          <w:p w14:paraId="330D6F06"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40.5</w:t>
            </w:r>
          </w:p>
        </w:tc>
        <w:tc>
          <w:tcPr>
            <w:tcW w:w="412" w:type="pct"/>
            <w:tcBorders>
              <w:top w:val="single" w:sz="4" w:space="0" w:color="000000"/>
              <w:left w:val="single" w:sz="4" w:space="0" w:color="000000"/>
              <w:bottom w:val="single" w:sz="4" w:space="0" w:color="000000"/>
              <w:right w:val="single" w:sz="4" w:space="0" w:color="000000"/>
            </w:tcBorders>
            <w:vAlign w:val="center"/>
          </w:tcPr>
          <w:p w14:paraId="25690815"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42.1</w:t>
            </w:r>
          </w:p>
        </w:tc>
        <w:tc>
          <w:tcPr>
            <w:tcW w:w="412" w:type="pct"/>
            <w:tcBorders>
              <w:top w:val="single" w:sz="4" w:space="0" w:color="000000"/>
              <w:left w:val="single" w:sz="4" w:space="0" w:color="000000"/>
              <w:bottom w:val="single" w:sz="4" w:space="0" w:color="000000"/>
              <w:right w:val="single" w:sz="4" w:space="0" w:color="000000"/>
            </w:tcBorders>
            <w:vAlign w:val="center"/>
          </w:tcPr>
          <w:p w14:paraId="4967CB5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47.3</w:t>
            </w:r>
          </w:p>
        </w:tc>
        <w:tc>
          <w:tcPr>
            <w:tcW w:w="404" w:type="pct"/>
            <w:tcBorders>
              <w:top w:val="single" w:sz="4" w:space="0" w:color="000000"/>
              <w:left w:val="single" w:sz="4" w:space="0" w:color="000000"/>
              <w:bottom w:val="single" w:sz="4" w:space="0" w:color="000000"/>
              <w:right w:val="single" w:sz="4" w:space="0" w:color="000000"/>
            </w:tcBorders>
            <w:vAlign w:val="center"/>
          </w:tcPr>
          <w:p w14:paraId="2DF1C8C4"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46.7</w:t>
            </w:r>
          </w:p>
        </w:tc>
        <w:tc>
          <w:tcPr>
            <w:tcW w:w="401" w:type="pct"/>
            <w:tcBorders>
              <w:top w:val="single" w:sz="4" w:space="0" w:color="000000"/>
              <w:left w:val="single" w:sz="4" w:space="0" w:color="000000"/>
              <w:bottom w:val="single" w:sz="4" w:space="0" w:color="000000"/>
              <w:right w:val="single" w:sz="4" w:space="0" w:color="000000"/>
            </w:tcBorders>
            <w:vAlign w:val="center"/>
          </w:tcPr>
          <w:p w14:paraId="2FAFC518"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46.8</w:t>
            </w:r>
          </w:p>
        </w:tc>
      </w:tr>
      <w:tr w:rsidR="004D7A82" w:rsidRPr="00E8656C" w14:paraId="3B0DDC23" w14:textId="77777777" w:rsidTr="005E54CB">
        <w:trPr>
          <w:trHeight w:val="60"/>
        </w:trPr>
        <w:tc>
          <w:tcPr>
            <w:tcW w:w="744" w:type="pct"/>
            <w:tcBorders>
              <w:left w:val="single" w:sz="4" w:space="0" w:color="000000"/>
              <w:right w:val="single" w:sz="4" w:space="0" w:color="000000"/>
            </w:tcBorders>
          </w:tcPr>
          <w:p w14:paraId="11AE144C" w14:textId="7E078704" w:rsidR="005E3F94" w:rsidRPr="00E8656C" w:rsidRDefault="00021A08" w:rsidP="00893F25">
            <w:pPr>
              <w:pStyle w:val="Tabletextupdate"/>
              <w:framePr w:wrap="auto"/>
              <w:rPr>
                <w:rFonts w:ascii="Arial" w:hAnsi="Arial" w:cs="Arial"/>
                <w:b/>
                <w:bCs/>
                <w:color w:val="auto"/>
              </w:rPr>
            </w:pPr>
            <w:r w:rsidRPr="00E8656C">
              <w:rPr>
                <w:rFonts w:ascii="Arial" w:hAnsi="Arial" w:cs="Arial"/>
                <w:b/>
                <w:bCs/>
                <w:color w:val="auto"/>
              </w:rPr>
              <w:t>Age</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5E4D5D2E"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25 to 29</w:t>
            </w:r>
          </w:p>
        </w:tc>
        <w:tc>
          <w:tcPr>
            <w:tcW w:w="412" w:type="pct"/>
            <w:tcBorders>
              <w:top w:val="single" w:sz="4" w:space="0" w:color="000000"/>
              <w:left w:val="single" w:sz="4" w:space="0" w:color="000000"/>
              <w:bottom w:val="single" w:sz="4" w:space="0" w:color="000000"/>
              <w:right w:val="single" w:sz="4" w:space="0" w:color="000000"/>
            </w:tcBorders>
            <w:vAlign w:val="center"/>
          </w:tcPr>
          <w:p w14:paraId="58FCA90B"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46.0</w:t>
            </w:r>
          </w:p>
        </w:tc>
        <w:tc>
          <w:tcPr>
            <w:tcW w:w="412" w:type="pct"/>
            <w:tcBorders>
              <w:top w:val="single" w:sz="4" w:space="0" w:color="000000"/>
              <w:left w:val="single" w:sz="4" w:space="0" w:color="000000"/>
              <w:bottom w:val="single" w:sz="4" w:space="0" w:color="000000"/>
              <w:right w:val="single" w:sz="4" w:space="0" w:color="000000"/>
            </w:tcBorders>
            <w:vAlign w:val="center"/>
          </w:tcPr>
          <w:p w14:paraId="6FEDE415"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48.6</w:t>
            </w:r>
          </w:p>
        </w:tc>
        <w:tc>
          <w:tcPr>
            <w:tcW w:w="412" w:type="pct"/>
            <w:tcBorders>
              <w:top w:val="single" w:sz="4" w:space="0" w:color="000000"/>
              <w:left w:val="single" w:sz="4" w:space="0" w:color="000000"/>
              <w:bottom w:val="single" w:sz="4" w:space="0" w:color="000000"/>
              <w:right w:val="single" w:sz="4" w:space="0" w:color="000000"/>
            </w:tcBorders>
            <w:vAlign w:val="center"/>
          </w:tcPr>
          <w:p w14:paraId="1453F8B6"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47.5</w:t>
            </w:r>
          </w:p>
        </w:tc>
        <w:tc>
          <w:tcPr>
            <w:tcW w:w="412" w:type="pct"/>
            <w:tcBorders>
              <w:top w:val="single" w:sz="4" w:space="0" w:color="000000"/>
              <w:left w:val="single" w:sz="4" w:space="0" w:color="000000"/>
              <w:bottom w:val="single" w:sz="4" w:space="0" w:color="000000"/>
              <w:right w:val="single" w:sz="4" w:space="0" w:color="000000"/>
            </w:tcBorders>
            <w:vAlign w:val="center"/>
          </w:tcPr>
          <w:p w14:paraId="747913FD"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41.5</w:t>
            </w:r>
          </w:p>
        </w:tc>
        <w:tc>
          <w:tcPr>
            <w:tcW w:w="412" w:type="pct"/>
            <w:tcBorders>
              <w:top w:val="single" w:sz="4" w:space="0" w:color="000000"/>
              <w:left w:val="single" w:sz="4" w:space="0" w:color="000000"/>
              <w:bottom w:val="single" w:sz="4" w:space="0" w:color="000000"/>
              <w:right w:val="single" w:sz="4" w:space="0" w:color="000000"/>
            </w:tcBorders>
            <w:vAlign w:val="center"/>
          </w:tcPr>
          <w:p w14:paraId="6400C1C0"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40.4</w:t>
            </w:r>
          </w:p>
        </w:tc>
        <w:tc>
          <w:tcPr>
            <w:tcW w:w="412" w:type="pct"/>
            <w:tcBorders>
              <w:top w:val="single" w:sz="4" w:space="0" w:color="000000"/>
              <w:left w:val="single" w:sz="4" w:space="0" w:color="000000"/>
              <w:bottom w:val="single" w:sz="4" w:space="0" w:color="000000"/>
              <w:right w:val="single" w:sz="4" w:space="0" w:color="000000"/>
            </w:tcBorders>
            <w:vAlign w:val="center"/>
          </w:tcPr>
          <w:p w14:paraId="0C15D1D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42.8</w:t>
            </w:r>
          </w:p>
        </w:tc>
        <w:tc>
          <w:tcPr>
            <w:tcW w:w="404" w:type="pct"/>
            <w:tcBorders>
              <w:top w:val="single" w:sz="4" w:space="0" w:color="000000"/>
              <w:left w:val="single" w:sz="4" w:space="0" w:color="000000"/>
              <w:bottom w:val="single" w:sz="4" w:space="0" w:color="000000"/>
              <w:right w:val="single" w:sz="4" w:space="0" w:color="000000"/>
            </w:tcBorders>
            <w:vAlign w:val="center"/>
          </w:tcPr>
          <w:p w14:paraId="3C2119CD"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42.6</w:t>
            </w:r>
          </w:p>
        </w:tc>
        <w:tc>
          <w:tcPr>
            <w:tcW w:w="401" w:type="pct"/>
            <w:tcBorders>
              <w:top w:val="single" w:sz="4" w:space="0" w:color="000000"/>
              <w:left w:val="single" w:sz="4" w:space="0" w:color="000000"/>
              <w:bottom w:val="single" w:sz="4" w:space="0" w:color="000000"/>
              <w:right w:val="single" w:sz="4" w:space="0" w:color="000000"/>
            </w:tcBorders>
            <w:vAlign w:val="center"/>
          </w:tcPr>
          <w:p w14:paraId="5CE79361"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44.0</w:t>
            </w:r>
          </w:p>
        </w:tc>
      </w:tr>
      <w:tr w:rsidR="00021A08" w:rsidRPr="00E8656C" w14:paraId="1BA161E9" w14:textId="77777777" w:rsidTr="005E54CB">
        <w:trPr>
          <w:trHeight w:val="60"/>
        </w:trPr>
        <w:tc>
          <w:tcPr>
            <w:tcW w:w="744" w:type="pct"/>
            <w:tcBorders>
              <w:left w:val="single" w:sz="4" w:space="0" w:color="000000"/>
              <w:right w:val="single" w:sz="4" w:space="0" w:color="000000"/>
            </w:tcBorders>
          </w:tcPr>
          <w:p w14:paraId="1DC2F3C6" w14:textId="36A543FD" w:rsidR="00021A08" w:rsidRPr="00E8656C" w:rsidRDefault="00021A08" w:rsidP="00021A08">
            <w:pPr>
              <w:pStyle w:val="Tabletextupdate"/>
              <w:framePr w:wrap="auto"/>
              <w:rPr>
                <w:rFonts w:ascii="Arial" w:hAnsi="Arial" w:cs="Arial"/>
                <w:b/>
                <w:bCs/>
                <w:color w:val="auto"/>
              </w:rPr>
            </w:pPr>
            <w:r w:rsidRPr="00E8656C">
              <w:rPr>
                <w:rFonts w:ascii="Arial" w:hAnsi="Arial" w:cs="Arial"/>
                <w:b/>
                <w:bCs/>
                <w:color w:val="auto"/>
              </w:rPr>
              <w:t>Age</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5B0EAA3A" w14:textId="77777777" w:rsidR="00021A08" w:rsidRPr="005E54CB" w:rsidRDefault="00021A08" w:rsidP="00021A08">
            <w:pPr>
              <w:pStyle w:val="Tabletextupdate"/>
              <w:framePr w:wrap="auto"/>
              <w:rPr>
                <w:rFonts w:ascii="Arial" w:hAnsi="Arial" w:cs="Arial"/>
                <w:b/>
                <w:bCs/>
                <w:color w:val="auto"/>
              </w:rPr>
            </w:pPr>
            <w:r w:rsidRPr="005E54CB">
              <w:rPr>
                <w:rFonts w:ascii="Arial" w:hAnsi="Arial" w:cs="Arial"/>
                <w:b/>
                <w:bCs/>
                <w:color w:val="auto"/>
              </w:rPr>
              <w:t>30 to 39</w:t>
            </w:r>
          </w:p>
        </w:tc>
        <w:tc>
          <w:tcPr>
            <w:tcW w:w="412" w:type="pct"/>
            <w:tcBorders>
              <w:top w:val="single" w:sz="4" w:space="0" w:color="000000"/>
              <w:left w:val="single" w:sz="4" w:space="0" w:color="000000"/>
              <w:bottom w:val="single" w:sz="4" w:space="0" w:color="000000"/>
              <w:right w:val="single" w:sz="4" w:space="0" w:color="000000"/>
            </w:tcBorders>
            <w:vAlign w:val="center"/>
          </w:tcPr>
          <w:p w14:paraId="5CA54EDB"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45.4</w:t>
            </w:r>
          </w:p>
        </w:tc>
        <w:tc>
          <w:tcPr>
            <w:tcW w:w="412" w:type="pct"/>
            <w:tcBorders>
              <w:top w:val="single" w:sz="4" w:space="0" w:color="000000"/>
              <w:left w:val="single" w:sz="4" w:space="0" w:color="000000"/>
              <w:bottom w:val="single" w:sz="4" w:space="0" w:color="000000"/>
              <w:right w:val="single" w:sz="4" w:space="0" w:color="000000"/>
            </w:tcBorders>
            <w:vAlign w:val="center"/>
          </w:tcPr>
          <w:p w14:paraId="4CCF14F4"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47.6</w:t>
            </w:r>
          </w:p>
        </w:tc>
        <w:tc>
          <w:tcPr>
            <w:tcW w:w="412" w:type="pct"/>
            <w:tcBorders>
              <w:top w:val="single" w:sz="4" w:space="0" w:color="000000"/>
              <w:left w:val="single" w:sz="4" w:space="0" w:color="000000"/>
              <w:bottom w:val="single" w:sz="4" w:space="0" w:color="000000"/>
              <w:right w:val="single" w:sz="4" w:space="0" w:color="000000"/>
            </w:tcBorders>
            <w:vAlign w:val="center"/>
          </w:tcPr>
          <w:p w14:paraId="3F63B5F9"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47.2</w:t>
            </w:r>
          </w:p>
        </w:tc>
        <w:tc>
          <w:tcPr>
            <w:tcW w:w="412" w:type="pct"/>
            <w:tcBorders>
              <w:top w:val="single" w:sz="4" w:space="0" w:color="000000"/>
              <w:left w:val="single" w:sz="4" w:space="0" w:color="000000"/>
              <w:bottom w:val="single" w:sz="4" w:space="0" w:color="000000"/>
              <w:right w:val="single" w:sz="4" w:space="0" w:color="000000"/>
            </w:tcBorders>
            <w:vAlign w:val="center"/>
          </w:tcPr>
          <w:p w14:paraId="6F48E96C"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42.2</w:t>
            </w:r>
          </w:p>
        </w:tc>
        <w:tc>
          <w:tcPr>
            <w:tcW w:w="412" w:type="pct"/>
            <w:tcBorders>
              <w:top w:val="single" w:sz="4" w:space="0" w:color="000000"/>
              <w:left w:val="single" w:sz="4" w:space="0" w:color="000000"/>
              <w:bottom w:val="single" w:sz="4" w:space="0" w:color="000000"/>
              <w:right w:val="single" w:sz="4" w:space="0" w:color="000000"/>
            </w:tcBorders>
            <w:vAlign w:val="center"/>
          </w:tcPr>
          <w:p w14:paraId="5B2FB783"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42.0</w:t>
            </w:r>
          </w:p>
        </w:tc>
        <w:tc>
          <w:tcPr>
            <w:tcW w:w="412" w:type="pct"/>
            <w:tcBorders>
              <w:top w:val="single" w:sz="4" w:space="0" w:color="000000"/>
              <w:left w:val="single" w:sz="4" w:space="0" w:color="000000"/>
              <w:bottom w:val="single" w:sz="4" w:space="0" w:color="000000"/>
              <w:right w:val="single" w:sz="4" w:space="0" w:color="000000"/>
            </w:tcBorders>
            <w:vAlign w:val="center"/>
          </w:tcPr>
          <w:p w14:paraId="50A0105A"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43.1</w:t>
            </w:r>
          </w:p>
        </w:tc>
        <w:tc>
          <w:tcPr>
            <w:tcW w:w="404" w:type="pct"/>
            <w:tcBorders>
              <w:top w:val="single" w:sz="4" w:space="0" w:color="000000"/>
              <w:left w:val="single" w:sz="4" w:space="0" w:color="000000"/>
              <w:bottom w:val="single" w:sz="4" w:space="0" w:color="000000"/>
              <w:right w:val="single" w:sz="4" w:space="0" w:color="000000"/>
            </w:tcBorders>
            <w:vAlign w:val="center"/>
          </w:tcPr>
          <w:p w14:paraId="27A03EE3"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44.4</w:t>
            </w:r>
          </w:p>
        </w:tc>
        <w:tc>
          <w:tcPr>
            <w:tcW w:w="401" w:type="pct"/>
            <w:tcBorders>
              <w:top w:val="single" w:sz="4" w:space="0" w:color="000000"/>
              <w:left w:val="single" w:sz="4" w:space="0" w:color="000000"/>
              <w:bottom w:val="single" w:sz="4" w:space="0" w:color="000000"/>
              <w:right w:val="single" w:sz="4" w:space="0" w:color="000000"/>
            </w:tcBorders>
            <w:vAlign w:val="center"/>
          </w:tcPr>
          <w:p w14:paraId="49995D69"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45.6</w:t>
            </w:r>
          </w:p>
        </w:tc>
      </w:tr>
      <w:tr w:rsidR="00021A08" w:rsidRPr="00E8656C" w14:paraId="7AE3A525" w14:textId="77777777" w:rsidTr="005E54CB">
        <w:trPr>
          <w:trHeight w:val="60"/>
        </w:trPr>
        <w:tc>
          <w:tcPr>
            <w:tcW w:w="744" w:type="pct"/>
            <w:tcBorders>
              <w:left w:val="single" w:sz="4" w:space="0" w:color="000000"/>
              <w:bottom w:val="single" w:sz="4" w:space="0" w:color="000000"/>
              <w:right w:val="single" w:sz="4" w:space="0" w:color="000000"/>
            </w:tcBorders>
          </w:tcPr>
          <w:p w14:paraId="1935D62D" w14:textId="7D2DFF79" w:rsidR="00021A08" w:rsidRPr="00E8656C" w:rsidRDefault="00021A08" w:rsidP="00021A08">
            <w:pPr>
              <w:pStyle w:val="Tabletextupdate"/>
              <w:framePr w:wrap="auto"/>
              <w:rPr>
                <w:rFonts w:ascii="Arial" w:hAnsi="Arial" w:cs="Arial"/>
                <w:b/>
                <w:bCs/>
                <w:color w:val="auto"/>
              </w:rPr>
            </w:pPr>
            <w:r w:rsidRPr="00E8656C">
              <w:rPr>
                <w:rFonts w:ascii="Arial" w:hAnsi="Arial" w:cs="Arial"/>
                <w:b/>
                <w:bCs/>
                <w:color w:val="auto"/>
              </w:rPr>
              <w:t>Age</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41664E78" w14:textId="77777777" w:rsidR="00021A08" w:rsidRPr="005E54CB" w:rsidRDefault="00021A08" w:rsidP="00021A08">
            <w:pPr>
              <w:pStyle w:val="Tabletextupdate"/>
              <w:framePr w:wrap="auto"/>
              <w:rPr>
                <w:rFonts w:ascii="Arial" w:hAnsi="Arial" w:cs="Arial"/>
                <w:b/>
                <w:bCs/>
                <w:color w:val="auto"/>
              </w:rPr>
            </w:pPr>
            <w:r w:rsidRPr="005E54CB">
              <w:rPr>
                <w:rFonts w:ascii="Arial" w:hAnsi="Arial" w:cs="Arial"/>
                <w:b/>
                <w:bCs/>
                <w:color w:val="auto"/>
              </w:rPr>
              <w:t>40 and over</w:t>
            </w:r>
          </w:p>
        </w:tc>
        <w:tc>
          <w:tcPr>
            <w:tcW w:w="412" w:type="pct"/>
            <w:tcBorders>
              <w:top w:val="single" w:sz="4" w:space="0" w:color="000000"/>
              <w:left w:val="single" w:sz="4" w:space="0" w:color="000000"/>
              <w:bottom w:val="single" w:sz="4" w:space="0" w:color="000000"/>
              <w:right w:val="single" w:sz="4" w:space="0" w:color="000000"/>
            </w:tcBorders>
            <w:vAlign w:val="center"/>
          </w:tcPr>
          <w:p w14:paraId="0CDD2E6F"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49.0</w:t>
            </w:r>
          </w:p>
        </w:tc>
        <w:tc>
          <w:tcPr>
            <w:tcW w:w="412" w:type="pct"/>
            <w:tcBorders>
              <w:top w:val="single" w:sz="4" w:space="0" w:color="000000"/>
              <w:left w:val="single" w:sz="4" w:space="0" w:color="000000"/>
              <w:bottom w:val="single" w:sz="4" w:space="0" w:color="000000"/>
              <w:right w:val="single" w:sz="4" w:space="0" w:color="000000"/>
            </w:tcBorders>
            <w:vAlign w:val="center"/>
          </w:tcPr>
          <w:p w14:paraId="1C4B0DD3"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49.6</w:t>
            </w:r>
          </w:p>
        </w:tc>
        <w:tc>
          <w:tcPr>
            <w:tcW w:w="412" w:type="pct"/>
            <w:tcBorders>
              <w:top w:val="single" w:sz="4" w:space="0" w:color="000000"/>
              <w:left w:val="single" w:sz="4" w:space="0" w:color="000000"/>
              <w:bottom w:val="single" w:sz="4" w:space="0" w:color="000000"/>
              <w:right w:val="single" w:sz="4" w:space="0" w:color="000000"/>
            </w:tcBorders>
            <w:vAlign w:val="center"/>
          </w:tcPr>
          <w:p w14:paraId="065E25A8"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51.1</w:t>
            </w:r>
          </w:p>
        </w:tc>
        <w:tc>
          <w:tcPr>
            <w:tcW w:w="412" w:type="pct"/>
            <w:tcBorders>
              <w:top w:val="single" w:sz="4" w:space="0" w:color="000000"/>
              <w:left w:val="single" w:sz="4" w:space="0" w:color="000000"/>
              <w:bottom w:val="single" w:sz="4" w:space="0" w:color="000000"/>
              <w:right w:val="single" w:sz="4" w:space="0" w:color="000000"/>
            </w:tcBorders>
            <w:vAlign w:val="center"/>
          </w:tcPr>
          <w:p w14:paraId="64D754E0"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46.7</w:t>
            </w:r>
          </w:p>
        </w:tc>
        <w:tc>
          <w:tcPr>
            <w:tcW w:w="412" w:type="pct"/>
            <w:tcBorders>
              <w:top w:val="single" w:sz="4" w:space="0" w:color="000000"/>
              <w:left w:val="single" w:sz="4" w:space="0" w:color="000000"/>
              <w:bottom w:val="single" w:sz="4" w:space="0" w:color="000000"/>
              <w:right w:val="single" w:sz="4" w:space="0" w:color="000000"/>
            </w:tcBorders>
            <w:vAlign w:val="center"/>
          </w:tcPr>
          <w:p w14:paraId="33E01414"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45.9</w:t>
            </w:r>
          </w:p>
        </w:tc>
        <w:tc>
          <w:tcPr>
            <w:tcW w:w="412" w:type="pct"/>
            <w:tcBorders>
              <w:top w:val="single" w:sz="4" w:space="0" w:color="000000"/>
              <w:left w:val="single" w:sz="4" w:space="0" w:color="000000"/>
              <w:bottom w:val="single" w:sz="4" w:space="0" w:color="000000"/>
              <w:right w:val="single" w:sz="4" w:space="0" w:color="000000"/>
            </w:tcBorders>
            <w:vAlign w:val="center"/>
          </w:tcPr>
          <w:p w14:paraId="366F2306"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46.7</w:t>
            </w:r>
          </w:p>
        </w:tc>
        <w:tc>
          <w:tcPr>
            <w:tcW w:w="404" w:type="pct"/>
            <w:tcBorders>
              <w:top w:val="single" w:sz="4" w:space="0" w:color="000000"/>
              <w:left w:val="single" w:sz="4" w:space="0" w:color="000000"/>
              <w:bottom w:val="single" w:sz="4" w:space="0" w:color="000000"/>
              <w:right w:val="single" w:sz="4" w:space="0" w:color="000000"/>
            </w:tcBorders>
            <w:vAlign w:val="center"/>
          </w:tcPr>
          <w:p w14:paraId="609F7C43"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48.9</w:t>
            </w:r>
          </w:p>
        </w:tc>
        <w:tc>
          <w:tcPr>
            <w:tcW w:w="401" w:type="pct"/>
            <w:tcBorders>
              <w:top w:val="single" w:sz="4" w:space="0" w:color="000000"/>
              <w:left w:val="single" w:sz="4" w:space="0" w:color="000000"/>
              <w:bottom w:val="single" w:sz="4" w:space="0" w:color="000000"/>
              <w:right w:val="single" w:sz="4" w:space="0" w:color="000000"/>
            </w:tcBorders>
            <w:vAlign w:val="center"/>
          </w:tcPr>
          <w:p w14:paraId="616F036F" w14:textId="7777777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48.2</w:t>
            </w:r>
          </w:p>
        </w:tc>
      </w:tr>
      <w:tr w:rsidR="004D7A82" w:rsidRPr="00E8656C" w14:paraId="49EB0200" w14:textId="77777777" w:rsidTr="005E54CB">
        <w:trPr>
          <w:trHeight w:val="60"/>
        </w:trPr>
        <w:tc>
          <w:tcPr>
            <w:tcW w:w="744" w:type="pct"/>
            <w:tcBorders>
              <w:top w:val="single" w:sz="4" w:space="0" w:color="000000"/>
              <w:left w:val="single" w:sz="4" w:space="0" w:color="000000"/>
              <w:right w:val="single" w:sz="4" w:space="0" w:color="000000"/>
            </w:tcBorders>
            <w:vAlign w:val="center"/>
          </w:tcPr>
          <w:p w14:paraId="0A4364E5" w14:textId="0313A87A" w:rsidR="00B35574" w:rsidRPr="00E8656C" w:rsidRDefault="00B35574" w:rsidP="00B35574">
            <w:pPr>
              <w:pStyle w:val="Tabletextupdate"/>
              <w:framePr w:wrap="auto"/>
              <w:rPr>
                <w:rFonts w:ascii="Arial" w:hAnsi="Arial" w:cs="Arial"/>
                <w:b/>
                <w:bCs/>
                <w:color w:val="auto"/>
              </w:rPr>
            </w:pPr>
            <w:r w:rsidRPr="00E8656C">
              <w:rPr>
                <w:rFonts w:ascii="Arial" w:hAnsi="Arial" w:cs="Arial"/>
                <w:b/>
                <w:bCs/>
                <w:color w:val="auto"/>
              </w:rPr>
              <w:t>First Nations**</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568260C2" w14:textId="77777777" w:rsidR="00B35574" w:rsidRPr="005E54CB" w:rsidRDefault="00B35574" w:rsidP="00B35574">
            <w:pPr>
              <w:pStyle w:val="Tabletextupdate"/>
              <w:framePr w:wrap="auto"/>
              <w:rPr>
                <w:rFonts w:ascii="Arial" w:hAnsi="Arial" w:cs="Arial"/>
                <w:b/>
                <w:bCs/>
                <w:color w:val="auto"/>
              </w:rPr>
            </w:pPr>
            <w:r w:rsidRPr="005E54CB">
              <w:rPr>
                <w:rFonts w:ascii="Arial" w:hAnsi="Arial" w:cs="Arial"/>
                <w:b/>
                <w:bCs/>
                <w:color w:val="auto"/>
              </w:rPr>
              <w:t>First Nations</w:t>
            </w:r>
          </w:p>
        </w:tc>
        <w:tc>
          <w:tcPr>
            <w:tcW w:w="412" w:type="pct"/>
            <w:tcBorders>
              <w:top w:val="single" w:sz="4" w:space="0" w:color="000000"/>
              <w:left w:val="single" w:sz="4" w:space="0" w:color="000000"/>
              <w:bottom w:val="single" w:sz="4" w:space="0" w:color="000000"/>
              <w:right w:val="single" w:sz="4" w:space="0" w:color="000000"/>
            </w:tcBorders>
            <w:vAlign w:val="center"/>
          </w:tcPr>
          <w:p w14:paraId="62C6DBD3" w14:textId="5EB73EFB"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49.3</w:t>
            </w:r>
          </w:p>
        </w:tc>
        <w:tc>
          <w:tcPr>
            <w:tcW w:w="412" w:type="pct"/>
            <w:tcBorders>
              <w:top w:val="single" w:sz="4" w:space="0" w:color="000000"/>
              <w:left w:val="single" w:sz="4" w:space="0" w:color="000000"/>
              <w:bottom w:val="single" w:sz="4" w:space="0" w:color="000000"/>
              <w:right w:val="single" w:sz="4" w:space="0" w:color="000000"/>
            </w:tcBorders>
            <w:vAlign w:val="center"/>
          </w:tcPr>
          <w:p w14:paraId="01EC1655" w14:textId="666A160B"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52.2</w:t>
            </w:r>
          </w:p>
        </w:tc>
        <w:tc>
          <w:tcPr>
            <w:tcW w:w="412" w:type="pct"/>
            <w:tcBorders>
              <w:top w:val="single" w:sz="4" w:space="0" w:color="000000"/>
              <w:left w:val="single" w:sz="4" w:space="0" w:color="000000"/>
              <w:bottom w:val="single" w:sz="4" w:space="0" w:color="000000"/>
              <w:right w:val="single" w:sz="4" w:space="0" w:color="000000"/>
            </w:tcBorders>
            <w:vAlign w:val="center"/>
          </w:tcPr>
          <w:p w14:paraId="592164D6" w14:textId="3E4F8FD5"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52.4</w:t>
            </w:r>
          </w:p>
        </w:tc>
        <w:tc>
          <w:tcPr>
            <w:tcW w:w="412" w:type="pct"/>
            <w:tcBorders>
              <w:top w:val="single" w:sz="4" w:space="0" w:color="000000"/>
              <w:left w:val="single" w:sz="4" w:space="0" w:color="000000"/>
              <w:bottom w:val="single" w:sz="4" w:space="0" w:color="000000"/>
              <w:right w:val="single" w:sz="4" w:space="0" w:color="000000"/>
            </w:tcBorders>
            <w:vAlign w:val="center"/>
          </w:tcPr>
          <w:p w14:paraId="71265B28" w14:textId="7B0E1D97"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43.5</w:t>
            </w:r>
          </w:p>
        </w:tc>
        <w:tc>
          <w:tcPr>
            <w:tcW w:w="412" w:type="pct"/>
            <w:tcBorders>
              <w:top w:val="single" w:sz="4" w:space="0" w:color="000000"/>
              <w:left w:val="single" w:sz="4" w:space="0" w:color="000000"/>
              <w:bottom w:val="single" w:sz="4" w:space="0" w:color="000000"/>
              <w:right w:val="single" w:sz="4" w:space="0" w:color="000000"/>
            </w:tcBorders>
            <w:vAlign w:val="center"/>
          </w:tcPr>
          <w:p w14:paraId="6783F036" w14:textId="69A15E71"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43.7</w:t>
            </w:r>
          </w:p>
        </w:tc>
        <w:tc>
          <w:tcPr>
            <w:tcW w:w="412" w:type="pct"/>
            <w:tcBorders>
              <w:top w:val="single" w:sz="4" w:space="0" w:color="000000"/>
              <w:left w:val="single" w:sz="4" w:space="0" w:color="000000"/>
              <w:bottom w:val="single" w:sz="4" w:space="0" w:color="000000"/>
              <w:right w:val="single" w:sz="4" w:space="0" w:color="000000"/>
            </w:tcBorders>
            <w:vAlign w:val="center"/>
          </w:tcPr>
          <w:p w14:paraId="4BA329FF" w14:textId="1A63D1F8"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47.9</w:t>
            </w:r>
          </w:p>
        </w:tc>
        <w:tc>
          <w:tcPr>
            <w:tcW w:w="404" w:type="pct"/>
            <w:tcBorders>
              <w:top w:val="single" w:sz="4" w:space="0" w:color="000000"/>
              <w:left w:val="single" w:sz="4" w:space="0" w:color="000000"/>
              <w:bottom w:val="single" w:sz="4" w:space="0" w:color="000000"/>
              <w:right w:val="single" w:sz="4" w:space="0" w:color="000000"/>
            </w:tcBorders>
            <w:vAlign w:val="center"/>
          </w:tcPr>
          <w:p w14:paraId="4D8F086F" w14:textId="3DF33B1B"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47.1</w:t>
            </w:r>
          </w:p>
        </w:tc>
        <w:tc>
          <w:tcPr>
            <w:tcW w:w="401" w:type="pct"/>
            <w:tcBorders>
              <w:top w:val="single" w:sz="4" w:space="0" w:color="000000"/>
              <w:left w:val="single" w:sz="4" w:space="0" w:color="000000"/>
              <w:bottom w:val="single" w:sz="4" w:space="0" w:color="000000"/>
              <w:right w:val="single" w:sz="4" w:space="0" w:color="000000"/>
            </w:tcBorders>
            <w:vAlign w:val="center"/>
          </w:tcPr>
          <w:p w14:paraId="03435A47" w14:textId="2C315F9B"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46.6</w:t>
            </w:r>
          </w:p>
        </w:tc>
      </w:tr>
      <w:tr w:rsidR="004D7A82" w:rsidRPr="00E8656C" w14:paraId="3A363834" w14:textId="77777777" w:rsidTr="005E54CB">
        <w:trPr>
          <w:trHeight w:val="60"/>
        </w:trPr>
        <w:tc>
          <w:tcPr>
            <w:tcW w:w="744" w:type="pct"/>
            <w:tcBorders>
              <w:left w:val="single" w:sz="4" w:space="0" w:color="000000"/>
              <w:bottom w:val="single" w:sz="4" w:space="0" w:color="000000"/>
              <w:right w:val="single" w:sz="4" w:space="0" w:color="000000"/>
            </w:tcBorders>
          </w:tcPr>
          <w:p w14:paraId="57B89A49" w14:textId="28BD7749" w:rsidR="00B35574" w:rsidRPr="00E8656C" w:rsidRDefault="00021A08" w:rsidP="00B35574">
            <w:pPr>
              <w:pStyle w:val="Tabletextupdate"/>
              <w:framePr w:wrap="auto"/>
              <w:rPr>
                <w:rFonts w:ascii="Arial" w:hAnsi="Arial" w:cs="Arial"/>
                <w:b/>
                <w:bCs/>
                <w:color w:val="auto"/>
              </w:rPr>
            </w:pPr>
            <w:r w:rsidRPr="00E8656C">
              <w:rPr>
                <w:rFonts w:ascii="Arial" w:hAnsi="Arial" w:cs="Arial"/>
                <w:b/>
                <w:bCs/>
                <w:color w:val="auto"/>
              </w:rPr>
              <w:t>First Nations**</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6003BCA8" w14:textId="77777777" w:rsidR="00B35574" w:rsidRPr="005E54CB" w:rsidRDefault="00B35574" w:rsidP="00B35574">
            <w:pPr>
              <w:pStyle w:val="Tabletextupdate"/>
              <w:framePr w:wrap="auto"/>
              <w:rPr>
                <w:rFonts w:ascii="Arial" w:hAnsi="Arial" w:cs="Arial"/>
                <w:b/>
                <w:bCs/>
                <w:color w:val="auto"/>
              </w:rPr>
            </w:pPr>
            <w:r w:rsidRPr="005E54CB">
              <w:rPr>
                <w:rFonts w:ascii="Arial" w:hAnsi="Arial" w:cs="Arial"/>
                <w:b/>
                <w:bCs/>
                <w:color w:val="auto"/>
              </w:rPr>
              <w:t>Non-Indigenous</w:t>
            </w:r>
          </w:p>
        </w:tc>
        <w:tc>
          <w:tcPr>
            <w:tcW w:w="412" w:type="pct"/>
            <w:tcBorders>
              <w:top w:val="single" w:sz="4" w:space="0" w:color="000000"/>
              <w:left w:val="single" w:sz="4" w:space="0" w:color="000000"/>
              <w:bottom w:val="single" w:sz="4" w:space="0" w:color="000000"/>
              <w:right w:val="single" w:sz="4" w:space="0" w:color="000000"/>
            </w:tcBorders>
            <w:vAlign w:val="center"/>
          </w:tcPr>
          <w:p w14:paraId="0A696694" w14:textId="54917214"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50.7</w:t>
            </w:r>
          </w:p>
        </w:tc>
        <w:tc>
          <w:tcPr>
            <w:tcW w:w="412" w:type="pct"/>
            <w:tcBorders>
              <w:top w:val="single" w:sz="4" w:space="0" w:color="000000"/>
              <w:left w:val="single" w:sz="4" w:space="0" w:color="000000"/>
              <w:bottom w:val="single" w:sz="4" w:space="0" w:color="000000"/>
              <w:right w:val="single" w:sz="4" w:space="0" w:color="000000"/>
            </w:tcBorders>
            <w:vAlign w:val="center"/>
          </w:tcPr>
          <w:p w14:paraId="089104AD" w14:textId="1E8ABE50"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51.8</w:t>
            </w:r>
          </w:p>
        </w:tc>
        <w:tc>
          <w:tcPr>
            <w:tcW w:w="412" w:type="pct"/>
            <w:tcBorders>
              <w:top w:val="single" w:sz="4" w:space="0" w:color="000000"/>
              <w:left w:val="single" w:sz="4" w:space="0" w:color="000000"/>
              <w:bottom w:val="single" w:sz="4" w:space="0" w:color="000000"/>
              <w:right w:val="single" w:sz="4" w:space="0" w:color="000000"/>
            </w:tcBorders>
            <w:vAlign w:val="center"/>
          </w:tcPr>
          <w:p w14:paraId="3E6D0A35" w14:textId="49549375"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50.5</w:t>
            </w:r>
          </w:p>
        </w:tc>
        <w:tc>
          <w:tcPr>
            <w:tcW w:w="412" w:type="pct"/>
            <w:tcBorders>
              <w:top w:val="single" w:sz="4" w:space="0" w:color="000000"/>
              <w:left w:val="single" w:sz="4" w:space="0" w:color="000000"/>
              <w:bottom w:val="single" w:sz="4" w:space="0" w:color="000000"/>
              <w:right w:val="single" w:sz="4" w:space="0" w:color="000000"/>
            </w:tcBorders>
            <w:vAlign w:val="center"/>
          </w:tcPr>
          <w:p w14:paraId="782D7748" w14:textId="2AE2AC85"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39.3</w:t>
            </w:r>
          </w:p>
        </w:tc>
        <w:tc>
          <w:tcPr>
            <w:tcW w:w="412" w:type="pct"/>
            <w:tcBorders>
              <w:top w:val="single" w:sz="4" w:space="0" w:color="000000"/>
              <w:left w:val="single" w:sz="4" w:space="0" w:color="000000"/>
              <w:bottom w:val="single" w:sz="4" w:space="0" w:color="000000"/>
              <w:right w:val="single" w:sz="4" w:space="0" w:color="000000"/>
            </w:tcBorders>
            <w:vAlign w:val="center"/>
          </w:tcPr>
          <w:p w14:paraId="0345F1CE" w14:textId="288A3348"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41.4</w:t>
            </w:r>
          </w:p>
        </w:tc>
        <w:tc>
          <w:tcPr>
            <w:tcW w:w="412" w:type="pct"/>
            <w:tcBorders>
              <w:top w:val="single" w:sz="4" w:space="0" w:color="000000"/>
              <w:left w:val="single" w:sz="4" w:space="0" w:color="000000"/>
              <w:bottom w:val="single" w:sz="4" w:space="0" w:color="000000"/>
              <w:right w:val="single" w:sz="4" w:space="0" w:color="000000"/>
            </w:tcBorders>
            <w:vAlign w:val="center"/>
          </w:tcPr>
          <w:p w14:paraId="2D5A2E00" w14:textId="58E8C693"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44.7</w:t>
            </w:r>
          </w:p>
        </w:tc>
        <w:tc>
          <w:tcPr>
            <w:tcW w:w="404" w:type="pct"/>
            <w:tcBorders>
              <w:top w:val="single" w:sz="4" w:space="0" w:color="000000"/>
              <w:left w:val="single" w:sz="4" w:space="0" w:color="000000"/>
              <w:bottom w:val="single" w:sz="4" w:space="0" w:color="000000"/>
              <w:right w:val="single" w:sz="4" w:space="0" w:color="000000"/>
            </w:tcBorders>
            <w:vAlign w:val="center"/>
          </w:tcPr>
          <w:p w14:paraId="77A37863" w14:textId="075E4C18"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44.1</w:t>
            </w:r>
          </w:p>
        </w:tc>
        <w:tc>
          <w:tcPr>
            <w:tcW w:w="401" w:type="pct"/>
            <w:tcBorders>
              <w:top w:val="single" w:sz="4" w:space="0" w:color="000000"/>
              <w:left w:val="single" w:sz="4" w:space="0" w:color="000000"/>
              <w:bottom w:val="single" w:sz="4" w:space="0" w:color="000000"/>
              <w:right w:val="single" w:sz="4" w:space="0" w:color="000000"/>
            </w:tcBorders>
            <w:vAlign w:val="center"/>
          </w:tcPr>
          <w:p w14:paraId="554E5C42" w14:textId="78CEFC6A" w:rsidR="00B35574" w:rsidRPr="00E8656C" w:rsidRDefault="00B35574" w:rsidP="005E54CB">
            <w:pPr>
              <w:pStyle w:val="Tabletextupdate"/>
              <w:framePr w:wrap="auto"/>
              <w:jc w:val="center"/>
              <w:rPr>
                <w:rFonts w:ascii="Arial" w:hAnsi="Arial" w:cs="Arial"/>
                <w:color w:val="auto"/>
              </w:rPr>
            </w:pPr>
            <w:r w:rsidRPr="00E8656C">
              <w:rPr>
                <w:rFonts w:ascii="Arial" w:hAnsi="Arial" w:cs="Arial"/>
                <w:color w:val="auto"/>
              </w:rPr>
              <w:t>44.0</w:t>
            </w:r>
          </w:p>
        </w:tc>
      </w:tr>
      <w:tr w:rsidR="004D7A82" w:rsidRPr="00E8656C" w14:paraId="0B4B4E7A" w14:textId="77777777" w:rsidTr="005E54CB">
        <w:trPr>
          <w:trHeight w:val="60"/>
        </w:trPr>
        <w:tc>
          <w:tcPr>
            <w:tcW w:w="744" w:type="pct"/>
            <w:tcBorders>
              <w:top w:val="single" w:sz="4" w:space="0" w:color="000000"/>
              <w:left w:val="single" w:sz="4" w:space="0" w:color="000000"/>
              <w:right w:val="single" w:sz="4" w:space="0" w:color="000000"/>
            </w:tcBorders>
          </w:tcPr>
          <w:p w14:paraId="4D16EFC4" w14:textId="23337FD9" w:rsidR="005E3F94" w:rsidRPr="00E8656C" w:rsidRDefault="005E3F94" w:rsidP="00893F25">
            <w:pPr>
              <w:pStyle w:val="Tabletextupdate"/>
              <w:framePr w:wrap="auto"/>
              <w:rPr>
                <w:rFonts w:ascii="Arial" w:hAnsi="Arial" w:cs="Arial"/>
                <w:b/>
                <w:bCs/>
                <w:color w:val="auto"/>
              </w:rPr>
            </w:pPr>
            <w:r w:rsidRPr="00E8656C">
              <w:rPr>
                <w:rFonts w:ascii="Arial" w:hAnsi="Arial" w:cs="Arial"/>
                <w:b/>
                <w:bCs/>
                <w:color w:val="auto"/>
              </w:rPr>
              <w:t>Home language</w:t>
            </w:r>
            <w:r w:rsidR="008212FD" w:rsidRPr="00E8656C">
              <w:rPr>
                <w:rFonts w:ascii="Arial" w:hAnsi="Arial" w:cs="Arial"/>
                <w:b/>
                <w:bCs/>
                <w:color w:val="auto"/>
              </w:rPr>
              <w:t>***</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03F919FC"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English</w:t>
            </w:r>
          </w:p>
        </w:tc>
        <w:tc>
          <w:tcPr>
            <w:tcW w:w="412" w:type="pct"/>
            <w:tcBorders>
              <w:top w:val="single" w:sz="4" w:space="0" w:color="000000"/>
              <w:left w:val="single" w:sz="4" w:space="0" w:color="000000"/>
              <w:bottom w:val="single" w:sz="4" w:space="0" w:color="000000"/>
              <w:right w:val="single" w:sz="4" w:space="0" w:color="000000"/>
            </w:tcBorders>
            <w:vAlign w:val="center"/>
          </w:tcPr>
          <w:p w14:paraId="06667B9E"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50.4</w:t>
            </w:r>
          </w:p>
        </w:tc>
        <w:tc>
          <w:tcPr>
            <w:tcW w:w="412" w:type="pct"/>
            <w:tcBorders>
              <w:top w:val="single" w:sz="4" w:space="0" w:color="000000"/>
              <w:left w:val="single" w:sz="4" w:space="0" w:color="000000"/>
              <w:bottom w:val="single" w:sz="4" w:space="0" w:color="000000"/>
              <w:right w:val="single" w:sz="4" w:space="0" w:color="000000"/>
            </w:tcBorders>
            <w:vAlign w:val="center"/>
          </w:tcPr>
          <w:p w14:paraId="24A1102D"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51.8</w:t>
            </w:r>
          </w:p>
        </w:tc>
        <w:tc>
          <w:tcPr>
            <w:tcW w:w="412" w:type="pct"/>
            <w:tcBorders>
              <w:top w:val="single" w:sz="4" w:space="0" w:color="000000"/>
              <w:left w:val="single" w:sz="4" w:space="0" w:color="000000"/>
              <w:bottom w:val="single" w:sz="4" w:space="0" w:color="000000"/>
              <w:right w:val="single" w:sz="4" w:space="0" w:color="000000"/>
            </w:tcBorders>
            <w:vAlign w:val="center"/>
          </w:tcPr>
          <w:p w14:paraId="51F65587"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50.6</w:t>
            </w:r>
          </w:p>
        </w:tc>
        <w:tc>
          <w:tcPr>
            <w:tcW w:w="412" w:type="pct"/>
            <w:tcBorders>
              <w:top w:val="single" w:sz="4" w:space="0" w:color="000000"/>
              <w:left w:val="single" w:sz="4" w:space="0" w:color="000000"/>
              <w:bottom w:val="single" w:sz="4" w:space="0" w:color="000000"/>
              <w:right w:val="single" w:sz="4" w:space="0" w:color="000000"/>
            </w:tcBorders>
            <w:vAlign w:val="center"/>
          </w:tcPr>
          <w:p w14:paraId="723C0B4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39.8</w:t>
            </w:r>
          </w:p>
        </w:tc>
        <w:tc>
          <w:tcPr>
            <w:tcW w:w="412" w:type="pct"/>
            <w:tcBorders>
              <w:top w:val="single" w:sz="4" w:space="0" w:color="000000"/>
              <w:left w:val="single" w:sz="4" w:space="0" w:color="000000"/>
              <w:bottom w:val="single" w:sz="4" w:space="0" w:color="000000"/>
              <w:right w:val="single" w:sz="4" w:space="0" w:color="000000"/>
            </w:tcBorders>
            <w:vAlign w:val="center"/>
          </w:tcPr>
          <w:p w14:paraId="048ACBCA"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41.1</w:t>
            </w:r>
          </w:p>
        </w:tc>
        <w:tc>
          <w:tcPr>
            <w:tcW w:w="412" w:type="pct"/>
            <w:tcBorders>
              <w:top w:val="single" w:sz="4" w:space="0" w:color="000000"/>
              <w:left w:val="single" w:sz="4" w:space="0" w:color="000000"/>
              <w:bottom w:val="single" w:sz="4" w:space="0" w:color="000000"/>
              <w:right w:val="single" w:sz="4" w:space="0" w:color="000000"/>
            </w:tcBorders>
            <w:vAlign w:val="center"/>
          </w:tcPr>
          <w:p w14:paraId="5BB8C20C"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44.9</w:t>
            </w:r>
          </w:p>
        </w:tc>
        <w:tc>
          <w:tcPr>
            <w:tcW w:w="404" w:type="pct"/>
            <w:tcBorders>
              <w:top w:val="single" w:sz="4" w:space="0" w:color="000000"/>
              <w:left w:val="single" w:sz="4" w:space="0" w:color="000000"/>
              <w:bottom w:val="single" w:sz="4" w:space="0" w:color="000000"/>
              <w:right w:val="single" w:sz="4" w:space="0" w:color="000000"/>
            </w:tcBorders>
            <w:vAlign w:val="center"/>
          </w:tcPr>
          <w:p w14:paraId="59F93301"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44.4</w:t>
            </w:r>
          </w:p>
        </w:tc>
        <w:tc>
          <w:tcPr>
            <w:tcW w:w="401" w:type="pct"/>
            <w:tcBorders>
              <w:top w:val="single" w:sz="4" w:space="0" w:color="000000"/>
              <w:left w:val="single" w:sz="4" w:space="0" w:color="000000"/>
              <w:bottom w:val="single" w:sz="4" w:space="0" w:color="000000"/>
              <w:right w:val="single" w:sz="4" w:space="0" w:color="000000"/>
            </w:tcBorders>
            <w:vAlign w:val="center"/>
          </w:tcPr>
          <w:p w14:paraId="482695BD"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44.4</w:t>
            </w:r>
          </w:p>
        </w:tc>
      </w:tr>
      <w:tr w:rsidR="004D7A82" w:rsidRPr="00E8656C" w14:paraId="6FD95273" w14:textId="77777777" w:rsidTr="005E54CB">
        <w:trPr>
          <w:trHeight w:val="60"/>
        </w:trPr>
        <w:tc>
          <w:tcPr>
            <w:tcW w:w="744" w:type="pct"/>
            <w:tcBorders>
              <w:left w:val="single" w:sz="4" w:space="0" w:color="000000"/>
              <w:bottom w:val="single" w:sz="4" w:space="0" w:color="000000"/>
              <w:right w:val="single" w:sz="4" w:space="0" w:color="000000"/>
            </w:tcBorders>
          </w:tcPr>
          <w:p w14:paraId="630E577D" w14:textId="6BD2ADEB" w:rsidR="005E3F94" w:rsidRPr="00E8656C" w:rsidRDefault="00021A08" w:rsidP="00893F25">
            <w:pPr>
              <w:pStyle w:val="Tabletextupdate"/>
              <w:framePr w:wrap="auto"/>
              <w:rPr>
                <w:rFonts w:ascii="Arial" w:hAnsi="Arial" w:cs="Arial"/>
                <w:b/>
                <w:bCs/>
                <w:color w:val="auto"/>
              </w:rPr>
            </w:pPr>
            <w:r w:rsidRPr="00E8656C">
              <w:rPr>
                <w:rFonts w:ascii="Arial" w:hAnsi="Arial" w:cs="Arial"/>
                <w:b/>
                <w:bCs/>
                <w:color w:val="auto"/>
              </w:rPr>
              <w:t>Home language***</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383F46F4"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Other</w:t>
            </w:r>
          </w:p>
        </w:tc>
        <w:tc>
          <w:tcPr>
            <w:tcW w:w="412" w:type="pct"/>
            <w:tcBorders>
              <w:top w:val="single" w:sz="4" w:space="0" w:color="000000"/>
              <w:left w:val="single" w:sz="4" w:space="0" w:color="000000"/>
              <w:bottom w:val="single" w:sz="4" w:space="0" w:color="000000"/>
              <w:right w:val="single" w:sz="4" w:space="0" w:color="000000"/>
            </w:tcBorders>
            <w:vAlign w:val="center"/>
          </w:tcPr>
          <w:p w14:paraId="6E91D1BC"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58.0</w:t>
            </w:r>
          </w:p>
        </w:tc>
        <w:tc>
          <w:tcPr>
            <w:tcW w:w="412" w:type="pct"/>
            <w:tcBorders>
              <w:top w:val="single" w:sz="4" w:space="0" w:color="000000"/>
              <w:left w:val="single" w:sz="4" w:space="0" w:color="000000"/>
              <w:bottom w:val="single" w:sz="4" w:space="0" w:color="000000"/>
              <w:right w:val="single" w:sz="4" w:space="0" w:color="000000"/>
            </w:tcBorders>
            <w:vAlign w:val="center"/>
          </w:tcPr>
          <w:p w14:paraId="6B2803FE"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58.4</w:t>
            </w:r>
          </w:p>
        </w:tc>
        <w:tc>
          <w:tcPr>
            <w:tcW w:w="412" w:type="pct"/>
            <w:tcBorders>
              <w:top w:val="single" w:sz="4" w:space="0" w:color="000000"/>
              <w:left w:val="single" w:sz="4" w:space="0" w:color="000000"/>
              <w:bottom w:val="single" w:sz="4" w:space="0" w:color="000000"/>
              <w:right w:val="single" w:sz="4" w:space="0" w:color="000000"/>
            </w:tcBorders>
            <w:vAlign w:val="center"/>
          </w:tcPr>
          <w:p w14:paraId="792E1A49"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58.0</w:t>
            </w:r>
          </w:p>
        </w:tc>
        <w:tc>
          <w:tcPr>
            <w:tcW w:w="412" w:type="pct"/>
            <w:tcBorders>
              <w:top w:val="single" w:sz="4" w:space="0" w:color="000000"/>
              <w:left w:val="single" w:sz="4" w:space="0" w:color="000000"/>
              <w:bottom w:val="single" w:sz="4" w:space="0" w:color="000000"/>
              <w:right w:val="single" w:sz="4" w:space="0" w:color="000000"/>
            </w:tcBorders>
            <w:vAlign w:val="center"/>
          </w:tcPr>
          <w:p w14:paraId="78B35BD3"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48.5</w:t>
            </w:r>
          </w:p>
        </w:tc>
        <w:tc>
          <w:tcPr>
            <w:tcW w:w="412" w:type="pct"/>
            <w:tcBorders>
              <w:top w:val="single" w:sz="4" w:space="0" w:color="000000"/>
              <w:left w:val="single" w:sz="4" w:space="0" w:color="000000"/>
              <w:bottom w:val="single" w:sz="4" w:space="0" w:color="000000"/>
              <w:right w:val="single" w:sz="4" w:space="0" w:color="000000"/>
            </w:tcBorders>
            <w:vAlign w:val="center"/>
          </w:tcPr>
          <w:p w14:paraId="13D6B0DB"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48.1</w:t>
            </w:r>
          </w:p>
        </w:tc>
        <w:tc>
          <w:tcPr>
            <w:tcW w:w="412" w:type="pct"/>
            <w:tcBorders>
              <w:top w:val="single" w:sz="4" w:space="0" w:color="000000"/>
              <w:left w:val="single" w:sz="4" w:space="0" w:color="000000"/>
              <w:bottom w:val="single" w:sz="4" w:space="0" w:color="000000"/>
              <w:right w:val="single" w:sz="4" w:space="0" w:color="000000"/>
            </w:tcBorders>
            <w:vAlign w:val="center"/>
          </w:tcPr>
          <w:p w14:paraId="2E4B7722"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52.7</w:t>
            </w:r>
          </w:p>
        </w:tc>
        <w:tc>
          <w:tcPr>
            <w:tcW w:w="404" w:type="pct"/>
            <w:tcBorders>
              <w:top w:val="single" w:sz="4" w:space="0" w:color="000000"/>
              <w:left w:val="single" w:sz="4" w:space="0" w:color="000000"/>
              <w:bottom w:val="single" w:sz="4" w:space="0" w:color="000000"/>
              <w:right w:val="single" w:sz="4" w:space="0" w:color="000000"/>
            </w:tcBorders>
            <w:vAlign w:val="center"/>
          </w:tcPr>
          <w:p w14:paraId="20262853"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56.6</w:t>
            </w:r>
          </w:p>
        </w:tc>
        <w:tc>
          <w:tcPr>
            <w:tcW w:w="401" w:type="pct"/>
            <w:tcBorders>
              <w:top w:val="single" w:sz="4" w:space="0" w:color="000000"/>
              <w:left w:val="single" w:sz="4" w:space="0" w:color="000000"/>
              <w:bottom w:val="single" w:sz="4" w:space="0" w:color="000000"/>
              <w:right w:val="single" w:sz="4" w:space="0" w:color="000000"/>
            </w:tcBorders>
            <w:vAlign w:val="center"/>
          </w:tcPr>
          <w:p w14:paraId="72E5AAE0"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56.6</w:t>
            </w:r>
          </w:p>
        </w:tc>
      </w:tr>
      <w:tr w:rsidR="004D7A82" w:rsidRPr="00E8656C" w14:paraId="0C303270" w14:textId="77777777" w:rsidTr="005E54CB">
        <w:trPr>
          <w:trHeight w:val="60"/>
        </w:trPr>
        <w:tc>
          <w:tcPr>
            <w:tcW w:w="744" w:type="pct"/>
            <w:tcBorders>
              <w:top w:val="single" w:sz="4" w:space="0" w:color="000000"/>
              <w:left w:val="single" w:sz="4" w:space="0" w:color="000000"/>
              <w:right w:val="single" w:sz="4" w:space="0" w:color="000000"/>
            </w:tcBorders>
          </w:tcPr>
          <w:p w14:paraId="7F3D0860" w14:textId="77777777" w:rsidR="005E3F94" w:rsidRPr="00E8656C" w:rsidRDefault="005E3F94" w:rsidP="00893F25">
            <w:pPr>
              <w:pStyle w:val="Tabletextupdate"/>
              <w:framePr w:wrap="auto"/>
              <w:rPr>
                <w:rFonts w:ascii="Arial" w:hAnsi="Arial" w:cs="Arial"/>
                <w:b/>
                <w:bCs/>
                <w:color w:val="auto"/>
              </w:rPr>
            </w:pPr>
            <w:r w:rsidRPr="00E8656C">
              <w:rPr>
                <w:rFonts w:ascii="Arial" w:hAnsi="Arial" w:cs="Arial"/>
                <w:b/>
                <w:bCs/>
                <w:color w:val="auto"/>
              </w:rPr>
              <w:t>Disability</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63773BCA"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Disability reported</w:t>
            </w:r>
          </w:p>
        </w:tc>
        <w:tc>
          <w:tcPr>
            <w:tcW w:w="412" w:type="pct"/>
            <w:tcBorders>
              <w:top w:val="single" w:sz="4" w:space="0" w:color="000000"/>
              <w:left w:val="single" w:sz="4" w:space="0" w:color="000000"/>
              <w:bottom w:val="single" w:sz="4" w:space="0" w:color="000000"/>
              <w:right w:val="single" w:sz="4" w:space="0" w:color="000000"/>
            </w:tcBorders>
            <w:vAlign w:val="center"/>
          </w:tcPr>
          <w:p w14:paraId="703DAA64"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47.3</w:t>
            </w:r>
          </w:p>
        </w:tc>
        <w:tc>
          <w:tcPr>
            <w:tcW w:w="412" w:type="pct"/>
            <w:tcBorders>
              <w:top w:val="single" w:sz="4" w:space="0" w:color="000000"/>
              <w:left w:val="single" w:sz="4" w:space="0" w:color="000000"/>
              <w:bottom w:val="single" w:sz="4" w:space="0" w:color="000000"/>
              <w:right w:val="single" w:sz="4" w:space="0" w:color="000000"/>
            </w:tcBorders>
            <w:vAlign w:val="center"/>
          </w:tcPr>
          <w:p w14:paraId="08BEC1C2"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48.3</w:t>
            </w:r>
          </w:p>
        </w:tc>
        <w:tc>
          <w:tcPr>
            <w:tcW w:w="412" w:type="pct"/>
            <w:tcBorders>
              <w:top w:val="single" w:sz="4" w:space="0" w:color="000000"/>
              <w:left w:val="single" w:sz="4" w:space="0" w:color="000000"/>
              <w:bottom w:val="single" w:sz="4" w:space="0" w:color="000000"/>
              <w:right w:val="single" w:sz="4" w:space="0" w:color="000000"/>
            </w:tcBorders>
            <w:vAlign w:val="center"/>
          </w:tcPr>
          <w:p w14:paraId="191BD3AB"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47.4</w:t>
            </w:r>
          </w:p>
        </w:tc>
        <w:tc>
          <w:tcPr>
            <w:tcW w:w="412" w:type="pct"/>
            <w:tcBorders>
              <w:top w:val="single" w:sz="4" w:space="0" w:color="000000"/>
              <w:left w:val="single" w:sz="4" w:space="0" w:color="000000"/>
              <w:bottom w:val="single" w:sz="4" w:space="0" w:color="000000"/>
              <w:right w:val="single" w:sz="4" w:space="0" w:color="000000"/>
            </w:tcBorders>
            <w:vAlign w:val="center"/>
          </w:tcPr>
          <w:p w14:paraId="5B9416B2"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36.3</w:t>
            </w:r>
          </w:p>
        </w:tc>
        <w:tc>
          <w:tcPr>
            <w:tcW w:w="412" w:type="pct"/>
            <w:tcBorders>
              <w:top w:val="single" w:sz="4" w:space="0" w:color="000000"/>
              <w:left w:val="single" w:sz="4" w:space="0" w:color="000000"/>
              <w:bottom w:val="single" w:sz="4" w:space="0" w:color="000000"/>
              <w:right w:val="single" w:sz="4" w:space="0" w:color="000000"/>
            </w:tcBorders>
            <w:vAlign w:val="center"/>
          </w:tcPr>
          <w:p w14:paraId="5B3780C1"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37.3</w:t>
            </w:r>
          </w:p>
        </w:tc>
        <w:tc>
          <w:tcPr>
            <w:tcW w:w="412" w:type="pct"/>
            <w:tcBorders>
              <w:top w:val="single" w:sz="4" w:space="0" w:color="000000"/>
              <w:left w:val="single" w:sz="4" w:space="0" w:color="000000"/>
              <w:bottom w:val="single" w:sz="4" w:space="0" w:color="000000"/>
              <w:right w:val="single" w:sz="4" w:space="0" w:color="000000"/>
            </w:tcBorders>
            <w:vAlign w:val="center"/>
          </w:tcPr>
          <w:p w14:paraId="7B536100"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42.4</w:t>
            </w:r>
          </w:p>
        </w:tc>
        <w:tc>
          <w:tcPr>
            <w:tcW w:w="404" w:type="pct"/>
            <w:tcBorders>
              <w:top w:val="single" w:sz="4" w:space="0" w:color="000000"/>
              <w:left w:val="single" w:sz="4" w:space="0" w:color="000000"/>
              <w:bottom w:val="single" w:sz="4" w:space="0" w:color="000000"/>
              <w:right w:val="single" w:sz="4" w:space="0" w:color="000000"/>
            </w:tcBorders>
            <w:vAlign w:val="center"/>
          </w:tcPr>
          <w:p w14:paraId="48BD24A0"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43.3</w:t>
            </w:r>
          </w:p>
        </w:tc>
        <w:tc>
          <w:tcPr>
            <w:tcW w:w="401" w:type="pct"/>
            <w:tcBorders>
              <w:top w:val="single" w:sz="4" w:space="0" w:color="000000"/>
              <w:left w:val="single" w:sz="4" w:space="0" w:color="000000"/>
              <w:bottom w:val="single" w:sz="4" w:space="0" w:color="000000"/>
              <w:right w:val="single" w:sz="4" w:space="0" w:color="000000"/>
            </w:tcBorders>
            <w:vAlign w:val="center"/>
          </w:tcPr>
          <w:p w14:paraId="1B32F00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41.9</w:t>
            </w:r>
          </w:p>
        </w:tc>
      </w:tr>
      <w:tr w:rsidR="004D7A82" w:rsidRPr="00E8656C" w14:paraId="2417777C" w14:textId="77777777" w:rsidTr="005E54CB">
        <w:trPr>
          <w:trHeight w:val="60"/>
        </w:trPr>
        <w:tc>
          <w:tcPr>
            <w:tcW w:w="744" w:type="pct"/>
            <w:tcBorders>
              <w:left w:val="single" w:sz="4" w:space="0" w:color="000000"/>
              <w:bottom w:val="single" w:sz="4" w:space="0" w:color="000000"/>
              <w:right w:val="single" w:sz="4" w:space="0" w:color="000000"/>
            </w:tcBorders>
          </w:tcPr>
          <w:p w14:paraId="300BB500" w14:textId="1844F346" w:rsidR="005E3F94" w:rsidRPr="00E8656C" w:rsidRDefault="00021A08" w:rsidP="00893F25">
            <w:pPr>
              <w:pStyle w:val="Tabletextupdate"/>
              <w:framePr w:wrap="auto"/>
              <w:rPr>
                <w:rFonts w:ascii="Arial" w:hAnsi="Arial" w:cs="Arial"/>
                <w:b/>
                <w:bCs/>
                <w:color w:val="auto"/>
              </w:rPr>
            </w:pPr>
            <w:r w:rsidRPr="00E8656C">
              <w:rPr>
                <w:rFonts w:ascii="Arial" w:hAnsi="Arial" w:cs="Arial"/>
                <w:b/>
                <w:bCs/>
                <w:color w:val="auto"/>
              </w:rPr>
              <w:t>Disability</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4C2B9153"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No disability reported</w:t>
            </w:r>
          </w:p>
        </w:tc>
        <w:tc>
          <w:tcPr>
            <w:tcW w:w="412" w:type="pct"/>
            <w:tcBorders>
              <w:top w:val="single" w:sz="4" w:space="0" w:color="000000"/>
              <w:left w:val="single" w:sz="4" w:space="0" w:color="000000"/>
              <w:bottom w:val="single" w:sz="4" w:space="0" w:color="000000"/>
              <w:right w:val="single" w:sz="4" w:space="0" w:color="000000"/>
            </w:tcBorders>
            <w:vAlign w:val="center"/>
          </w:tcPr>
          <w:p w14:paraId="3E72EC34"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51.7</w:t>
            </w:r>
          </w:p>
        </w:tc>
        <w:tc>
          <w:tcPr>
            <w:tcW w:w="412" w:type="pct"/>
            <w:tcBorders>
              <w:top w:val="single" w:sz="4" w:space="0" w:color="000000"/>
              <w:left w:val="single" w:sz="4" w:space="0" w:color="000000"/>
              <w:bottom w:val="single" w:sz="4" w:space="0" w:color="000000"/>
              <w:right w:val="single" w:sz="4" w:space="0" w:color="000000"/>
            </w:tcBorders>
            <w:vAlign w:val="center"/>
          </w:tcPr>
          <w:p w14:paraId="59DC5291"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53.0</w:t>
            </w:r>
          </w:p>
        </w:tc>
        <w:tc>
          <w:tcPr>
            <w:tcW w:w="412" w:type="pct"/>
            <w:tcBorders>
              <w:top w:val="single" w:sz="4" w:space="0" w:color="000000"/>
              <w:left w:val="single" w:sz="4" w:space="0" w:color="000000"/>
              <w:bottom w:val="single" w:sz="4" w:space="0" w:color="000000"/>
              <w:right w:val="single" w:sz="4" w:space="0" w:color="000000"/>
            </w:tcBorders>
            <w:vAlign w:val="center"/>
          </w:tcPr>
          <w:p w14:paraId="7458700C"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52.0</w:t>
            </w:r>
          </w:p>
        </w:tc>
        <w:tc>
          <w:tcPr>
            <w:tcW w:w="412" w:type="pct"/>
            <w:tcBorders>
              <w:top w:val="single" w:sz="4" w:space="0" w:color="000000"/>
              <w:left w:val="single" w:sz="4" w:space="0" w:color="000000"/>
              <w:bottom w:val="single" w:sz="4" w:space="0" w:color="000000"/>
              <w:right w:val="single" w:sz="4" w:space="0" w:color="000000"/>
            </w:tcBorders>
            <w:vAlign w:val="center"/>
          </w:tcPr>
          <w:p w14:paraId="7FCF615C"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41.5</w:t>
            </w:r>
          </w:p>
        </w:tc>
        <w:tc>
          <w:tcPr>
            <w:tcW w:w="412" w:type="pct"/>
            <w:tcBorders>
              <w:top w:val="single" w:sz="4" w:space="0" w:color="000000"/>
              <w:left w:val="single" w:sz="4" w:space="0" w:color="000000"/>
              <w:bottom w:val="single" w:sz="4" w:space="0" w:color="000000"/>
              <w:right w:val="single" w:sz="4" w:space="0" w:color="000000"/>
            </w:tcBorders>
            <w:vAlign w:val="center"/>
          </w:tcPr>
          <w:p w14:paraId="51D700EE"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42.6</w:t>
            </w:r>
          </w:p>
        </w:tc>
        <w:tc>
          <w:tcPr>
            <w:tcW w:w="412" w:type="pct"/>
            <w:tcBorders>
              <w:top w:val="single" w:sz="4" w:space="0" w:color="000000"/>
              <w:left w:val="single" w:sz="4" w:space="0" w:color="000000"/>
              <w:bottom w:val="single" w:sz="4" w:space="0" w:color="000000"/>
              <w:right w:val="single" w:sz="4" w:space="0" w:color="000000"/>
            </w:tcBorders>
            <w:vAlign w:val="center"/>
          </w:tcPr>
          <w:p w14:paraId="404B83B3"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47.0</w:t>
            </w:r>
          </w:p>
        </w:tc>
        <w:tc>
          <w:tcPr>
            <w:tcW w:w="404" w:type="pct"/>
            <w:tcBorders>
              <w:top w:val="single" w:sz="4" w:space="0" w:color="000000"/>
              <w:left w:val="single" w:sz="4" w:space="0" w:color="000000"/>
              <w:bottom w:val="single" w:sz="4" w:space="0" w:color="000000"/>
              <w:right w:val="single" w:sz="4" w:space="0" w:color="000000"/>
            </w:tcBorders>
            <w:vAlign w:val="center"/>
          </w:tcPr>
          <w:p w14:paraId="2C0850AE"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46.8</w:t>
            </w:r>
          </w:p>
        </w:tc>
        <w:tc>
          <w:tcPr>
            <w:tcW w:w="401" w:type="pct"/>
            <w:tcBorders>
              <w:top w:val="single" w:sz="4" w:space="0" w:color="000000"/>
              <w:left w:val="single" w:sz="4" w:space="0" w:color="000000"/>
              <w:bottom w:val="single" w:sz="4" w:space="0" w:color="000000"/>
              <w:right w:val="single" w:sz="4" w:space="0" w:color="000000"/>
            </w:tcBorders>
            <w:vAlign w:val="center"/>
          </w:tcPr>
          <w:p w14:paraId="560BF734"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47.2</w:t>
            </w:r>
          </w:p>
        </w:tc>
      </w:tr>
      <w:tr w:rsidR="004D7A82" w:rsidRPr="00E8656C" w14:paraId="0D60ABD4" w14:textId="77777777" w:rsidTr="005E54CB">
        <w:trPr>
          <w:trHeight w:val="60"/>
        </w:trPr>
        <w:tc>
          <w:tcPr>
            <w:tcW w:w="744" w:type="pct"/>
            <w:tcBorders>
              <w:top w:val="single" w:sz="4" w:space="0" w:color="000000"/>
              <w:left w:val="single" w:sz="4" w:space="0" w:color="000000"/>
              <w:right w:val="single" w:sz="4" w:space="0" w:color="000000"/>
            </w:tcBorders>
          </w:tcPr>
          <w:p w14:paraId="334F919C" w14:textId="54468539" w:rsidR="005E3F94" w:rsidRPr="00E8656C" w:rsidRDefault="007F1EFF" w:rsidP="00893F25">
            <w:pPr>
              <w:pStyle w:val="Tabletextupdate"/>
              <w:framePr w:wrap="auto"/>
              <w:rPr>
                <w:rFonts w:ascii="Arial" w:hAnsi="Arial" w:cs="Arial"/>
                <w:b/>
                <w:bCs/>
                <w:color w:val="auto"/>
              </w:rPr>
            </w:pPr>
            <w:r w:rsidRPr="00E8656C">
              <w:rPr>
                <w:rFonts w:ascii="Arial" w:hAnsi="Arial" w:cs="Arial"/>
                <w:b/>
                <w:bCs/>
                <w:color w:val="auto"/>
              </w:rPr>
              <w:t>Citizenship</w:t>
            </w:r>
            <w:r w:rsidR="005E3F94" w:rsidRPr="00E8656C">
              <w:rPr>
                <w:rFonts w:ascii="Arial" w:hAnsi="Arial" w:cs="Arial"/>
                <w:b/>
                <w:bCs/>
                <w:color w:val="auto"/>
              </w:rPr>
              <w:t xml:space="preserve"> status</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0E91E50B" w14:textId="235A2548"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Domestic</w:t>
            </w:r>
          </w:p>
        </w:tc>
        <w:tc>
          <w:tcPr>
            <w:tcW w:w="412" w:type="pct"/>
            <w:tcBorders>
              <w:top w:val="single" w:sz="4" w:space="0" w:color="000000"/>
              <w:left w:val="single" w:sz="4" w:space="0" w:color="000000"/>
              <w:bottom w:val="single" w:sz="4" w:space="0" w:color="000000"/>
              <w:right w:val="single" w:sz="4" w:space="0" w:color="000000"/>
            </w:tcBorders>
            <w:vAlign w:val="center"/>
          </w:tcPr>
          <w:p w14:paraId="0E0C8288"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50.7</w:t>
            </w:r>
          </w:p>
        </w:tc>
        <w:tc>
          <w:tcPr>
            <w:tcW w:w="412" w:type="pct"/>
            <w:tcBorders>
              <w:top w:val="single" w:sz="4" w:space="0" w:color="000000"/>
              <w:left w:val="single" w:sz="4" w:space="0" w:color="000000"/>
              <w:bottom w:val="single" w:sz="4" w:space="0" w:color="000000"/>
              <w:right w:val="single" w:sz="4" w:space="0" w:color="000000"/>
            </w:tcBorders>
            <w:vAlign w:val="center"/>
          </w:tcPr>
          <w:p w14:paraId="10F86357"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51.8</w:t>
            </w:r>
          </w:p>
        </w:tc>
        <w:tc>
          <w:tcPr>
            <w:tcW w:w="412" w:type="pct"/>
            <w:tcBorders>
              <w:top w:val="single" w:sz="4" w:space="0" w:color="000000"/>
              <w:left w:val="single" w:sz="4" w:space="0" w:color="000000"/>
              <w:bottom w:val="single" w:sz="4" w:space="0" w:color="000000"/>
              <w:right w:val="single" w:sz="4" w:space="0" w:color="000000"/>
            </w:tcBorders>
            <w:vAlign w:val="center"/>
          </w:tcPr>
          <w:p w14:paraId="2407C278"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50.5</w:t>
            </w:r>
          </w:p>
        </w:tc>
        <w:tc>
          <w:tcPr>
            <w:tcW w:w="412" w:type="pct"/>
            <w:tcBorders>
              <w:top w:val="single" w:sz="4" w:space="0" w:color="000000"/>
              <w:left w:val="single" w:sz="4" w:space="0" w:color="000000"/>
              <w:bottom w:val="single" w:sz="4" w:space="0" w:color="000000"/>
              <w:right w:val="single" w:sz="4" w:space="0" w:color="000000"/>
            </w:tcBorders>
            <w:vAlign w:val="center"/>
          </w:tcPr>
          <w:p w14:paraId="58BC4278"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39.4</w:t>
            </w:r>
          </w:p>
        </w:tc>
        <w:tc>
          <w:tcPr>
            <w:tcW w:w="412" w:type="pct"/>
            <w:tcBorders>
              <w:top w:val="single" w:sz="4" w:space="0" w:color="000000"/>
              <w:left w:val="single" w:sz="4" w:space="0" w:color="000000"/>
              <w:bottom w:val="single" w:sz="4" w:space="0" w:color="000000"/>
              <w:right w:val="single" w:sz="4" w:space="0" w:color="000000"/>
            </w:tcBorders>
            <w:vAlign w:val="center"/>
          </w:tcPr>
          <w:p w14:paraId="494EDD5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41.5</w:t>
            </w:r>
          </w:p>
        </w:tc>
        <w:tc>
          <w:tcPr>
            <w:tcW w:w="412" w:type="pct"/>
            <w:tcBorders>
              <w:top w:val="single" w:sz="4" w:space="0" w:color="000000"/>
              <w:left w:val="single" w:sz="4" w:space="0" w:color="000000"/>
              <w:bottom w:val="single" w:sz="4" w:space="0" w:color="000000"/>
              <w:right w:val="single" w:sz="4" w:space="0" w:color="000000"/>
            </w:tcBorders>
            <w:vAlign w:val="center"/>
          </w:tcPr>
          <w:p w14:paraId="718F4EF0"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44.8</w:t>
            </w:r>
          </w:p>
        </w:tc>
        <w:tc>
          <w:tcPr>
            <w:tcW w:w="404" w:type="pct"/>
            <w:tcBorders>
              <w:top w:val="single" w:sz="4" w:space="0" w:color="000000"/>
              <w:left w:val="single" w:sz="4" w:space="0" w:color="000000"/>
              <w:bottom w:val="single" w:sz="4" w:space="0" w:color="000000"/>
              <w:right w:val="single" w:sz="4" w:space="0" w:color="000000"/>
            </w:tcBorders>
            <w:vAlign w:val="center"/>
          </w:tcPr>
          <w:p w14:paraId="21D44DB1"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44.2</w:t>
            </w:r>
          </w:p>
        </w:tc>
        <w:tc>
          <w:tcPr>
            <w:tcW w:w="401" w:type="pct"/>
            <w:tcBorders>
              <w:top w:val="single" w:sz="4" w:space="0" w:color="000000"/>
              <w:left w:val="single" w:sz="4" w:space="0" w:color="000000"/>
              <w:bottom w:val="single" w:sz="4" w:space="0" w:color="000000"/>
              <w:right w:val="single" w:sz="4" w:space="0" w:color="000000"/>
            </w:tcBorders>
            <w:vAlign w:val="center"/>
          </w:tcPr>
          <w:p w14:paraId="68B5468E"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44.1</w:t>
            </w:r>
          </w:p>
        </w:tc>
      </w:tr>
      <w:tr w:rsidR="004D7A82" w:rsidRPr="00E8656C" w14:paraId="0CE0690D" w14:textId="77777777" w:rsidTr="005E54CB">
        <w:trPr>
          <w:trHeight w:val="60"/>
        </w:trPr>
        <w:tc>
          <w:tcPr>
            <w:tcW w:w="744" w:type="pct"/>
            <w:tcBorders>
              <w:left w:val="single" w:sz="4" w:space="0" w:color="000000"/>
              <w:bottom w:val="single" w:sz="4" w:space="0" w:color="000000"/>
              <w:right w:val="single" w:sz="4" w:space="0" w:color="000000"/>
            </w:tcBorders>
          </w:tcPr>
          <w:p w14:paraId="50AC8941" w14:textId="49C21D0B" w:rsidR="005E3F94" w:rsidRPr="00E8656C" w:rsidRDefault="00021A08" w:rsidP="00893F25">
            <w:pPr>
              <w:pStyle w:val="Tabletextupdate"/>
              <w:framePr w:wrap="auto"/>
              <w:rPr>
                <w:rFonts w:ascii="Arial" w:hAnsi="Arial" w:cs="Arial"/>
                <w:b/>
                <w:bCs/>
                <w:color w:val="auto"/>
              </w:rPr>
            </w:pPr>
            <w:r w:rsidRPr="00E8656C">
              <w:rPr>
                <w:rFonts w:ascii="Arial" w:hAnsi="Arial" w:cs="Arial"/>
                <w:b/>
                <w:bCs/>
                <w:color w:val="auto"/>
              </w:rPr>
              <w:lastRenderedPageBreak/>
              <w:t>Citizenship status</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061A6705" w14:textId="77382CD9"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International</w:t>
            </w:r>
          </w:p>
        </w:tc>
        <w:tc>
          <w:tcPr>
            <w:tcW w:w="412" w:type="pct"/>
            <w:tcBorders>
              <w:top w:val="single" w:sz="4" w:space="0" w:color="000000"/>
              <w:left w:val="single" w:sz="4" w:space="0" w:color="000000"/>
              <w:bottom w:val="single" w:sz="4" w:space="0" w:color="000000"/>
              <w:right w:val="single" w:sz="4" w:space="0" w:color="000000"/>
            </w:tcBorders>
            <w:vAlign w:val="center"/>
          </w:tcPr>
          <w:p w14:paraId="3DEEED94"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55.9</w:t>
            </w:r>
          </w:p>
        </w:tc>
        <w:tc>
          <w:tcPr>
            <w:tcW w:w="412" w:type="pct"/>
            <w:tcBorders>
              <w:top w:val="single" w:sz="4" w:space="0" w:color="000000"/>
              <w:left w:val="single" w:sz="4" w:space="0" w:color="000000"/>
              <w:bottom w:val="single" w:sz="4" w:space="0" w:color="000000"/>
              <w:right w:val="single" w:sz="4" w:space="0" w:color="000000"/>
            </w:tcBorders>
            <w:vAlign w:val="center"/>
          </w:tcPr>
          <w:p w14:paraId="121D1A8A"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57.7</w:t>
            </w:r>
          </w:p>
        </w:tc>
        <w:tc>
          <w:tcPr>
            <w:tcW w:w="412" w:type="pct"/>
            <w:tcBorders>
              <w:top w:val="single" w:sz="4" w:space="0" w:color="000000"/>
              <w:left w:val="single" w:sz="4" w:space="0" w:color="000000"/>
              <w:bottom w:val="single" w:sz="4" w:space="0" w:color="000000"/>
              <w:right w:val="single" w:sz="4" w:space="0" w:color="000000"/>
            </w:tcBorders>
            <w:vAlign w:val="center"/>
          </w:tcPr>
          <w:p w14:paraId="018FD676"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57.8</w:t>
            </w:r>
          </w:p>
        </w:tc>
        <w:tc>
          <w:tcPr>
            <w:tcW w:w="412" w:type="pct"/>
            <w:tcBorders>
              <w:top w:val="single" w:sz="4" w:space="0" w:color="000000"/>
              <w:left w:val="single" w:sz="4" w:space="0" w:color="000000"/>
              <w:bottom w:val="single" w:sz="4" w:space="0" w:color="000000"/>
              <w:right w:val="single" w:sz="4" w:space="0" w:color="000000"/>
            </w:tcBorders>
            <w:vAlign w:val="center"/>
          </w:tcPr>
          <w:p w14:paraId="0623146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48.7</w:t>
            </w:r>
          </w:p>
        </w:tc>
        <w:tc>
          <w:tcPr>
            <w:tcW w:w="412" w:type="pct"/>
            <w:tcBorders>
              <w:top w:val="single" w:sz="4" w:space="0" w:color="000000"/>
              <w:left w:val="single" w:sz="4" w:space="0" w:color="000000"/>
              <w:bottom w:val="single" w:sz="4" w:space="0" w:color="000000"/>
              <w:right w:val="single" w:sz="4" w:space="0" w:color="000000"/>
            </w:tcBorders>
            <w:vAlign w:val="center"/>
          </w:tcPr>
          <w:p w14:paraId="0AD39635"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46.1</w:t>
            </w:r>
          </w:p>
        </w:tc>
        <w:tc>
          <w:tcPr>
            <w:tcW w:w="412" w:type="pct"/>
            <w:tcBorders>
              <w:top w:val="single" w:sz="4" w:space="0" w:color="000000"/>
              <w:left w:val="single" w:sz="4" w:space="0" w:color="000000"/>
              <w:bottom w:val="single" w:sz="4" w:space="0" w:color="000000"/>
              <w:right w:val="single" w:sz="4" w:space="0" w:color="000000"/>
            </w:tcBorders>
            <w:vAlign w:val="center"/>
          </w:tcPr>
          <w:p w14:paraId="723630D9"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56.1</w:t>
            </w:r>
          </w:p>
        </w:tc>
        <w:tc>
          <w:tcPr>
            <w:tcW w:w="404" w:type="pct"/>
            <w:tcBorders>
              <w:top w:val="single" w:sz="4" w:space="0" w:color="000000"/>
              <w:left w:val="single" w:sz="4" w:space="0" w:color="000000"/>
              <w:bottom w:val="single" w:sz="4" w:space="0" w:color="000000"/>
              <w:right w:val="single" w:sz="4" w:space="0" w:color="000000"/>
            </w:tcBorders>
            <w:vAlign w:val="center"/>
          </w:tcPr>
          <w:p w14:paraId="23FCDB3E"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57.0</w:t>
            </w:r>
          </w:p>
        </w:tc>
        <w:tc>
          <w:tcPr>
            <w:tcW w:w="401" w:type="pct"/>
            <w:tcBorders>
              <w:top w:val="single" w:sz="4" w:space="0" w:color="000000"/>
              <w:left w:val="single" w:sz="4" w:space="0" w:color="000000"/>
              <w:bottom w:val="single" w:sz="4" w:space="0" w:color="000000"/>
              <w:right w:val="single" w:sz="4" w:space="0" w:color="000000"/>
            </w:tcBorders>
            <w:vAlign w:val="center"/>
          </w:tcPr>
          <w:p w14:paraId="3673A07B"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57.3</w:t>
            </w:r>
          </w:p>
        </w:tc>
      </w:tr>
      <w:tr w:rsidR="004D7A82" w:rsidRPr="00E8656C" w14:paraId="56EE3D3A" w14:textId="77777777" w:rsidTr="005E54CB">
        <w:trPr>
          <w:trHeight w:val="60"/>
        </w:trPr>
        <w:tc>
          <w:tcPr>
            <w:tcW w:w="744" w:type="pct"/>
            <w:tcBorders>
              <w:top w:val="single" w:sz="4" w:space="0" w:color="000000"/>
              <w:left w:val="single" w:sz="4" w:space="0" w:color="000000"/>
              <w:right w:val="single" w:sz="4" w:space="0" w:color="000000"/>
            </w:tcBorders>
          </w:tcPr>
          <w:p w14:paraId="182ACD73" w14:textId="1A8ED14C" w:rsidR="005E3F94" w:rsidRPr="00E8656C" w:rsidRDefault="005E3F94" w:rsidP="00893F25">
            <w:pPr>
              <w:pStyle w:val="Tabletextupdate"/>
              <w:framePr w:wrap="auto"/>
              <w:rPr>
                <w:rFonts w:ascii="Arial" w:hAnsi="Arial" w:cs="Arial"/>
                <w:b/>
                <w:bCs/>
                <w:color w:val="auto"/>
              </w:rPr>
            </w:pPr>
            <w:r w:rsidRPr="00E8656C">
              <w:rPr>
                <w:rFonts w:ascii="Arial" w:hAnsi="Arial" w:cs="Arial"/>
                <w:b/>
                <w:bCs/>
                <w:color w:val="auto"/>
              </w:rPr>
              <w:t>First in family status</w:t>
            </w:r>
            <w:r w:rsidRPr="00E8656C">
              <w:rPr>
                <w:rFonts w:ascii="Arial" w:hAnsi="Arial" w:cs="Arial"/>
                <w:b/>
                <w:bCs/>
                <w:color w:val="auto"/>
                <w:vertAlign w:val="superscript"/>
              </w:rPr>
              <w:t>**</w:t>
            </w:r>
            <w:r w:rsidR="008212FD" w:rsidRPr="00E8656C">
              <w:rPr>
                <w:rFonts w:ascii="Arial" w:hAnsi="Arial" w:cs="Arial"/>
                <w:b/>
                <w:bCs/>
                <w:color w:val="auto"/>
                <w:vertAlign w:val="superscript"/>
              </w:rPr>
              <w:t>**</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3D187152"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First in family</w:t>
            </w:r>
          </w:p>
        </w:tc>
        <w:tc>
          <w:tcPr>
            <w:tcW w:w="412" w:type="pct"/>
            <w:tcBorders>
              <w:top w:val="single" w:sz="4" w:space="0" w:color="000000"/>
              <w:left w:val="single" w:sz="4" w:space="0" w:color="000000"/>
              <w:bottom w:val="single" w:sz="4" w:space="0" w:color="000000"/>
              <w:right w:val="single" w:sz="4" w:space="0" w:color="000000"/>
            </w:tcBorders>
            <w:vAlign w:val="center"/>
          </w:tcPr>
          <w:p w14:paraId="6DC027A2"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53.0</w:t>
            </w:r>
          </w:p>
        </w:tc>
        <w:tc>
          <w:tcPr>
            <w:tcW w:w="412" w:type="pct"/>
            <w:tcBorders>
              <w:top w:val="single" w:sz="4" w:space="0" w:color="000000"/>
              <w:left w:val="single" w:sz="4" w:space="0" w:color="000000"/>
              <w:bottom w:val="single" w:sz="4" w:space="0" w:color="000000"/>
              <w:right w:val="single" w:sz="4" w:space="0" w:color="000000"/>
            </w:tcBorders>
            <w:vAlign w:val="center"/>
          </w:tcPr>
          <w:p w14:paraId="7FBD71AD"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55.2</w:t>
            </w:r>
          </w:p>
        </w:tc>
        <w:tc>
          <w:tcPr>
            <w:tcW w:w="412" w:type="pct"/>
            <w:tcBorders>
              <w:top w:val="single" w:sz="4" w:space="0" w:color="000000"/>
              <w:left w:val="single" w:sz="4" w:space="0" w:color="000000"/>
              <w:bottom w:val="single" w:sz="4" w:space="0" w:color="000000"/>
              <w:right w:val="single" w:sz="4" w:space="0" w:color="000000"/>
            </w:tcBorders>
            <w:vAlign w:val="center"/>
          </w:tcPr>
          <w:p w14:paraId="21BEF58E"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54.2</w:t>
            </w:r>
          </w:p>
        </w:tc>
        <w:tc>
          <w:tcPr>
            <w:tcW w:w="412" w:type="pct"/>
            <w:tcBorders>
              <w:top w:val="single" w:sz="4" w:space="0" w:color="000000"/>
              <w:left w:val="single" w:sz="4" w:space="0" w:color="000000"/>
              <w:bottom w:val="single" w:sz="4" w:space="0" w:color="000000"/>
              <w:right w:val="single" w:sz="4" w:space="0" w:color="000000"/>
            </w:tcBorders>
            <w:vAlign w:val="center"/>
          </w:tcPr>
          <w:p w14:paraId="35DF1E3B"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43.8</w:t>
            </w:r>
          </w:p>
        </w:tc>
        <w:tc>
          <w:tcPr>
            <w:tcW w:w="412" w:type="pct"/>
            <w:tcBorders>
              <w:top w:val="single" w:sz="4" w:space="0" w:color="000000"/>
              <w:left w:val="single" w:sz="4" w:space="0" w:color="000000"/>
              <w:bottom w:val="single" w:sz="4" w:space="0" w:color="000000"/>
              <w:right w:val="single" w:sz="4" w:space="0" w:color="000000"/>
            </w:tcBorders>
            <w:vAlign w:val="center"/>
          </w:tcPr>
          <w:p w14:paraId="4B978883"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45.8</w:t>
            </w:r>
          </w:p>
        </w:tc>
        <w:tc>
          <w:tcPr>
            <w:tcW w:w="412" w:type="pct"/>
            <w:tcBorders>
              <w:top w:val="single" w:sz="4" w:space="0" w:color="000000"/>
              <w:left w:val="single" w:sz="4" w:space="0" w:color="000000"/>
              <w:bottom w:val="single" w:sz="4" w:space="0" w:color="000000"/>
              <w:right w:val="single" w:sz="4" w:space="0" w:color="000000"/>
            </w:tcBorders>
            <w:vAlign w:val="center"/>
          </w:tcPr>
          <w:p w14:paraId="0F5CE395"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50.3</w:t>
            </w:r>
          </w:p>
        </w:tc>
        <w:tc>
          <w:tcPr>
            <w:tcW w:w="404" w:type="pct"/>
            <w:tcBorders>
              <w:top w:val="single" w:sz="4" w:space="0" w:color="000000"/>
              <w:left w:val="single" w:sz="4" w:space="0" w:color="000000"/>
              <w:bottom w:val="single" w:sz="4" w:space="0" w:color="000000"/>
              <w:right w:val="single" w:sz="4" w:space="0" w:color="000000"/>
            </w:tcBorders>
            <w:vAlign w:val="center"/>
          </w:tcPr>
          <w:p w14:paraId="7993845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50.0</w:t>
            </w:r>
          </w:p>
        </w:tc>
        <w:tc>
          <w:tcPr>
            <w:tcW w:w="401" w:type="pct"/>
            <w:tcBorders>
              <w:top w:val="single" w:sz="4" w:space="0" w:color="000000"/>
              <w:left w:val="single" w:sz="4" w:space="0" w:color="000000"/>
              <w:bottom w:val="single" w:sz="4" w:space="0" w:color="000000"/>
              <w:right w:val="single" w:sz="4" w:space="0" w:color="000000"/>
            </w:tcBorders>
            <w:vAlign w:val="center"/>
          </w:tcPr>
          <w:p w14:paraId="2B4A2806"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48.7</w:t>
            </w:r>
          </w:p>
        </w:tc>
      </w:tr>
      <w:tr w:rsidR="004D7A82" w:rsidRPr="00E8656C" w14:paraId="2DFC9DBF" w14:textId="77777777" w:rsidTr="005E54CB">
        <w:trPr>
          <w:trHeight w:val="60"/>
        </w:trPr>
        <w:tc>
          <w:tcPr>
            <w:tcW w:w="744" w:type="pct"/>
            <w:tcBorders>
              <w:left w:val="single" w:sz="4" w:space="0" w:color="000000"/>
              <w:bottom w:val="single" w:sz="4" w:space="0" w:color="000000"/>
              <w:right w:val="single" w:sz="4" w:space="0" w:color="000000"/>
            </w:tcBorders>
          </w:tcPr>
          <w:p w14:paraId="0CAFCC1D" w14:textId="3B5E0D3D" w:rsidR="005E3F94" w:rsidRPr="00E8656C" w:rsidRDefault="00021A08" w:rsidP="00893F25">
            <w:pPr>
              <w:pStyle w:val="Tabletextupdate"/>
              <w:framePr w:wrap="auto"/>
              <w:rPr>
                <w:rFonts w:ascii="Arial" w:hAnsi="Arial" w:cs="Arial"/>
                <w:b/>
                <w:bCs/>
                <w:color w:val="auto"/>
              </w:rPr>
            </w:pPr>
            <w:r w:rsidRPr="00E8656C">
              <w:rPr>
                <w:rFonts w:ascii="Arial" w:hAnsi="Arial" w:cs="Arial"/>
                <w:b/>
                <w:bCs/>
                <w:color w:val="auto"/>
              </w:rPr>
              <w:t>First in family status</w:t>
            </w:r>
            <w:r w:rsidRPr="00E8656C">
              <w:rPr>
                <w:rFonts w:ascii="Arial" w:hAnsi="Arial" w:cs="Arial"/>
                <w:b/>
                <w:bCs/>
                <w:color w:val="auto"/>
                <w:vertAlign w:val="superscript"/>
              </w:rPr>
              <w:t>****</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4F36398B"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Not first in family</w:t>
            </w:r>
          </w:p>
        </w:tc>
        <w:tc>
          <w:tcPr>
            <w:tcW w:w="412" w:type="pct"/>
            <w:tcBorders>
              <w:top w:val="single" w:sz="4" w:space="0" w:color="000000"/>
              <w:left w:val="single" w:sz="4" w:space="0" w:color="000000"/>
              <w:bottom w:val="single" w:sz="4" w:space="0" w:color="000000"/>
              <w:right w:val="single" w:sz="4" w:space="0" w:color="000000"/>
            </w:tcBorders>
            <w:vAlign w:val="center"/>
          </w:tcPr>
          <w:p w14:paraId="6E4A6E7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53.0</w:t>
            </w:r>
          </w:p>
        </w:tc>
        <w:tc>
          <w:tcPr>
            <w:tcW w:w="412" w:type="pct"/>
            <w:tcBorders>
              <w:top w:val="single" w:sz="4" w:space="0" w:color="000000"/>
              <w:left w:val="single" w:sz="4" w:space="0" w:color="000000"/>
              <w:bottom w:val="single" w:sz="4" w:space="0" w:color="000000"/>
              <w:right w:val="single" w:sz="4" w:space="0" w:color="000000"/>
            </w:tcBorders>
            <w:vAlign w:val="center"/>
          </w:tcPr>
          <w:p w14:paraId="387DF8A5"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54.0</w:t>
            </w:r>
          </w:p>
        </w:tc>
        <w:tc>
          <w:tcPr>
            <w:tcW w:w="412" w:type="pct"/>
            <w:tcBorders>
              <w:top w:val="single" w:sz="4" w:space="0" w:color="000000"/>
              <w:left w:val="single" w:sz="4" w:space="0" w:color="000000"/>
              <w:bottom w:val="single" w:sz="4" w:space="0" w:color="000000"/>
              <w:right w:val="single" w:sz="4" w:space="0" w:color="000000"/>
            </w:tcBorders>
            <w:vAlign w:val="center"/>
          </w:tcPr>
          <w:p w14:paraId="53B8AB2E"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53.2</w:t>
            </w:r>
          </w:p>
        </w:tc>
        <w:tc>
          <w:tcPr>
            <w:tcW w:w="412" w:type="pct"/>
            <w:tcBorders>
              <w:top w:val="single" w:sz="4" w:space="0" w:color="000000"/>
              <w:left w:val="single" w:sz="4" w:space="0" w:color="000000"/>
              <w:bottom w:val="single" w:sz="4" w:space="0" w:color="000000"/>
              <w:right w:val="single" w:sz="4" w:space="0" w:color="000000"/>
            </w:tcBorders>
            <w:vAlign w:val="center"/>
          </w:tcPr>
          <w:p w14:paraId="6E8BEA5C"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39.2</w:t>
            </w:r>
          </w:p>
        </w:tc>
        <w:tc>
          <w:tcPr>
            <w:tcW w:w="412" w:type="pct"/>
            <w:tcBorders>
              <w:top w:val="single" w:sz="4" w:space="0" w:color="000000"/>
              <w:left w:val="single" w:sz="4" w:space="0" w:color="000000"/>
              <w:bottom w:val="single" w:sz="4" w:space="0" w:color="000000"/>
              <w:right w:val="single" w:sz="4" w:space="0" w:color="000000"/>
            </w:tcBorders>
            <w:vAlign w:val="center"/>
          </w:tcPr>
          <w:p w14:paraId="08AAC5C9"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42.6</w:t>
            </w:r>
          </w:p>
        </w:tc>
        <w:tc>
          <w:tcPr>
            <w:tcW w:w="412" w:type="pct"/>
            <w:tcBorders>
              <w:top w:val="single" w:sz="4" w:space="0" w:color="000000"/>
              <w:left w:val="single" w:sz="4" w:space="0" w:color="000000"/>
              <w:bottom w:val="single" w:sz="4" w:space="0" w:color="000000"/>
              <w:right w:val="single" w:sz="4" w:space="0" w:color="000000"/>
            </w:tcBorders>
            <w:vAlign w:val="center"/>
          </w:tcPr>
          <w:p w14:paraId="1A7254F6"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48.3</w:t>
            </w:r>
          </w:p>
        </w:tc>
        <w:tc>
          <w:tcPr>
            <w:tcW w:w="404" w:type="pct"/>
            <w:tcBorders>
              <w:top w:val="single" w:sz="4" w:space="0" w:color="000000"/>
              <w:left w:val="single" w:sz="4" w:space="0" w:color="000000"/>
              <w:bottom w:val="single" w:sz="4" w:space="0" w:color="000000"/>
              <w:right w:val="single" w:sz="4" w:space="0" w:color="000000"/>
            </w:tcBorders>
            <w:vAlign w:val="center"/>
          </w:tcPr>
          <w:p w14:paraId="2F3229E6"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48.5</w:t>
            </w:r>
          </w:p>
        </w:tc>
        <w:tc>
          <w:tcPr>
            <w:tcW w:w="401" w:type="pct"/>
            <w:tcBorders>
              <w:top w:val="single" w:sz="4" w:space="0" w:color="000000"/>
              <w:left w:val="single" w:sz="4" w:space="0" w:color="000000"/>
              <w:bottom w:val="single" w:sz="4" w:space="0" w:color="000000"/>
              <w:right w:val="single" w:sz="4" w:space="0" w:color="000000"/>
            </w:tcBorders>
            <w:vAlign w:val="center"/>
          </w:tcPr>
          <w:p w14:paraId="327E2FCD"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47.5</w:t>
            </w:r>
          </w:p>
        </w:tc>
      </w:tr>
      <w:tr w:rsidR="004D7A82" w:rsidRPr="00E8656C" w14:paraId="75DBB931" w14:textId="77777777" w:rsidTr="005E54CB">
        <w:trPr>
          <w:trHeight w:val="60"/>
        </w:trPr>
        <w:tc>
          <w:tcPr>
            <w:tcW w:w="744" w:type="pct"/>
            <w:tcBorders>
              <w:top w:val="single" w:sz="4" w:space="0" w:color="000000"/>
              <w:left w:val="single" w:sz="4" w:space="0" w:color="000000"/>
              <w:right w:val="single" w:sz="4" w:space="0" w:color="000000"/>
            </w:tcBorders>
          </w:tcPr>
          <w:p w14:paraId="4F3C6CCC" w14:textId="6918F25A" w:rsidR="005E3F94" w:rsidRPr="00E8656C" w:rsidRDefault="005E3F94" w:rsidP="00893F25">
            <w:pPr>
              <w:pStyle w:val="Tabletextupdate"/>
              <w:framePr w:wrap="auto"/>
              <w:rPr>
                <w:rFonts w:ascii="Arial" w:hAnsi="Arial" w:cs="Arial"/>
                <w:b/>
                <w:bCs/>
                <w:color w:val="auto"/>
              </w:rPr>
            </w:pPr>
            <w:r w:rsidRPr="00E8656C">
              <w:rPr>
                <w:rFonts w:ascii="Arial" w:hAnsi="Arial" w:cs="Arial"/>
                <w:b/>
                <w:bCs/>
                <w:color w:val="auto"/>
              </w:rPr>
              <w:t>Previous higher education experience</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5C26A1BA"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At current institution</w:t>
            </w:r>
          </w:p>
        </w:tc>
        <w:tc>
          <w:tcPr>
            <w:tcW w:w="412" w:type="pct"/>
            <w:tcBorders>
              <w:top w:val="single" w:sz="4" w:space="0" w:color="000000"/>
              <w:left w:val="single" w:sz="4" w:space="0" w:color="000000"/>
              <w:bottom w:val="single" w:sz="4" w:space="0" w:color="000000"/>
              <w:right w:val="single" w:sz="4" w:space="0" w:color="000000"/>
            </w:tcBorders>
            <w:vAlign w:val="center"/>
          </w:tcPr>
          <w:p w14:paraId="511751A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51.6</w:t>
            </w:r>
          </w:p>
        </w:tc>
        <w:tc>
          <w:tcPr>
            <w:tcW w:w="412" w:type="pct"/>
            <w:tcBorders>
              <w:top w:val="single" w:sz="4" w:space="0" w:color="000000"/>
              <w:left w:val="single" w:sz="4" w:space="0" w:color="000000"/>
              <w:bottom w:val="single" w:sz="4" w:space="0" w:color="000000"/>
              <w:right w:val="single" w:sz="4" w:space="0" w:color="000000"/>
            </w:tcBorders>
            <w:vAlign w:val="center"/>
          </w:tcPr>
          <w:p w14:paraId="06A57CBF"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53.2</w:t>
            </w:r>
          </w:p>
        </w:tc>
        <w:tc>
          <w:tcPr>
            <w:tcW w:w="412" w:type="pct"/>
            <w:tcBorders>
              <w:top w:val="single" w:sz="4" w:space="0" w:color="000000"/>
              <w:left w:val="single" w:sz="4" w:space="0" w:color="000000"/>
              <w:bottom w:val="single" w:sz="4" w:space="0" w:color="000000"/>
              <w:right w:val="single" w:sz="4" w:space="0" w:color="000000"/>
            </w:tcBorders>
            <w:vAlign w:val="center"/>
          </w:tcPr>
          <w:p w14:paraId="15AF5A85"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52.0</w:t>
            </w:r>
          </w:p>
        </w:tc>
        <w:tc>
          <w:tcPr>
            <w:tcW w:w="412" w:type="pct"/>
            <w:tcBorders>
              <w:top w:val="single" w:sz="4" w:space="0" w:color="000000"/>
              <w:left w:val="single" w:sz="4" w:space="0" w:color="000000"/>
              <w:bottom w:val="single" w:sz="4" w:space="0" w:color="000000"/>
              <w:right w:val="single" w:sz="4" w:space="0" w:color="000000"/>
            </w:tcBorders>
            <w:vAlign w:val="center"/>
          </w:tcPr>
          <w:p w14:paraId="03305D76"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41.7</w:t>
            </w:r>
          </w:p>
        </w:tc>
        <w:tc>
          <w:tcPr>
            <w:tcW w:w="412" w:type="pct"/>
            <w:tcBorders>
              <w:top w:val="single" w:sz="4" w:space="0" w:color="000000"/>
              <w:left w:val="single" w:sz="4" w:space="0" w:color="000000"/>
              <w:bottom w:val="single" w:sz="4" w:space="0" w:color="000000"/>
              <w:right w:val="single" w:sz="4" w:space="0" w:color="000000"/>
            </w:tcBorders>
            <w:vAlign w:val="center"/>
          </w:tcPr>
          <w:p w14:paraId="717E33BB"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43.7</w:t>
            </w:r>
          </w:p>
        </w:tc>
        <w:tc>
          <w:tcPr>
            <w:tcW w:w="412" w:type="pct"/>
            <w:tcBorders>
              <w:top w:val="single" w:sz="4" w:space="0" w:color="000000"/>
              <w:left w:val="single" w:sz="4" w:space="0" w:color="000000"/>
              <w:bottom w:val="single" w:sz="4" w:space="0" w:color="000000"/>
              <w:right w:val="single" w:sz="4" w:space="0" w:color="000000"/>
            </w:tcBorders>
            <w:vAlign w:val="center"/>
          </w:tcPr>
          <w:p w14:paraId="11939229"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47.5</w:t>
            </w:r>
          </w:p>
        </w:tc>
        <w:tc>
          <w:tcPr>
            <w:tcW w:w="404" w:type="pct"/>
            <w:tcBorders>
              <w:top w:val="single" w:sz="4" w:space="0" w:color="000000"/>
              <w:left w:val="single" w:sz="4" w:space="0" w:color="000000"/>
              <w:bottom w:val="single" w:sz="4" w:space="0" w:color="000000"/>
              <w:right w:val="single" w:sz="4" w:space="0" w:color="000000"/>
            </w:tcBorders>
            <w:vAlign w:val="center"/>
          </w:tcPr>
          <w:p w14:paraId="655AF7CC"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47.0</w:t>
            </w:r>
          </w:p>
        </w:tc>
        <w:tc>
          <w:tcPr>
            <w:tcW w:w="401" w:type="pct"/>
            <w:tcBorders>
              <w:top w:val="single" w:sz="4" w:space="0" w:color="000000"/>
              <w:left w:val="single" w:sz="4" w:space="0" w:color="000000"/>
              <w:bottom w:val="single" w:sz="4" w:space="0" w:color="000000"/>
              <w:right w:val="single" w:sz="4" w:space="0" w:color="000000"/>
            </w:tcBorders>
            <w:vAlign w:val="center"/>
          </w:tcPr>
          <w:p w14:paraId="6DE14332"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46.7</w:t>
            </w:r>
          </w:p>
        </w:tc>
      </w:tr>
      <w:tr w:rsidR="004D7A82" w:rsidRPr="00E8656C" w14:paraId="4542A860" w14:textId="77777777" w:rsidTr="005E54CB">
        <w:trPr>
          <w:trHeight w:val="60"/>
        </w:trPr>
        <w:tc>
          <w:tcPr>
            <w:tcW w:w="744" w:type="pct"/>
            <w:tcBorders>
              <w:left w:val="single" w:sz="4" w:space="0" w:color="000000"/>
              <w:right w:val="single" w:sz="4" w:space="0" w:color="000000"/>
            </w:tcBorders>
          </w:tcPr>
          <w:p w14:paraId="095C7987" w14:textId="3E13C3FA" w:rsidR="005E3F94" w:rsidRPr="00E8656C" w:rsidRDefault="00021A08" w:rsidP="00893F25">
            <w:pPr>
              <w:pStyle w:val="Tabletextupdate"/>
              <w:framePr w:wrap="auto"/>
              <w:rPr>
                <w:rFonts w:ascii="Arial" w:hAnsi="Arial" w:cs="Arial"/>
                <w:b/>
                <w:bCs/>
                <w:color w:val="auto"/>
              </w:rPr>
            </w:pPr>
            <w:r w:rsidRPr="00E8656C">
              <w:rPr>
                <w:rFonts w:ascii="Arial" w:hAnsi="Arial" w:cs="Arial"/>
                <w:b/>
                <w:bCs/>
                <w:color w:val="auto"/>
              </w:rPr>
              <w:t>Previous higher education experience</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3BAED2BC"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At another institution</w:t>
            </w:r>
          </w:p>
        </w:tc>
        <w:tc>
          <w:tcPr>
            <w:tcW w:w="412" w:type="pct"/>
            <w:tcBorders>
              <w:top w:val="single" w:sz="4" w:space="0" w:color="000000"/>
              <w:left w:val="single" w:sz="4" w:space="0" w:color="000000"/>
              <w:bottom w:val="single" w:sz="4" w:space="0" w:color="000000"/>
              <w:right w:val="single" w:sz="4" w:space="0" w:color="000000"/>
            </w:tcBorders>
            <w:vAlign w:val="center"/>
          </w:tcPr>
          <w:p w14:paraId="3CD753F5"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49.2</w:t>
            </w:r>
          </w:p>
        </w:tc>
        <w:tc>
          <w:tcPr>
            <w:tcW w:w="412" w:type="pct"/>
            <w:tcBorders>
              <w:top w:val="single" w:sz="4" w:space="0" w:color="000000"/>
              <w:left w:val="single" w:sz="4" w:space="0" w:color="000000"/>
              <w:bottom w:val="single" w:sz="4" w:space="0" w:color="000000"/>
              <w:right w:val="single" w:sz="4" w:space="0" w:color="000000"/>
            </w:tcBorders>
            <w:vAlign w:val="center"/>
          </w:tcPr>
          <w:p w14:paraId="2BBCB9CB"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50.8</w:t>
            </w:r>
          </w:p>
        </w:tc>
        <w:tc>
          <w:tcPr>
            <w:tcW w:w="412" w:type="pct"/>
            <w:tcBorders>
              <w:top w:val="single" w:sz="4" w:space="0" w:color="000000"/>
              <w:left w:val="single" w:sz="4" w:space="0" w:color="000000"/>
              <w:bottom w:val="single" w:sz="4" w:space="0" w:color="000000"/>
              <w:right w:val="single" w:sz="4" w:space="0" w:color="000000"/>
            </w:tcBorders>
            <w:vAlign w:val="center"/>
          </w:tcPr>
          <w:p w14:paraId="023067C8"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51.0</w:t>
            </w:r>
          </w:p>
        </w:tc>
        <w:tc>
          <w:tcPr>
            <w:tcW w:w="412" w:type="pct"/>
            <w:tcBorders>
              <w:top w:val="single" w:sz="4" w:space="0" w:color="000000"/>
              <w:left w:val="single" w:sz="4" w:space="0" w:color="000000"/>
              <w:bottom w:val="single" w:sz="4" w:space="0" w:color="000000"/>
              <w:right w:val="single" w:sz="4" w:space="0" w:color="000000"/>
            </w:tcBorders>
            <w:vAlign w:val="center"/>
          </w:tcPr>
          <w:p w14:paraId="160A1EA1"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42.7</w:t>
            </w:r>
          </w:p>
        </w:tc>
        <w:tc>
          <w:tcPr>
            <w:tcW w:w="412" w:type="pct"/>
            <w:tcBorders>
              <w:top w:val="single" w:sz="4" w:space="0" w:color="000000"/>
              <w:left w:val="single" w:sz="4" w:space="0" w:color="000000"/>
              <w:bottom w:val="single" w:sz="4" w:space="0" w:color="000000"/>
              <w:right w:val="single" w:sz="4" w:space="0" w:color="000000"/>
            </w:tcBorders>
            <w:vAlign w:val="center"/>
          </w:tcPr>
          <w:p w14:paraId="1D45B818"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43.3</w:t>
            </w:r>
          </w:p>
        </w:tc>
        <w:tc>
          <w:tcPr>
            <w:tcW w:w="412" w:type="pct"/>
            <w:tcBorders>
              <w:top w:val="single" w:sz="4" w:space="0" w:color="000000"/>
              <w:left w:val="single" w:sz="4" w:space="0" w:color="000000"/>
              <w:bottom w:val="single" w:sz="4" w:space="0" w:color="000000"/>
              <w:right w:val="single" w:sz="4" w:space="0" w:color="000000"/>
            </w:tcBorders>
            <w:vAlign w:val="center"/>
          </w:tcPr>
          <w:p w14:paraId="16B444A4"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48.0</w:t>
            </w:r>
          </w:p>
        </w:tc>
        <w:tc>
          <w:tcPr>
            <w:tcW w:w="404" w:type="pct"/>
            <w:tcBorders>
              <w:top w:val="single" w:sz="4" w:space="0" w:color="000000"/>
              <w:left w:val="single" w:sz="4" w:space="0" w:color="000000"/>
              <w:bottom w:val="single" w:sz="4" w:space="0" w:color="000000"/>
              <w:right w:val="single" w:sz="4" w:space="0" w:color="000000"/>
            </w:tcBorders>
            <w:vAlign w:val="center"/>
          </w:tcPr>
          <w:p w14:paraId="1CBA0BD7"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50.0</w:t>
            </w:r>
          </w:p>
        </w:tc>
        <w:tc>
          <w:tcPr>
            <w:tcW w:w="401" w:type="pct"/>
            <w:tcBorders>
              <w:top w:val="single" w:sz="4" w:space="0" w:color="000000"/>
              <w:left w:val="single" w:sz="4" w:space="0" w:color="000000"/>
              <w:bottom w:val="single" w:sz="4" w:space="0" w:color="000000"/>
              <w:right w:val="single" w:sz="4" w:space="0" w:color="000000"/>
            </w:tcBorders>
            <w:vAlign w:val="center"/>
          </w:tcPr>
          <w:p w14:paraId="2864FCCA"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48.7</w:t>
            </w:r>
          </w:p>
        </w:tc>
      </w:tr>
      <w:tr w:rsidR="004D7A82" w:rsidRPr="00E8656C" w14:paraId="5AFD0561" w14:textId="77777777" w:rsidTr="005E54CB">
        <w:trPr>
          <w:trHeight w:val="60"/>
        </w:trPr>
        <w:tc>
          <w:tcPr>
            <w:tcW w:w="744" w:type="pct"/>
            <w:tcBorders>
              <w:left w:val="single" w:sz="4" w:space="0" w:color="000000"/>
              <w:bottom w:val="single" w:sz="4" w:space="0" w:color="000000"/>
              <w:right w:val="single" w:sz="4" w:space="0" w:color="000000"/>
            </w:tcBorders>
          </w:tcPr>
          <w:p w14:paraId="2942404C" w14:textId="797518CA" w:rsidR="005E3F94" w:rsidRPr="00E8656C" w:rsidRDefault="00021A08" w:rsidP="00893F25">
            <w:pPr>
              <w:pStyle w:val="Tabletextupdate"/>
              <w:framePr w:wrap="auto"/>
              <w:rPr>
                <w:rFonts w:ascii="Arial" w:hAnsi="Arial" w:cs="Arial"/>
                <w:b/>
                <w:bCs/>
                <w:color w:val="auto"/>
              </w:rPr>
            </w:pPr>
            <w:r w:rsidRPr="00E8656C">
              <w:rPr>
                <w:rFonts w:ascii="Arial" w:hAnsi="Arial" w:cs="Arial"/>
                <w:b/>
                <w:bCs/>
                <w:color w:val="auto"/>
              </w:rPr>
              <w:t>Previous higher education experience</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6DA959C8" w14:textId="77777777" w:rsidR="005E3F94" w:rsidRPr="005E54CB" w:rsidRDefault="005E3F94" w:rsidP="00893F25">
            <w:pPr>
              <w:pStyle w:val="Tabletextupdate"/>
              <w:framePr w:wrap="auto"/>
              <w:rPr>
                <w:rFonts w:ascii="Arial" w:hAnsi="Arial" w:cs="Arial"/>
                <w:b/>
                <w:bCs/>
                <w:color w:val="auto"/>
              </w:rPr>
            </w:pPr>
            <w:r w:rsidRPr="005E54CB">
              <w:rPr>
                <w:rFonts w:ascii="Arial" w:hAnsi="Arial" w:cs="Arial"/>
                <w:b/>
                <w:bCs/>
                <w:color w:val="auto"/>
              </w:rPr>
              <w:t>New to higher education</w:t>
            </w:r>
          </w:p>
        </w:tc>
        <w:tc>
          <w:tcPr>
            <w:tcW w:w="412" w:type="pct"/>
            <w:tcBorders>
              <w:top w:val="single" w:sz="4" w:space="0" w:color="000000"/>
              <w:left w:val="single" w:sz="4" w:space="0" w:color="000000"/>
              <w:bottom w:val="single" w:sz="4" w:space="0" w:color="000000"/>
              <w:right w:val="single" w:sz="4" w:space="0" w:color="000000"/>
            </w:tcBorders>
            <w:vAlign w:val="center"/>
          </w:tcPr>
          <w:p w14:paraId="14E63403"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54.3</w:t>
            </w:r>
          </w:p>
        </w:tc>
        <w:tc>
          <w:tcPr>
            <w:tcW w:w="412" w:type="pct"/>
            <w:tcBorders>
              <w:top w:val="single" w:sz="4" w:space="0" w:color="000000"/>
              <w:left w:val="single" w:sz="4" w:space="0" w:color="000000"/>
              <w:bottom w:val="single" w:sz="4" w:space="0" w:color="000000"/>
              <w:right w:val="single" w:sz="4" w:space="0" w:color="000000"/>
            </w:tcBorders>
            <w:vAlign w:val="center"/>
          </w:tcPr>
          <w:p w14:paraId="5E660F5C"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55.9</w:t>
            </w:r>
          </w:p>
        </w:tc>
        <w:tc>
          <w:tcPr>
            <w:tcW w:w="412" w:type="pct"/>
            <w:tcBorders>
              <w:top w:val="single" w:sz="4" w:space="0" w:color="000000"/>
              <w:left w:val="single" w:sz="4" w:space="0" w:color="000000"/>
              <w:bottom w:val="single" w:sz="4" w:space="0" w:color="000000"/>
              <w:right w:val="single" w:sz="4" w:space="0" w:color="000000"/>
            </w:tcBorders>
            <w:vAlign w:val="center"/>
          </w:tcPr>
          <w:p w14:paraId="0C682613"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54.7</w:t>
            </w:r>
          </w:p>
        </w:tc>
        <w:tc>
          <w:tcPr>
            <w:tcW w:w="412" w:type="pct"/>
            <w:tcBorders>
              <w:top w:val="single" w:sz="4" w:space="0" w:color="000000"/>
              <w:left w:val="single" w:sz="4" w:space="0" w:color="000000"/>
              <w:bottom w:val="single" w:sz="4" w:space="0" w:color="000000"/>
              <w:right w:val="single" w:sz="4" w:space="0" w:color="000000"/>
            </w:tcBorders>
            <w:vAlign w:val="center"/>
          </w:tcPr>
          <w:p w14:paraId="12895EBA"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41.5</w:t>
            </w:r>
          </w:p>
        </w:tc>
        <w:tc>
          <w:tcPr>
            <w:tcW w:w="412" w:type="pct"/>
            <w:tcBorders>
              <w:top w:val="single" w:sz="4" w:space="0" w:color="000000"/>
              <w:left w:val="single" w:sz="4" w:space="0" w:color="000000"/>
              <w:bottom w:val="single" w:sz="4" w:space="0" w:color="000000"/>
              <w:right w:val="single" w:sz="4" w:space="0" w:color="000000"/>
            </w:tcBorders>
            <w:vAlign w:val="center"/>
          </w:tcPr>
          <w:p w14:paraId="3B03C569"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45.0</w:t>
            </w:r>
          </w:p>
        </w:tc>
        <w:tc>
          <w:tcPr>
            <w:tcW w:w="412" w:type="pct"/>
            <w:tcBorders>
              <w:top w:val="single" w:sz="4" w:space="0" w:color="000000"/>
              <w:left w:val="single" w:sz="4" w:space="0" w:color="000000"/>
              <w:bottom w:val="single" w:sz="4" w:space="0" w:color="000000"/>
              <w:right w:val="single" w:sz="4" w:space="0" w:color="000000"/>
            </w:tcBorders>
            <w:vAlign w:val="center"/>
          </w:tcPr>
          <w:p w14:paraId="1AB91DB2"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50.1</w:t>
            </w:r>
          </w:p>
        </w:tc>
        <w:tc>
          <w:tcPr>
            <w:tcW w:w="404" w:type="pct"/>
            <w:tcBorders>
              <w:top w:val="single" w:sz="4" w:space="0" w:color="000000"/>
              <w:left w:val="single" w:sz="4" w:space="0" w:color="000000"/>
              <w:bottom w:val="single" w:sz="4" w:space="0" w:color="000000"/>
              <w:right w:val="single" w:sz="4" w:space="0" w:color="000000"/>
            </w:tcBorders>
            <w:vAlign w:val="center"/>
          </w:tcPr>
          <w:p w14:paraId="4AB4F341"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50.3</w:t>
            </w:r>
          </w:p>
        </w:tc>
        <w:tc>
          <w:tcPr>
            <w:tcW w:w="401" w:type="pct"/>
            <w:tcBorders>
              <w:top w:val="single" w:sz="4" w:space="0" w:color="000000"/>
              <w:left w:val="single" w:sz="4" w:space="0" w:color="000000"/>
              <w:bottom w:val="single" w:sz="4" w:space="0" w:color="000000"/>
              <w:right w:val="single" w:sz="4" w:space="0" w:color="000000"/>
            </w:tcBorders>
            <w:vAlign w:val="center"/>
          </w:tcPr>
          <w:p w14:paraId="1AE4EA4B"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49.2</w:t>
            </w:r>
          </w:p>
        </w:tc>
      </w:tr>
      <w:tr w:rsidR="006C7824" w:rsidRPr="00E8656C" w14:paraId="36161803" w14:textId="77777777" w:rsidTr="005E54CB">
        <w:trPr>
          <w:trHeight w:val="60"/>
        </w:trPr>
        <w:tc>
          <w:tcPr>
            <w:tcW w:w="744" w:type="pct"/>
            <w:tcBorders>
              <w:top w:val="single" w:sz="4" w:space="0" w:color="000000"/>
              <w:left w:val="single" w:sz="4" w:space="0" w:color="000000"/>
              <w:right w:val="single" w:sz="4" w:space="0" w:color="000000"/>
            </w:tcBorders>
          </w:tcPr>
          <w:p w14:paraId="37C434AD" w14:textId="33D6BB74"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Socio-economic status</w:t>
            </w:r>
            <w:r w:rsidRPr="00E8656C">
              <w:rPr>
                <w:rFonts w:ascii="Arial" w:hAnsi="Arial" w:cs="Arial"/>
                <w:b/>
                <w:bCs/>
                <w:color w:val="auto"/>
                <w:vertAlign w:val="superscript"/>
              </w:rPr>
              <w:t>**†</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7D25B3E6" w14:textId="77777777" w:rsidR="006C7824" w:rsidRPr="005E54CB" w:rsidRDefault="006C7824" w:rsidP="006C7824">
            <w:pPr>
              <w:pStyle w:val="Tabletextupdate"/>
              <w:framePr w:wrap="auto"/>
              <w:rPr>
                <w:rFonts w:ascii="Arial" w:hAnsi="Arial" w:cs="Arial"/>
                <w:b/>
                <w:bCs/>
                <w:color w:val="auto"/>
              </w:rPr>
            </w:pPr>
            <w:r w:rsidRPr="005E54CB">
              <w:rPr>
                <w:rFonts w:ascii="Arial" w:hAnsi="Arial" w:cs="Arial"/>
                <w:b/>
                <w:bCs/>
                <w:color w:val="auto"/>
              </w:rPr>
              <w:t xml:space="preserve">High </w:t>
            </w:r>
          </w:p>
        </w:tc>
        <w:tc>
          <w:tcPr>
            <w:tcW w:w="412" w:type="pct"/>
            <w:tcBorders>
              <w:top w:val="single" w:sz="4" w:space="0" w:color="000000"/>
              <w:left w:val="single" w:sz="4" w:space="0" w:color="000000"/>
              <w:bottom w:val="single" w:sz="4" w:space="0" w:color="000000"/>
              <w:right w:val="single" w:sz="4" w:space="0" w:color="000000"/>
            </w:tcBorders>
            <w:vAlign w:val="center"/>
          </w:tcPr>
          <w:p w14:paraId="2A7383B4" w14:textId="01E3616B"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49.1</w:t>
            </w:r>
          </w:p>
        </w:tc>
        <w:tc>
          <w:tcPr>
            <w:tcW w:w="412" w:type="pct"/>
            <w:tcBorders>
              <w:top w:val="single" w:sz="4" w:space="0" w:color="000000"/>
              <w:left w:val="single" w:sz="4" w:space="0" w:color="000000"/>
              <w:bottom w:val="single" w:sz="4" w:space="0" w:color="000000"/>
              <w:right w:val="single" w:sz="4" w:space="0" w:color="000000"/>
            </w:tcBorders>
            <w:vAlign w:val="center"/>
          </w:tcPr>
          <w:p w14:paraId="2C9061B0" w14:textId="73276184"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49.6</w:t>
            </w:r>
          </w:p>
        </w:tc>
        <w:tc>
          <w:tcPr>
            <w:tcW w:w="412" w:type="pct"/>
            <w:tcBorders>
              <w:top w:val="single" w:sz="4" w:space="0" w:color="000000"/>
              <w:left w:val="single" w:sz="4" w:space="0" w:color="000000"/>
              <w:bottom w:val="single" w:sz="4" w:space="0" w:color="000000"/>
              <w:right w:val="single" w:sz="4" w:space="0" w:color="000000"/>
            </w:tcBorders>
            <w:vAlign w:val="center"/>
          </w:tcPr>
          <w:p w14:paraId="3A0079D9" w14:textId="0C0AEE54"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48.7</w:t>
            </w:r>
          </w:p>
        </w:tc>
        <w:tc>
          <w:tcPr>
            <w:tcW w:w="412" w:type="pct"/>
            <w:tcBorders>
              <w:top w:val="single" w:sz="4" w:space="0" w:color="000000"/>
              <w:left w:val="single" w:sz="4" w:space="0" w:color="000000"/>
              <w:bottom w:val="single" w:sz="4" w:space="0" w:color="000000"/>
              <w:right w:val="single" w:sz="4" w:space="0" w:color="000000"/>
            </w:tcBorders>
            <w:vAlign w:val="center"/>
          </w:tcPr>
          <w:p w14:paraId="3F4F5CAA" w14:textId="1A65B6ED"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35.6</w:t>
            </w:r>
          </w:p>
        </w:tc>
        <w:tc>
          <w:tcPr>
            <w:tcW w:w="412" w:type="pct"/>
            <w:tcBorders>
              <w:top w:val="single" w:sz="4" w:space="0" w:color="000000"/>
              <w:left w:val="single" w:sz="4" w:space="0" w:color="000000"/>
              <w:bottom w:val="single" w:sz="4" w:space="0" w:color="000000"/>
              <w:right w:val="single" w:sz="4" w:space="0" w:color="000000"/>
            </w:tcBorders>
            <w:vAlign w:val="center"/>
          </w:tcPr>
          <w:p w14:paraId="62A2AFA3" w14:textId="4B277498"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38.7</w:t>
            </w:r>
          </w:p>
        </w:tc>
        <w:tc>
          <w:tcPr>
            <w:tcW w:w="412" w:type="pct"/>
            <w:tcBorders>
              <w:top w:val="single" w:sz="4" w:space="0" w:color="000000"/>
              <w:left w:val="single" w:sz="4" w:space="0" w:color="000000"/>
              <w:bottom w:val="single" w:sz="4" w:space="0" w:color="000000"/>
              <w:right w:val="single" w:sz="4" w:space="0" w:color="000000"/>
            </w:tcBorders>
            <w:vAlign w:val="center"/>
          </w:tcPr>
          <w:p w14:paraId="1638DDCE" w14:textId="43B0C489"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43.3</w:t>
            </w:r>
          </w:p>
        </w:tc>
        <w:tc>
          <w:tcPr>
            <w:tcW w:w="404" w:type="pct"/>
            <w:tcBorders>
              <w:top w:val="single" w:sz="4" w:space="0" w:color="000000"/>
              <w:left w:val="single" w:sz="4" w:space="0" w:color="000000"/>
              <w:bottom w:val="single" w:sz="4" w:space="0" w:color="000000"/>
              <w:right w:val="single" w:sz="4" w:space="0" w:color="000000"/>
            </w:tcBorders>
            <w:vAlign w:val="center"/>
          </w:tcPr>
          <w:p w14:paraId="1EA1D64B" w14:textId="3181FF06"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41.9</w:t>
            </w:r>
          </w:p>
        </w:tc>
        <w:tc>
          <w:tcPr>
            <w:tcW w:w="401" w:type="pct"/>
            <w:tcBorders>
              <w:top w:val="single" w:sz="4" w:space="0" w:color="000000"/>
              <w:left w:val="single" w:sz="4" w:space="0" w:color="000000"/>
              <w:bottom w:val="single" w:sz="4" w:space="0" w:color="000000"/>
              <w:right w:val="single" w:sz="4" w:space="0" w:color="000000"/>
            </w:tcBorders>
            <w:vAlign w:val="center"/>
          </w:tcPr>
          <w:p w14:paraId="41A6C666" w14:textId="579E05C1" w:rsidR="006C7824" w:rsidRPr="00E8656C" w:rsidRDefault="006C7824" w:rsidP="005E54CB">
            <w:pPr>
              <w:pStyle w:val="Tabletextupdate"/>
              <w:framePr w:wrap="auto"/>
              <w:jc w:val="center"/>
              <w:rPr>
                <w:rFonts w:ascii="Arial" w:hAnsi="Arial" w:cs="Arial"/>
                <w:color w:val="auto"/>
              </w:rPr>
            </w:pPr>
            <w:r w:rsidRPr="00517FD9">
              <w:rPr>
                <w:rFonts w:ascii="Arial" w:hAnsi="Arial" w:cs="Arial"/>
                <w:sz w:val="18"/>
              </w:rPr>
              <w:t>42.4</w:t>
            </w:r>
          </w:p>
        </w:tc>
      </w:tr>
      <w:tr w:rsidR="006C7824" w:rsidRPr="00E8656C" w14:paraId="0650E098" w14:textId="77777777" w:rsidTr="005E54CB">
        <w:trPr>
          <w:trHeight w:val="60"/>
        </w:trPr>
        <w:tc>
          <w:tcPr>
            <w:tcW w:w="744" w:type="pct"/>
            <w:tcBorders>
              <w:left w:val="single" w:sz="4" w:space="0" w:color="000000"/>
              <w:right w:val="single" w:sz="4" w:space="0" w:color="000000"/>
            </w:tcBorders>
          </w:tcPr>
          <w:p w14:paraId="08A40695" w14:textId="52B5E7EF"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Socio-economic status</w:t>
            </w:r>
            <w:r w:rsidRPr="00E8656C">
              <w:rPr>
                <w:rFonts w:ascii="Arial" w:hAnsi="Arial" w:cs="Arial"/>
                <w:b/>
                <w:bCs/>
                <w:color w:val="auto"/>
                <w:vertAlign w:val="superscript"/>
              </w:rPr>
              <w:t>**†</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179D2D4A" w14:textId="77777777" w:rsidR="006C7824" w:rsidRPr="005E54CB" w:rsidRDefault="006C7824" w:rsidP="006C7824">
            <w:pPr>
              <w:pStyle w:val="Tabletextupdate"/>
              <w:framePr w:wrap="auto"/>
              <w:rPr>
                <w:rFonts w:ascii="Arial" w:hAnsi="Arial" w:cs="Arial"/>
                <w:b/>
                <w:bCs/>
                <w:color w:val="auto"/>
              </w:rPr>
            </w:pPr>
            <w:r w:rsidRPr="005E54CB">
              <w:rPr>
                <w:rFonts w:ascii="Arial" w:hAnsi="Arial" w:cs="Arial"/>
                <w:b/>
                <w:bCs/>
                <w:color w:val="auto"/>
              </w:rPr>
              <w:t xml:space="preserve">Medium </w:t>
            </w:r>
          </w:p>
        </w:tc>
        <w:tc>
          <w:tcPr>
            <w:tcW w:w="412" w:type="pct"/>
            <w:tcBorders>
              <w:top w:val="single" w:sz="4" w:space="0" w:color="000000"/>
              <w:left w:val="single" w:sz="4" w:space="0" w:color="000000"/>
              <w:bottom w:val="single" w:sz="4" w:space="0" w:color="000000"/>
              <w:right w:val="single" w:sz="4" w:space="0" w:color="000000"/>
            </w:tcBorders>
            <w:vAlign w:val="center"/>
          </w:tcPr>
          <w:p w14:paraId="03DF3B57" w14:textId="6B02D551"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51.5</w:t>
            </w:r>
          </w:p>
        </w:tc>
        <w:tc>
          <w:tcPr>
            <w:tcW w:w="412" w:type="pct"/>
            <w:tcBorders>
              <w:top w:val="single" w:sz="4" w:space="0" w:color="000000"/>
              <w:left w:val="single" w:sz="4" w:space="0" w:color="000000"/>
              <w:bottom w:val="single" w:sz="4" w:space="0" w:color="000000"/>
              <w:right w:val="single" w:sz="4" w:space="0" w:color="000000"/>
            </w:tcBorders>
            <w:vAlign w:val="center"/>
          </w:tcPr>
          <w:p w14:paraId="25F428B6" w14:textId="66BE6EF9"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52.9</w:t>
            </w:r>
          </w:p>
        </w:tc>
        <w:tc>
          <w:tcPr>
            <w:tcW w:w="412" w:type="pct"/>
            <w:tcBorders>
              <w:top w:val="single" w:sz="4" w:space="0" w:color="000000"/>
              <w:left w:val="single" w:sz="4" w:space="0" w:color="000000"/>
              <w:bottom w:val="single" w:sz="4" w:space="0" w:color="000000"/>
              <w:right w:val="single" w:sz="4" w:space="0" w:color="000000"/>
            </w:tcBorders>
            <w:vAlign w:val="center"/>
          </w:tcPr>
          <w:p w14:paraId="22CA991F" w14:textId="3227A57E"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51.4</w:t>
            </w:r>
          </w:p>
        </w:tc>
        <w:tc>
          <w:tcPr>
            <w:tcW w:w="412" w:type="pct"/>
            <w:tcBorders>
              <w:top w:val="single" w:sz="4" w:space="0" w:color="000000"/>
              <w:left w:val="single" w:sz="4" w:space="0" w:color="000000"/>
              <w:bottom w:val="single" w:sz="4" w:space="0" w:color="000000"/>
              <w:right w:val="single" w:sz="4" w:space="0" w:color="000000"/>
            </w:tcBorders>
            <w:vAlign w:val="center"/>
          </w:tcPr>
          <w:p w14:paraId="51610D48" w14:textId="53CD625F"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40.6</w:t>
            </w:r>
          </w:p>
        </w:tc>
        <w:tc>
          <w:tcPr>
            <w:tcW w:w="412" w:type="pct"/>
            <w:tcBorders>
              <w:top w:val="single" w:sz="4" w:space="0" w:color="000000"/>
              <w:left w:val="single" w:sz="4" w:space="0" w:color="000000"/>
              <w:bottom w:val="single" w:sz="4" w:space="0" w:color="000000"/>
              <w:right w:val="single" w:sz="4" w:space="0" w:color="000000"/>
            </w:tcBorders>
            <w:vAlign w:val="center"/>
          </w:tcPr>
          <w:p w14:paraId="134766E4" w14:textId="0943C2F0"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42.3</w:t>
            </w:r>
          </w:p>
        </w:tc>
        <w:tc>
          <w:tcPr>
            <w:tcW w:w="412" w:type="pct"/>
            <w:tcBorders>
              <w:top w:val="single" w:sz="4" w:space="0" w:color="000000"/>
              <w:left w:val="single" w:sz="4" w:space="0" w:color="000000"/>
              <w:bottom w:val="single" w:sz="4" w:space="0" w:color="000000"/>
              <w:right w:val="single" w:sz="4" w:space="0" w:color="000000"/>
            </w:tcBorders>
            <w:vAlign w:val="center"/>
          </w:tcPr>
          <w:p w14:paraId="3542E33D" w14:textId="3E890A6C"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45.2</w:t>
            </w:r>
          </w:p>
        </w:tc>
        <w:tc>
          <w:tcPr>
            <w:tcW w:w="404" w:type="pct"/>
            <w:tcBorders>
              <w:top w:val="single" w:sz="4" w:space="0" w:color="000000"/>
              <w:left w:val="single" w:sz="4" w:space="0" w:color="000000"/>
              <w:bottom w:val="single" w:sz="4" w:space="0" w:color="000000"/>
              <w:right w:val="single" w:sz="4" w:space="0" w:color="000000"/>
            </w:tcBorders>
            <w:vAlign w:val="center"/>
          </w:tcPr>
          <w:p w14:paraId="62146DA8" w14:textId="2A61AFA5"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44.9</w:t>
            </w:r>
          </w:p>
        </w:tc>
        <w:tc>
          <w:tcPr>
            <w:tcW w:w="401" w:type="pct"/>
            <w:tcBorders>
              <w:top w:val="single" w:sz="4" w:space="0" w:color="000000"/>
              <w:left w:val="single" w:sz="4" w:space="0" w:color="000000"/>
              <w:bottom w:val="single" w:sz="4" w:space="0" w:color="000000"/>
              <w:right w:val="single" w:sz="4" w:space="0" w:color="000000"/>
            </w:tcBorders>
            <w:vAlign w:val="center"/>
          </w:tcPr>
          <w:p w14:paraId="44BF9F59" w14:textId="644F9CA5" w:rsidR="006C7824" w:rsidRPr="00E8656C" w:rsidRDefault="006C7824" w:rsidP="005E54CB">
            <w:pPr>
              <w:pStyle w:val="Tabletextupdate"/>
              <w:framePr w:wrap="auto"/>
              <w:jc w:val="center"/>
              <w:rPr>
                <w:rFonts w:ascii="Arial" w:hAnsi="Arial" w:cs="Arial"/>
                <w:color w:val="auto"/>
              </w:rPr>
            </w:pPr>
            <w:r w:rsidRPr="00517FD9">
              <w:rPr>
                <w:rFonts w:ascii="Arial" w:hAnsi="Arial" w:cs="Arial"/>
                <w:sz w:val="18"/>
              </w:rPr>
              <w:t>44.8</w:t>
            </w:r>
          </w:p>
        </w:tc>
      </w:tr>
      <w:tr w:rsidR="006C7824" w:rsidRPr="00E8656C" w14:paraId="0A5404CB" w14:textId="77777777" w:rsidTr="005E54CB">
        <w:trPr>
          <w:trHeight w:val="60"/>
        </w:trPr>
        <w:tc>
          <w:tcPr>
            <w:tcW w:w="744" w:type="pct"/>
            <w:tcBorders>
              <w:left w:val="single" w:sz="4" w:space="0" w:color="000000"/>
              <w:bottom w:val="single" w:sz="4" w:space="0" w:color="000000"/>
              <w:right w:val="single" w:sz="4" w:space="0" w:color="000000"/>
            </w:tcBorders>
          </w:tcPr>
          <w:p w14:paraId="67C4D0BA" w14:textId="4AAEDBA9"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Socio-economic status</w:t>
            </w:r>
            <w:r w:rsidRPr="00E8656C">
              <w:rPr>
                <w:rFonts w:ascii="Arial" w:hAnsi="Arial" w:cs="Arial"/>
                <w:b/>
                <w:bCs/>
                <w:color w:val="auto"/>
                <w:vertAlign w:val="superscript"/>
              </w:rPr>
              <w:t>**†</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0488618A" w14:textId="77777777" w:rsidR="006C7824" w:rsidRPr="005E54CB" w:rsidRDefault="006C7824" w:rsidP="006C7824">
            <w:pPr>
              <w:pStyle w:val="Tabletextupdate"/>
              <w:framePr w:wrap="auto"/>
              <w:rPr>
                <w:rFonts w:ascii="Arial" w:hAnsi="Arial" w:cs="Arial"/>
                <w:b/>
                <w:bCs/>
                <w:color w:val="auto"/>
              </w:rPr>
            </w:pPr>
            <w:r w:rsidRPr="005E54CB">
              <w:rPr>
                <w:rFonts w:ascii="Arial" w:hAnsi="Arial" w:cs="Arial"/>
                <w:b/>
                <w:bCs/>
                <w:color w:val="auto"/>
              </w:rPr>
              <w:t>Low</w:t>
            </w:r>
          </w:p>
        </w:tc>
        <w:tc>
          <w:tcPr>
            <w:tcW w:w="412" w:type="pct"/>
            <w:tcBorders>
              <w:top w:val="single" w:sz="4" w:space="0" w:color="000000"/>
              <w:left w:val="single" w:sz="4" w:space="0" w:color="000000"/>
              <w:bottom w:val="single" w:sz="4" w:space="0" w:color="000000"/>
              <w:right w:val="single" w:sz="4" w:space="0" w:color="000000"/>
            </w:tcBorders>
            <w:vAlign w:val="center"/>
          </w:tcPr>
          <w:p w14:paraId="7F12A92B" w14:textId="4AF8D90F"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51.2</w:t>
            </w:r>
          </w:p>
        </w:tc>
        <w:tc>
          <w:tcPr>
            <w:tcW w:w="412" w:type="pct"/>
            <w:tcBorders>
              <w:top w:val="single" w:sz="4" w:space="0" w:color="000000"/>
              <w:left w:val="single" w:sz="4" w:space="0" w:color="000000"/>
              <w:bottom w:val="single" w:sz="4" w:space="0" w:color="000000"/>
              <w:right w:val="single" w:sz="4" w:space="0" w:color="000000"/>
            </w:tcBorders>
            <w:vAlign w:val="center"/>
          </w:tcPr>
          <w:p w14:paraId="09F0E61D" w14:textId="1CD1BB7F"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52.9</w:t>
            </w:r>
          </w:p>
        </w:tc>
        <w:tc>
          <w:tcPr>
            <w:tcW w:w="412" w:type="pct"/>
            <w:tcBorders>
              <w:top w:val="single" w:sz="4" w:space="0" w:color="000000"/>
              <w:left w:val="single" w:sz="4" w:space="0" w:color="000000"/>
              <w:bottom w:val="single" w:sz="4" w:space="0" w:color="000000"/>
              <w:right w:val="single" w:sz="4" w:space="0" w:color="000000"/>
            </w:tcBorders>
            <w:vAlign w:val="center"/>
          </w:tcPr>
          <w:p w14:paraId="79B89403" w14:textId="3AC8B9DB"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51.6</w:t>
            </w:r>
          </w:p>
        </w:tc>
        <w:tc>
          <w:tcPr>
            <w:tcW w:w="412" w:type="pct"/>
            <w:tcBorders>
              <w:top w:val="single" w:sz="4" w:space="0" w:color="000000"/>
              <w:left w:val="single" w:sz="4" w:space="0" w:color="000000"/>
              <w:bottom w:val="single" w:sz="4" w:space="0" w:color="000000"/>
              <w:right w:val="single" w:sz="4" w:space="0" w:color="000000"/>
            </w:tcBorders>
            <w:vAlign w:val="center"/>
          </w:tcPr>
          <w:p w14:paraId="3913411C" w14:textId="418ED921"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42.8</w:t>
            </w:r>
          </w:p>
        </w:tc>
        <w:tc>
          <w:tcPr>
            <w:tcW w:w="412" w:type="pct"/>
            <w:tcBorders>
              <w:top w:val="single" w:sz="4" w:space="0" w:color="000000"/>
              <w:left w:val="single" w:sz="4" w:space="0" w:color="000000"/>
              <w:bottom w:val="single" w:sz="4" w:space="0" w:color="000000"/>
              <w:right w:val="single" w:sz="4" w:space="0" w:color="000000"/>
            </w:tcBorders>
            <w:vAlign w:val="center"/>
          </w:tcPr>
          <w:p w14:paraId="32B59921" w14:textId="202CA746"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43.4</w:t>
            </w:r>
          </w:p>
        </w:tc>
        <w:tc>
          <w:tcPr>
            <w:tcW w:w="412" w:type="pct"/>
            <w:tcBorders>
              <w:top w:val="single" w:sz="4" w:space="0" w:color="000000"/>
              <w:left w:val="single" w:sz="4" w:space="0" w:color="000000"/>
              <w:bottom w:val="single" w:sz="4" w:space="0" w:color="000000"/>
              <w:right w:val="single" w:sz="4" w:space="0" w:color="000000"/>
            </w:tcBorders>
            <w:vAlign w:val="center"/>
          </w:tcPr>
          <w:p w14:paraId="7BC0452D" w14:textId="5FC44234"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45.5</w:t>
            </w:r>
          </w:p>
        </w:tc>
        <w:tc>
          <w:tcPr>
            <w:tcW w:w="404" w:type="pct"/>
            <w:tcBorders>
              <w:top w:val="single" w:sz="4" w:space="0" w:color="000000"/>
              <w:left w:val="single" w:sz="4" w:space="0" w:color="000000"/>
              <w:bottom w:val="single" w:sz="4" w:space="0" w:color="000000"/>
              <w:right w:val="single" w:sz="4" w:space="0" w:color="000000"/>
            </w:tcBorders>
            <w:vAlign w:val="center"/>
          </w:tcPr>
          <w:p w14:paraId="1A2AC669" w14:textId="134EC325"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45.0</w:t>
            </w:r>
          </w:p>
        </w:tc>
        <w:tc>
          <w:tcPr>
            <w:tcW w:w="401" w:type="pct"/>
            <w:tcBorders>
              <w:top w:val="single" w:sz="4" w:space="0" w:color="000000"/>
              <w:left w:val="single" w:sz="4" w:space="0" w:color="000000"/>
              <w:bottom w:val="single" w:sz="4" w:space="0" w:color="000000"/>
              <w:right w:val="single" w:sz="4" w:space="0" w:color="000000"/>
            </w:tcBorders>
            <w:vAlign w:val="center"/>
          </w:tcPr>
          <w:p w14:paraId="760A75BF" w14:textId="5D39567B" w:rsidR="006C7824" w:rsidRPr="00E8656C" w:rsidRDefault="006C7824" w:rsidP="005E54CB">
            <w:pPr>
              <w:pStyle w:val="Tabletextupdate"/>
              <w:framePr w:wrap="auto"/>
              <w:jc w:val="center"/>
              <w:rPr>
                <w:rFonts w:ascii="Arial" w:hAnsi="Arial" w:cs="Arial"/>
                <w:color w:val="auto"/>
              </w:rPr>
            </w:pPr>
            <w:r w:rsidRPr="00517FD9">
              <w:rPr>
                <w:rFonts w:ascii="Arial" w:hAnsi="Arial" w:cs="Arial"/>
                <w:sz w:val="18"/>
              </w:rPr>
              <w:t>45.4</w:t>
            </w:r>
          </w:p>
        </w:tc>
      </w:tr>
      <w:tr w:rsidR="006C7824" w:rsidRPr="00E8656C" w14:paraId="45B19D75" w14:textId="77777777" w:rsidTr="005E54CB">
        <w:trPr>
          <w:trHeight w:val="60"/>
        </w:trPr>
        <w:tc>
          <w:tcPr>
            <w:tcW w:w="744" w:type="pct"/>
            <w:tcBorders>
              <w:top w:val="single" w:sz="4" w:space="0" w:color="000000"/>
              <w:left w:val="single" w:sz="4" w:space="0" w:color="000000"/>
              <w:right w:val="single" w:sz="4" w:space="0" w:color="000000"/>
            </w:tcBorders>
          </w:tcPr>
          <w:p w14:paraId="5448A282" w14:textId="2F7B74AE"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Location</w:t>
            </w:r>
            <w:r w:rsidRPr="00E8656C">
              <w:rPr>
                <w:rFonts w:ascii="Arial" w:hAnsi="Arial" w:cs="Arial"/>
                <w:b/>
                <w:bCs/>
                <w:color w:val="auto"/>
                <w:vertAlign w:val="superscript"/>
              </w:rPr>
              <w:t>**†</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018F2900" w14:textId="77777777" w:rsidR="006C7824" w:rsidRPr="005E54CB" w:rsidRDefault="006C7824" w:rsidP="006C7824">
            <w:pPr>
              <w:pStyle w:val="Tabletextupdate"/>
              <w:framePr w:wrap="auto"/>
              <w:rPr>
                <w:rFonts w:ascii="Arial" w:hAnsi="Arial" w:cs="Arial"/>
                <w:b/>
                <w:bCs/>
                <w:color w:val="auto"/>
              </w:rPr>
            </w:pPr>
            <w:r w:rsidRPr="005E54CB">
              <w:rPr>
                <w:rFonts w:ascii="Arial" w:hAnsi="Arial" w:cs="Arial"/>
                <w:b/>
                <w:bCs/>
                <w:color w:val="auto"/>
              </w:rPr>
              <w:t>Metro</w:t>
            </w:r>
          </w:p>
        </w:tc>
        <w:tc>
          <w:tcPr>
            <w:tcW w:w="412" w:type="pct"/>
            <w:tcBorders>
              <w:top w:val="single" w:sz="4" w:space="0" w:color="000000"/>
              <w:left w:val="single" w:sz="4" w:space="0" w:color="000000"/>
              <w:bottom w:val="single" w:sz="4" w:space="0" w:color="000000"/>
              <w:right w:val="single" w:sz="4" w:space="0" w:color="000000"/>
            </w:tcBorders>
            <w:vAlign w:val="center"/>
          </w:tcPr>
          <w:p w14:paraId="6C249B52" w14:textId="75EE527D"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50.7</w:t>
            </w:r>
          </w:p>
        </w:tc>
        <w:tc>
          <w:tcPr>
            <w:tcW w:w="412" w:type="pct"/>
            <w:tcBorders>
              <w:top w:val="single" w:sz="4" w:space="0" w:color="000000"/>
              <w:left w:val="single" w:sz="4" w:space="0" w:color="000000"/>
              <w:bottom w:val="single" w:sz="4" w:space="0" w:color="000000"/>
              <w:right w:val="single" w:sz="4" w:space="0" w:color="000000"/>
            </w:tcBorders>
            <w:vAlign w:val="center"/>
          </w:tcPr>
          <w:p w14:paraId="53678D14" w14:textId="2715388E"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51.6</w:t>
            </w:r>
          </w:p>
        </w:tc>
        <w:tc>
          <w:tcPr>
            <w:tcW w:w="412" w:type="pct"/>
            <w:tcBorders>
              <w:top w:val="single" w:sz="4" w:space="0" w:color="000000"/>
              <w:left w:val="single" w:sz="4" w:space="0" w:color="000000"/>
              <w:bottom w:val="single" w:sz="4" w:space="0" w:color="000000"/>
              <w:right w:val="single" w:sz="4" w:space="0" w:color="000000"/>
            </w:tcBorders>
            <w:vAlign w:val="center"/>
          </w:tcPr>
          <w:p w14:paraId="469C1A0C" w14:textId="1532622B"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50.4</w:t>
            </w:r>
          </w:p>
        </w:tc>
        <w:tc>
          <w:tcPr>
            <w:tcW w:w="412" w:type="pct"/>
            <w:tcBorders>
              <w:top w:val="single" w:sz="4" w:space="0" w:color="000000"/>
              <w:left w:val="single" w:sz="4" w:space="0" w:color="000000"/>
              <w:bottom w:val="single" w:sz="4" w:space="0" w:color="000000"/>
              <w:right w:val="single" w:sz="4" w:space="0" w:color="000000"/>
            </w:tcBorders>
            <w:vAlign w:val="center"/>
          </w:tcPr>
          <w:p w14:paraId="6DA019C5" w14:textId="26F67ABB"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39.0</w:t>
            </w:r>
          </w:p>
        </w:tc>
        <w:tc>
          <w:tcPr>
            <w:tcW w:w="412" w:type="pct"/>
            <w:tcBorders>
              <w:top w:val="single" w:sz="4" w:space="0" w:color="000000"/>
              <w:left w:val="single" w:sz="4" w:space="0" w:color="000000"/>
              <w:bottom w:val="single" w:sz="4" w:space="0" w:color="000000"/>
              <w:right w:val="single" w:sz="4" w:space="0" w:color="000000"/>
            </w:tcBorders>
            <w:vAlign w:val="center"/>
          </w:tcPr>
          <w:p w14:paraId="32098B7C" w14:textId="696EB4F4"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41.4</w:t>
            </w:r>
          </w:p>
        </w:tc>
        <w:tc>
          <w:tcPr>
            <w:tcW w:w="412" w:type="pct"/>
            <w:tcBorders>
              <w:top w:val="single" w:sz="4" w:space="0" w:color="000000"/>
              <w:left w:val="single" w:sz="4" w:space="0" w:color="000000"/>
              <w:bottom w:val="single" w:sz="4" w:space="0" w:color="000000"/>
              <w:right w:val="single" w:sz="4" w:space="0" w:color="000000"/>
            </w:tcBorders>
            <w:vAlign w:val="center"/>
          </w:tcPr>
          <w:p w14:paraId="3338E3B2" w14:textId="4DCFC626"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44.7</w:t>
            </w:r>
          </w:p>
        </w:tc>
        <w:tc>
          <w:tcPr>
            <w:tcW w:w="404" w:type="pct"/>
            <w:tcBorders>
              <w:top w:val="single" w:sz="4" w:space="0" w:color="000000"/>
              <w:left w:val="single" w:sz="4" w:space="0" w:color="000000"/>
              <w:bottom w:val="single" w:sz="4" w:space="0" w:color="000000"/>
              <w:right w:val="single" w:sz="4" w:space="0" w:color="000000"/>
            </w:tcBorders>
            <w:vAlign w:val="center"/>
          </w:tcPr>
          <w:p w14:paraId="288400BA" w14:textId="43C16B73"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43.8</w:t>
            </w:r>
          </w:p>
        </w:tc>
        <w:tc>
          <w:tcPr>
            <w:tcW w:w="401" w:type="pct"/>
            <w:tcBorders>
              <w:top w:val="single" w:sz="4" w:space="0" w:color="000000"/>
              <w:left w:val="single" w:sz="4" w:space="0" w:color="000000"/>
              <w:bottom w:val="single" w:sz="4" w:space="0" w:color="000000"/>
              <w:right w:val="single" w:sz="4" w:space="0" w:color="000000"/>
            </w:tcBorders>
            <w:vAlign w:val="center"/>
          </w:tcPr>
          <w:p w14:paraId="6B1CA9F9" w14:textId="7BB7A624" w:rsidR="006C7824" w:rsidRPr="00E8656C" w:rsidRDefault="006C7824" w:rsidP="005E54CB">
            <w:pPr>
              <w:pStyle w:val="Tabletextupdate"/>
              <w:framePr w:wrap="auto"/>
              <w:jc w:val="center"/>
              <w:rPr>
                <w:rFonts w:ascii="Arial" w:hAnsi="Arial" w:cs="Arial"/>
                <w:color w:val="auto"/>
              </w:rPr>
            </w:pPr>
            <w:r w:rsidRPr="00517FD9">
              <w:rPr>
                <w:rFonts w:ascii="Arial" w:hAnsi="Arial" w:cs="Arial"/>
                <w:sz w:val="18"/>
              </w:rPr>
              <w:t>43.9</w:t>
            </w:r>
          </w:p>
        </w:tc>
      </w:tr>
      <w:tr w:rsidR="006C7824" w:rsidRPr="00E8656C" w14:paraId="72EF3A97" w14:textId="77777777" w:rsidTr="005E54CB">
        <w:trPr>
          <w:trHeight w:val="60"/>
        </w:trPr>
        <w:tc>
          <w:tcPr>
            <w:tcW w:w="744" w:type="pct"/>
            <w:tcBorders>
              <w:left w:val="single" w:sz="4" w:space="0" w:color="000000"/>
              <w:bottom w:val="single" w:sz="4" w:space="0" w:color="000000"/>
              <w:right w:val="single" w:sz="4" w:space="0" w:color="000000"/>
            </w:tcBorders>
          </w:tcPr>
          <w:p w14:paraId="49F26FD7" w14:textId="3AE4620D"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Location</w:t>
            </w:r>
            <w:r w:rsidRPr="00E8656C">
              <w:rPr>
                <w:rFonts w:ascii="Arial" w:hAnsi="Arial" w:cs="Arial"/>
                <w:b/>
                <w:bCs/>
                <w:color w:val="auto"/>
                <w:vertAlign w:val="superscript"/>
              </w:rPr>
              <w:t>**†</w:t>
            </w: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74B958E1" w14:textId="77777777" w:rsidR="006C7824" w:rsidRPr="005E54CB" w:rsidRDefault="006C7824" w:rsidP="006C7824">
            <w:pPr>
              <w:pStyle w:val="Tabletextupdate"/>
              <w:framePr w:wrap="auto"/>
              <w:rPr>
                <w:rFonts w:ascii="Arial" w:hAnsi="Arial" w:cs="Arial"/>
                <w:b/>
                <w:bCs/>
                <w:color w:val="auto"/>
              </w:rPr>
            </w:pPr>
            <w:r w:rsidRPr="005E54CB">
              <w:rPr>
                <w:rFonts w:ascii="Arial" w:hAnsi="Arial" w:cs="Arial"/>
                <w:b/>
                <w:bCs/>
                <w:color w:val="auto"/>
              </w:rPr>
              <w:t>Regional/remote</w:t>
            </w:r>
          </w:p>
        </w:tc>
        <w:tc>
          <w:tcPr>
            <w:tcW w:w="412" w:type="pct"/>
            <w:tcBorders>
              <w:top w:val="single" w:sz="4" w:space="0" w:color="000000"/>
              <w:left w:val="single" w:sz="4" w:space="0" w:color="000000"/>
              <w:bottom w:val="single" w:sz="4" w:space="0" w:color="000000"/>
              <w:right w:val="single" w:sz="4" w:space="0" w:color="000000"/>
            </w:tcBorders>
            <w:vAlign w:val="center"/>
          </w:tcPr>
          <w:p w14:paraId="05939E69" w14:textId="256CD52D"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50.6</w:t>
            </w:r>
          </w:p>
        </w:tc>
        <w:tc>
          <w:tcPr>
            <w:tcW w:w="412" w:type="pct"/>
            <w:tcBorders>
              <w:top w:val="single" w:sz="4" w:space="0" w:color="000000"/>
              <w:left w:val="single" w:sz="4" w:space="0" w:color="000000"/>
              <w:bottom w:val="single" w:sz="4" w:space="0" w:color="000000"/>
              <w:right w:val="single" w:sz="4" w:space="0" w:color="000000"/>
            </w:tcBorders>
            <w:vAlign w:val="center"/>
          </w:tcPr>
          <w:p w14:paraId="0B30E090" w14:textId="5100F189"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52.8</w:t>
            </w:r>
          </w:p>
        </w:tc>
        <w:tc>
          <w:tcPr>
            <w:tcW w:w="412" w:type="pct"/>
            <w:tcBorders>
              <w:top w:val="single" w:sz="4" w:space="0" w:color="000000"/>
              <w:left w:val="single" w:sz="4" w:space="0" w:color="000000"/>
              <w:bottom w:val="single" w:sz="4" w:space="0" w:color="000000"/>
              <w:right w:val="single" w:sz="4" w:space="0" w:color="000000"/>
            </w:tcBorders>
            <w:vAlign w:val="center"/>
          </w:tcPr>
          <w:p w14:paraId="6D23B38D" w14:textId="2E1D19FE"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51.5</w:t>
            </w:r>
          </w:p>
        </w:tc>
        <w:tc>
          <w:tcPr>
            <w:tcW w:w="412" w:type="pct"/>
            <w:tcBorders>
              <w:top w:val="single" w:sz="4" w:space="0" w:color="000000"/>
              <w:left w:val="single" w:sz="4" w:space="0" w:color="000000"/>
              <w:bottom w:val="single" w:sz="4" w:space="0" w:color="000000"/>
              <w:right w:val="single" w:sz="4" w:space="0" w:color="000000"/>
            </w:tcBorders>
            <w:vAlign w:val="center"/>
          </w:tcPr>
          <w:p w14:paraId="0DAC0DC1" w14:textId="5612C55F"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40.6</w:t>
            </w:r>
          </w:p>
        </w:tc>
        <w:tc>
          <w:tcPr>
            <w:tcW w:w="412" w:type="pct"/>
            <w:tcBorders>
              <w:top w:val="single" w:sz="4" w:space="0" w:color="000000"/>
              <w:left w:val="single" w:sz="4" w:space="0" w:color="000000"/>
              <w:bottom w:val="single" w:sz="4" w:space="0" w:color="000000"/>
              <w:right w:val="single" w:sz="4" w:space="0" w:color="000000"/>
            </w:tcBorders>
            <w:vAlign w:val="center"/>
          </w:tcPr>
          <w:p w14:paraId="1C985D63" w14:textId="5AE43022"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42.7</w:t>
            </w:r>
          </w:p>
        </w:tc>
        <w:tc>
          <w:tcPr>
            <w:tcW w:w="412" w:type="pct"/>
            <w:tcBorders>
              <w:top w:val="single" w:sz="4" w:space="0" w:color="000000"/>
              <w:left w:val="single" w:sz="4" w:space="0" w:color="000000"/>
              <w:bottom w:val="single" w:sz="4" w:space="0" w:color="000000"/>
              <w:right w:val="single" w:sz="4" w:space="0" w:color="000000"/>
            </w:tcBorders>
            <w:vAlign w:val="center"/>
          </w:tcPr>
          <w:p w14:paraId="1C436241" w14:textId="1D58BAF8"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44.2</w:t>
            </w:r>
          </w:p>
        </w:tc>
        <w:tc>
          <w:tcPr>
            <w:tcW w:w="404" w:type="pct"/>
            <w:tcBorders>
              <w:top w:val="single" w:sz="4" w:space="0" w:color="000000"/>
              <w:left w:val="single" w:sz="4" w:space="0" w:color="000000"/>
              <w:bottom w:val="single" w:sz="4" w:space="0" w:color="000000"/>
              <w:right w:val="single" w:sz="4" w:space="0" w:color="000000"/>
            </w:tcBorders>
            <w:vAlign w:val="center"/>
          </w:tcPr>
          <w:p w14:paraId="601D0F6F" w14:textId="355688D6"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44.4</w:t>
            </w:r>
          </w:p>
        </w:tc>
        <w:tc>
          <w:tcPr>
            <w:tcW w:w="401" w:type="pct"/>
            <w:tcBorders>
              <w:top w:val="single" w:sz="4" w:space="0" w:color="000000"/>
              <w:left w:val="single" w:sz="4" w:space="0" w:color="000000"/>
              <w:bottom w:val="single" w:sz="4" w:space="0" w:color="000000"/>
              <w:right w:val="single" w:sz="4" w:space="0" w:color="000000"/>
            </w:tcBorders>
            <w:vAlign w:val="center"/>
          </w:tcPr>
          <w:p w14:paraId="55E5FB87" w14:textId="4F6D9DC7" w:rsidR="006C7824" w:rsidRPr="00E8656C" w:rsidRDefault="006C7824" w:rsidP="005E54CB">
            <w:pPr>
              <w:pStyle w:val="Tabletextupdate"/>
              <w:framePr w:wrap="auto"/>
              <w:jc w:val="center"/>
              <w:rPr>
                <w:rFonts w:ascii="Arial" w:hAnsi="Arial" w:cs="Arial"/>
                <w:color w:val="auto"/>
              </w:rPr>
            </w:pPr>
            <w:r w:rsidRPr="00517FD9">
              <w:rPr>
                <w:rFonts w:ascii="Arial" w:hAnsi="Arial" w:cs="Arial"/>
                <w:sz w:val="18"/>
              </w:rPr>
              <w:t>44.9</w:t>
            </w:r>
          </w:p>
        </w:tc>
      </w:tr>
      <w:tr w:rsidR="004D7A82" w:rsidRPr="00E8656C" w14:paraId="3F80590E" w14:textId="77777777" w:rsidTr="005E54CB">
        <w:trPr>
          <w:trHeight w:val="60"/>
        </w:trPr>
        <w:tc>
          <w:tcPr>
            <w:tcW w:w="744" w:type="pct"/>
            <w:tcBorders>
              <w:top w:val="single" w:sz="4" w:space="0" w:color="000000"/>
              <w:left w:val="single" w:sz="4" w:space="0" w:color="000000"/>
              <w:bottom w:val="single" w:sz="4" w:space="0" w:color="000000"/>
              <w:right w:val="single" w:sz="4" w:space="0" w:color="000000"/>
            </w:tcBorders>
          </w:tcPr>
          <w:p w14:paraId="5EA796CF" w14:textId="77777777" w:rsidR="005E3F94" w:rsidRPr="00E8656C" w:rsidRDefault="005E3F94" w:rsidP="00893F25">
            <w:pPr>
              <w:pStyle w:val="Tabletextupdate"/>
              <w:framePr w:wrap="auto"/>
              <w:rPr>
                <w:rFonts w:ascii="Arial" w:hAnsi="Arial" w:cs="Arial"/>
                <w:b/>
                <w:bCs/>
                <w:color w:val="auto"/>
              </w:rPr>
            </w:pPr>
          </w:p>
        </w:tc>
        <w:tc>
          <w:tcPr>
            <w:tcW w:w="978" w:type="pct"/>
            <w:tcBorders>
              <w:top w:val="single" w:sz="4" w:space="0" w:color="000000"/>
              <w:left w:val="single" w:sz="4" w:space="0" w:color="000000"/>
              <w:bottom w:val="single" w:sz="4" w:space="0" w:color="000000"/>
              <w:right w:val="single" w:sz="4" w:space="0" w:color="000000"/>
            </w:tcBorders>
            <w:tcMar>
              <w:top w:w="113" w:type="dxa"/>
              <w:left w:w="57" w:type="dxa"/>
              <w:bottom w:w="113" w:type="dxa"/>
              <w:right w:w="57" w:type="dxa"/>
            </w:tcMar>
          </w:tcPr>
          <w:p w14:paraId="5E516906" w14:textId="77777777" w:rsidR="005E3F94" w:rsidRPr="005E54CB" w:rsidRDefault="005E3F94" w:rsidP="00893F25">
            <w:pPr>
              <w:pStyle w:val="Tabletextupdate"/>
              <w:framePr w:wrap="auto"/>
              <w:rPr>
                <w:rFonts w:ascii="Arial" w:hAnsi="Arial" w:cs="Arial"/>
                <w:b/>
                <w:bCs/>
                <w:color w:val="auto"/>
                <w:lang w:val="en-US"/>
              </w:rPr>
            </w:pPr>
            <w:r w:rsidRPr="005E54CB">
              <w:rPr>
                <w:rFonts w:ascii="Arial" w:hAnsi="Arial" w:cs="Arial"/>
                <w:b/>
                <w:bCs/>
                <w:color w:val="auto"/>
              </w:rPr>
              <w:t>Total</w:t>
            </w:r>
          </w:p>
        </w:tc>
        <w:tc>
          <w:tcPr>
            <w:tcW w:w="412" w:type="pct"/>
            <w:tcBorders>
              <w:top w:val="single" w:sz="4" w:space="0" w:color="000000"/>
              <w:left w:val="single" w:sz="4" w:space="0" w:color="000000"/>
              <w:bottom w:val="single" w:sz="4" w:space="0" w:color="000000"/>
              <w:right w:val="single" w:sz="4" w:space="0" w:color="000000"/>
            </w:tcBorders>
            <w:vAlign w:val="center"/>
          </w:tcPr>
          <w:p w14:paraId="7437059C" w14:textId="77777777" w:rsidR="005E3F94" w:rsidRPr="00E8656C" w:rsidRDefault="005E3F94" w:rsidP="005E54CB">
            <w:pPr>
              <w:pStyle w:val="Tabletextupdate"/>
              <w:framePr w:wrap="auto"/>
              <w:jc w:val="center"/>
              <w:rPr>
                <w:rFonts w:ascii="Arial" w:hAnsi="Arial" w:cs="Arial"/>
                <w:b/>
                <w:bCs/>
                <w:color w:val="auto"/>
              </w:rPr>
            </w:pPr>
            <w:r w:rsidRPr="00E8656C">
              <w:rPr>
                <w:rFonts w:ascii="Arial" w:hAnsi="Arial" w:cs="Arial"/>
                <w:b/>
                <w:bCs/>
                <w:color w:val="auto"/>
              </w:rPr>
              <w:t>51.4</w:t>
            </w:r>
          </w:p>
        </w:tc>
        <w:tc>
          <w:tcPr>
            <w:tcW w:w="412" w:type="pct"/>
            <w:tcBorders>
              <w:top w:val="single" w:sz="4" w:space="0" w:color="000000"/>
              <w:left w:val="single" w:sz="4" w:space="0" w:color="000000"/>
              <w:bottom w:val="single" w:sz="4" w:space="0" w:color="000000"/>
              <w:right w:val="single" w:sz="4" w:space="0" w:color="000000"/>
            </w:tcBorders>
            <w:vAlign w:val="center"/>
          </w:tcPr>
          <w:p w14:paraId="7DDF2A3A" w14:textId="77777777" w:rsidR="005E3F94" w:rsidRPr="00E8656C" w:rsidRDefault="005E3F94" w:rsidP="005E54CB">
            <w:pPr>
              <w:pStyle w:val="Tabletextupdate"/>
              <w:framePr w:wrap="auto"/>
              <w:jc w:val="center"/>
              <w:rPr>
                <w:rFonts w:ascii="Arial" w:hAnsi="Arial" w:cs="Arial"/>
                <w:b/>
                <w:bCs/>
                <w:color w:val="auto"/>
              </w:rPr>
            </w:pPr>
            <w:r w:rsidRPr="00E8656C">
              <w:rPr>
                <w:rFonts w:ascii="Arial" w:hAnsi="Arial" w:cs="Arial"/>
                <w:b/>
                <w:bCs/>
                <w:color w:val="auto"/>
              </w:rPr>
              <w:t>52.8</w:t>
            </w:r>
          </w:p>
        </w:tc>
        <w:tc>
          <w:tcPr>
            <w:tcW w:w="412" w:type="pct"/>
            <w:tcBorders>
              <w:top w:val="single" w:sz="4" w:space="0" w:color="000000"/>
              <w:left w:val="single" w:sz="4" w:space="0" w:color="000000"/>
              <w:bottom w:val="single" w:sz="4" w:space="0" w:color="000000"/>
              <w:right w:val="single" w:sz="4" w:space="0" w:color="000000"/>
            </w:tcBorders>
            <w:vAlign w:val="center"/>
          </w:tcPr>
          <w:p w14:paraId="7563FD4F" w14:textId="77777777" w:rsidR="005E3F94" w:rsidRPr="00E8656C" w:rsidRDefault="005E3F94" w:rsidP="005E54CB">
            <w:pPr>
              <w:pStyle w:val="Tabletextupdate"/>
              <w:framePr w:wrap="auto"/>
              <w:jc w:val="center"/>
              <w:rPr>
                <w:rFonts w:ascii="Arial" w:hAnsi="Arial" w:cs="Arial"/>
                <w:b/>
                <w:bCs/>
                <w:color w:val="auto"/>
              </w:rPr>
            </w:pPr>
            <w:r w:rsidRPr="00E8656C">
              <w:rPr>
                <w:rFonts w:ascii="Arial" w:hAnsi="Arial" w:cs="Arial"/>
                <w:b/>
                <w:bCs/>
                <w:color w:val="auto"/>
              </w:rPr>
              <w:t>51.7</w:t>
            </w:r>
          </w:p>
        </w:tc>
        <w:tc>
          <w:tcPr>
            <w:tcW w:w="412" w:type="pct"/>
            <w:tcBorders>
              <w:top w:val="single" w:sz="4" w:space="0" w:color="000000"/>
              <w:left w:val="single" w:sz="4" w:space="0" w:color="000000"/>
              <w:bottom w:val="single" w:sz="4" w:space="0" w:color="000000"/>
              <w:right w:val="single" w:sz="4" w:space="0" w:color="000000"/>
            </w:tcBorders>
            <w:vAlign w:val="center"/>
          </w:tcPr>
          <w:p w14:paraId="17F9C4D9" w14:textId="77777777" w:rsidR="005E3F94" w:rsidRPr="00E8656C" w:rsidRDefault="005E3F94" w:rsidP="005E54CB">
            <w:pPr>
              <w:pStyle w:val="Tabletextupdate"/>
              <w:framePr w:wrap="auto"/>
              <w:jc w:val="center"/>
              <w:rPr>
                <w:rFonts w:ascii="Arial" w:hAnsi="Arial" w:cs="Arial"/>
                <w:b/>
                <w:bCs/>
                <w:color w:val="auto"/>
              </w:rPr>
            </w:pPr>
            <w:r w:rsidRPr="00E8656C">
              <w:rPr>
                <w:rFonts w:ascii="Arial" w:hAnsi="Arial" w:cs="Arial"/>
                <w:b/>
                <w:bCs/>
                <w:color w:val="auto"/>
              </w:rPr>
              <w:t>41.1</w:t>
            </w:r>
          </w:p>
        </w:tc>
        <w:tc>
          <w:tcPr>
            <w:tcW w:w="412" w:type="pct"/>
            <w:tcBorders>
              <w:top w:val="single" w:sz="4" w:space="0" w:color="000000"/>
              <w:left w:val="single" w:sz="4" w:space="0" w:color="000000"/>
              <w:bottom w:val="single" w:sz="4" w:space="0" w:color="000000"/>
              <w:right w:val="single" w:sz="4" w:space="0" w:color="000000"/>
            </w:tcBorders>
            <w:vAlign w:val="center"/>
          </w:tcPr>
          <w:p w14:paraId="64018A21" w14:textId="77777777" w:rsidR="005E3F94" w:rsidRPr="00E8656C" w:rsidRDefault="005E3F94" w:rsidP="005E54CB">
            <w:pPr>
              <w:pStyle w:val="Tabletextupdate"/>
              <w:framePr w:wrap="auto"/>
              <w:jc w:val="center"/>
              <w:rPr>
                <w:rFonts w:ascii="Arial" w:hAnsi="Arial" w:cs="Arial"/>
                <w:b/>
                <w:bCs/>
                <w:color w:val="auto"/>
              </w:rPr>
            </w:pPr>
            <w:r w:rsidRPr="00E8656C">
              <w:rPr>
                <w:rFonts w:ascii="Arial" w:hAnsi="Arial" w:cs="Arial"/>
                <w:b/>
                <w:bCs/>
                <w:color w:val="auto"/>
              </w:rPr>
              <w:t>42.2</w:t>
            </w:r>
          </w:p>
        </w:tc>
        <w:tc>
          <w:tcPr>
            <w:tcW w:w="412" w:type="pct"/>
            <w:tcBorders>
              <w:top w:val="single" w:sz="4" w:space="0" w:color="000000"/>
              <w:left w:val="single" w:sz="4" w:space="0" w:color="000000"/>
              <w:bottom w:val="single" w:sz="4" w:space="0" w:color="000000"/>
              <w:right w:val="single" w:sz="4" w:space="0" w:color="000000"/>
            </w:tcBorders>
            <w:vAlign w:val="center"/>
          </w:tcPr>
          <w:p w14:paraId="2A1CF0E7" w14:textId="77777777" w:rsidR="005E3F94" w:rsidRPr="00E8656C" w:rsidRDefault="005E3F94" w:rsidP="005E54CB">
            <w:pPr>
              <w:pStyle w:val="Tabletextupdate"/>
              <w:framePr w:wrap="auto"/>
              <w:jc w:val="center"/>
              <w:rPr>
                <w:rFonts w:ascii="Arial" w:hAnsi="Arial" w:cs="Arial"/>
                <w:b/>
                <w:bCs/>
                <w:color w:val="auto"/>
              </w:rPr>
            </w:pPr>
            <w:r w:rsidRPr="00E8656C">
              <w:rPr>
                <w:rFonts w:ascii="Arial" w:hAnsi="Arial" w:cs="Arial"/>
                <w:b/>
                <w:bCs/>
                <w:color w:val="auto"/>
              </w:rPr>
              <w:t>46.5</w:t>
            </w:r>
          </w:p>
        </w:tc>
        <w:tc>
          <w:tcPr>
            <w:tcW w:w="404" w:type="pct"/>
            <w:tcBorders>
              <w:top w:val="single" w:sz="4" w:space="0" w:color="000000"/>
              <w:left w:val="single" w:sz="4" w:space="0" w:color="000000"/>
              <w:bottom w:val="single" w:sz="4" w:space="0" w:color="000000"/>
              <w:right w:val="single" w:sz="4" w:space="0" w:color="000000"/>
            </w:tcBorders>
            <w:vAlign w:val="center"/>
          </w:tcPr>
          <w:p w14:paraId="33528A63" w14:textId="77777777" w:rsidR="005E3F94" w:rsidRPr="00E8656C" w:rsidRDefault="005E3F94" w:rsidP="005E54CB">
            <w:pPr>
              <w:pStyle w:val="Tabletextupdate"/>
              <w:framePr w:wrap="auto"/>
              <w:jc w:val="center"/>
              <w:rPr>
                <w:rFonts w:ascii="Arial" w:hAnsi="Arial" w:cs="Arial"/>
                <w:b/>
                <w:bCs/>
                <w:color w:val="auto"/>
              </w:rPr>
            </w:pPr>
            <w:r w:rsidRPr="00E8656C">
              <w:rPr>
                <w:rFonts w:ascii="Arial" w:hAnsi="Arial" w:cs="Arial"/>
                <w:b/>
                <w:bCs/>
                <w:color w:val="auto"/>
              </w:rPr>
              <w:t>46.3</w:t>
            </w:r>
          </w:p>
        </w:tc>
        <w:tc>
          <w:tcPr>
            <w:tcW w:w="401" w:type="pct"/>
            <w:tcBorders>
              <w:top w:val="single" w:sz="4" w:space="0" w:color="000000"/>
              <w:left w:val="single" w:sz="4" w:space="0" w:color="000000"/>
              <w:bottom w:val="single" w:sz="4" w:space="0" w:color="000000"/>
              <w:right w:val="single" w:sz="4" w:space="0" w:color="000000"/>
            </w:tcBorders>
            <w:vAlign w:val="center"/>
          </w:tcPr>
          <w:p w14:paraId="0093C1D9" w14:textId="77777777" w:rsidR="005E3F94" w:rsidRPr="00E8656C" w:rsidRDefault="005E3F94" w:rsidP="005E54CB">
            <w:pPr>
              <w:pStyle w:val="Tabletextupdate"/>
              <w:framePr w:wrap="auto"/>
              <w:jc w:val="center"/>
              <w:rPr>
                <w:rFonts w:ascii="Arial" w:hAnsi="Arial" w:cs="Arial"/>
                <w:color w:val="auto"/>
              </w:rPr>
            </w:pPr>
            <w:r w:rsidRPr="00E8656C">
              <w:rPr>
                <w:rFonts w:ascii="Arial" w:hAnsi="Arial" w:cs="Arial"/>
                <w:color w:val="auto"/>
              </w:rPr>
              <w:t>46.6</w:t>
            </w:r>
          </w:p>
        </w:tc>
      </w:tr>
    </w:tbl>
    <w:p w14:paraId="473B46DE" w14:textId="77777777" w:rsidR="001223BE" w:rsidRPr="00E8656C" w:rsidRDefault="001223BE" w:rsidP="00021A08">
      <w:pPr>
        <w:pStyle w:val="Noteupdate"/>
        <w:spacing w:before="240"/>
        <w:rPr>
          <w:color w:val="auto"/>
          <w:sz w:val="18"/>
          <w:szCs w:val="18"/>
        </w:rPr>
      </w:pPr>
      <w:r w:rsidRPr="00E8656C">
        <w:rPr>
          <w:color w:val="auto"/>
          <w:sz w:val="18"/>
          <w:szCs w:val="18"/>
        </w:rPr>
        <w:t>* Internal mode of attendance is where (</w:t>
      </w:r>
      <w:proofErr w:type="spellStart"/>
      <w:r w:rsidRPr="00E8656C">
        <w:rPr>
          <w:color w:val="auto"/>
          <w:sz w:val="18"/>
          <w:szCs w:val="18"/>
        </w:rPr>
        <w:t>i</w:t>
      </w:r>
      <w:proofErr w:type="spellEnd"/>
      <w:r w:rsidRPr="00E8656C">
        <w:rPr>
          <w:color w:val="auto"/>
          <w:sz w:val="18"/>
          <w:szCs w:val="18"/>
        </w:rPr>
        <w:t>) the study is undertaken through attendance at the higher education provider on a regular basis, or (ii) for higher degree unit enrolments, where regular attendance is not required but the student attends the higher education provider on an agreed schedule for the purposes of supervision and/or instruction. External mode of attendance is where lesson materials, assignments, etc. are delivered to the student, and any associated attendance at the institution is of an incidental, irregular, special or voluntary nature. Multi-mode of attendance is where study is undertaken partially on an internal mode of attendance and partially on an external mode of attendance.</w:t>
      </w:r>
    </w:p>
    <w:p w14:paraId="481A9ED8" w14:textId="77777777" w:rsidR="001223BE" w:rsidRPr="00E8656C" w:rsidRDefault="001223BE" w:rsidP="001223BE">
      <w:pPr>
        <w:pStyle w:val="Noteupdate"/>
        <w:rPr>
          <w:color w:val="auto"/>
          <w:sz w:val="18"/>
          <w:szCs w:val="18"/>
        </w:rPr>
      </w:pPr>
      <w:r w:rsidRPr="00E8656C">
        <w:rPr>
          <w:color w:val="auto"/>
          <w:sz w:val="18"/>
          <w:szCs w:val="18"/>
        </w:rPr>
        <w:t>** First Nations, socio-economic, and locality data reflect values for domestic students only, excluding international students. The remaining demographic and equity groups include all students, both domestic and international.</w:t>
      </w:r>
    </w:p>
    <w:p w14:paraId="404CA966" w14:textId="77777777" w:rsidR="001223BE" w:rsidRPr="00E8656C" w:rsidRDefault="001223BE" w:rsidP="001223BE">
      <w:pPr>
        <w:pStyle w:val="Noteupdate"/>
        <w:rPr>
          <w:color w:val="auto"/>
          <w:sz w:val="18"/>
          <w:szCs w:val="18"/>
        </w:rPr>
      </w:pPr>
      <w:r w:rsidRPr="00E8656C">
        <w:rPr>
          <w:color w:val="auto"/>
          <w:sz w:val="18"/>
          <w:szCs w:val="18"/>
        </w:rPr>
        <w:t xml:space="preserve">*** Home language other than English refers to graduates who arrived in Australia less than 10 years prior to the year in which the data was </w:t>
      </w:r>
      <w:proofErr w:type="gramStart"/>
      <w:r w:rsidRPr="00E8656C">
        <w:rPr>
          <w:color w:val="auto"/>
          <w:sz w:val="18"/>
          <w:szCs w:val="18"/>
        </w:rPr>
        <w:t>collected, and</w:t>
      </w:r>
      <w:proofErr w:type="gramEnd"/>
      <w:r w:rsidRPr="00E8656C">
        <w:rPr>
          <w:color w:val="auto"/>
          <w:sz w:val="18"/>
          <w:szCs w:val="18"/>
        </w:rPr>
        <w:t xml:space="preserve"> comes from a home where a language other than English is spoken. This information is reported by institutions through the TCSI system. Data presented here includes both domestic and international student responses.</w:t>
      </w:r>
    </w:p>
    <w:p w14:paraId="580B7B3B" w14:textId="025E0E47" w:rsidR="001223BE" w:rsidRPr="00E8656C" w:rsidRDefault="001223BE" w:rsidP="001223BE">
      <w:pPr>
        <w:pStyle w:val="Noteupdate"/>
        <w:rPr>
          <w:color w:val="auto"/>
          <w:sz w:val="18"/>
          <w:szCs w:val="18"/>
        </w:rPr>
      </w:pPr>
      <w:r w:rsidRPr="00E8656C">
        <w:rPr>
          <w:color w:val="auto"/>
          <w:sz w:val="18"/>
          <w:szCs w:val="18"/>
        </w:rPr>
        <w:t xml:space="preserve">**** First in family refers to students commencing a </w:t>
      </w:r>
      <w:proofErr w:type="gramStart"/>
      <w:r w:rsidRPr="00E8656C">
        <w:rPr>
          <w:color w:val="auto"/>
          <w:sz w:val="18"/>
          <w:szCs w:val="18"/>
        </w:rPr>
        <w:t>bachelor</w:t>
      </w:r>
      <w:proofErr w:type="gramEnd"/>
      <w:r w:rsidRPr="00E8656C">
        <w:rPr>
          <w:color w:val="auto"/>
          <w:sz w:val="18"/>
          <w:szCs w:val="18"/>
        </w:rPr>
        <w:t xml:space="preserve"> degree level qualification when their parent(s) or guardian(s) have not. Based on the highest level of educational attainment of a student’s parent(s) or guardian(s) as identified by the student. This information is reported by institutions through the Tertiary Collection of Student Information (TCSI) system.</w:t>
      </w:r>
      <w:r w:rsidR="006F7F90" w:rsidRPr="00E8656C">
        <w:rPr>
          <w:color w:val="auto"/>
          <w:sz w:val="18"/>
          <w:szCs w:val="18"/>
        </w:rPr>
        <w:t xml:space="preserve"> </w:t>
      </w:r>
    </w:p>
    <w:p w14:paraId="4B8363B8" w14:textId="6A64A278" w:rsidR="001223BE" w:rsidRPr="00E8656C" w:rsidRDefault="00FD57FA" w:rsidP="001223BE">
      <w:pPr>
        <w:pStyle w:val="Noteupdate"/>
        <w:rPr>
          <w:color w:val="auto"/>
          <w:sz w:val="18"/>
          <w:szCs w:val="18"/>
        </w:rPr>
      </w:pPr>
      <w:r w:rsidRPr="00E8656C">
        <w:rPr>
          <w:color w:val="auto"/>
          <w:sz w:val="18"/>
          <w:szCs w:val="18"/>
        </w:rPr>
        <w:lastRenderedPageBreak/>
        <w:t>**</w:t>
      </w:r>
      <w:r w:rsidR="001223BE" w:rsidRPr="00E8656C">
        <w:rPr>
          <w:color w:val="auto"/>
          <w:sz w:val="18"/>
          <w:szCs w:val="18"/>
        </w:rPr>
        <w:t>† Socio-economic status and Location are derived from students’ permanent home residence against the 2011 SEIFA Index of Education and Occupation by postal area.</w:t>
      </w:r>
    </w:p>
    <w:p w14:paraId="0A956928" w14:textId="77777777" w:rsidR="001223BE" w:rsidRPr="00E8656C" w:rsidRDefault="001223BE" w:rsidP="001223BE">
      <w:pPr>
        <w:pStyle w:val="Noteupdate"/>
        <w:rPr>
          <w:color w:val="auto"/>
          <w:sz w:val="18"/>
          <w:szCs w:val="18"/>
        </w:rPr>
      </w:pPr>
      <w:r w:rsidRPr="00E8656C">
        <w:rPr>
          <w:color w:val="auto"/>
          <w:sz w:val="18"/>
          <w:szCs w:val="18"/>
        </w:rPr>
        <w:t>†† Some sub-groups may not add to 100 per cent due to rounding.</w:t>
      </w:r>
    </w:p>
    <w:p w14:paraId="5F6CA574" w14:textId="77777777" w:rsidR="00D36643" w:rsidRPr="00E8656C" w:rsidRDefault="00D36643" w:rsidP="00D36643">
      <w:pPr>
        <w:pStyle w:val="Noteupdate"/>
        <w:rPr>
          <w:color w:val="auto"/>
          <w:sz w:val="18"/>
          <w:szCs w:val="18"/>
        </w:rPr>
      </w:pPr>
      <w:r w:rsidRPr="00E8656C">
        <w:rPr>
          <w:color w:val="auto"/>
          <w:sz w:val="18"/>
          <w:szCs w:val="18"/>
        </w:rPr>
        <w:t>Source: BELONGSAT_UG_ALL_17-YY_SG</w:t>
      </w:r>
    </w:p>
    <w:p w14:paraId="0D7449A5" w14:textId="53DB5C68" w:rsidR="0099468B" w:rsidRPr="00E8656C" w:rsidRDefault="0099468B" w:rsidP="00695177">
      <w:pPr>
        <w:pStyle w:val="Caption"/>
      </w:pPr>
    </w:p>
    <w:p w14:paraId="71A0F69E" w14:textId="60BDAF4C" w:rsidR="008527D9" w:rsidRPr="00E8656C" w:rsidRDefault="008527D9" w:rsidP="00695177">
      <w:pPr>
        <w:pStyle w:val="Caption"/>
      </w:pPr>
      <w:bookmarkStart w:id="143" w:name="_Toc201065424"/>
      <w:r w:rsidRPr="00E8656C">
        <w:t xml:space="preserve">Table </w:t>
      </w:r>
      <w:r w:rsidRPr="00E8656C">
        <w:fldChar w:fldCharType="begin"/>
      </w:r>
      <w:r w:rsidRPr="00E8656C">
        <w:instrText xml:space="preserve"> SEQ Table \* ARABIC </w:instrText>
      </w:r>
      <w:r w:rsidRPr="00E8656C">
        <w:fldChar w:fldCharType="separate"/>
      </w:r>
      <w:r w:rsidRPr="00E8656C">
        <w:rPr>
          <w:noProof/>
        </w:rPr>
        <w:t>7</w:t>
      </w:r>
      <w:r w:rsidRPr="00E8656C">
        <w:rPr>
          <w:noProof/>
        </w:rPr>
        <w:fldChar w:fldCharType="end"/>
      </w:r>
      <w:r w:rsidR="00021A08" w:rsidRPr="00E8656C">
        <w:tab/>
      </w:r>
      <w:r w:rsidRPr="00E8656C">
        <w:t>Postgraduate coursework sense of belonging to institution, 2017–24 (% positive rating)</w:t>
      </w:r>
      <w:bookmarkEnd w:id="143"/>
    </w:p>
    <w:tbl>
      <w:tblPr>
        <w:tblpPr w:leftFromText="180" w:rightFromText="180" w:vertAnchor="text" w:tblpY="1"/>
        <w:tblOverlap w:val="never"/>
        <w:tblW w:w="5000" w:type="pct"/>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CellMar>
          <w:top w:w="57" w:type="dxa"/>
          <w:left w:w="57" w:type="dxa"/>
          <w:bottom w:w="57" w:type="dxa"/>
          <w:right w:w="57" w:type="dxa"/>
        </w:tblCellMar>
        <w:tblLook w:val="0000" w:firstRow="0" w:lastRow="0" w:firstColumn="0" w:lastColumn="0" w:noHBand="0" w:noVBand="0"/>
      </w:tblPr>
      <w:tblGrid>
        <w:gridCol w:w="1840"/>
        <w:gridCol w:w="1764"/>
        <w:gridCol w:w="862"/>
        <w:gridCol w:w="862"/>
        <w:gridCol w:w="862"/>
        <w:gridCol w:w="862"/>
        <w:gridCol w:w="862"/>
        <w:gridCol w:w="862"/>
        <w:gridCol w:w="845"/>
        <w:gridCol w:w="839"/>
      </w:tblGrid>
      <w:tr w:rsidR="00021A08" w:rsidRPr="00E8656C" w14:paraId="7C94029A" w14:textId="77777777" w:rsidTr="00E8656C">
        <w:trPr>
          <w:trHeight w:val="558"/>
          <w:tblHeader/>
        </w:trPr>
        <w:tc>
          <w:tcPr>
            <w:tcW w:w="880" w:type="pct"/>
            <w:vAlign w:val="center"/>
          </w:tcPr>
          <w:p w14:paraId="0A6385BB" w14:textId="77777777" w:rsidR="00021A08" w:rsidRPr="00E8656C" w:rsidRDefault="00021A08" w:rsidP="00AC1207">
            <w:pPr>
              <w:pStyle w:val="Tabletextupdate"/>
              <w:framePr w:wrap="auto"/>
              <w:jc w:val="center"/>
              <w:rPr>
                <w:rFonts w:ascii="Arial" w:hAnsi="Arial" w:cs="Arial"/>
                <w:b/>
                <w:bCs/>
                <w:color w:val="auto"/>
              </w:rPr>
            </w:pPr>
            <w:bookmarkStart w:id="144" w:name="Title_7"/>
            <w:bookmarkEnd w:id="144"/>
          </w:p>
        </w:tc>
        <w:tc>
          <w:tcPr>
            <w:tcW w:w="843" w:type="pct"/>
            <w:vAlign w:val="center"/>
          </w:tcPr>
          <w:p w14:paraId="02D15D04" w14:textId="115BD0BC" w:rsidR="00021A08" w:rsidRPr="00E8656C" w:rsidRDefault="00021A08" w:rsidP="00AC1207">
            <w:pPr>
              <w:pStyle w:val="Tabletextupdate"/>
              <w:framePr w:wrap="auto"/>
              <w:jc w:val="center"/>
              <w:rPr>
                <w:rFonts w:ascii="Arial" w:hAnsi="Arial" w:cs="Arial"/>
                <w:b/>
                <w:bCs/>
                <w:color w:val="auto"/>
              </w:rPr>
            </w:pPr>
          </w:p>
        </w:tc>
        <w:tc>
          <w:tcPr>
            <w:tcW w:w="412" w:type="pct"/>
            <w:vAlign w:val="center"/>
          </w:tcPr>
          <w:p w14:paraId="34EA0C44" w14:textId="77777777" w:rsidR="00021A08" w:rsidRPr="00E8656C" w:rsidRDefault="00021A08" w:rsidP="00AC1207">
            <w:pPr>
              <w:pStyle w:val="Tabletextupdate"/>
              <w:framePr w:wrap="auto"/>
              <w:jc w:val="center"/>
              <w:rPr>
                <w:rFonts w:ascii="Arial" w:hAnsi="Arial" w:cs="Arial"/>
                <w:color w:val="auto"/>
              </w:rPr>
            </w:pPr>
            <w:r w:rsidRPr="00E8656C">
              <w:rPr>
                <w:rFonts w:ascii="Arial" w:hAnsi="Arial" w:cs="Arial"/>
                <w:b/>
                <w:bCs/>
                <w:color w:val="auto"/>
              </w:rPr>
              <w:t>2017</w:t>
            </w:r>
          </w:p>
        </w:tc>
        <w:tc>
          <w:tcPr>
            <w:tcW w:w="412" w:type="pct"/>
            <w:vAlign w:val="center"/>
          </w:tcPr>
          <w:p w14:paraId="11E54DD2" w14:textId="77777777" w:rsidR="00021A08" w:rsidRPr="00E8656C" w:rsidRDefault="00021A08" w:rsidP="00AC1207">
            <w:pPr>
              <w:pStyle w:val="Tabletextupdate"/>
              <w:framePr w:wrap="auto"/>
              <w:jc w:val="center"/>
              <w:rPr>
                <w:rFonts w:ascii="Arial" w:hAnsi="Arial" w:cs="Arial"/>
                <w:b/>
                <w:bCs/>
                <w:color w:val="auto"/>
              </w:rPr>
            </w:pPr>
            <w:r w:rsidRPr="00E8656C">
              <w:rPr>
                <w:rFonts w:ascii="Arial" w:hAnsi="Arial" w:cs="Arial"/>
                <w:b/>
                <w:bCs/>
                <w:color w:val="auto"/>
              </w:rPr>
              <w:t>2018</w:t>
            </w:r>
          </w:p>
        </w:tc>
        <w:tc>
          <w:tcPr>
            <w:tcW w:w="412" w:type="pct"/>
            <w:vAlign w:val="center"/>
          </w:tcPr>
          <w:p w14:paraId="24E735DA" w14:textId="77777777" w:rsidR="00021A08" w:rsidRPr="00E8656C" w:rsidRDefault="00021A08" w:rsidP="00AC1207">
            <w:pPr>
              <w:pStyle w:val="Tabletextupdate"/>
              <w:framePr w:wrap="auto"/>
              <w:jc w:val="center"/>
              <w:rPr>
                <w:rFonts w:ascii="Arial" w:hAnsi="Arial" w:cs="Arial"/>
                <w:b/>
                <w:bCs/>
                <w:color w:val="auto"/>
              </w:rPr>
            </w:pPr>
            <w:r w:rsidRPr="00E8656C">
              <w:rPr>
                <w:rFonts w:ascii="Arial" w:hAnsi="Arial" w:cs="Arial"/>
                <w:b/>
                <w:bCs/>
                <w:color w:val="auto"/>
              </w:rPr>
              <w:t>2019</w:t>
            </w:r>
          </w:p>
        </w:tc>
        <w:tc>
          <w:tcPr>
            <w:tcW w:w="412" w:type="pct"/>
            <w:vAlign w:val="center"/>
          </w:tcPr>
          <w:p w14:paraId="5509A763" w14:textId="77777777" w:rsidR="00021A08" w:rsidRPr="00E8656C" w:rsidRDefault="00021A08" w:rsidP="00AC1207">
            <w:pPr>
              <w:pStyle w:val="Tabletextupdate"/>
              <w:framePr w:wrap="auto"/>
              <w:jc w:val="center"/>
              <w:rPr>
                <w:rFonts w:ascii="Arial" w:hAnsi="Arial" w:cs="Arial"/>
                <w:b/>
                <w:bCs/>
                <w:color w:val="auto"/>
              </w:rPr>
            </w:pPr>
            <w:r w:rsidRPr="00E8656C">
              <w:rPr>
                <w:rFonts w:ascii="Arial" w:hAnsi="Arial" w:cs="Arial"/>
                <w:b/>
                <w:bCs/>
                <w:color w:val="auto"/>
              </w:rPr>
              <w:t>2020</w:t>
            </w:r>
          </w:p>
        </w:tc>
        <w:tc>
          <w:tcPr>
            <w:tcW w:w="412" w:type="pct"/>
            <w:vAlign w:val="center"/>
          </w:tcPr>
          <w:p w14:paraId="6E676DD5" w14:textId="77777777" w:rsidR="00021A08" w:rsidRPr="00E8656C" w:rsidRDefault="00021A08" w:rsidP="00AC1207">
            <w:pPr>
              <w:pStyle w:val="Tabletextupdate"/>
              <w:framePr w:wrap="auto"/>
              <w:jc w:val="center"/>
              <w:rPr>
                <w:rFonts w:ascii="Arial" w:hAnsi="Arial" w:cs="Arial"/>
                <w:b/>
                <w:bCs/>
                <w:color w:val="auto"/>
              </w:rPr>
            </w:pPr>
            <w:r w:rsidRPr="00E8656C">
              <w:rPr>
                <w:rFonts w:ascii="Arial" w:hAnsi="Arial" w:cs="Arial"/>
                <w:b/>
                <w:bCs/>
                <w:color w:val="auto"/>
              </w:rPr>
              <w:t>2021</w:t>
            </w:r>
          </w:p>
        </w:tc>
        <w:tc>
          <w:tcPr>
            <w:tcW w:w="412" w:type="pct"/>
            <w:vAlign w:val="center"/>
          </w:tcPr>
          <w:p w14:paraId="10ED81AA" w14:textId="77777777" w:rsidR="00021A08" w:rsidRPr="00E8656C" w:rsidRDefault="00021A08" w:rsidP="00AC1207">
            <w:pPr>
              <w:pStyle w:val="Tabletextupdate"/>
              <w:framePr w:wrap="auto"/>
              <w:jc w:val="center"/>
              <w:rPr>
                <w:rFonts w:ascii="Arial" w:hAnsi="Arial" w:cs="Arial"/>
                <w:b/>
                <w:bCs/>
                <w:color w:val="auto"/>
              </w:rPr>
            </w:pPr>
            <w:r w:rsidRPr="00E8656C">
              <w:rPr>
                <w:rFonts w:ascii="Arial" w:hAnsi="Arial" w:cs="Arial"/>
                <w:b/>
                <w:bCs/>
                <w:color w:val="auto"/>
              </w:rPr>
              <w:t>2022</w:t>
            </w:r>
          </w:p>
        </w:tc>
        <w:tc>
          <w:tcPr>
            <w:tcW w:w="404" w:type="pct"/>
            <w:vAlign w:val="center"/>
          </w:tcPr>
          <w:p w14:paraId="0293FED9" w14:textId="77777777" w:rsidR="00021A08" w:rsidRPr="00E8656C" w:rsidRDefault="00021A08" w:rsidP="00AC1207">
            <w:pPr>
              <w:pStyle w:val="Tabletextupdate"/>
              <w:framePr w:wrap="auto"/>
              <w:jc w:val="center"/>
              <w:rPr>
                <w:rFonts w:ascii="Arial" w:hAnsi="Arial" w:cs="Arial"/>
                <w:b/>
                <w:bCs/>
                <w:color w:val="auto"/>
              </w:rPr>
            </w:pPr>
            <w:r w:rsidRPr="00E8656C">
              <w:rPr>
                <w:rFonts w:ascii="Arial" w:hAnsi="Arial" w:cs="Arial"/>
                <w:b/>
                <w:bCs/>
                <w:color w:val="auto"/>
              </w:rPr>
              <w:t>2023</w:t>
            </w:r>
          </w:p>
        </w:tc>
        <w:tc>
          <w:tcPr>
            <w:tcW w:w="401" w:type="pct"/>
            <w:vAlign w:val="center"/>
          </w:tcPr>
          <w:p w14:paraId="02A48521" w14:textId="77777777" w:rsidR="00021A08" w:rsidRPr="00E8656C" w:rsidRDefault="00021A08" w:rsidP="00AC1207">
            <w:pPr>
              <w:pStyle w:val="Tabletextupdate"/>
              <w:framePr w:wrap="auto"/>
              <w:jc w:val="center"/>
              <w:rPr>
                <w:rFonts w:ascii="Arial" w:hAnsi="Arial" w:cs="Arial"/>
                <w:b/>
                <w:bCs/>
                <w:color w:val="auto"/>
              </w:rPr>
            </w:pPr>
            <w:r w:rsidRPr="00E8656C">
              <w:rPr>
                <w:rFonts w:ascii="Arial" w:hAnsi="Arial" w:cs="Arial"/>
                <w:b/>
                <w:bCs/>
                <w:color w:val="auto"/>
              </w:rPr>
              <w:t>2024</w:t>
            </w:r>
          </w:p>
        </w:tc>
      </w:tr>
      <w:tr w:rsidR="004D7A82" w:rsidRPr="00E8656C" w14:paraId="759BA1A5" w14:textId="77777777" w:rsidTr="00E8656C">
        <w:trPr>
          <w:trHeight w:val="60"/>
        </w:trPr>
        <w:tc>
          <w:tcPr>
            <w:tcW w:w="880" w:type="pct"/>
          </w:tcPr>
          <w:p w14:paraId="5534C6F3"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Stage of studies</w:t>
            </w:r>
          </w:p>
        </w:tc>
        <w:tc>
          <w:tcPr>
            <w:tcW w:w="843" w:type="pct"/>
            <w:tcMar>
              <w:top w:w="113" w:type="dxa"/>
              <w:left w:w="57" w:type="dxa"/>
              <w:bottom w:w="113" w:type="dxa"/>
              <w:right w:w="57" w:type="dxa"/>
            </w:tcMar>
          </w:tcPr>
          <w:p w14:paraId="64C137F5"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Commencing</w:t>
            </w:r>
          </w:p>
        </w:tc>
        <w:tc>
          <w:tcPr>
            <w:tcW w:w="412" w:type="pct"/>
            <w:vAlign w:val="center"/>
          </w:tcPr>
          <w:p w14:paraId="638CB07B" w14:textId="080D77DE"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47.4</w:t>
            </w:r>
          </w:p>
        </w:tc>
        <w:tc>
          <w:tcPr>
            <w:tcW w:w="412" w:type="pct"/>
            <w:vAlign w:val="center"/>
          </w:tcPr>
          <w:p w14:paraId="275B4FE7" w14:textId="57AC3F32"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50.0</w:t>
            </w:r>
          </w:p>
        </w:tc>
        <w:tc>
          <w:tcPr>
            <w:tcW w:w="412" w:type="pct"/>
            <w:vAlign w:val="center"/>
          </w:tcPr>
          <w:p w14:paraId="75151600" w14:textId="7A2A110C"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50.4</w:t>
            </w:r>
          </w:p>
        </w:tc>
        <w:tc>
          <w:tcPr>
            <w:tcW w:w="412" w:type="pct"/>
            <w:vAlign w:val="center"/>
          </w:tcPr>
          <w:p w14:paraId="44F9E9F9" w14:textId="48CC6D2A" w:rsidR="000331EB" w:rsidRPr="00E8656C" w:rsidRDefault="000331EB" w:rsidP="00AC1207">
            <w:pPr>
              <w:pStyle w:val="Tabletextupdate"/>
              <w:framePr w:wrap="auto"/>
              <w:jc w:val="center"/>
              <w:rPr>
                <w:rFonts w:ascii="Arial" w:hAnsi="Arial" w:cs="Arial"/>
                <w:color w:val="auto"/>
              </w:rPr>
            </w:pPr>
            <w:r w:rsidRPr="00E8656C">
              <w:rPr>
                <w:rFonts w:ascii="Arial" w:hAnsi="Arial" w:cs="Arial"/>
                <w:color w:val="auto"/>
              </w:rPr>
              <w:t>41.</w:t>
            </w:r>
            <w:r w:rsidR="00BE2EA8" w:rsidRPr="00E8656C">
              <w:rPr>
                <w:rFonts w:ascii="Arial" w:hAnsi="Arial" w:cs="Arial"/>
                <w:color w:val="auto"/>
              </w:rPr>
              <w:t>4</w:t>
            </w:r>
          </w:p>
        </w:tc>
        <w:tc>
          <w:tcPr>
            <w:tcW w:w="412" w:type="pct"/>
            <w:vAlign w:val="center"/>
          </w:tcPr>
          <w:p w14:paraId="4291C58E" w14:textId="31B128EB"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37.2</w:t>
            </w:r>
          </w:p>
        </w:tc>
        <w:tc>
          <w:tcPr>
            <w:tcW w:w="412" w:type="pct"/>
            <w:vAlign w:val="center"/>
          </w:tcPr>
          <w:p w14:paraId="6D54B917" w14:textId="41C8FFC9"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45.9</w:t>
            </w:r>
          </w:p>
        </w:tc>
        <w:tc>
          <w:tcPr>
            <w:tcW w:w="404" w:type="pct"/>
            <w:vAlign w:val="center"/>
          </w:tcPr>
          <w:p w14:paraId="664DA5C2" w14:textId="25992503"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50.5</w:t>
            </w:r>
          </w:p>
        </w:tc>
        <w:tc>
          <w:tcPr>
            <w:tcW w:w="401" w:type="pct"/>
            <w:vAlign w:val="center"/>
          </w:tcPr>
          <w:p w14:paraId="4BDCEDCD" w14:textId="14D7136F"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50.6</w:t>
            </w:r>
          </w:p>
        </w:tc>
      </w:tr>
      <w:tr w:rsidR="004D7A82" w:rsidRPr="00E8656C" w14:paraId="76DBAB0E" w14:textId="77777777" w:rsidTr="00E8656C">
        <w:trPr>
          <w:trHeight w:val="60"/>
        </w:trPr>
        <w:tc>
          <w:tcPr>
            <w:tcW w:w="880" w:type="pct"/>
          </w:tcPr>
          <w:p w14:paraId="6E951E6A" w14:textId="6FB26EC0" w:rsidR="000331EB" w:rsidRPr="00E8656C" w:rsidRDefault="00021A08" w:rsidP="005E74F1">
            <w:pPr>
              <w:pStyle w:val="Tabletextupdate"/>
              <w:framePr w:wrap="auto"/>
              <w:rPr>
                <w:rFonts w:ascii="Arial" w:hAnsi="Arial" w:cs="Arial"/>
                <w:b/>
                <w:bCs/>
                <w:color w:val="auto"/>
              </w:rPr>
            </w:pPr>
            <w:r w:rsidRPr="00E8656C">
              <w:rPr>
                <w:rFonts w:ascii="Arial" w:hAnsi="Arial" w:cs="Arial"/>
                <w:b/>
                <w:bCs/>
                <w:color w:val="auto"/>
              </w:rPr>
              <w:t>Stage of studies</w:t>
            </w:r>
          </w:p>
        </w:tc>
        <w:tc>
          <w:tcPr>
            <w:tcW w:w="843" w:type="pct"/>
            <w:tcMar>
              <w:top w:w="113" w:type="dxa"/>
              <w:left w:w="57" w:type="dxa"/>
              <w:bottom w:w="113" w:type="dxa"/>
              <w:right w:w="57" w:type="dxa"/>
            </w:tcMar>
          </w:tcPr>
          <w:p w14:paraId="69BCC2DD"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Later years</w:t>
            </w:r>
          </w:p>
        </w:tc>
        <w:tc>
          <w:tcPr>
            <w:tcW w:w="412" w:type="pct"/>
            <w:vAlign w:val="center"/>
          </w:tcPr>
          <w:p w14:paraId="098C89F4" w14:textId="24E5B8A9" w:rsidR="000331EB" w:rsidRPr="00E8656C" w:rsidRDefault="000331EB" w:rsidP="00AC1207">
            <w:pPr>
              <w:pStyle w:val="Tabletextupdate"/>
              <w:framePr w:wrap="auto"/>
              <w:jc w:val="center"/>
              <w:rPr>
                <w:rFonts w:ascii="Arial" w:hAnsi="Arial" w:cs="Arial"/>
                <w:color w:val="auto"/>
              </w:rPr>
            </w:pPr>
            <w:r w:rsidRPr="00E8656C">
              <w:rPr>
                <w:rFonts w:ascii="Arial" w:hAnsi="Arial" w:cs="Arial"/>
                <w:color w:val="auto"/>
              </w:rPr>
              <w:t>49.</w:t>
            </w:r>
            <w:r w:rsidR="00BE2EA8" w:rsidRPr="00E8656C">
              <w:rPr>
                <w:rFonts w:ascii="Arial" w:hAnsi="Arial" w:cs="Arial"/>
                <w:color w:val="auto"/>
              </w:rPr>
              <w:t>3</w:t>
            </w:r>
          </w:p>
        </w:tc>
        <w:tc>
          <w:tcPr>
            <w:tcW w:w="412" w:type="pct"/>
            <w:vAlign w:val="center"/>
          </w:tcPr>
          <w:p w14:paraId="6F951E2B" w14:textId="78F201D5"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52.2</w:t>
            </w:r>
          </w:p>
        </w:tc>
        <w:tc>
          <w:tcPr>
            <w:tcW w:w="412" w:type="pct"/>
            <w:vAlign w:val="center"/>
          </w:tcPr>
          <w:p w14:paraId="46B3513B" w14:textId="0361618A"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52.6</w:t>
            </w:r>
          </w:p>
        </w:tc>
        <w:tc>
          <w:tcPr>
            <w:tcW w:w="412" w:type="pct"/>
            <w:vAlign w:val="center"/>
          </w:tcPr>
          <w:p w14:paraId="684016C7" w14:textId="52DCB973"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45.5</w:t>
            </w:r>
          </w:p>
        </w:tc>
        <w:tc>
          <w:tcPr>
            <w:tcW w:w="412" w:type="pct"/>
            <w:vAlign w:val="center"/>
          </w:tcPr>
          <w:p w14:paraId="7DB6C208" w14:textId="79E100BC"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42.0</w:t>
            </w:r>
          </w:p>
        </w:tc>
        <w:tc>
          <w:tcPr>
            <w:tcW w:w="412" w:type="pct"/>
            <w:vAlign w:val="center"/>
          </w:tcPr>
          <w:p w14:paraId="673EA2C4" w14:textId="65097373" w:rsidR="000331EB" w:rsidRPr="00E8656C" w:rsidRDefault="000331EB" w:rsidP="00AC1207">
            <w:pPr>
              <w:pStyle w:val="Tabletextupdate"/>
              <w:framePr w:wrap="auto"/>
              <w:jc w:val="center"/>
              <w:rPr>
                <w:rFonts w:ascii="Arial" w:hAnsi="Arial" w:cs="Arial"/>
                <w:color w:val="auto"/>
              </w:rPr>
            </w:pPr>
            <w:r w:rsidRPr="00E8656C">
              <w:rPr>
                <w:rFonts w:ascii="Arial" w:hAnsi="Arial" w:cs="Arial"/>
                <w:color w:val="auto"/>
              </w:rPr>
              <w:t>43.</w:t>
            </w:r>
            <w:r w:rsidR="00BE2EA8" w:rsidRPr="00E8656C">
              <w:rPr>
                <w:rFonts w:ascii="Arial" w:hAnsi="Arial" w:cs="Arial"/>
                <w:color w:val="auto"/>
              </w:rPr>
              <w:t>5</w:t>
            </w:r>
          </w:p>
        </w:tc>
        <w:tc>
          <w:tcPr>
            <w:tcW w:w="404" w:type="pct"/>
            <w:vAlign w:val="center"/>
          </w:tcPr>
          <w:p w14:paraId="68F72EC3" w14:textId="0C7BD1C8"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46.5</w:t>
            </w:r>
          </w:p>
        </w:tc>
        <w:tc>
          <w:tcPr>
            <w:tcW w:w="401" w:type="pct"/>
            <w:vAlign w:val="center"/>
          </w:tcPr>
          <w:p w14:paraId="6DC9EED1" w14:textId="76EBC482"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53.2</w:t>
            </w:r>
          </w:p>
        </w:tc>
      </w:tr>
      <w:tr w:rsidR="004D7A82" w:rsidRPr="00E8656C" w14:paraId="18C80981" w14:textId="77777777" w:rsidTr="00E8656C">
        <w:trPr>
          <w:trHeight w:val="60"/>
        </w:trPr>
        <w:tc>
          <w:tcPr>
            <w:tcW w:w="880" w:type="pct"/>
          </w:tcPr>
          <w:p w14:paraId="643E1DE9" w14:textId="2E38073C"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Study mode</w:t>
            </w:r>
            <w:r w:rsidR="00BB5D7E" w:rsidRPr="00E8656C">
              <w:rPr>
                <w:rFonts w:ascii="Arial" w:hAnsi="Arial" w:cs="Arial"/>
                <w:b/>
                <w:bCs/>
                <w:color w:val="auto"/>
              </w:rPr>
              <w:t>*</w:t>
            </w:r>
          </w:p>
        </w:tc>
        <w:tc>
          <w:tcPr>
            <w:tcW w:w="843" w:type="pct"/>
            <w:tcMar>
              <w:top w:w="113" w:type="dxa"/>
              <w:left w:w="57" w:type="dxa"/>
              <w:bottom w:w="113" w:type="dxa"/>
              <w:right w:w="57" w:type="dxa"/>
            </w:tcMar>
          </w:tcPr>
          <w:p w14:paraId="3E0E6E27" w14:textId="336CF5AC"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Internal/</w:t>
            </w:r>
            <w:r w:rsidR="0018504B" w:rsidRPr="00E8656C">
              <w:rPr>
                <w:rFonts w:ascii="Arial" w:hAnsi="Arial" w:cs="Arial"/>
                <w:b/>
                <w:bCs/>
                <w:color w:val="auto"/>
              </w:rPr>
              <w:t>multi-</w:t>
            </w:r>
            <w:r w:rsidRPr="00E8656C">
              <w:rPr>
                <w:rFonts w:ascii="Arial" w:hAnsi="Arial" w:cs="Arial"/>
                <w:b/>
                <w:bCs/>
                <w:color w:val="auto"/>
              </w:rPr>
              <w:t>mode</w:t>
            </w:r>
          </w:p>
        </w:tc>
        <w:tc>
          <w:tcPr>
            <w:tcW w:w="412" w:type="pct"/>
            <w:vAlign w:val="center"/>
          </w:tcPr>
          <w:p w14:paraId="4AA4A755" w14:textId="72CC02FA" w:rsidR="000331EB" w:rsidRPr="00E8656C" w:rsidRDefault="000331EB" w:rsidP="00AC1207">
            <w:pPr>
              <w:pStyle w:val="Tabletextupdate"/>
              <w:framePr w:wrap="auto"/>
              <w:jc w:val="center"/>
              <w:rPr>
                <w:rFonts w:ascii="Arial" w:hAnsi="Arial" w:cs="Arial"/>
                <w:color w:val="auto"/>
              </w:rPr>
            </w:pPr>
            <w:r w:rsidRPr="00E8656C">
              <w:rPr>
                <w:rFonts w:ascii="Arial" w:hAnsi="Arial" w:cs="Arial"/>
                <w:color w:val="auto"/>
              </w:rPr>
              <w:t>52.</w:t>
            </w:r>
            <w:r w:rsidR="00BE2EA8" w:rsidRPr="00E8656C">
              <w:rPr>
                <w:rFonts w:ascii="Arial" w:hAnsi="Arial" w:cs="Arial"/>
                <w:color w:val="auto"/>
              </w:rPr>
              <w:t>9</w:t>
            </w:r>
          </w:p>
        </w:tc>
        <w:tc>
          <w:tcPr>
            <w:tcW w:w="412" w:type="pct"/>
            <w:vAlign w:val="center"/>
          </w:tcPr>
          <w:p w14:paraId="29B44790" w14:textId="38BA193C"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55.4</w:t>
            </w:r>
          </w:p>
        </w:tc>
        <w:tc>
          <w:tcPr>
            <w:tcW w:w="412" w:type="pct"/>
            <w:vAlign w:val="center"/>
          </w:tcPr>
          <w:p w14:paraId="042A376F" w14:textId="432136F3"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55.7</w:t>
            </w:r>
          </w:p>
        </w:tc>
        <w:tc>
          <w:tcPr>
            <w:tcW w:w="412" w:type="pct"/>
            <w:vAlign w:val="center"/>
          </w:tcPr>
          <w:p w14:paraId="629D41D0" w14:textId="51B836C8"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45.6</w:t>
            </w:r>
          </w:p>
        </w:tc>
        <w:tc>
          <w:tcPr>
            <w:tcW w:w="412" w:type="pct"/>
            <w:vAlign w:val="center"/>
          </w:tcPr>
          <w:p w14:paraId="45F2B402" w14:textId="4B8AE514" w:rsidR="000331EB" w:rsidRPr="00E8656C" w:rsidRDefault="000331EB" w:rsidP="00AC1207">
            <w:pPr>
              <w:pStyle w:val="Tabletextupdate"/>
              <w:framePr w:wrap="auto"/>
              <w:jc w:val="center"/>
              <w:rPr>
                <w:rFonts w:ascii="Arial" w:hAnsi="Arial" w:cs="Arial"/>
                <w:color w:val="auto"/>
              </w:rPr>
            </w:pPr>
            <w:r w:rsidRPr="00E8656C">
              <w:rPr>
                <w:rFonts w:ascii="Arial" w:hAnsi="Arial" w:cs="Arial"/>
                <w:color w:val="auto"/>
              </w:rPr>
              <w:t>42.</w:t>
            </w:r>
            <w:r w:rsidR="00BE2EA8" w:rsidRPr="00E8656C">
              <w:rPr>
                <w:rFonts w:ascii="Arial" w:hAnsi="Arial" w:cs="Arial"/>
                <w:color w:val="auto"/>
              </w:rPr>
              <w:t>3</w:t>
            </w:r>
          </w:p>
        </w:tc>
        <w:tc>
          <w:tcPr>
            <w:tcW w:w="412" w:type="pct"/>
            <w:vAlign w:val="center"/>
          </w:tcPr>
          <w:p w14:paraId="0AF09CB4" w14:textId="02EA9FAC"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48.4</w:t>
            </w:r>
          </w:p>
        </w:tc>
        <w:tc>
          <w:tcPr>
            <w:tcW w:w="404" w:type="pct"/>
            <w:vAlign w:val="center"/>
          </w:tcPr>
          <w:p w14:paraId="4BB84F0D" w14:textId="4E379803"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53.6</w:t>
            </w:r>
          </w:p>
        </w:tc>
        <w:tc>
          <w:tcPr>
            <w:tcW w:w="401" w:type="pct"/>
            <w:vAlign w:val="center"/>
          </w:tcPr>
          <w:p w14:paraId="78BD7F42" w14:textId="432BC727"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56.8</w:t>
            </w:r>
          </w:p>
        </w:tc>
      </w:tr>
      <w:tr w:rsidR="004D7A82" w:rsidRPr="00E8656C" w14:paraId="1AAF9529" w14:textId="77777777" w:rsidTr="00E8656C">
        <w:trPr>
          <w:trHeight w:val="60"/>
        </w:trPr>
        <w:tc>
          <w:tcPr>
            <w:tcW w:w="880" w:type="pct"/>
          </w:tcPr>
          <w:p w14:paraId="4D215D86" w14:textId="1B4EBAEA" w:rsidR="000331EB" w:rsidRPr="00E8656C" w:rsidRDefault="00021A08" w:rsidP="005E74F1">
            <w:pPr>
              <w:pStyle w:val="Tabletextupdate"/>
              <w:framePr w:wrap="auto"/>
              <w:rPr>
                <w:rFonts w:ascii="Arial" w:hAnsi="Arial" w:cs="Arial"/>
                <w:b/>
                <w:bCs/>
                <w:color w:val="auto"/>
              </w:rPr>
            </w:pPr>
            <w:r w:rsidRPr="00E8656C">
              <w:rPr>
                <w:rFonts w:ascii="Arial" w:hAnsi="Arial" w:cs="Arial"/>
                <w:b/>
                <w:bCs/>
                <w:color w:val="auto"/>
              </w:rPr>
              <w:t>Study mode*</w:t>
            </w:r>
          </w:p>
        </w:tc>
        <w:tc>
          <w:tcPr>
            <w:tcW w:w="843" w:type="pct"/>
            <w:tcMar>
              <w:top w:w="113" w:type="dxa"/>
              <w:left w:w="57" w:type="dxa"/>
              <w:bottom w:w="113" w:type="dxa"/>
              <w:right w:w="57" w:type="dxa"/>
            </w:tcMar>
          </w:tcPr>
          <w:p w14:paraId="140DB859" w14:textId="137C4F8C"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External</w:t>
            </w:r>
          </w:p>
        </w:tc>
        <w:tc>
          <w:tcPr>
            <w:tcW w:w="412" w:type="pct"/>
            <w:vAlign w:val="center"/>
          </w:tcPr>
          <w:p w14:paraId="6D65D990" w14:textId="402F0028"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31.3</w:t>
            </w:r>
          </w:p>
        </w:tc>
        <w:tc>
          <w:tcPr>
            <w:tcW w:w="412" w:type="pct"/>
            <w:vAlign w:val="center"/>
          </w:tcPr>
          <w:p w14:paraId="77586218" w14:textId="54C25375"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33.5</w:t>
            </w:r>
          </w:p>
        </w:tc>
        <w:tc>
          <w:tcPr>
            <w:tcW w:w="412" w:type="pct"/>
            <w:vAlign w:val="center"/>
          </w:tcPr>
          <w:p w14:paraId="14B82B6E" w14:textId="6A2A93E3"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33.6</w:t>
            </w:r>
          </w:p>
        </w:tc>
        <w:tc>
          <w:tcPr>
            <w:tcW w:w="412" w:type="pct"/>
            <w:vAlign w:val="center"/>
          </w:tcPr>
          <w:p w14:paraId="7866E669" w14:textId="696617B8"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37.6</w:t>
            </w:r>
          </w:p>
        </w:tc>
        <w:tc>
          <w:tcPr>
            <w:tcW w:w="412" w:type="pct"/>
            <w:vAlign w:val="center"/>
          </w:tcPr>
          <w:p w14:paraId="1EA246FA" w14:textId="43DE80C7"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34.1</w:t>
            </w:r>
          </w:p>
        </w:tc>
        <w:tc>
          <w:tcPr>
            <w:tcW w:w="412" w:type="pct"/>
            <w:vAlign w:val="center"/>
          </w:tcPr>
          <w:p w14:paraId="5289AFF9" w14:textId="5E32DBAD"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37.6</w:t>
            </w:r>
          </w:p>
        </w:tc>
        <w:tc>
          <w:tcPr>
            <w:tcW w:w="404" w:type="pct"/>
            <w:vAlign w:val="center"/>
          </w:tcPr>
          <w:p w14:paraId="0730C46B" w14:textId="2282B87D"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36.6</w:t>
            </w:r>
          </w:p>
        </w:tc>
        <w:tc>
          <w:tcPr>
            <w:tcW w:w="401" w:type="pct"/>
            <w:vAlign w:val="center"/>
          </w:tcPr>
          <w:p w14:paraId="74EBF1FE" w14:textId="0411B100"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35.5</w:t>
            </w:r>
          </w:p>
        </w:tc>
      </w:tr>
      <w:tr w:rsidR="004D7A82" w:rsidRPr="00E8656C" w14:paraId="0D683984" w14:textId="77777777" w:rsidTr="00E8656C">
        <w:trPr>
          <w:trHeight w:val="60"/>
        </w:trPr>
        <w:tc>
          <w:tcPr>
            <w:tcW w:w="880" w:type="pct"/>
          </w:tcPr>
          <w:p w14:paraId="5CFA1159"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Institution type</w:t>
            </w:r>
          </w:p>
        </w:tc>
        <w:tc>
          <w:tcPr>
            <w:tcW w:w="843" w:type="pct"/>
            <w:tcMar>
              <w:top w:w="113" w:type="dxa"/>
              <w:left w:w="57" w:type="dxa"/>
              <w:bottom w:w="113" w:type="dxa"/>
              <w:right w:w="57" w:type="dxa"/>
            </w:tcMar>
            <w:vAlign w:val="bottom"/>
          </w:tcPr>
          <w:p w14:paraId="007859CE"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NUHEIs</w:t>
            </w:r>
          </w:p>
        </w:tc>
        <w:tc>
          <w:tcPr>
            <w:tcW w:w="412" w:type="pct"/>
            <w:vAlign w:val="center"/>
          </w:tcPr>
          <w:p w14:paraId="2419D87A" w14:textId="2263540C"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51.9</w:t>
            </w:r>
          </w:p>
        </w:tc>
        <w:tc>
          <w:tcPr>
            <w:tcW w:w="412" w:type="pct"/>
            <w:vAlign w:val="center"/>
          </w:tcPr>
          <w:p w14:paraId="0E929358" w14:textId="1790F750"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55.7</w:t>
            </w:r>
          </w:p>
        </w:tc>
        <w:tc>
          <w:tcPr>
            <w:tcW w:w="412" w:type="pct"/>
            <w:vAlign w:val="center"/>
          </w:tcPr>
          <w:p w14:paraId="282B5FD7" w14:textId="6FC203A5"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59.6</w:t>
            </w:r>
          </w:p>
        </w:tc>
        <w:tc>
          <w:tcPr>
            <w:tcW w:w="412" w:type="pct"/>
            <w:vAlign w:val="center"/>
          </w:tcPr>
          <w:p w14:paraId="2308742A" w14:textId="46A6EFF4"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57.9</w:t>
            </w:r>
          </w:p>
        </w:tc>
        <w:tc>
          <w:tcPr>
            <w:tcW w:w="412" w:type="pct"/>
            <w:vAlign w:val="center"/>
          </w:tcPr>
          <w:p w14:paraId="165D422B" w14:textId="57AA3378"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55.2</w:t>
            </w:r>
          </w:p>
        </w:tc>
        <w:tc>
          <w:tcPr>
            <w:tcW w:w="412" w:type="pct"/>
            <w:vAlign w:val="center"/>
          </w:tcPr>
          <w:p w14:paraId="12C031B8" w14:textId="13969039"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56.6</w:t>
            </w:r>
          </w:p>
        </w:tc>
        <w:tc>
          <w:tcPr>
            <w:tcW w:w="404" w:type="pct"/>
            <w:vAlign w:val="center"/>
          </w:tcPr>
          <w:p w14:paraId="7240239D" w14:textId="11D9FA82"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56.1</w:t>
            </w:r>
          </w:p>
        </w:tc>
        <w:tc>
          <w:tcPr>
            <w:tcW w:w="401" w:type="pct"/>
            <w:vAlign w:val="center"/>
          </w:tcPr>
          <w:p w14:paraId="21A33656" w14:textId="36E1EE5A"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61.6</w:t>
            </w:r>
          </w:p>
        </w:tc>
      </w:tr>
      <w:tr w:rsidR="004D7A82" w:rsidRPr="00E8656C" w14:paraId="7326243F" w14:textId="77777777" w:rsidTr="00E8656C">
        <w:trPr>
          <w:trHeight w:val="60"/>
        </w:trPr>
        <w:tc>
          <w:tcPr>
            <w:tcW w:w="880" w:type="pct"/>
          </w:tcPr>
          <w:p w14:paraId="7273403C" w14:textId="773B6C10" w:rsidR="000331EB" w:rsidRPr="00E8656C" w:rsidRDefault="00021A08" w:rsidP="005E74F1">
            <w:pPr>
              <w:pStyle w:val="Tabletextupdate"/>
              <w:framePr w:wrap="auto"/>
              <w:rPr>
                <w:rFonts w:ascii="Arial" w:hAnsi="Arial" w:cs="Arial"/>
                <w:b/>
                <w:bCs/>
                <w:color w:val="auto"/>
              </w:rPr>
            </w:pPr>
            <w:r w:rsidRPr="00E8656C">
              <w:rPr>
                <w:rFonts w:ascii="Arial" w:hAnsi="Arial" w:cs="Arial"/>
                <w:b/>
                <w:bCs/>
                <w:color w:val="auto"/>
              </w:rPr>
              <w:t>Institution type</w:t>
            </w:r>
          </w:p>
        </w:tc>
        <w:tc>
          <w:tcPr>
            <w:tcW w:w="843" w:type="pct"/>
            <w:tcMar>
              <w:top w:w="113" w:type="dxa"/>
              <w:left w:w="57" w:type="dxa"/>
              <w:bottom w:w="113" w:type="dxa"/>
              <w:right w:w="57" w:type="dxa"/>
            </w:tcMar>
            <w:vAlign w:val="bottom"/>
          </w:tcPr>
          <w:p w14:paraId="4A744258"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Universities</w:t>
            </w:r>
          </w:p>
        </w:tc>
        <w:tc>
          <w:tcPr>
            <w:tcW w:w="412" w:type="pct"/>
            <w:vAlign w:val="center"/>
          </w:tcPr>
          <w:p w14:paraId="6922103E" w14:textId="535F6C21"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47.9</w:t>
            </w:r>
          </w:p>
        </w:tc>
        <w:tc>
          <w:tcPr>
            <w:tcW w:w="412" w:type="pct"/>
            <w:vAlign w:val="center"/>
          </w:tcPr>
          <w:p w14:paraId="5AD61867" w14:textId="12E2D0E1"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50.6</w:t>
            </w:r>
          </w:p>
        </w:tc>
        <w:tc>
          <w:tcPr>
            <w:tcW w:w="412" w:type="pct"/>
            <w:vAlign w:val="center"/>
          </w:tcPr>
          <w:p w14:paraId="62730740" w14:textId="569BBD19" w:rsidR="000331EB" w:rsidRPr="00E8656C" w:rsidRDefault="000331EB" w:rsidP="00AC1207">
            <w:pPr>
              <w:pStyle w:val="Tabletextupdate"/>
              <w:framePr w:wrap="auto"/>
              <w:jc w:val="center"/>
              <w:rPr>
                <w:rFonts w:ascii="Arial" w:hAnsi="Arial" w:cs="Arial"/>
                <w:color w:val="auto"/>
              </w:rPr>
            </w:pPr>
            <w:r w:rsidRPr="00E8656C">
              <w:rPr>
                <w:rFonts w:ascii="Arial" w:hAnsi="Arial" w:cs="Arial"/>
                <w:color w:val="auto"/>
              </w:rPr>
              <w:t>50.</w:t>
            </w:r>
            <w:r w:rsidR="00BE2EA8" w:rsidRPr="00E8656C">
              <w:rPr>
                <w:rFonts w:ascii="Arial" w:hAnsi="Arial" w:cs="Arial"/>
                <w:color w:val="auto"/>
              </w:rPr>
              <w:t>5</w:t>
            </w:r>
          </w:p>
        </w:tc>
        <w:tc>
          <w:tcPr>
            <w:tcW w:w="412" w:type="pct"/>
            <w:vAlign w:val="center"/>
          </w:tcPr>
          <w:p w14:paraId="71EA084D" w14:textId="689CDE1B"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41.6</w:t>
            </w:r>
          </w:p>
        </w:tc>
        <w:tc>
          <w:tcPr>
            <w:tcW w:w="412" w:type="pct"/>
            <w:vAlign w:val="center"/>
          </w:tcPr>
          <w:p w14:paraId="3A4D5AF3" w14:textId="0A650DCE"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37.8</w:t>
            </w:r>
          </w:p>
        </w:tc>
        <w:tc>
          <w:tcPr>
            <w:tcW w:w="412" w:type="pct"/>
            <w:vAlign w:val="center"/>
          </w:tcPr>
          <w:p w14:paraId="44A6E22F" w14:textId="6735DCFE"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43.3</w:t>
            </w:r>
          </w:p>
        </w:tc>
        <w:tc>
          <w:tcPr>
            <w:tcW w:w="404" w:type="pct"/>
            <w:vAlign w:val="center"/>
          </w:tcPr>
          <w:p w14:paraId="514010F8" w14:textId="7FD33C3C"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47.3</w:t>
            </w:r>
          </w:p>
        </w:tc>
        <w:tc>
          <w:tcPr>
            <w:tcW w:w="401" w:type="pct"/>
            <w:vAlign w:val="center"/>
          </w:tcPr>
          <w:p w14:paraId="21D7E984" w14:textId="46D0972F"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50.0</w:t>
            </w:r>
          </w:p>
        </w:tc>
      </w:tr>
      <w:tr w:rsidR="004D7A82" w:rsidRPr="00E8656C" w14:paraId="1AE04CA6" w14:textId="77777777" w:rsidTr="00E8656C">
        <w:trPr>
          <w:trHeight w:val="60"/>
        </w:trPr>
        <w:tc>
          <w:tcPr>
            <w:tcW w:w="880" w:type="pct"/>
          </w:tcPr>
          <w:p w14:paraId="1949870A"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Gender</w:t>
            </w:r>
          </w:p>
        </w:tc>
        <w:tc>
          <w:tcPr>
            <w:tcW w:w="843" w:type="pct"/>
            <w:tcMar>
              <w:top w:w="113" w:type="dxa"/>
              <w:left w:w="57" w:type="dxa"/>
              <w:bottom w:w="113" w:type="dxa"/>
              <w:right w:w="57" w:type="dxa"/>
            </w:tcMar>
          </w:tcPr>
          <w:p w14:paraId="34CE51BE"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Male</w:t>
            </w:r>
          </w:p>
        </w:tc>
        <w:tc>
          <w:tcPr>
            <w:tcW w:w="412" w:type="pct"/>
            <w:vAlign w:val="center"/>
          </w:tcPr>
          <w:p w14:paraId="6A22A7F5" w14:textId="253BBFEF" w:rsidR="000331EB" w:rsidRPr="00E8656C" w:rsidRDefault="000331EB" w:rsidP="00AC1207">
            <w:pPr>
              <w:pStyle w:val="Tabletextupdate"/>
              <w:framePr w:wrap="auto"/>
              <w:jc w:val="center"/>
              <w:rPr>
                <w:rFonts w:ascii="Arial" w:hAnsi="Arial" w:cs="Arial"/>
                <w:color w:val="auto"/>
              </w:rPr>
            </w:pPr>
            <w:r w:rsidRPr="00E8656C">
              <w:rPr>
                <w:rFonts w:ascii="Arial" w:hAnsi="Arial" w:cs="Arial"/>
                <w:color w:val="auto"/>
              </w:rPr>
              <w:t>50.</w:t>
            </w:r>
            <w:r w:rsidR="00BE2EA8" w:rsidRPr="00E8656C">
              <w:rPr>
                <w:rFonts w:ascii="Arial" w:hAnsi="Arial" w:cs="Arial"/>
                <w:color w:val="auto"/>
              </w:rPr>
              <w:t>9</w:t>
            </w:r>
          </w:p>
        </w:tc>
        <w:tc>
          <w:tcPr>
            <w:tcW w:w="412" w:type="pct"/>
            <w:vAlign w:val="center"/>
          </w:tcPr>
          <w:p w14:paraId="4E925C36" w14:textId="0CCE3203"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54.4</w:t>
            </w:r>
          </w:p>
        </w:tc>
        <w:tc>
          <w:tcPr>
            <w:tcW w:w="412" w:type="pct"/>
            <w:vAlign w:val="center"/>
          </w:tcPr>
          <w:p w14:paraId="5FE86745" w14:textId="7AE67901"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54.5</w:t>
            </w:r>
          </w:p>
        </w:tc>
        <w:tc>
          <w:tcPr>
            <w:tcW w:w="412" w:type="pct"/>
            <w:vAlign w:val="center"/>
          </w:tcPr>
          <w:p w14:paraId="71CEB23B" w14:textId="4E648C2E"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45.0</w:t>
            </w:r>
          </w:p>
        </w:tc>
        <w:tc>
          <w:tcPr>
            <w:tcW w:w="412" w:type="pct"/>
            <w:vAlign w:val="center"/>
          </w:tcPr>
          <w:p w14:paraId="21987E6B" w14:textId="1D0656EE"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41.6</w:t>
            </w:r>
          </w:p>
        </w:tc>
        <w:tc>
          <w:tcPr>
            <w:tcW w:w="412" w:type="pct"/>
            <w:vAlign w:val="center"/>
          </w:tcPr>
          <w:p w14:paraId="72368172" w14:textId="4D415541"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47.4</w:t>
            </w:r>
          </w:p>
        </w:tc>
        <w:tc>
          <w:tcPr>
            <w:tcW w:w="404" w:type="pct"/>
            <w:vAlign w:val="center"/>
          </w:tcPr>
          <w:p w14:paraId="3010E38F" w14:textId="1E8FCBDF"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51.5</w:t>
            </w:r>
          </w:p>
        </w:tc>
        <w:tc>
          <w:tcPr>
            <w:tcW w:w="401" w:type="pct"/>
            <w:vAlign w:val="center"/>
          </w:tcPr>
          <w:p w14:paraId="12F6A338" w14:textId="72B797F2"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54.6</w:t>
            </w:r>
          </w:p>
        </w:tc>
      </w:tr>
      <w:tr w:rsidR="004D7A82" w:rsidRPr="00E8656C" w14:paraId="42CCE480" w14:textId="77777777" w:rsidTr="00E8656C">
        <w:trPr>
          <w:trHeight w:val="60"/>
        </w:trPr>
        <w:tc>
          <w:tcPr>
            <w:tcW w:w="880" w:type="pct"/>
          </w:tcPr>
          <w:p w14:paraId="29E943B7" w14:textId="5B4AF269" w:rsidR="000331EB" w:rsidRPr="00E8656C" w:rsidRDefault="00021A08" w:rsidP="005E74F1">
            <w:pPr>
              <w:pStyle w:val="Tabletextupdate"/>
              <w:framePr w:wrap="auto"/>
              <w:rPr>
                <w:rFonts w:ascii="Arial" w:hAnsi="Arial" w:cs="Arial"/>
                <w:b/>
                <w:bCs/>
                <w:color w:val="auto"/>
              </w:rPr>
            </w:pPr>
            <w:r w:rsidRPr="00E8656C">
              <w:rPr>
                <w:rFonts w:ascii="Arial" w:hAnsi="Arial" w:cs="Arial"/>
                <w:b/>
                <w:bCs/>
                <w:color w:val="auto"/>
              </w:rPr>
              <w:t>Gender</w:t>
            </w:r>
          </w:p>
        </w:tc>
        <w:tc>
          <w:tcPr>
            <w:tcW w:w="843" w:type="pct"/>
            <w:tcMar>
              <w:top w:w="113" w:type="dxa"/>
              <w:left w:w="57" w:type="dxa"/>
              <w:bottom w:w="113" w:type="dxa"/>
              <w:right w:w="57" w:type="dxa"/>
            </w:tcMar>
          </w:tcPr>
          <w:p w14:paraId="74D77AED"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Female</w:t>
            </w:r>
          </w:p>
        </w:tc>
        <w:tc>
          <w:tcPr>
            <w:tcW w:w="412" w:type="pct"/>
            <w:vAlign w:val="center"/>
          </w:tcPr>
          <w:p w14:paraId="0993BFD3" w14:textId="11733670"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46.5</w:t>
            </w:r>
          </w:p>
        </w:tc>
        <w:tc>
          <w:tcPr>
            <w:tcW w:w="412" w:type="pct"/>
            <w:vAlign w:val="center"/>
          </w:tcPr>
          <w:p w14:paraId="0432C085" w14:textId="650286B5"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48.7</w:t>
            </w:r>
          </w:p>
        </w:tc>
        <w:tc>
          <w:tcPr>
            <w:tcW w:w="412" w:type="pct"/>
            <w:vAlign w:val="center"/>
          </w:tcPr>
          <w:p w14:paraId="2A107101" w14:textId="10DDFD7C"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49.4</w:t>
            </w:r>
          </w:p>
        </w:tc>
        <w:tc>
          <w:tcPr>
            <w:tcW w:w="412" w:type="pct"/>
            <w:vAlign w:val="center"/>
          </w:tcPr>
          <w:p w14:paraId="53CC002A" w14:textId="7FBE4DC9"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42.3</w:t>
            </w:r>
          </w:p>
        </w:tc>
        <w:tc>
          <w:tcPr>
            <w:tcW w:w="412" w:type="pct"/>
            <w:vAlign w:val="center"/>
          </w:tcPr>
          <w:p w14:paraId="542F2C10" w14:textId="20BC5BF0"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38.7</w:t>
            </w:r>
          </w:p>
        </w:tc>
        <w:tc>
          <w:tcPr>
            <w:tcW w:w="412" w:type="pct"/>
            <w:vAlign w:val="center"/>
          </w:tcPr>
          <w:p w14:paraId="30BA55BA" w14:textId="61137309"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43.2</w:t>
            </w:r>
          </w:p>
        </w:tc>
        <w:tc>
          <w:tcPr>
            <w:tcW w:w="404" w:type="pct"/>
            <w:vAlign w:val="center"/>
          </w:tcPr>
          <w:p w14:paraId="77779A55" w14:textId="6D9B82F6" w:rsidR="000331EB" w:rsidRPr="00E8656C" w:rsidRDefault="000331EB" w:rsidP="00AC1207">
            <w:pPr>
              <w:pStyle w:val="Tabletextupdate"/>
              <w:framePr w:wrap="auto"/>
              <w:jc w:val="center"/>
              <w:rPr>
                <w:rFonts w:ascii="Arial" w:hAnsi="Arial" w:cs="Arial"/>
                <w:color w:val="auto"/>
              </w:rPr>
            </w:pPr>
            <w:r w:rsidRPr="00E8656C">
              <w:rPr>
                <w:rFonts w:ascii="Arial" w:hAnsi="Arial" w:cs="Arial"/>
                <w:color w:val="auto"/>
              </w:rPr>
              <w:t>46.8</w:t>
            </w:r>
          </w:p>
        </w:tc>
        <w:tc>
          <w:tcPr>
            <w:tcW w:w="401" w:type="pct"/>
            <w:vAlign w:val="center"/>
          </w:tcPr>
          <w:p w14:paraId="42689FF2" w14:textId="3B21BBD4"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50.4</w:t>
            </w:r>
          </w:p>
        </w:tc>
      </w:tr>
      <w:tr w:rsidR="004D7A82" w:rsidRPr="00E8656C" w14:paraId="5EEB3041" w14:textId="77777777" w:rsidTr="00E8656C">
        <w:trPr>
          <w:trHeight w:val="60"/>
        </w:trPr>
        <w:tc>
          <w:tcPr>
            <w:tcW w:w="880" w:type="pct"/>
          </w:tcPr>
          <w:p w14:paraId="4966D752"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Age</w:t>
            </w:r>
          </w:p>
        </w:tc>
        <w:tc>
          <w:tcPr>
            <w:tcW w:w="843" w:type="pct"/>
            <w:tcMar>
              <w:top w:w="113" w:type="dxa"/>
              <w:left w:w="57" w:type="dxa"/>
              <w:bottom w:w="113" w:type="dxa"/>
              <w:right w:w="57" w:type="dxa"/>
            </w:tcMar>
          </w:tcPr>
          <w:p w14:paraId="095F2FF2"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Under 25</w:t>
            </w:r>
          </w:p>
        </w:tc>
        <w:tc>
          <w:tcPr>
            <w:tcW w:w="412" w:type="pct"/>
            <w:vAlign w:val="center"/>
          </w:tcPr>
          <w:p w14:paraId="23BF1183" w14:textId="7000BA28"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54.6</w:t>
            </w:r>
          </w:p>
        </w:tc>
        <w:tc>
          <w:tcPr>
            <w:tcW w:w="412" w:type="pct"/>
            <w:vAlign w:val="center"/>
          </w:tcPr>
          <w:p w14:paraId="740F83B6" w14:textId="0325C85B"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56.7</w:t>
            </w:r>
          </w:p>
        </w:tc>
        <w:tc>
          <w:tcPr>
            <w:tcW w:w="412" w:type="pct"/>
            <w:vAlign w:val="center"/>
          </w:tcPr>
          <w:p w14:paraId="123CD501" w14:textId="74552215"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56.9</w:t>
            </w:r>
          </w:p>
        </w:tc>
        <w:tc>
          <w:tcPr>
            <w:tcW w:w="412" w:type="pct"/>
            <w:vAlign w:val="center"/>
          </w:tcPr>
          <w:p w14:paraId="42C452D1" w14:textId="65A4D2AC"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44.2</w:t>
            </w:r>
          </w:p>
        </w:tc>
        <w:tc>
          <w:tcPr>
            <w:tcW w:w="412" w:type="pct"/>
            <w:vAlign w:val="center"/>
          </w:tcPr>
          <w:p w14:paraId="00A9F266" w14:textId="65112D33"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40.3</w:t>
            </w:r>
          </w:p>
        </w:tc>
        <w:tc>
          <w:tcPr>
            <w:tcW w:w="412" w:type="pct"/>
            <w:vAlign w:val="center"/>
          </w:tcPr>
          <w:p w14:paraId="12C4D7B3" w14:textId="1D14C7DA"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50.5</w:t>
            </w:r>
          </w:p>
        </w:tc>
        <w:tc>
          <w:tcPr>
            <w:tcW w:w="404" w:type="pct"/>
            <w:vAlign w:val="center"/>
          </w:tcPr>
          <w:p w14:paraId="24939AB0" w14:textId="5BD6BCE5"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51</w:t>
            </w:r>
            <w:r w:rsidR="000331EB" w:rsidRPr="00E8656C">
              <w:rPr>
                <w:rFonts w:ascii="Arial" w:hAnsi="Arial" w:cs="Arial"/>
                <w:color w:val="auto"/>
              </w:rPr>
              <w:t>.7</w:t>
            </w:r>
          </w:p>
        </w:tc>
        <w:tc>
          <w:tcPr>
            <w:tcW w:w="401" w:type="pct"/>
            <w:vAlign w:val="center"/>
          </w:tcPr>
          <w:p w14:paraId="4DA21ACE" w14:textId="686A8C5D"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53.9</w:t>
            </w:r>
          </w:p>
        </w:tc>
      </w:tr>
      <w:tr w:rsidR="00021A08" w:rsidRPr="00E8656C" w14:paraId="5E8008C9" w14:textId="77777777" w:rsidTr="00E8656C">
        <w:trPr>
          <w:trHeight w:val="60"/>
        </w:trPr>
        <w:tc>
          <w:tcPr>
            <w:tcW w:w="880" w:type="pct"/>
          </w:tcPr>
          <w:p w14:paraId="7FA726D8" w14:textId="433CCEA3" w:rsidR="00021A08" w:rsidRPr="00E8656C" w:rsidRDefault="00021A08" w:rsidP="00021A08">
            <w:pPr>
              <w:pStyle w:val="Tabletextupdate"/>
              <w:framePr w:wrap="auto"/>
              <w:rPr>
                <w:rFonts w:ascii="Arial" w:hAnsi="Arial" w:cs="Arial"/>
                <w:b/>
                <w:bCs/>
                <w:color w:val="auto"/>
              </w:rPr>
            </w:pPr>
            <w:r w:rsidRPr="00E8656C">
              <w:rPr>
                <w:rFonts w:ascii="Arial" w:hAnsi="Arial" w:cs="Arial"/>
                <w:b/>
                <w:bCs/>
                <w:color w:val="auto"/>
              </w:rPr>
              <w:t>Age</w:t>
            </w:r>
          </w:p>
        </w:tc>
        <w:tc>
          <w:tcPr>
            <w:tcW w:w="843" w:type="pct"/>
            <w:tcMar>
              <w:top w:w="113" w:type="dxa"/>
              <w:left w:w="57" w:type="dxa"/>
              <w:bottom w:w="113" w:type="dxa"/>
              <w:right w:w="57" w:type="dxa"/>
            </w:tcMar>
          </w:tcPr>
          <w:p w14:paraId="4A8A28A0" w14:textId="77777777" w:rsidR="00021A08" w:rsidRPr="00E8656C" w:rsidRDefault="00021A08" w:rsidP="00021A08">
            <w:pPr>
              <w:pStyle w:val="Tabletextupdate"/>
              <w:framePr w:wrap="auto"/>
              <w:rPr>
                <w:rFonts w:ascii="Arial" w:hAnsi="Arial" w:cs="Arial"/>
                <w:b/>
                <w:bCs/>
                <w:color w:val="auto"/>
              </w:rPr>
            </w:pPr>
            <w:r w:rsidRPr="00E8656C">
              <w:rPr>
                <w:rFonts w:ascii="Arial" w:hAnsi="Arial" w:cs="Arial"/>
                <w:b/>
                <w:bCs/>
                <w:color w:val="auto"/>
              </w:rPr>
              <w:t>25 to 29</w:t>
            </w:r>
          </w:p>
        </w:tc>
        <w:tc>
          <w:tcPr>
            <w:tcW w:w="412" w:type="pct"/>
            <w:vAlign w:val="center"/>
          </w:tcPr>
          <w:p w14:paraId="31455B37" w14:textId="094EDF0E"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48.6</w:t>
            </w:r>
          </w:p>
        </w:tc>
        <w:tc>
          <w:tcPr>
            <w:tcW w:w="412" w:type="pct"/>
            <w:vAlign w:val="center"/>
          </w:tcPr>
          <w:p w14:paraId="4CC925B2" w14:textId="0DF8865D"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51.7</w:t>
            </w:r>
          </w:p>
        </w:tc>
        <w:tc>
          <w:tcPr>
            <w:tcW w:w="412" w:type="pct"/>
            <w:vAlign w:val="center"/>
          </w:tcPr>
          <w:p w14:paraId="5BB7F9E6" w14:textId="5801E69C"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52.2</w:t>
            </w:r>
          </w:p>
        </w:tc>
        <w:tc>
          <w:tcPr>
            <w:tcW w:w="412" w:type="pct"/>
            <w:vAlign w:val="center"/>
          </w:tcPr>
          <w:p w14:paraId="3BFADD66" w14:textId="74927FD7"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44.3</w:t>
            </w:r>
          </w:p>
        </w:tc>
        <w:tc>
          <w:tcPr>
            <w:tcW w:w="412" w:type="pct"/>
            <w:vAlign w:val="center"/>
          </w:tcPr>
          <w:p w14:paraId="220C5AAA" w14:textId="21DAE939"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39.9</w:t>
            </w:r>
          </w:p>
        </w:tc>
        <w:tc>
          <w:tcPr>
            <w:tcW w:w="412" w:type="pct"/>
            <w:vAlign w:val="center"/>
          </w:tcPr>
          <w:p w14:paraId="4EFEDF9C" w14:textId="24ED9C57"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44.5</w:t>
            </w:r>
          </w:p>
        </w:tc>
        <w:tc>
          <w:tcPr>
            <w:tcW w:w="404" w:type="pct"/>
            <w:vAlign w:val="center"/>
          </w:tcPr>
          <w:p w14:paraId="22D531D3" w14:textId="17551839"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50.6</w:t>
            </w:r>
          </w:p>
        </w:tc>
        <w:tc>
          <w:tcPr>
            <w:tcW w:w="401" w:type="pct"/>
            <w:vAlign w:val="center"/>
          </w:tcPr>
          <w:p w14:paraId="67E5306F" w14:textId="25A11996"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54.3</w:t>
            </w:r>
          </w:p>
        </w:tc>
      </w:tr>
      <w:tr w:rsidR="00021A08" w:rsidRPr="00E8656C" w14:paraId="20790433" w14:textId="77777777" w:rsidTr="00E8656C">
        <w:trPr>
          <w:trHeight w:val="60"/>
        </w:trPr>
        <w:tc>
          <w:tcPr>
            <w:tcW w:w="880" w:type="pct"/>
          </w:tcPr>
          <w:p w14:paraId="70DDE786" w14:textId="0ED01FC1" w:rsidR="00021A08" w:rsidRPr="00E8656C" w:rsidRDefault="00021A08" w:rsidP="00021A08">
            <w:pPr>
              <w:pStyle w:val="Tabletextupdate"/>
              <w:framePr w:wrap="auto"/>
              <w:rPr>
                <w:rFonts w:ascii="Arial" w:hAnsi="Arial" w:cs="Arial"/>
                <w:b/>
                <w:bCs/>
                <w:color w:val="auto"/>
              </w:rPr>
            </w:pPr>
            <w:r w:rsidRPr="00E8656C">
              <w:rPr>
                <w:rFonts w:ascii="Arial" w:hAnsi="Arial" w:cs="Arial"/>
                <w:b/>
                <w:bCs/>
                <w:color w:val="auto"/>
              </w:rPr>
              <w:t>Age</w:t>
            </w:r>
          </w:p>
        </w:tc>
        <w:tc>
          <w:tcPr>
            <w:tcW w:w="843" w:type="pct"/>
            <w:tcMar>
              <w:top w:w="113" w:type="dxa"/>
              <w:left w:w="57" w:type="dxa"/>
              <w:bottom w:w="113" w:type="dxa"/>
              <w:right w:w="57" w:type="dxa"/>
            </w:tcMar>
          </w:tcPr>
          <w:p w14:paraId="0C07FE16" w14:textId="77777777" w:rsidR="00021A08" w:rsidRPr="00E8656C" w:rsidRDefault="00021A08" w:rsidP="00021A08">
            <w:pPr>
              <w:pStyle w:val="Tabletextupdate"/>
              <w:framePr w:wrap="auto"/>
              <w:rPr>
                <w:rFonts w:ascii="Arial" w:hAnsi="Arial" w:cs="Arial"/>
                <w:b/>
                <w:bCs/>
                <w:color w:val="auto"/>
              </w:rPr>
            </w:pPr>
            <w:r w:rsidRPr="00E8656C">
              <w:rPr>
                <w:rFonts w:ascii="Arial" w:hAnsi="Arial" w:cs="Arial"/>
                <w:b/>
                <w:bCs/>
                <w:color w:val="auto"/>
              </w:rPr>
              <w:t>30 to 39</w:t>
            </w:r>
          </w:p>
        </w:tc>
        <w:tc>
          <w:tcPr>
            <w:tcW w:w="412" w:type="pct"/>
            <w:vAlign w:val="center"/>
          </w:tcPr>
          <w:p w14:paraId="29AB55F4" w14:textId="51B89458"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42.2</w:t>
            </w:r>
          </w:p>
        </w:tc>
        <w:tc>
          <w:tcPr>
            <w:tcW w:w="412" w:type="pct"/>
            <w:vAlign w:val="center"/>
          </w:tcPr>
          <w:p w14:paraId="2D0D41D1" w14:textId="2B0ABCAD"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44.6</w:t>
            </w:r>
          </w:p>
        </w:tc>
        <w:tc>
          <w:tcPr>
            <w:tcW w:w="412" w:type="pct"/>
            <w:vAlign w:val="center"/>
          </w:tcPr>
          <w:p w14:paraId="70A2B009" w14:textId="33AFF492"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46.0</w:t>
            </w:r>
          </w:p>
        </w:tc>
        <w:tc>
          <w:tcPr>
            <w:tcW w:w="412" w:type="pct"/>
            <w:vAlign w:val="center"/>
          </w:tcPr>
          <w:p w14:paraId="2C48438E" w14:textId="2517A1E8"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42.7</w:t>
            </w:r>
          </w:p>
        </w:tc>
        <w:tc>
          <w:tcPr>
            <w:tcW w:w="412" w:type="pct"/>
            <w:vAlign w:val="center"/>
          </w:tcPr>
          <w:p w14:paraId="6B5462D8" w14:textId="397F1F63"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39.3</w:t>
            </w:r>
          </w:p>
        </w:tc>
        <w:tc>
          <w:tcPr>
            <w:tcW w:w="412" w:type="pct"/>
            <w:vAlign w:val="center"/>
          </w:tcPr>
          <w:p w14:paraId="1F60E485" w14:textId="2DCD12B1"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41.7</w:t>
            </w:r>
          </w:p>
        </w:tc>
        <w:tc>
          <w:tcPr>
            <w:tcW w:w="404" w:type="pct"/>
            <w:vAlign w:val="center"/>
          </w:tcPr>
          <w:p w14:paraId="632B7318" w14:textId="1B5D53B5"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46.9</w:t>
            </w:r>
          </w:p>
        </w:tc>
        <w:tc>
          <w:tcPr>
            <w:tcW w:w="401" w:type="pct"/>
            <w:vAlign w:val="center"/>
          </w:tcPr>
          <w:p w14:paraId="14EB4314" w14:textId="36042636"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51.7</w:t>
            </w:r>
          </w:p>
        </w:tc>
      </w:tr>
      <w:tr w:rsidR="00021A08" w:rsidRPr="00E8656C" w14:paraId="2C6CDE3A" w14:textId="77777777" w:rsidTr="00E8656C">
        <w:trPr>
          <w:trHeight w:val="60"/>
        </w:trPr>
        <w:tc>
          <w:tcPr>
            <w:tcW w:w="880" w:type="pct"/>
          </w:tcPr>
          <w:p w14:paraId="5DA2D944" w14:textId="615EEF1A" w:rsidR="00021A08" w:rsidRPr="00E8656C" w:rsidRDefault="00021A08" w:rsidP="00021A08">
            <w:pPr>
              <w:pStyle w:val="Tabletextupdate"/>
              <w:framePr w:wrap="auto"/>
              <w:rPr>
                <w:rFonts w:ascii="Arial" w:hAnsi="Arial" w:cs="Arial"/>
                <w:b/>
                <w:bCs/>
                <w:color w:val="auto"/>
              </w:rPr>
            </w:pPr>
            <w:r w:rsidRPr="00E8656C">
              <w:rPr>
                <w:rFonts w:ascii="Arial" w:hAnsi="Arial" w:cs="Arial"/>
                <w:b/>
                <w:bCs/>
                <w:color w:val="auto"/>
              </w:rPr>
              <w:t>Age</w:t>
            </w:r>
          </w:p>
        </w:tc>
        <w:tc>
          <w:tcPr>
            <w:tcW w:w="843" w:type="pct"/>
            <w:tcMar>
              <w:top w:w="113" w:type="dxa"/>
              <w:left w:w="57" w:type="dxa"/>
              <w:bottom w:w="113" w:type="dxa"/>
              <w:right w:w="57" w:type="dxa"/>
            </w:tcMar>
          </w:tcPr>
          <w:p w14:paraId="4B75DD25" w14:textId="77777777" w:rsidR="00021A08" w:rsidRPr="00E8656C" w:rsidRDefault="00021A08" w:rsidP="00021A08">
            <w:pPr>
              <w:pStyle w:val="Tabletextupdate"/>
              <w:framePr w:wrap="auto"/>
              <w:rPr>
                <w:rFonts w:ascii="Arial" w:hAnsi="Arial" w:cs="Arial"/>
                <w:b/>
                <w:bCs/>
                <w:color w:val="auto"/>
              </w:rPr>
            </w:pPr>
            <w:r w:rsidRPr="00E8656C">
              <w:rPr>
                <w:rFonts w:ascii="Arial" w:hAnsi="Arial" w:cs="Arial"/>
                <w:b/>
                <w:bCs/>
                <w:color w:val="auto"/>
              </w:rPr>
              <w:t>40 and over</w:t>
            </w:r>
          </w:p>
        </w:tc>
        <w:tc>
          <w:tcPr>
            <w:tcW w:w="412" w:type="pct"/>
            <w:vAlign w:val="center"/>
          </w:tcPr>
          <w:p w14:paraId="03B1AD4F" w14:textId="611D59AF"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41.2</w:t>
            </w:r>
          </w:p>
        </w:tc>
        <w:tc>
          <w:tcPr>
            <w:tcW w:w="412" w:type="pct"/>
            <w:vAlign w:val="center"/>
          </w:tcPr>
          <w:p w14:paraId="52527382" w14:textId="1761D65D"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42.9</w:t>
            </w:r>
          </w:p>
        </w:tc>
        <w:tc>
          <w:tcPr>
            <w:tcW w:w="412" w:type="pct"/>
            <w:vAlign w:val="center"/>
          </w:tcPr>
          <w:p w14:paraId="40262AD4" w14:textId="29A82ECC"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43.0</w:t>
            </w:r>
          </w:p>
        </w:tc>
        <w:tc>
          <w:tcPr>
            <w:tcW w:w="412" w:type="pct"/>
            <w:vAlign w:val="center"/>
          </w:tcPr>
          <w:p w14:paraId="1345D060" w14:textId="19FE39EE"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43.7</w:t>
            </w:r>
          </w:p>
        </w:tc>
        <w:tc>
          <w:tcPr>
            <w:tcW w:w="412" w:type="pct"/>
            <w:vAlign w:val="center"/>
          </w:tcPr>
          <w:p w14:paraId="78579FAE" w14:textId="4B70D9A4"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39.3</w:t>
            </w:r>
          </w:p>
        </w:tc>
        <w:tc>
          <w:tcPr>
            <w:tcW w:w="412" w:type="pct"/>
            <w:vAlign w:val="center"/>
          </w:tcPr>
          <w:p w14:paraId="5495C7E0" w14:textId="78EF31D3"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41.2</w:t>
            </w:r>
          </w:p>
        </w:tc>
        <w:tc>
          <w:tcPr>
            <w:tcW w:w="404" w:type="pct"/>
            <w:vAlign w:val="center"/>
          </w:tcPr>
          <w:p w14:paraId="1121CB59" w14:textId="3247B419"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43.1</w:t>
            </w:r>
          </w:p>
        </w:tc>
        <w:tc>
          <w:tcPr>
            <w:tcW w:w="401" w:type="pct"/>
            <w:vAlign w:val="center"/>
          </w:tcPr>
          <w:p w14:paraId="5882C92E" w14:textId="1D5C56E2" w:rsidR="00021A08" w:rsidRPr="00E8656C" w:rsidRDefault="00021A08" w:rsidP="00AC1207">
            <w:pPr>
              <w:pStyle w:val="Tabletextupdate"/>
              <w:framePr w:wrap="auto"/>
              <w:jc w:val="center"/>
              <w:rPr>
                <w:rFonts w:ascii="Arial" w:hAnsi="Arial" w:cs="Arial"/>
                <w:color w:val="auto"/>
              </w:rPr>
            </w:pPr>
            <w:r w:rsidRPr="00E8656C">
              <w:rPr>
                <w:rFonts w:ascii="Arial" w:hAnsi="Arial" w:cs="Arial"/>
                <w:color w:val="auto"/>
              </w:rPr>
              <w:t>44.5</w:t>
            </w:r>
          </w:p>
        </w:tc>
      </w:tr>
      <w:tr w:rsidR="004D7A82" w:rsidRPr="00E8656C" w14:paraId="7BA5D2AC" w14:textId="77777777" w:rsidTr="00E8656C">
        <w:trPr>
          <w:trHeight w:val="60"/>
        </w:trPr>
        <w:tc>
          <w:tcPr>
            <w:tcW w:w="880" w:type="pct"/>
            <w:vAlign w:val="center"/>
          </w:tcPr>
          <w:p w14:paraId="67961BDA" w14:textId="423746C1" w:rsidR="007F6B42" w:rsidRPr="00E8656C" w:rsidRDefault="007F6B42" w:rsidP="007F6B42">
            <w:pPr>
              <w:pStyle w:val="Tabletextupdate"/>
              <w:framePr w:wrap="auto"/>
              <w:rPr>
                <w:rFonts w:ascii="Arial" w:hAnsi="Arial" w:cs="Arial"/>
                <w:b/>
                <w:bCs/>
                <w:color w:val="auto"/>
              </w:rPr>
            </w:pPr>
            <w:r w:rsidRPr="00E8656C">
              <w:rPr>
                <w:rFonts w:ascii="Arial" w:hAnsi="Arial" w:cs="Arial"/>
                <w:b/>
                <w:bCs/>
                <w:color w:val="auto"/>
              </w:rPr>
              <w:t>First Nations</w:t>
            </w:r>
            <w:r w:rsidR="00D30C44" w:rsidRPr="00E8656C">
              <w:rPr>
                <w:rFonts w:ascii="Arial" w:hAnsi="Arial" w:cs="Arial"/>
                <w:b/>
                <w:bCs/>
                <w:color w:val="auto"/>
              </w:rPr>
              <w:t>**</w:t>
            </w:r>
          </w:p>
        </w:tc>
        <w:tc>
          <w:tcPr>
            <w:tcW w:w="843" w:type="pct"/>
            <w:tcMar>
              <w:top w:w="113" w:type="dxa"/>
              <w:left w:w="57" w:type="dxa"/>
              <w:bottom w:w="113" w:type="dxa"/>
              <w:right w:w="57" w:type="dxa"/>
            </w:tcMar>
          </w:tcPr>
          <w:p w14:paraId="04B770A9" w14:textId="77777777" w:rsidR="007F6B42" w:rsidRPr="00E8656C" w:rsidRDefault="007F6B42" w:rsidP="007F6B42">
            <w:pPr>
              <w:pStyle w:val="Tabletextupdate"/>
              <w:framePr w:wrap="auto"/>
              <w:rPr>
                <w:rFonts w:ascii="Arial" w:hAnsi="Arial" w:cs="Arial"/>
                <w:b/>
                <w:bCs/>
                <w:color w:val="auto"/>
              </w:rPr>
            </w:pPr>
            <w:r w:rsidRPr="00E8656C">
              <w:rPr>
                <w:rFonts w:ascii="Arial" w:hAnsi="Arial" w:cs="Arial"/>
                <w:b/>
                <w:bCs/>
                <w:color w:val="auto"/>
              </w:rPr>
              <w:t>First Nations</w:t>
            </w:r>
          </w:p>
        </w:tc>
        <w:tc>
          <w:tcPr>
            <w:tcW w:w="412" w:type="pct"/>
            <w:vAlign w:val="center"/>
          </w:tcPr>
          <w:p w14:paraId="0C69BD8B" w14:textId="6BC96021"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39.2</w:t>
            </w:r>
          </w:p>
        </w:tc>
        <w:tc>
          <w:tcPr>
            <w:tcW w:w="412" w:type="pct"/>
            <w:vAlign w:val="center"/>
          </w:tcPr>
          <w:p w14:paraId="4F992F2C" w14:textId="03C9FE49"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41.9</w:t>
            </w:r>
          </w:p>
        </w:tc>
        <w:tc>
          <w:tcPr>
            <w:tcW w:w="412" w:type="pct"/>
            <w:vAlign w:val="center"/>
          </w:tcPr>
          <w:p w14:paraId="42B3953C" w14:textId="0E7BEB72"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42.5</w:t>
            </w:r>
          </w:p>
        </w:tc>
        <w:tc>
          <w:tcPr>
            <w:tcW w:w="412" w:type="pct"/>
            <w:vAlign w:val="center"/>
          </w:tcPr>
          <w:p w14:paraId="7E70E800" w14:textId="1197E636"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41.7</w:t>
            </w:r>
          </w:p>
        </w:tc>
        <w:tc>
          <w:tcPr>
            <w:tcW w:w="412" w:type="pct"/>
            <w:vAlign w:val="center"/>
          </w:tcPr>
          <w:p w14:paraId="4C813399" w14:textId="16534515"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36.6</w:t>
            </w:r>
          </w:p>
        </w:tc>
        <w:tc>
          <w:tcPr>
            <w:tcW w:w="412" w:type="pct"/>
            <w:vAlign w:val="center"/>
          </w:tcPr>
          <w:p w14:paraId="13A54821" w14:textId="4A76F026"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39.6</w:t>
            </w:r>
          </w:p>
        </w:tc>
        <w:tc>
          <w:tcPr>
            <w:tcW w:w="404" w:type="pct"/>
            <w:vAlign w:val="center"/>
          </w:tcPr>
          <w:p w14:paraId="46CCE1C5" w14:textId="06339058"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42.9</w:t>
            </w:r>
          </w:p>
        </w:tc>
        <w:tc>
          <w:tcPr>
            <w:tcW w:w="401" w:type="pct"/>
            <w:vAlign w:val="center"/>
          </w:tcPr>
          <w:p w14:paraId="3CFE1CDB" w14:textId="2B372BC2"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44.2</w:t>
            </w:r>
          </w:p>
        </w:tc>
      </w:tr>
      <w:tr w:rsidR="004D7A82" w:rsidRPr="00E8656C" w14:paraId="18598A6E" w14:textId="77777777" w:rsidTr="00E8656C">
        <w:trPr>
          <w:trHeight w:val="60"/>
        </w:trPr>
        <w:tc>
          <w:tcPr>
            <w:tcW w:w="880" w:type="pct"/>
          </w:tcPr>
          <w:p w14:paraId="23901DE0" w14:textId="4DF02E95" w:rsidR="007F6B42" w:rsidRPr="00E8656C" w:rsidRDefault="00021A08" w:rsidP="007F6B42">
            <w:pPr>
              <w:pStyle w:val="Tabletextupdate"/>
              <w:framePr w:wrap="auto"/>
              <w:rPr>
                <w:rFonts w:ascii="Arial" w:hAnsi="Arial" w:cs="Arial"/>
                <w:b/>
                <w:bCs/>
                <w:color w:val="auto"/>
              </w:rPr>
            </w:pPr>
            <w:r w:rsidRPr="00E8656C">
              <w:rPr>
                <w:rFonts w:ascii="Arial" w:hAnsi="Arial" w:cs="Arial"/>
                <w:b/>
                <w:bCs/>
                <w:color w:val="auto"/>
              </w:rPr>
              <w:t>First Nations**</w:t>
            </w:r>
          </w:p>
        </w:tc>
        <w:tc>
          <w:tcPr>
            <w:tcW w:w="843" w:type="pct"/>
            <w:tcMar>
              <w:top w:w="113" w:type="dxa"/>
              <w:left w:w="57" w:type="dxa"/>
              <w:bottom w:w="113" w:type="dxa"/>
              <w:right w:w="57" w:type="dxa"/>
            </w:tcMar>
          </w:tcPr>
          <w:p w14:paraId="6AD6EAEC" w14:textId="77777777" w:rsidR="007F6B42" w:rsidRPr="00E8656C" w:rsidRDefault="007F6B42" w:rsidP="007F6B42">
            <w:pPr>
              <w:pStyle w:val="Tabletextupdate"/>
              <w:framePr w:wrap="auto"/>
              <w:rPr>
                <w:rFonts w:ascii="Arial" w:hAnsi="Arial" w:cs="Arial"/>
                <w:b/>
                <w:bCs/>
                <w:color w:val="auto"/>
              </w:rPr>
            </w:pPr>
            <w:r w:rsidRPr="00E8656C">
              <w:rPr>
                <w:rFonts w:ascii="Arial" w:hAnsi="Arial" w:cs="Arial"/>
                <w:b/>
                <w:bCs/>
                <w:color w:val="auto"/>
              </w:rPr>
              <w:t>Non-Indigenous</w:t>
            </w:r>
          </w:p>
        </w:tc>
        <w:tc>
          <w:tcPr>
            <w:tcW w:w="412" w:type="pct"/>
            <w:vAlign w:val="center"/>
          </w:tcPr>
          <w:p w14:paraId="51FF43B0" w14:textId="70BC077A"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39.6</w:t>
            </w:r>
          </w:p>
        </w:tc>
        <w:tc>
          <w:tcPr>
            <w:tcW w:w="412" w:type="pct"/>
            <w:vAlign w:val="center"/>
          </w:tcPr>
          <w:p w14:paraId="48D49CC4" w14:textId="2684DE3E"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41.0</w:t>
            </w:r>
          </w:p>
        </w:tc>
        <w:tc>
          <w:tcPr>
            <w:tcW w:w="412" w:type="pct"/>
            <w:vAlign w:val="center"/>
          </w:tcPr>
          <w:p w14:paraId="1F8EDF46" w14:textId="2EBF9C9F"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40.8</w:t>
            </w:r>
          </w:p>
        </w:tc>
        <w:tc>
          <w:tcPr>
            <w:tcW w:w="412" w:type="pct"/>
            <w:vAlign w:val="center"/>
          </w:tcPr>
          <w:p w14:paraId="471852A0" w14:textId="74B45DCA"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36.7</w:t>
            </w:r>
          </w:p>
        </w:tc>
        <w:tc>
          <w:tcPr>
            <w:tcW w:w="412" w:type="pct"/>
            <w:vAlign w:val="center"/>
          </w:tcPr>
          <w:p w14:paraId="0B26A7EF" w14:textId="14901489"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35.1</w:t>
            </w:r>
          </w:p>
        </w:tc>
        <w:tc>
          <w:tcPr>
            <w:tcW w:w="412" w:type="pct"/>
            <w:vAlign w:val="center"/>
          </w:tcPr>
          <w:p w14:paraId="65052D33" w14:textId="538F53EA"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37.3</w:t>
            </w:r>
          </w:p>
        </w:tc>
        <w:tc>
          <w:tcPr>
            <w:tcW w:w="404" w:type="pct"/>
            <w:vAlign w:val="center"/>
          </w:tcPr>
          <w:p w14:paraId="12A3F245" w14:textId="70A20931"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37.1</w:t>
            </w:r>
          </w:p>
        </w:tc>
        <w:tc>
          <w:tcPr>
            <w:tcW w:w="401" w:type="pct"/>
            <w:vAlign w:val="center"/>
          </w:tcPr>
          <w:p w14:paraId="3691F465" w14:textId="3BBB53FE" w:rsidR="007F6B42" w:rsidRPr="00E8656C" w:rsidRDefault="007F6B42" w:rsidP="00AC1207">
            <w:pPr>
              <w:pStyle w:val="Tabletextupdate"/>
              <w:framePr w:wrap="auto"/>
              <w:jc w:val="center"/>
              <w:rPr>
                <w:rFonts w:ascii="Arial" w:hAnsi="Arial" w:cs="Arial"/>
                <w:color w:val="auto"/>
              </w:rPr>
            </w:pPr>
            <w:r w:rsidRPr="00E8656C">
              <w:rPr>
                <w:rFonts w:ascii="Arial" w:hAnsi="Arial" w:cs="Arial"/>
                <w:color w:val="auto"/>
                <w:sz w:val="22"/>
                <w:szCs w:val="22"/>
              </w:rPr>
              <w:t>37.8</w:t>
            </w:r>
          </w:p>
        </w:tc>
      </w:tr>
      <w:tr w:rsidR="004D7A82" w:rsidRPr="00E8656C" w14:paraId="1A801D9F" w14:textId="77777777" w:rsidTr="00E8656C">
        <w:trPr>
          <w:trHeight w:val="60"/>
        </w:trPr>
        <w:tc>
          <w:tcPr>
            <w:tcW w:w="880" w:type="pct"/>
          </w:tcPr>
          <w:p w14:paraId="3E20593B" w14:textId="11A6B3CB"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Home language</w:t>
            </w:r>
            <w:r w:rsidR="00D30C44" w:rsidRPr="00E8656C">
              <w:rPr>
                <w:rFonts w:ascii="Arial" w:hAnsi="Arial" w:cs="Arial"/>
                <w:b/>
                <w:bCs/>
                <w:color w:val="auto"/>
              </w:rPr>
              <w:t>***</w:t>
            </w:r>
          </w:p>
        </w:tc>
        <w:tc>
          <w:tcPr>
            <w:tcW w:w="843" w:type="pct"/>
            <w:tcMar>
              <w:top w:w="113" w:type="dxa"/>
              <w:left w:w="57" w:type="dxa"/>
              <w:bottom w:w="113" w:type="dxa"/>
              <w:right w:w="57" w:type="dxa"/>
            </w:tcMar>
          </w:tcPr>
          <w:p w14:paraId="7A0BF9E8"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English</w:t>
            </w:r>
          </w:p>
        </w:tc>
        <w:tc>
          <w:tcPr>
            <w:tcW w:w="412" w:type="pct"/>
            <w:vAlign w:val="center"/>
          </w:tcPr>
          <w:p w14:paraId="387F3271" w14:textId="7CA90973"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42.8</w:t>
            </w:r>
          </w:p>
        </w:tc>
        <w:tc>
          <w:tcPr>
            <w:tcW w:w="412" w:type="pct"/>
            <w:vAlign w:val="center"/>
          </w:tcPr>
          <w:p w14:paraId="02BEE7F4" w14:textId="56B43EB0"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45.2</w:t>
            </w:r>
          </w:p>
        </w:tc>
        <w:tc>
          <w:tcPr>
            <w:tcW w:w="412" w:type="pct"/>
            <w:vAlign w:val="center"/>
          </w:tcPr>
          <w:p w14:paraId="70D53961" w14:textId="3566E1B8"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45.5</w:t>
            </w:r>
          </w:p>
        </w:tc>
        <w:tc>
          <w:tcPr>
            <w:tcW w:w="412" w:type="pct"/>
            <w:vAlign w:val="center"/>
          </w:tcPr>
          <w:p w14:paraId="3F0731DB" w14:textId="3A0CACE2" w:rsidR="000331EB" w:rsidRPr="00E8656C" w:rsidRDefault="000331EB" w:rsidP="00AC1207">
            <w:pPr>
              <w:pStyle w:val="Tabletextupdate"/>
              <w:framePr w:wrap="auto"/>
              <w:jc w:val="center"/>
              <w:rPr>
                <w:rFonts w:ascii="Arial" w:hAnsi="Arial" w:cs="Arial"/>
                <w:color w:val="auto"/>
              </w:rPr>
            </w:pPr>
            <w:r w:rsidRPr="00E8656C">
              <w:rPr>
                <w:rFonts w:ascii="Arial" w:hAnsi="Arial" w:cs="Arial"/>
                <w:color w:val="auto"/>
              </w:rPr>
              <w:t>39.</w:t>
            </w:r>
            <w:r w:rsidR="00BE2EA8" w:rsidRPr="00E8656C">
              <w:rPr>
                <w:rFonts w:ascii="Arial" w:hAnsi="Arial" w:cs="Arial"/>
                <w:color w:val="auto"/>
              </w:rPr>
              <w:t>5</w:t>
            </w:r>
          </w:p>
        </w:tc>
        <w:tc>
          <w:tcPr>
            <w:tcW w:w="412" w:type="pct"/>
            <w:vAlign w:val="center"/>
          </w:tcPr>
          <w:p w14:paraId="12107375" w14:textId="2E61E94B"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35.5</w:t>
            </w:r>
          </w:p>
        </w:tc>
        <w:tc>
          <w:tcPr>
            <w:tcW w:w="412" w:type="pct"/>
            <w:vAlign w:val="center"/>
          </w:tcPr>
          <w:p w14:paraId="1C29FB44" w14:textId="0CC9DB96"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38.2</w:t>
            </w:r>
          </w:p>
        </w:tc>
        <w:tc>
          <w:tcPr>
            <w:tcW w:w="404" w:type="pct"/>
            <w:vAlign w:val="center"/>
          </w:tcPr>
          <w:p w14:paraId="1199162E" w14:textId="286E29C4"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40.7</w:t>
            </w:r>
          </w:p>
        </w:tc>
        <w:tc>
          <w:tcPr>
            <w:tcW w:w="401" w:type="pct"/>
            <w:vAlign w:val="center"/>
          </w:tcPr>
          <w:p w14:paraId="38F49836" w14:textId="62405B7C"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43.7</w:t>
            </w:r>
          </w:p>
        </w:tc>
      </w:tr>
      <w:tr w:rsidR="004D7A82" w:rsidRPr="00E8656C" w14:paraId="0B36D9FB" w14:textId="77777777" w:rsidTr="00E8656C">
        <w:trPr>
          <w:trHeight w:val="60"/>
        </w:trPr>
        <w:tc>
          <w:tcPr>
            <w:tcW w:w="880" w:type="pct"/>
          </w:tcPr>
          <w:p w14:paraId="3FFD139C" w14:textId="34559F76" w:rsidR="000331EB" w:rsidRPr="00E8656C" w:rsidRDefault="00021A08" w:rsidP="005E74F1">
            <w:pPr>
              <w:pStyle w:val="Tabletextupdate"/>
              <w:framePr w:wrap="auto"/>
              <w:rPr>
                <w:rFonts w:ascii="Arial" w:hAnsi="Arial" w:cs="Arial"/>
                <w:b/>
                <w:bCs/>
                <w:color w:val="auto"/>
              </w:rPr>
            </w:pPr>
            <w:r w:rsidRPr="00E8656C">
              <w:rPr>
                <w:rFonts w:ascii="Arial" w:hAnsi="Arial" w:cs="Arial"/>
                <w:b/>
                <w:bCs/>
                <w:color w:val="auto"/>
              </w:rPr>
              <w:t>Home language***</w:t>
            </w:r>
          </w:p>
        </w:tc>
        <w:tc>
          <w:tcPr>
            <w:tcW w:w="843" w:type="pct"/>
            <w:tcMar>
              <w:top w:w="113" w:type="dxa"/>
              <w:left w:w="57" w:type="dxa"/>
              <w:bottom w:w="113" w:type="dxa"/>
              <w:right w:w="57" w:type="dxa"/>
            </w:tcMar>
          </w:tcPr>
          <w:p w14:paraId="6AE62003"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Other</w:t>
            </w:r>
          </w:p>
        </w:tc>
        <w:tc>
          <w:tcPr>
            <w:tcW w:w="412" w:type="pct"/>
            <w:vAlign w:val="center"/>
          </w:tcPr>
          <w:p w14:paraId="1966F2DA" w14:textId="2E92A8E5"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60.6</w:t>
            </w:r>
          </w:p>
        </w:tc>
        <w:tc>
          <w:tcPr>
            <w:tcW w:w="412" w:type="pct"/>
            <w:vAlign w:val="center"/>
          </w:tcPr>
          <w:p w14:paraId="1D7F4E11" w14:textId="27F1EBE9"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61.0</w:t>
            </w:r>
          </w:p>
        </w:tc>
        <w:tc>
          <w:tcPr>
            <w:tcW w:w="412" w:type="pct"/>
            <w:vAlign w:val="center"/>
          </w:tcPr>
          <w:p w14:paraId="37E2B6D8" w14:textId="5E1C2810"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61.5</w:t>
            </w:r>
          </w:p>
        </w:tc>
        <w:tc>
          <w:tcPr>
            <w:tcW w:w="412" w:type="pct"/>
            <w:vAlign w:val="center"/>
          </w:tcPr>
          <w:p w14:paraId="0F8D600D" w14:textId="3C05BCCD"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50.3</w:t>
            </w:r>
          </w:p>
        </w:tc>
        <w:tc>
          <w:tcPr>
            <w:tcW w:w="412" w:type="pct"/>
            <w:vAlign w:val="center"/>
          </w:tcPr>
          <w:p w14:paraId="3DAA958F" w14:textId="11C2F64A"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47.8</w:t>
            </w:r>
          </w:p>
        </w:tc>
        <w:tc>
          <w:tcPr>
            <w:tcW w:w="412" w:type="pct"/>
            <w:vAlign w:val="center"/>
          </w:tcPr>
          <w:p w14:paraId="543869B0" w14:textId="680450BA"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57.1</w:t>
            </w:r>
          </w:p>
        </w:tc>
        <w:tc>
          <w:tcPr>
            <w:tcW w:w="404" w:type="pct"/>
            <w:vAlign w:val="center"/>
          </w:tcPr>
          <w:p w14:paraId="133B5D81" w14:textId="13096231"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60.4</w:t>
            </w:r>
          </w:p>
        </w:tc>
        <w:tc>
          <w:tcPr>
            <w:tcW w:w="401" w:type="pct"/>
            <w:vAlign w:val="center"/>
          </w:tcPr>
          <w:p w14:paraId="677EEC29" w14:textId="6C28FEE4"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60.9</w:t>
            </w:r>
          </w:p>
        </w:tc>
      </w:tr>
      <w:tr w:rsidR="004D7A82" w:rsidRPr="00E8656C" w14:paraId="0E9BFCBC" w14:textId="77777777" w:rsidTr="00E8656C">
        <w:trPr>
          <w:trHeight w:val="60"/>
        </w:trPr>
        <w:tc>
          <w:tcPr>
            <w:tcW w:w="880" w:type="pct"/>
          </w:tcPr>
          <w:p w14:paraId="52553A0A"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Disability</w:t>
            </w:r>
          </w:p>
        </w:tc>
        <w:tc>
          <w:tcPr>
            <w:tcW w:w="843" w:type="pct"/>
            <w:tcMar>
              <w:top w:w="113" w:type="dxa"/>
              <w:left w:w="57" w:type="dxa"/>
              <w:bottom w:w="113" w:type="dxa"/>
              <w:right w:w="57" w:type="dxa"/>
            </w:tcMar>
          </w:tcPr>
          <w:p w14:paraId="2AA072E4"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Disability reported</w:t>
            </w:r>
          </w:p>
        </w:tc>
        <w:tc>
          <w:tcPr>
            <w:tcW w:w="412" w:type="pct"/>
            <w:vAlign w:val="center"/>
          </w:tcPr>
          <w:p w14:paraId="686465D3" w14:textId="2834CC1C"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38.8</w:t>
            </w:r>
          </w:p>
        </w:tc>
        <w:tc>
          <w:tcPr>
            <w:tcW w:w="412" w:type="pct"/>
            <w:vAlign w:val="center"/>
          </w:tcPr>
          <w:p w14:paraId="6EA3370D" w14:textId="36845EDE"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41.4</w:t>
            </w:r>
          </w:p>
        </w:tc>
        <w:tc>
          <w:tcPr>
            <w:tcW w:w="412" w:type="pct"/>
            <w:vAlign w:val="center"/>
          </w:tcPr>
          <w:p w14:paraId="0683E10B" w14:textId="7CD07F45"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40.7</w:t>
            </w:r>
          </w:p>
        </w:tc>
        <w:tc>
          <w:tcPr>
            <w:tcW w:w="412" w:type="pct"/>
            <w:vAlign w:val="center"/>
          </w:tcPr>
          <w:p w14:paraId="0C5D0518" w14:textId="14FB9CF5"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34.9</w:t>
            </w:r>
          </w:p>
        </w:tc>
        <w:tc>
          <w:tcPr>
            <w:tcW w:w="412" w:type="pct"/>
            <w:vAlign w:val="center"/>
          </w:tcPr>
          <w:p w14:paraId="67990FA1" w14:textId="74933B4E"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32.6</w:t>
            </w:r>
          </w:p>
        </w:tc>
        <w:tc>
          <w:tcPr>
            <w:tcW w:w="412" w:type="pct"/>
            <w:vAlign w:val="center"/>
          </w:tcPr>
          <w:p w14:paraId="75F9903E" w14:textId="5BACAAF3"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37.0</w:t>
            </w:r>
          </w:p>
        </w:tc>
        <w:tc>
          <w:tcPr>
            <w:tcW w:w="404" w:type="pct"/>
            <w:vAlign w:val="center"/>
          </w:tcPr>
          <w:p w14:paraId="021F84ED" w14:textId="1A7AEC86"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44</w:t>
            </w:r>
            <w:r w:rsidR="000331EB" w:rsidRPr="00E8656C">
              <w:rPr>
                <w:rFonts w:ascii="Arial" w:hAnsi="Arial" w:cs="Arial"/>
                <w:color w:val="auto"/>
              </w:rPr>
              <w:t>.3</w:t>
            </w:r>
          </w:p>
        </w:tc>
        <w:tc>
          <w:tcPr>
            <w:tcW w:w="401" w:type="pct"/>
            <w:vAlign w:val="center"/>
          </w:tcPr>
          <w:p w14:paraId="0E3B28E1" w14:textId="74CF08A7"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46.7</w:t>
            </w:r>
          </w:p>
        </w:tc>
      </w:tr>
      <w:tr w:rsidR="004D7A82" w:rsidRPr="00E8656C" w14:paraId="78E1DD5E" w14:textId="77777777" w:rsidTr="00E8656C">
        <w:trPr>
          <w:trHeight w:val="60"/>
        </w:trPr>
        <w:tc>
          <w:tcPr>
            <w:tcW w:w="880" w:type="pct"/>
          </w:tcPr>
          <w:p w14:paraId="113B7D3C" w14:textId="73969C9C" w:rsidR="000331EB" w:rsidRPr="00E8656C" w:rsidRDefault="00021A08" w:rsidP="005E74F1">
            <w:pPr>
              <w:pStyle w:val="Tabletextupdate"/>
              <w:framePr w:wrap="auto"/>
              <w:rPr>
                <w:rFonts w:ascii="Arial" w:hAnsi="Arial" w:cs="Arial"/>
                <w:b/>
                <w:bCs/>
                <w:color w:val="auto"/>
              </w:rPr>
            </w:pPr>
            <w:r w:rsidRPr="00E8656C">
              <w:rPr>
                <w:rFonts w:ascii="Arial" w:hAnsi="Arial" w:cs="Arial"/>
                <w:b/>
                <w:bCs/>
                <w:color w:val="auto"/>
              </w:rPr>
              <w:t>Disability</w:t>
            </w:r>
          </w:p>
        </w:tc>
        <w:tc>
          <w:tcPr>
            <w:tcW w:w="843" w:type="pct"/>
            <w:tcMar>
              <w:top w:w="113" w:type="dxa"/>
              <w:left w:w="57" w:type="dxa"/>
              <w:bottom w:w="113" w:type="dxa"/>
              <w:right w:w="57" w:type="dxa"/>
            </w:tcMar>
          </w:tcPr>
          <w:p w14:paraId="32401E78"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No disability reported</w:t>
            </w:r>
          </w:p>
        </w:tc>
        <w:tc>
          <w:tcPr>
            <w:tcW w:w="412" w:type="pct"/>
            <w:vAlign w:val="center"/>
          </w:tcPr>
          <w:p w14:paraId="60DDB9DC" w14:textId="24F8AB85"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48.6</w:t>
            </w:r>
          </w:p>
        </w:tc>
        <w:tc>
          <w:tcPr>
            <w:tcW w:w="412" w:type="pct"/>
            <w:vAlign w:val="center"/>
          </w:tcPr>
          <w:p w14:paraId="353005B6" w14:textId="014C1335"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51.4</w:t>
            </w:r>
          </w:p>
        </w:tc>
        <w:tc>
          <w:tcPr>
            <w:tcW w:w="412" w:type="pct"/>
            <w:vAlign w:val="center"/>
          </w:tcPr>
          <w:p w14:paraId="0E57FA53" w14:textId="5AE83774"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51.8</w:t>
            </w:r>
          </w:p>
        </w:tc>
        <w:tc>
          <w:tcPr>
            <w:tcW w:w="412" w:type="pct"/>
            <w:vAlign w:val="center"/>
          </w:tcPr>
          <w:p w14:paraId="602B0882" w14:textId="4F2846F6"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43.8</w:t>
            </w:r>
          </w:p>
        </w:tc>
        <w:tc>
          <w:tcPr>
            <w:tcW w:w="412" w:type="pct"/>
            <w:vAlign w:val="center"/>
          </w:tcPr>
          <w:p w14:paraId="6DF25291" w14:textId="7C8F31E9"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40.1</w:t>
            </w:r>
          </w:p>
        </w:tc>
        <w:tc>
          <w:tcPr>
            <w:tcW w:w="412" w:type="pct"/>
            <w:vAlign w:val="center"/>
          </w:tcPr>
          <w:p w14:paraId="045681BC" w14:textId="2967C2F7"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45.2</w:t>
            </w:r>
          </w:p>
        </w:tc>
        <w:tc>
          <w:tcPr>
            <w:tcW w:w="404" w:type="pct"/>
            <w:vAlign w:val="center"/>
          </w:tcPr>
          <w:p w14:paraId="05BBC2EC" w14:textId="3AD10F77"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48.9</w:t>
            </w:r>
          </w:p>
        </w:tc>
        <w:tc>
          <w:tcPr>
            <w:tcW w:w="401" w:type="pct"/>
            <w:vAlign w:val="center"/>
          </w:tcPr>
          <w:p w14:paraId="0F317F00" w14:textId="3A8C3C88"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52.3</w:t>
            </w:r>
          </w:p>
        </w:tc>
      </w:tr>
      <w:tr w:rsidR="004D7A82" w:rsidRPr="00E8656C" w14:paraId="28F23148" w14:textId="77777777" w:rsidTr="00E8656C">
        <w:trPr>
          <w:trHeight w:val="60"/>
        </w:trPr>
        <w:tc>
          <w:tcPr>
            <w:tcW w:w="880" w:type="pct"/>
          </w:tcPr>
          <w:p w14:paraId="0BF64C19"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Citizenship status</w:t>
            </w:r>
          </w:p>
        </w:tc>
        <w:tc>
          <w:tcPr>
            <w:tcW w:w="843" w:type="pct"/>
            <w:tcMar>
              <w:top w:w="113" w:type="dxa"/>
              <w:left w:w="57" w:type="dxa"/>
              <w:bottom w:w="113" w:type="dxa"/>
              <w:right w:w="57" w:type="dxa"/>
            </w:tcMar>
          </w:tcPr>
          <w:p w14:paraId="02D212C2"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Domestic</w:t>
            </w:r>
          </w:p>
        </w:tc>
        <w:tc>
          <w:tcPr>
            <w:tcW w:w="412" w:type="pct"/>
            <w:vAlign w:val="center"/>
          </w:tcPr>
          <w:p w14:paraId="50264E61" w14:textId="26F9140E"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39.6</w:t>
            </w:r>
          </w:p>
        </w:tc>
        <w:tc>
          <w:tcPr>
            <w:tcW w:w="412" w:type="pct"/>
            <w:vAlign w:val="center"/>
          </w:tcPr>
          <w:p w14:paraId="6899B807" w14:textId="0C7266BA"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41.0</w:t>
            </w:r>
          </w:p>
        </w:tc>
        <w:tc>
          <w:tcPr>
            <w:tcW w:w="412" w:type="pct"/>
            <w:vAlign w:val="center"/>
          </w:tcPr>
          <w:p w14:paraId="6C35DEC0" w14:textId="558A0657"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40.8</w:t>
            </w:r>
          </w:p>
        </w:tc>
        <w:tc>
          <w:tcPr>
            <w:tcW w:w="412" w:type="pct"/>
            <w:vAlign w:val="center"/>
          </w:tcPr>
          <w:p w14:paraId="69AF4F67" w14:textId="53DEE147"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36.8</w:t>
            </w:r>
          </w:p>
        </w:tc>
        <w:tc>
          <w:tcPr>
            <w:tcW w:w="412" w:type="pct"/>
            <w:vAlign w:val="center"/>
          </w:tcPr>
          <w:p w14:paraId="058612BD" w14:textId="3406AE25"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35.1</w:t>
            </w:r>
          </w:p>
        </w:tc>
        <w:tc>
          <w:tcPr>
            <w:tcW w:w="412" w:type="pct"/>
            <w:vAlign w:val="center"/>
          </w:tcPr>
          <w:p w14:paraId="03899ADB" w14:textId="45732B16"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37.3</w:t>
            </w:r>
          </w:p>
        </w:tc>
        <w:tc>
          <w:tcPr>
            <w:tcW w:w="404" w:type="pct"/>
            <w:vAlign w:val="center"/>
          </w:tcPr>
          <w:p w14:paraId="51066DE4" w14:textId="79DEE399"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37</w:t>
            </w:r>
            <w:r w:rsidR="000331EB" w:rsidRPr="00E8656C">
              <w:rPr>
                <w:rFonts w:ascii="Arial" w:hAnsi="Arial" w:cs="Arial"/>
                <w:color w:val="auto"/>
              </w:rPr>
              <w:t>.2</w:t>
            </w:r>
          </w:p>
        </w:tc>
        <w:tc>
          <w:tcPr>
            <w:tcW w:w="401" w:type="pct"/>
            <w:vAlign w:val="center"/>
          </w:tcPr>
          <w:p w14:paraId="7EB2B5B7" w14:textId="65F4D0AA"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37.9</w:t>
            </w:r>
          </w:p>
        </w:tc>
      </w:tr>
      <w:tr w:rsidR="004D7A82" w:rsidRPr="00E8656C" w14:paraId="3980F54A" w14:textId="77777777" w:rsidTr="00E8656C">
        <w:trPr>
          <w:trHeight w:val="60"/>
        </w:trPr>
        <w:tc>
          <w:tcPr>
            <w:tcW w:w="880" w:type="pct"/>
          </w:tcPr>
          <w:p w14:paraId="6E595E1C" w14:textId="5D07F854" w:rsidR="000331EB" w:rsidRPr="00E8656C" w:rsidRDefault="00021A08" w:rsidP="005E74F1">
            <w:pPr>
              <w:pStyle w:val="Tabletextupdate"/>
              <w:framePr w:wrap="auto"/>
              <w:rPr>
                <w:rFonts w:ascii="Arial" w:hAnsi="Arial" w:cs="Arial"/>
                <w:b/>
                <w:bCs/>
                <w:color w:val="auto"/>
              </w:rPr>
            </w:pPr>
            <w:r w:rsidRPr="00E8656C">
              <w:rPr>
                <w:rFonts w:ascii="Arial" w:hAnsi="Arial" w:cs="Arial"/>
                <w:b/>
                <w:bCs/>
                <w:color w:val="auto"/>
              </w:rPr>
              <w:t>Citizenship status</w:t>
            </w:r>
          </w:p>
        </w:tc>
        <w:tc>
          <w:tcPr>
            <w:tcW w:w="843" w:type="pct"/>
            <w:tcMar>
              <w:top w:w="113" w:type="dxa"/>
              <w:left w:w="57" w:type="dxa"/>
              <w:bottom w:w="113" w:type="dxa"/>
              <w:right w:w="57" w:type="dxa"/>
            </w:tcMar>
          </w:tcPr>
          <w:p w14:paraId="757C58E5"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International</w:t>
            </w:r>
          </w:p>
        </w:tc>
        <w:tc>
          <w:tcPr>
            <w:tcW w:w="412" w:type="pct"/>
            <w:vAlign w:val="center"/>
          </w:tcPr>
          <w:p w14:paraId="3E6B4BCB" w14:textId="2379B2A3"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59.7</w:t>
            </w:r>
          </w:p>
        </w:tc>
        <w:tc>
          <w:tcPr>
            <w:tcW w:w="412" w:type="pct"/>
            <w:vAlign w:val="center"/>
          </w:tcPr>
          <w:p w14:paraId="3547754D" w14:textId="7B43BB01"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61.0</w:t>
            </w:r>
          </w:p>
        </w:tc>
        <w:tc>
          <w:tcPr>
            <w:tcW w:w="412" w:type="pct"/>
            <w:vAlign w:val="center"/>
          </w:tcPr>
          <w:p w14:paraId="116BDA8D" w14:textId="2FE9F783"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61.3</w:t>
            </w:r>
          </w:p>
        </w:tc>
        <w:tc>
          <w:tcPr>
            <w:tcW w:w="412" w:type="pct"/>
            <w:vAlign w:val="center"/>
          </w:tcPr>
          <w:p w14:paraId="71AC02F3" w14:textId="68A4C960"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49.4</w:t>
            </w:r>
          </w:p>
        </w:tc>
        <w:tc>
          <w:tcPr>
            <w:tcW w:w="412" w:type="pct"/>
            <w:vAlign w:val="center"/>
          </w:tcPr>
          <w:p w14:paraId="6EFA192A" w14:textId="4BBB2D1D"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47.2</w:t>
            </w:r>
          </w:p>
        </w:tc>
        <w:tc>
          <w:tcPr>
            <w:tcW w:w="412" w:type="pct"/>
            <w:vAlign w:val="center"/>
          </w:tcPr>
          <w:p w14:paraId="0BA447E3" w14:textId="3580045C"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57.9</w:t>
            </w:r>
          </w:p>
        </w:tc>
        <w:tc>
          <w:tcPr>
            <w:tcW w:w="404" w:type="pct"/>
            <w:vAlign w:val="center"/>
          </w:tcPr>
          <w:p w14:paraId="38668B09" w14:textId="68283A1D"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61.1</w:t>
            </w:r>
          </w:p>
        </w:tc>
        <w:tc>
          <w:tcPr>
            <w:tcW w:w="401" w:type="pct"/>
            <w:vAlign w:val="center"/>
          </w:tcPr>
          <w:p w14:paraId="50F09B41" w14:textId="416F830B" w:rsidR="000331EB" w:rsidRPr="00E8656C" w:rsidRDefault="00BE2EA8" w:rsidP="00AC1207">
            <w:pPr>
              <w:pStyle w:val="Tabletextupdate"/>
              <w:framePr w:wrap="auto"/>
              <w:jc w:val="center"/>
              <w:rPr>
                <w:rFonts w:ascii="Arial" w:hAnsi="Arial" w:cs="Arial"/>
                <w:color w:val="auto"/>
              </w:rPr>
            </w:pPr>
            <w:r w:rsidRPr="00E8656C">
              <w:rPr>
                <w:rFonts w:ascii="Arial" w:hAnsi="Arial" w:cs="Arial"/>
                <w:color w:val="auto"/>
              </w:rPr>
              <w:t>62.1</w:t>
            </w:r>
          </w:p>
        </w:tc>
      </w:tr>
      <w:tr w:rsidR="004D7A82" w:rsidRPr="00E8656C" w14:paraId="19D5E2F0" w14:textId="77777777" w:rsidTr="005E54CB">
        <w:trPr>
          <w:trHeight w:val="60"/>
        </w:trPr>
        <w:tc>
          <w:tcPr>
            <w:tcW w:w="880" w:type="pct"/>
          </w:tcPr>
          <w:p w14:paraId="234EE835" w14:textId="5C014344"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lastRenderedPageBreak/>
              <w:t>First in family status</w:t>
            </w:r>
            <w:r w:rsidRPr="00E8656C">
              <w:rPr>
                <w:rFonts w:ascii="Arial" w:hAnsi="Arial" w:cs="Arial"/>
                <w:b/>
                <w:bCs/>
                <w:color w:val="auto"/>
                <w:vertAlign w:val="superscript"/>
              </w:rPr>
              <w:t>**</w:t>
            </w:r>
            <w:r w:rsidR="00D30C44" w:rsidRPr="00E8656C">
              <w:rPr>
                <w:rFonts w:ascii="Arial" w:hAnsi="Arial" w:cs="Arial"/>
                <w:b/>
                <w:bCs/>
                <w:color w:val="auto"/>
                <w:vertAlign w:val="superscript"/>
              </w:rPr>
              <w:t>**</w:t>
            </w:r>
          </w:p>
        </w:tc>
        <w:tc>
          <w:tcPr>
            <w:tcW w:w="843" w:type="pct"/>
            <w:tcMar>
              <w:top w:w="113" w:type="dxa"/>
              <w:left w:w="57" w:type="dxa"/>
              <w:bottom w:w="113" w:type="dxa"/>
              <w:right w:w="57" w:type="dxa"/>
            </w:tcMar>
          </w:tcPr>
          <w:p w14:paraId="252F084E"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First in family</w:t>
            </w:r>
          </w:p>
        </w:tc>
        <w:tc>
          <w:tcPr>
            <w:tcW w:w="412" w:type="pct"/>
            <w:vAlign w:val="center"/>
          </w:tcPr>
          <w:p w14:paraId="185E6404" w14:textId="069E6C48"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45.5</w:t>
            </w:r>
          </w:p>
        </w:tc>
        <w:tc>
          <w:tcPr>
            <w:tcW w:w="412" w:type="pct"/>
            <w:vAlign w:val="center"/>
          </w:tcPr>
          <w:p w14:paraId="782FB275" w14:textId="2B714C7E"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48.5</w:t>
            </w:r>
          </w:p>
        </w:tc>
        <w:tc>
          <w:tcPr>
            <w:tcW w:w="412" w:type="pct"/>
            <w:vAlign w:val="center"/>
          </w:tcPr>
          <w:p w14:paraId="58DE3DDF" w14:textId="1B7BED64"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48</w:t>
            </w:r>
            <w:r w:rsidR="000331EB" w:rsidRPr="00E8656C">
              <w:rPr>
                <w:rFonts w:ascii="Arial" w:hAnsi="Arial" w:cs="Arial"/>
                <w:color w:val="auto"/>
              </w:rPr>
              <w:t>.2</w:t>
            </w:r>
          </w:p>
        </w:tc>
        <w:tc>
          <w:tcPr>
            <w:tcW w:w="412" w:type="pct"/>
            <w:vAlign w:val="center"/>
          </w:tcPr>
          <w:p w14:paraId="60F86828" w14:textId="74E4DF3B"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41.6</w:t>
            </w:r>
          </w:p>
        </w:tc>
        <w:tc>
          <w:tcPr>
            <w:tcW w:w="412" w:type="pct"/>
            <w:vAlign w:val="center"/>
          </w:tcPr>
          <w:p w14:paraId="34C09FB2" w14:textId="4EE78CE5"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37.5</w:t>
            </w:r>
          </w:p>
        </w:tc>
        <w:tc>
          <w:tcPr>
            <w:tcW w:w="412" w:type="pct"/>
            <w:vAlign w:val="center"/>
          </w:tcPr>
          <w:p w14:paraId="5CBB4F59" w14:textId="57E096E0"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43.9</w:t>
            </w:r>
          </w:p>
        </w:tc>
        <w:tc>
          <w:tcPr>
            <w:tcW w:w="404" w:type="pct"/>
            <w:vAlign w:val="center"/>
          </w:tcPr>
          <w:p w14:paraId="18DFE173" w14:textId="199C757D"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48.6</w:t>
            </w:r>
          </w:p>
        </w:tc>
        <w:tc>
          <w:tcPr>
            <w:tcW w:w="401" w:type="pct"/>
            <w:vAlign w:val="center"/>
          </w:tcPr>
          <w:p w14:paraId="5FD8C3A1" w14:textId="09B9428B"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47</w:t>
            </w:r>
            <w:r w:rsidR="000331EB" w:rsidRPr="00E8656C">
              <w:rPr>
                <w:rFonts w:ascii="Arial" w:hAnsi="Arial" w:cs="Arial"/>
                <w:color w:val="auto"/>
              </w:rPr>
              <w:t>.7</w:t>
            </w:r>
          </w:p>
        </w:tc>
      </w:tr>
      <w:tr w:rsidR="004D7A82" w:rsidRPr="00E8656C" w14:paraId="5D2F49D4" w14:textId="77777777" w:rsidTr="005E54CB">
        <w:trPr>
          <w:trHeight w:val="60"/>
        </w:trPr>
        <w:tc>
          <w:tcPr>
            <w:tcW w:w="880" w:type="pct"/>
          </w:tcPr>
          <w:p w14:paraId="3D6FD6CC" w14:textId="3FD921EB" w:rsidR="000331EB" w:rsidRPr="00E8656C" w:rsidRDefault="00021A08" w:rsidP="005E74F1">
            <w:pPr>
              <w:pStyle w:val="Tabletextupdate"/>
              <w:framePr w:wrap="auto"/>
              <w:rPr>
                <w:rFonts w:ascii="Arial" w:hAnsi="Arial" w:cs="Arial"/>
                <w:b/>
                <w:bCs/>
                <w:color w:val="auto"/>
              </w:rPr>
            </w:pPr>
            <w:r w:rsidRPr="00E8656C">
              <w:rPr>
                <w:rFonts w:ascii="Arial" w:hAnsi="Arial" w:cs="Arial"/>
                <w:b/>
                <w:bCs/>
                <w:color w:val="auto"/>
              </w:rPr>
              <w:t>First in family status</w:t>
            </w:r>
            <w:r w:rsidRPr="00E8656C">
              <w:rPr>
                <w:rFonts w:ascii="Arial" w:hAnsi="Arial" w:cs="Arial"/>
                <w:b/>
                <w:bCs/>
                <w:color w:val="auto"/>
                <w:vertAlign w:val="superscript"/>
              </w:rPr>
              <w:t>****</w:t>
            </w:r>
          </w:p>
        </w:tc>
        <w:tc>
          <w:tcPr>
            <w:tcW w:w="843" w:type="pct"/>
            <w:tcMar>
              <w:top w:w="113" w:type="dxa"/>
              <w:left w:w="57" w:type="dxa"/>
              <w:bottom w:w="113" w:type="dxa"/>
              <w:right w:w="57" w:type="dxa"/>
            </w:tcMar>
          </w:tcPr>
          <w:p w14:paraId="06902023"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Not first in family</w:t>
            </w:r>
          </w:p>
        </w:tc>
        <w:tc>
          <w:tcPr>
            <w:tcW w:w="412" w:type="pct"/>
            <w:vAlign w:val="center"/>
          </w:tcPr>
          <w:p w14:paraId="622D91E4" w14:textId="19873D61"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47.1</w:t>
            </w:r>
          </w:p>
        </w:tc>
        <w:tc>
          <w:tcPr>
            <w:tcW w:w="412" w:type="pct"/>
            <w:vAlign w:val="center"/>
          </w:tcPr>
          <w:p w14:paraId="0942B3FE" w14:textId="64E51262"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49.5</w:t>
            </w:r>
          </w:p>
        </w:tc>
        <w:tc>
          <w:tcPr>
            <w:tcW w:w="412" w:type="pct"/>
            <w:vAlign w:val="center"/>
          </w:tcPr>
          <w:p w14:paraId="5EFFDAC8" w14:textId="527C3AFA"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50.8</w:t>
            </w:r>
          </w:p>
        </w:tc>
        <w:tc>
          <w:tcPr>
            <w:tcW w:w="412" w:type="pct"/>
            <w:vAlign w:val="center"/>
          </w:tcPr>
          <w:p w14:paraId="18791DC0" w14:textId="33A04AF7"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38.9</w:t>
            </w:r>
          </w:p>
        </w:tc>
        <w:tc>
          <w:tcPr>
            <w:tcW w:w="412" w:type="pct"/>
            <w:vAlign w:val="center"/>
          </w:tcPr>
          <w:p w14:paraId="79770239" w14:textId="77CC753F"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35</w:t>
            </w:r>
            <w:r w:rsidR="000331EB" w:rsidRPr="00E8656C">
              <w:rPr>
                <w:rFonts w:ascii="Arial" w:hAnsi="Arial" w:cs="Arial"/>
                <w:color w:val="auto"/>
              </w:rPr>
              <w:t>.6</w:t>
            </w:r>
          </w:p>
        </w:tc>
        <w:tc>
          <w:tcPr>
            <w:tcW w:w="412" w:type="pct"/>
            <w:vAlign w:val="center"/>
          </w:tcPr>
          <w:p w14:paraId="659D3CBD" w14:textId="12FD58A8"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45</w:t>
            </w:r>
            <w:r w:rsidR="000331EB" w:rsidRPr="00E8656C">
              <w:rPr>
                <w:rFonts w:ascii="Arial" w:hAnsi="Arial" w:cs="Arial"/>
                <w:color w:val="auto"/>
              </w:rPr>
              <w:t>.3</w:t>
            </w:r>
          </w:p>
        </w:tc>
        <w:tc>
          <w:tcPr>
            <w:tcW w:w="404" w:type="pct"/>
            <w:vAlign w:val="center"/>
          </w:tcPr>
          <w:p w14:paraId="5C301E90" w14:textId="32554147"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47.4</w:t>
            </w:r>
          </w:p>
        </w:tc>
        <w:tc>
          <w:tcPr>
            <w:tcW w:w="401" w:type="pct"/>
            <w:vAlign w:val="center"/>
          </w:tcPr>
          <w:p w14:paraId="3D11567A" w14:textId="640BCBD1" w:rsidR="000331EB" w:rsidRPr="00E8656C" w:rsidRDefault="000331EB" w:rsidP="005E54CB">
            <w:pPr>
              <w:pStyle w:val="Tabletextupdate"/>
              <w:framePr w:wrap="auto"/>
              <w:jc w:val="center"/>
              <w:rPr>
                <w:rFonts w:ascii="Arial" w:hAnsi="Arial" w:cs="Arial"/>
                <w:color w:val="auto"/>
              </w:rPr>
            </w:pPr>
            <w:r w:rsidRPr="00E8656C">
              <w:rPr>
                <w:rFonts w:ascii="Arial" w:hAnsi="Arial" w:cs="Arial"/>
                <w:color w:val="auto"/>
              </w:rPr>
              <w:t>47.</w:t>
            </w:r>
            <w:r w:rsidR="00BE2EA8" w:rsidRPr="00E8656C">
              <w:rPr>
                <w:rFonts w:ascii="Arial" w:hAnsi="Arial" w:cs="Arial"/>
                <w:color w:val="auto"/>
              </w:rPr>
              <w:t>4</w:t>
            </w:r>
          </w:p>
        </w:tc>
      </w:tr>
      <w:tr w:rsidR="004D7A82" w:rsidRPr="00E8656C" w14:paraId="775097B1" w14:textId="77777777" w:rsidTr="005E54CB">
        <w:trPr>
          <w:trHeight w:val="60"/>
        </w:trPr>
        <w:tc>
          <w:tcPr>
            <w:tcW w:w="880" w:type="pct"/>
          </w:tcPr>
          <w:p w14:paraId="7A303D1A" w14:textId="06E6BDDF"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Previous higher education experience</w:t>
            </w:r>
          </w:p>
        </w:tc>
        <w:tc>
          <w:tcPr>
            <w:tcW w:w="843" w:type="pct"/>
            <w:tcMar>
              <w:top w:w="113" w:type="dxa"/>
              <w:left w:w="57" w:type="dxa"/>
              <w:bottom w:w="113" w:type="dxa"/>
              <w:right w:w="57" w:type="dxa"/>
            </w:tcMar>
          </w:tcPr>
          <w:p w14:paraId="27A50EA6" w14:textId="77777777" w:rsidR="000331EB" w:rsidRPr="00E8656C" w:rsidRDefault="000331EB" w:rsidP="005E74F1">
            <w:pPr>
              <w:pStyle w:val="Tabletextupdate"/>
              <w:framePr w:wrap="auto"/>
              <w:rPr>
                <w:rFonts w:ascii="Arial" w:hAnsi="Arial" w:cs="Arial"/>
                <w:b/>
                <w:bCs/>
                <w:color w:val="auto"/>
              </w:rPr>
            </w:pPr>
            <w:r w:rsidRPr="00E8656C">
              <w:rPr>
                <w:rFonts w:ascii="Arial" w:hAnsi="Arial" w:cs="Arial"/>
                <w:b/>
                <w:bCs/>
                <w:color w:val="auto"/>
              </w:rPr>
              <w:t>At current institution</w:t>
            </w:r>
          </w:p>
        </w:tc>
        <w:tc>
          <w:tcPr>
            <w:tcW w:w="412" w:type="pct"/>
            <w:vAlign w:val="center"/>
          </w:tcPr>
          <w:p w14:paraId="022FC80E" w14:textId="40152EBD"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50.1</w:t>
            </w:r>
          </w:p>
        </w:tc>
        <w:tc>
          <w:tcPr>
            <w:tcW w:w="412" w:type="pct"/>
            <w:vAlign w:val="center"/>
          </w:tcPr>
          <w:p w14:paraId="7E1A7B14" w14:textId="589EF7EA"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51.5</w:t>
            </w:r>
          </w:p>
        </w:tc>
        <w:tc>
          <w:tcPr>
            <w:tcW w:w="412" w:type="pct"/>
            <w:vAlign w:val="center"/>
          </w:tcPr>
          <w:p w14:paraId="58F09EBC" w14:textId="567B9976"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51.8</w:t>
            </w:r>
          </w:p>
        </w:tc>
        <w:tc>
          <w:tcPr>
            <w:tcW w:w="412" w:type="pct"/>
            <w:vAlign w:val="center"/>
          </w:tcPr>
          <w:p w14:paraId="2206756E" w14:textId="4FB98906" w:rsidR="000331EB" w:rsidRPr="00E8656C" w:rsidRDefault="000331EB" w:rsidP="005E54CB">
            <w:pPr>
              <w:pStyle w:val="Tabletextupdate"/>
              <w:framePr w:wrap="auto"/>
              <w:jc w:val="center"/>
              <w:rPr>
                <w:rFonts w:ascii="Arial" w:hAnsi="Arial" w:cs="Arial"/>
                <w:color w:val="auto"/>
              </w:rPr>
            </w:pPr>
            <w:r w:rsidRPr="00E8656C">
              <w:rPr>
                <w:rFonts w:ascii="Arial" w:hAnsi="Arial" w:cs="Arial"/>
                <w:color w:val="auto"/>
              </w:rPr>
              <w:t>41.</w:t>
            </w:r>
            <w:r w:rsidR="00BE2EA8" w:rsidRPr="00E8656C">
              <w:rPr>
                <w:rFonts w:ascii="Arial" w:hAnsi="Arial" w:cs="Arial"/>
                <w:color w:val="auto"/>
              </w:rPr>
              <w:t>5</w:t>
            </w:r>
          </w:p>
        </w:tc>
        <w:tc>
          <w:tcPr>
            <w:tcW w:w="412" w:type="pct"/>
            <w:vAlign w:val="center"/>
          </w:tcPr>
          <w:p w14:paraId="6CD3BC59" w14:textId="4318E598"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41.6</w:t>
            </w:r>
          </w:p>
        </w:tc>
        <w:tc>
          <w:tcPr>
            <w:tcW w:w="412" w:type="pct"/>
            <w:vAlign w:val="center"/>
          </w:tcPr>
          <w:p w14:paraId="11ED95CD" w14:textId="290537D5"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46.8</w:t>
            </w:r>
          </w:p>
        </w:tc>
        <w:tc>
          <w:tcPr>
            <w:tcW w:w="404" w:type="pct"/>
            <w:vAlign w:val="center"/>
          </w:tcPr>
          <w:p w14:paraId="62988980" w14:textId="365880E1" w:rsidR="000331EB" w:rsidRPr="00E8656C" w:rsidRDefault="000331EB" w:rsidP="005E54CB">
            <w:pPr>
              <w:pStyle w:val="Tabletextupdate"/>
              <w:framePr w:wrap="auto"/>
              <w:jc w:val="center"/>
              <w:rPr>
                <w:rFonts w:ascii="Arial" w:hAnsi="Arial" w:cs="Arial"/>
                <w:color w:val="auto"/>
              </w:rPr>
            </w:pPr>
            <w:r w:rsidRPr="00E8656C">
              <w:rPr>
                <w:rFonts w:ascii="Arial" w:hAnsi="Arial" w:cs="Arial"/>
                <w:color w:val="auto"/>
              </w:rPr>
              <w:t>47.</w:t>
            </w:r>
            <w:r w:rsidR="00BE2EA8" w:rsidRPr="00E8656C">
              <w:rPr>
                <w:rFonts w:ascii="Arial" w:hAnsi="Arial" w:cs="Arial"/>
                <w:color w:val="auto"/>
              </w:rPr>
              <w:t>8</w:t>
            </w:r>
          </w:p>
        </w:tc>
        <w:tc>
          <w:tcPr>
            <w:tcW w:w="401" w:type="pct"/>
            <w:vAlign w:val="center"/>
          </w:tcPr>
          <w:p w14:paraId="10DFDDE7" w14:textId="66A16BA9" w:rsidR="000331EB" w:rsidRPr="00E8656C" w:rsidRDefault="00BE2EA8" w:rsidP="005E54CB">
            <w:pPr>
              <w:pStyle w:val="Tabletextupdate"/>
              <w:framePr w:wrap="auto"/>
              <w:jc w:val="center"/>
              <w:rPr>
                <w:rFonts w:ascii="Arial" w:hAnsi="Arial" w:cs="Arial"/>
                <w:color w:val="auto"/>
              </w:rPr>
            </w:pPr>
            <w:r w:rsidRPr="00E8656C">
              <w:rPr>
                <w:rFonts w:ascii="Arial" w:hAnsi="Arial" w:cs="Arial"/>
                <w:color w:val="auto"/>
              </w:rPr>
              <w:t>47.6</w:t>
            </w:r>
          </w:p>
        </w:tc>
      </w:tr>
      <w:tr w:rsidR="00021A08" w:rsidRPr="00E8656C" w14:paraId="075D33B9" w14:textId="77777777" w:rsidTr="005E54CB">
        <w:trPr>
          <w:trHeight w:val="60"/>
        </w:trPr>
        <w:tc>
          <w:tcPr>
            <w:tcW w:w="880" w:type="pct"/>
          </w:tcPr>
          <w:p w14:paraId="69D86B04" w14:textId="24FAF204" w:rsidR="00021A08" w:rsidRPr="00E8656C" w:rsidRDefault="00021A08" w:rsidP="00021A08">
            <w:pPr>
              <w:pStyle w:val="Tabletextupdate"/>
              <w:framePr w:wrap="auto"/>
              <w:rPr>
                <w:rFonts w:ascii="Arial" w:hAnsi="Arial" w:cs="Arial"/>
                <w:b/>
                <w:bCs/>
                <w:color w:val="auto"/>
              </w:rPr>
            </w:pPr>
            <w:r w:rsidRPr="00E8656C">
              <w:rPr>
                <w:rFonts w:ascii="Arial" w:hAnsi="Arial" w:cs="Arial"/>
                <w:b/>
                <w:bCs/>
                <w:color w:val="auto"/>
              </w:rPr>
              <w:t>Previous higher education experience</w:t>
            </w:r>
          </w:p>
        </w:tc>
        <w:tc>
          <w:tcPr>
            <w:tcW w:w="843" w:type="pct"/>
            <w:tcMar>
              <w:top w:w="113" w:type="dxa"/>
              <w:left w:w="57" w:type="dxa"/>
              <w:bottom w:w="113" w:type="dxa"/>
              <w:right w:w="57" w:type="dxa"/>
            </w:tcMar>
          </w:tcPr>
          <w:p w14:paraId="2E8E7343" w14:textId="77777777" w:rsidR="00021A08" w:rsidRPr="00E8656C" w:rsidRDefault="00021A08" w:rsidP="00021A08">
            <w:pPr>
              <w:pStyle w:val="Tabletextupdate"/>
              <w:framePr w:wrap="auto"/>
              <w:rPr>
                <w:rFonts w:ascii="Arial" w:hAnsi="Arial" w:cs="Arial"/>
                <w:b/>
                <w:bCs/>
                <w:color w:val="auto"/>
              </w:rPr>
            </w:pPr>
            <w:r w:rsidRPr="00E8656C">
              <w:rPr>
                <w:rFonts w:ascii="Arial" w:hAnsi="Arial" w:cs="Arial"/>
                <w:b/>
                <w:bCs/>
                <w:color w:val="auto"/>
              </w:rPr>
              <w:t>At another institution</w:t>
            </w:r>
          </w:p>
        </w:tc>
        <w:tc>
          <w:tcPr>
            <w:tcW w:w="412" w:type="pct"/>
            <w:vAlign w:val="center"/>
          </w:tcPr>
          <w:p w14:paraId="29E8A004" w14:textId="3A5814B5"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44.3</w:t>
            </w:r>
          </w:p>
        </w:tc>
        <w:tc>
          <w:tcPr>
            <w:tcW w:w="412" w:type="pct"/>
            <w:vAlign w:val="center"/>
          </w:tcPr>
          <w:p w14:paraId="5C4F88A7" w14:textId="2A037C76"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46.9</w:t>
            </w:r>
          </w:p>
        </w:tc>
        <w:tc>
          <w:tcPr>
            <w:tcW w:w="412" w:type="pct"/>
            <w:vAlign w:val="center"/>
          </w:tcPr>
          <w:p w14:paraId="723A4848" w14:textId="0DB5581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47.2</w:t>
            </w:r>
          </w:p>
        </w:tc>
        <w:tc>
          <w:tcPr>
            <w:tcW w:w="412" w:type="pct"/>
            <w:vAlign w:val="center"/>
          </w:tcPr>
          <w:p w14:paraId="40F3D549" w14:textId="219A94CC"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39.5</w:t>
            </w:r>
          </w:p>
        </w:tc>
        <w:tc>
          <w:tcPr>
            <w:tcW w:w="412" w:type="pct"/>
            <w:vAlign w:val="center"/>
          </w:tcPr>
          <w:p w14:paraId="654A3758" w14:textId="55148D25"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34.8</w:t>
            </w:r>
          </w:p>
        </w:tc>
        <w:tc>
          <w:tcPr>
            <w:tcW w:w="412" w:type="pct"/>
            <w:vAlign w:val="center"/>
          </w:tcPr>
          <w:p w14:paraId="6B3A2566" w14:textId="5AC04224"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43.3</w:t>
            </w:r>
          </w:p>
        </w:tc>
        <w:tc>
          <w:tcPr>
            <w:tcW w:w="404" w:type="pct"/>
            <w:vAlign w:val="center"/>
          </w:tcPr>
          <w:p w14:paraId="30B9B29E" w14:textId="198C54B0"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47.9</w:t>
            </w:r>
          </w:p>
        </w:tc>
        <w:tc>
          <w:tcPr>
            <w:tcW w:w="401" w:type="pct"/>
            <w:vAlign w:val="center"/>
          </w:tcPr>
          <w:p w14:paraId="5F0614EA" w14:textId="1B2465BE"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48.6</w:t>
            </w:r>
          </w:p>
        </w:tc>
      </w:tr>
      <w:tr w:rsidR="00021A08" w:rsidRPr="00E8656C" w14:paraId="7036F764" w14:textId="77777777" w:rsidTr="005E54CB">
        <w:trPr>
          <w:trHeight w:val="60"/>
        </w:trPr>
        <w:tc>
          <w:tcPr>
            <w:tcW w:w="880" w:type="pct"/>
          </w:tcPr>
          <w:p w14:paraId="1D95E41A" w14:textId="4A2354E6" w:rsidR="00021A08" w:rsidRPr="00E8656C" w:rsidRDefault="00021A08" w:rsidP="00021A08">
            <w:pPr>
              <w:pStyle w:val="Tabletextupdate"/>
              <w:framePr w:wrap="auto"/>
              <w:rPr>
                <w:rFonts w:ascii="Arial" w:hAnsi="Arial" w:cs="Arial"/>
                <w:b/>
                <w:bCs/>
                <w:color w:val="auto"/>
              </w:rPr>
            </w:pPr>
            <w:r w:rsidRPr="00E8656C">
              <w:rPr>
                <w:rFonts w:ascii="Arial" w:hAnsi="Arial" w:cs="Arial"/>
                <w:b/>
                <w:bCs/>
                <w:color w:val="auto"/>
              </w:rPr>
              <w:t>Previous higher education experience</w:t>
            </w:r>
          </w:p>
        </w:tc>
        <w:tc>
          <w:tcPr>
            <w:tcW w:w="843" w:type="pct"/>
            <w:tcMar>
              <w:top w:w="113" w:type="dxa"/>
              <w:left w:w="57" w:type="dxa"/>
              <w:bottom w:w="113" w:type="dxa"/>
              <w:right w:w="57" w:type="dxa"/>
            </w:tcMar>
          </w:tcPr>
          <w:p w14:paraId="1A5C6D26" w14:textId="77777777" w:rsidR="00021A08" w:rsidRPr="00E8656C" w:rsidRDefault="00021A08" w:rsidP="00021A08">
            <w:pPr>
              <w:pStyle w:val="Tabletextupdate"/>
              <w:framePr w:wrap="auto"/>
              <w:rPr>
                <w:rFonts w:ascii="Arial" w:hAnsi="Arial" w:cs="Arial"/>
                <w:b/>
                <w:bCs/>
                <w:color w:val="auto"/>
              </w:rPr>
            </w:pPr>
            <w:r w:rsidRPr="00E8656C">
              <w:rPr>
                <w:rFonts w:ascii="Arial" w:hAnsi="Arial" w:cs="Arial"/>
                <w:b/>
                <w:bCs/>
                <w:color w:val="auto"/>
              </w:rPr>
              <w:t>New to higher education</w:t>
            </w:r>
          </w:p>
        </w:tc>
        <w:tc>
          <w:tcPr>
            <w:tcW w:w="412" w:type="pct"/>
            <w:vAlign w:val="center"/>
          </w:tcPr>
          <w:p w14:paraId="66D40B04" w14:textId="1F98DF7A"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58.9</w:t>
            </w:r>
          </w:p>
        </w:tc>
        <w:tc>
          <w:tcPr>
            <w:tcW w:w="412" w:type="pct"/>
            <w:vAlign w:val="center"/>
          </w:tcPr>
          <w:p w14:paraId="6FB78BD7" w14:textId="1AF40E4F"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61.3</w:t>
            </w:r>
          </w:p>
        </w:tc>
        <w:tc>
          <w:tcPr>
            <w:tcW w:w="412" w:type="pct"/>
            <w:vAlign w:val="center"/>
          </w:tcPr>
          <w:p w14:paraId="6F7CACD1" w14:textId="65BB9E7C"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61.4</w:t>
            </w:r>
          </w:p>
        </w:tc>
        <w:tc>
          <w:tcPr>
            <w:tcW w:w="412" w:type="pct"/>
            <w:vAlign w:val="center"/>
          </w:tcPr>
          <w:p w14:paraId="1CFEB58E" w14:textId="6ABF8223"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48.9</w:t>
            </w:r>
          </w:p>
        </w:tc>
        <w:tc>
          <w:tcPr>
            <w:tcW w:w="412" w:type="pct"/>
            <w:vAlign w:val="center"/>
          </w:tcPr>
          <w:p w14:paraId="7287C427" w14:textId="545663D5"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42.3</w:t>
            </w:r>
          </w:p>
        </w:tc>
        <w:tc>
          <w:tcPr>
            <w:tcW w:w="412" w:type="pct"/>
            <w:vAlign w:val="center"/>
          </w:tcPr>
          <w:p w14:paraId="5D7CF584" w14:textId="7AD7E9A4"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59.5</w:t>
            </w:r>
          </w:p>
        </w:tc>
        <w:tc>
          <w:tcPr>
            <w:tcW w:w="404" w:type="pct"/>
            <w:vAlign w:val="center"/>
          </w:tcPr>
          <w:p w14:paraId="1DE3B1C8" w14:textId="3F0E2CE2"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63.8</w:t>
            </w:r>
          </w:p>
        </w:tc>
        <w:tc>
          <w:tcPr>
            <w:tcW w:w="401" w:type="pct"/>
            <w:vAlign w:val="center"/>
          </w:tcPr>
          <w:p w14:paraId="4327FD8E" w14:textId="338EBD27" w:rsidR="00021A08" w:rsidRPr="00E8656C" w:rsidRDefault="00021A08" w:rsidP="005E54CB">
            <w:pPr>
              <w:pStyle w:val="Tabletextupdate"/>
              <w:framePr w:wrap="auto"/>
              <w:jc w:val="center"/>
              <w:rPr>
                <w:rFonts w:ascii="Arial" w:hAnsi="Arial" w:cs="Arial"/>
                <w:color w:val="auto"/>
              </w:rPr>
            </w:pPr>
            <w:r w:rsidRPr="00E8656C">
              <w:rPr>
                <w:rFonts w:ascii="Arial" w:hAnsi="Arial" w:cs="Arial"/>
                <w:color w:val="auto"/>
              </w:rPr>
              <w:t>63.1</w:t>
            </w:r>
          </w:p>
        </w:tc>
      </w:tr>
      <w:tr w:rsidR="006C7824" w:rsidRPr="00E8656C" w14:paraId="20082A1C" w14:textId="77777777" w:rsidTr="005E54CB">
        <w:trPr>
          <w:trHeight w:val="60"/>
        </w:trPr>
        <w:tc>
          <w:tcPr>
            <w:tcW w:w="880" w:type="pct"/>
          </w:tcPr>
          <w:p w14:paraId="07BDAA1F" w14:textId="6DF54526"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Socio-economic status</w:t>
            </w:r>
            <w:r w:rsidRPr="00E8656C">
              <w:rPr>
                <w:rFonts w:ascii="Arial" w:hAnsi="Arial" w:cs="Arial"/>
                <w:b/>
                <w:bCs/>
                <w:color w:val="auto"/>
                <w:vertAlign w:val="superscript"/>
              </w:rPr>
              <w:t>**†</w:t>
            </w:r>
          </w:p>
        </w:tc>
        <w:tc>
          <w:tcPr>
            <w:tcW w:w="843" w:type="pct"/>
            <w:tcMar>
              <w:top w:w="113" w:type="dxa"/>
              <w:left w:w="57" w:type="dxa"/>
              <w:bottom w:w="113" w:type="dxa"/>
              <w:right w:w="57" w:type="dxa"/>
            </w:tcMar>
          </w:tcPr>
          <w:p w14:paraId="1234253B" w14:textId="77777777"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 xml:space="preserve">High </w:t>
            </w:r>
          </w:p>
        </w:tc>
        <w:tc>
          <w:tcPr>
            <w:tcW w:w="412" w:type="pct"/>
            <w:vAlign w:val="center"/>
          </w:tcPr>
          <w:p w14:paraId="75850439" w14:textId="50798BF6"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38.4</w:t>
            </w:r>
          </w:p>
        </w:tc>
        <w:tc>
          <w:tcPr>
            <w:tcW w:w="412" w:type="pct"/>
            <w:vAlign w:val="center"/>
          </w:tcPr>
          <w:p w14:paraId="0AFFFCF7" w14:textId="61FB4FC1"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38.8</w:t>
            </w:r>
          </w:p>
        </w:tc>
        <w:tc>
          <w:tcPr>
            <w:tcW w:w="412" w:type="pct"/>
            <w:vAlign w:val="center"/>
          </w:tcPr>
          <w:p w14:paraId="199845C2" w14:textId="012F94D4"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38.7</w:t>
            </w:r>
          </w:p>
        </w:tc>
        <w:tc>
          <w:tcPr>
            <w:tcW w:w="412" w:type="pct"/>
            <w:vAlign w:val="center"/>
          </w:tcPr>
          <w:p w14:paraId="01B8D588" w14:textId="196D4A35"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34.2</w:t>
            </w:r>
          </w:p>
        </w:tc>
        <w:tc>
          <w:tcPr>
            <w:tcW w:w="412" w:type="pct"/>
            <w:vAlign w:val="center"/>
          </w:tcPr>
          <w:p w14:paraId="2AE482C5" w14:textId="10C487C8"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32.1</w:t>
            </w:r>
          </w:p>
        </w:tc>
        <w:tc>
          <w:tcPr>
            <w:tcW w:w="412" w:type="pct"/>
            <w:vAlign w:val="center"/>
          </w:tcPr>
          <w:p w14:paraId="1B799A89" w14:textId="5E99CF4B"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34.5</w:t>
            </w:r>
          </w:p>
        </w:tc>
        <w:tc>
          <w:tcPr>
            <w:tcW w:w="404" w:type="pct"/>
            <w:vAlign w:val="center"/>
          </w:tcPr>
          <w:p w14:paraId="232A3185" w14:textId="4DB26B51"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33.6</w:t>
            </w:r>
          </w:p>
        </w:tc>
        <w:tc>
          <w:tcPr>
            <w:tcW w:w="401" w:type="pct"/>
            <w:vAlign w:val="center"/>
          </w:tcPr>
          <w:p w14:paraId="24BA7430" w14:textId="7F95CDC1" w:rsidR="006C7824" w:rsidRPr="00E8656C" w:rsidRDefault="006C7824" w:rsidP="005E54CB">
            <w:pPr>
              <w:pStyle w:val="Tabletextupdate"/>
              <w:framePr w:wrap="auto"/>
              <w:jc w:val="center"/>
              <w:rPr>
                <w:rFonts w:ascii="Arial" w:hAnsi="Arial" w:cs="Arial"/>
                <w:color w:val="auto"/>
              </w:rPr>
            </w:pPr>
            <w:r w:rsidRPr="00517FD9">
              <w:rPr>
                <w:sz w:val="18"/>
              </w:rPr>
              <w:t>35.3</w:t>
            </w:r>
          </w:p>
        </w:tc>
      </w:tr>
      <w:tr w:rsidR="006C7824" w:rsidRPr="00E8656C" w14:paraId="36B98575" w14:textId="77777777" w:rsidTr="005E54CB">
        <w:trPr>
          <w:trHeight w:val="60"/>
        </w:trPr>
        <w:tc>
          <w:tcPr>
            <w:tcW w:w="880" w:type="pct"/>
          </w:tcPr>
          <w:p w14:paraId="74443163" w14:textId="3F8924A3"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Socio-economic status</w:t>
            </w:r>
            <w:r w:rsidRPr="00E8656C">
              <w:rPr>
                <w:rFonts w:ascii="Arial" w:hAnsi="Arial" w:cs="Arial"/>
                <w:b/>
                <w:bCs/>
                <w:color w:val="auto"/>
                <w:vertAlign w:val="superscript"/>
              </w:rPr>
              <w:t>**†</w:t>
            </w:r>
          </w:p>
        </w:tc>
        <w:tc>
          <w:tcPr>
            <w:tcW w:w="843" w:type="pct"/>
            <w:tcMar>
              <w:top w:w="113" w:type="dxa"/>
              <w:left w:w="57" w:type="dxa"/>
              <w:bottom w:w="113" w:type="dxa"/>
              <w:right w:w="57" w:type="dxa"/>
            </w:tcMar>
          </w:tcPr>
          <w:p w14:paraId="77278C29" w14:textId="77777777"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 xml:space="preserve">Medium </w:t>
            </w:r>
          </w:p>
        </w:tc>
        <w:tc>
          <w:tcPr>
            <w:tcW w:w="412" w:type="pct"/>
            <w:vAlign w:val="center"/>
          </w:tcPr>
          <w:p w14:paraId="433901FF" w14:textId="50CBD658"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40.4</w:t>
            </w:r>
          </w:p>
        </w:tc>
        <w:tc>
          <w:tcPr>
            <w:tcW w:w="412" w:type="pct"/>
            <w:vAlign w:val="center"/>
          </w:tcPr>
          <w:p w14:paraId="7D0E6C46" w14:textId="36EAD898"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41.9</w:t>
            </w:r>
          </w:p>
        </w:tc>
        <w:tc>
          <w:tcPr>
            <w:tcW w:w="412" w:type="pct"/>
            <w:vAlign w:val="center"/>
          </w:tcPr>
          <w:p w14:paraId="2D5CB510" w14:textId="6A8404E6"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41.9</w:t>
            </w:r>
          </w:p>
        </w:tc>
        <w:tc>
          <w:tcPr>
            <w:tcW w:w="412" w:type="pct"/>
            <w:vAlign w:val="center"/>
          </w:tcPr>
          <w:p w14:paraId="589AF590" w14:textId="65BCE8E8"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38.1</w:t>
            </w:r>
          </w:p>
        </w:tc>
        <w:tc>
          <w:tcPr>
            <w:tcW w:w="412" w:type="pct"/>
            <w:vAlign w:val="center"/>
          </w:tcPr>
          <w:p w14:paraId="4BCB6B7B" w14:textId="1B400811"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36.6</w:t>
            </w:r>
          </w:p>
        </w:tc>
        <w:tc>
          <w:tcPr>
            <w:tcW w:w="412" w:type="pct"/>
            <w:vAlign w:val="center"/>
          </w:tcPr>
          <w:p w14:paraId="55E7232D" w14:textId="02822A5A"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38.4</w:t>
            </w:r>
          </w:p>
        </w:tc>
        <w:tc>
          <w:tcPr>
            <w:tcW w:w="404" w:type="pct"/>
            <w:vAlign w:val="center"/>
          </w:tcPr>
          <w:p w14:paraId="1F3D58DB" w14:textId="569F7EAF"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38.7</w:t>
            </w:r>
          </w:p>
        </w:tc>
        <w:tc>
          <w:tcPr>
            <w:tcW w:w="401" w:type="pct"/>
            <w:vAlign w:val="center"/>
          </w:tcPr>
          <w:p w14:paraId="0F86856E" w14:textId="310350B6" w:rsidR="006C7824" w:rsidRPr="00E8656C" w:rsidRDefault="006C7824" w:rsidP="005E54CB">
            <w:pPr>
              <w:pStyle w:val="Tabletextupdate"/>
              <w:framePr w:wrap="auto"/>
              <w:jc w:val="center"/>
              <w:rPr>
                <w:rFonts w:ascii="Arial" w:hAnsi="Arial" w:cs="Arial"/>
                <w:color w:val="auto"/>
              </w:rPr>
            </w:pPr>
            <w:r w:rsidRPr="00517FD9">
              <w:rPr>
                <w:sz w:val="18"/>
              </w:rPr>
              <w:t>39.5</w:t>
            </w:r>
          </w:p>
        </w:tc>
      </w:tr>
      <w:tr w:rsidR="006C7824" w:rsidRPr="00E8656C" w14:paraId="22FC2647" w14:textId="77777777" w:rsidTr="005E54CB">
        <w:trPr>
          <w:trHeight w:val="60"/>
        </w:trPr>
        <w:tc>
          <w:tcPr>
            <w:tcW w:w="880" w:type="pct"/>
          </w:tcPr>
          <w:p w14:paraId="0641B1B3" w14:textId="0B4F4661"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Socio-economic status</w:t>
            </w:r>
            <w:r w:rsidRPr="00E8656C">
              <w:rPr>
                <w:rFonts w:ascii="Arial" w:hAnsi="Arial" w:cs="Arial"/>
                <w:b/>
                <w:bCs/>
                <w:color w:val="auto"/>
                <w:vertAlign w:val="superscript"/>
              </w:rPr>
              <w:t>**†</w:t>
            </w:r>
          </w:p>
        </w:tc>
        <w:tc>
          <w:tcPr>
            <w:tcW w:w="843" w:type="pct"/>
            <w:tcMar>
              <w:top w:w="113" w:type="dxa"/>
              <w:left w:w="57" w:type="dxa"/>
              <w:bottom w:w="113" w:type="dxa"/>
              <w:right w:w="57" w:type="dxa"/>
            </w:tcMar>
          </w:tcPr>
          <w:p w14:paraId="214ACB7D" w14:textId="77777777"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Low</w:t>
            </w:r>
          </w:p>
        </w:tc>
        <w:tc>
          <w:tcPr>
            <w:tcW w:w="412" w:type="pct"/>
            <w:vAlign w:val="center"/>
          </w:tcPr>
          <w:p w14:paraId="4D6D3B5F" w14:textId="3FCBDE10"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40.3</w:t>
            </w:r>
          </w:p>
        </w:tc>
        <w:tc>
          <w:tcPr>
            <w:tcW w:w="412" w:type="pct"/>
            <w:vAlign w:val="center"/>
          </w:tcPr>
          <w:p w14:paraId="728B97DB" w14:textId="0B12D82B"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44.8</w:t>
            </w:r>
          </w:p>
        </w:tc>
        <w:tc>
          <w:tcPr>
            <w:tcW w:w="412" w:type="pct"/>
            <w:vAlign w:val="center"/>
          </w:tcPr>
          <w:p w14:paraId="704D9F6C" w14:textId="6CFBA09E"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43.2</w:t>
            </w:r>
          </w:p>
        </w:tc>
        <w:tc>
          <w:tcPr>
            <w:tcW w:w="412" w:type="pct"/>
            <w:vAlign w:val="center"/>
          </w:tcPr>
          <w:p w14:paraId="6CE9DD9B" w14:textId="0C4DB3AE"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39.8</w:t>
            </w:r>
          </w:p>
        </w:tc>
        <w:tc>
          <w:tcPr>
            <w:tcW w:w="412" w:type="pct"/>
            <w:vAlign w:val="center"/>
          </w:tcPr>
          <w:p w14:paraId="62E76863" w14:textId="1BF2CB71"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37.9</w:t>
            </w:r>
          </w:p>
        </w:tc>
        <w:tc>
          <w:tcPr>
            <w:tcW w:w="412" w:type="pct"/>
            <w:vAlign w:val="center"/>
          </w:tcPr>
          <w:p w14:paraId="629C7927" w14:textId="4C736E7D"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39.5</w:t>
            </w:r>
          </w:p>
        </w:tc>
        <w:tc>
          <w:tcPr>
            <w:tcW w:w="404" w:type="pct"/>
            <w:vAlign w:val="center"/>
          </w:tcPr>
          <w:p w14:paraId="27E0A92F" w14:textId="03629358"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38.8</w:t>
            </w:r>
          </w:p>
        </w:tc>
        <w:tc>
          <w:tcPr>
            <w:tcW w:w="401" w:type="pct"/>
            <w:vAlign w:val="center"/>
          </w:tcPr>
          <w:p w14:paraId="70C725A5" w14:textId="673C29A9" w:rsidR="006C7824" w:rsidRPr="00E8656C" w:rsidRDefault="006C7824" w:rsidP="005E54CB">
            <w:pPr>
              <w:pStyle w:val="Tabletextupdate"/>
              <w:framePr w:wrap="auto"/>
              <w:jc w:val="center"/>
              <w:rPr>
                <w:rFonts w:ascii="Arial" w:hAnsi="Arial" w:cs="Arial"/>
                <w:color w:val="auto"/>
              </w:rPr>
            </w:pPr>
            <w:r w:rsidRPr="00517FD9">
              <w:rPr>
                <w:sz w:val="18"/>
              </w:rPr>
              <w:t>39.9</w:t>
            </w:r>
          </w:p>
        </w:tc>
      </w:tr>
      <w:tr w:rsidR="006C7824" w:rsidRPr="00E8656C" w14:paraId="30FA0EE1" w14:textId="77777777" w:rsidTr="005E54CB">
        <w:trPr>
          <w:trHeight w:val="60"/>
        </w:trPr>
        <w:tc>
          <w:tcPr>
            <w:tcW w:w="880" w:type="pct"/>
          </w:tcPr>
          <w:p w14:paraId="3E5524AB" w14:textId="18A393A2"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Location</w:t>
            </w:r>
            <w:r w:rsidRPr="00E8656C">
              <w:rPr>
                <w:rFonts w:ascii="Arial" w:hAnsi="Arial" w:cs="Arial"/>
                <w:b/>
                <w:bCs/>
                <w:color w:val="auto"/>
                <w:vertAlign w:val="superscript"/>
              </w:rPr>
              <w:t>**†</w:t>
            </w:r>
          </w:p>
        </w:tc>
        <w:tc>
          <w:tcPr>
            <w:tcW w:w="843" w:type="pct"/>
            <w:tcMar>
              <w:top w:w="113" w:type="dxa"/>
              <w:left w:w="57" w:type="dxa"/>
              <w:bottom w:w="113" w:type="dxa"/>
              <w:right w:w="57" w:type="dxa"/>
            </w:tcMar>
          </w:tcPr>
          <w:p w14:paraId="636C9AC5" w14:textId="77777777"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Metro</w:t>
            </w:r>
          </w:p>
        </w:tc>
        <w:tc>
          <w:tcPr>
            <w:tcW w:w="412" w:type="pct"/>
            <w:vAlign w:val="center"/>
          </w:tcPr>
          <w:p w14:paraId="587A71EC" w14:textId="77BB59F4"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40.2</w:t>
            </w:r>
          </w:p>
        </w:tc>
        <w:tc>
          <w:tcPr>
            <w:tcW w:w="412" w:type="pct"/>
            <w:vAlign w:val="center"/>
          </w:tcPr>
          <w:p w14:paraId="6C715C53" w14:textId="6976CE50"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41.3</w:t>
            </w:r>
          </w:p>
        </w:tc>
        <w:tc>
          <w:tcPr>
            <w:tcW w:w="412" w:type="pct"/>
            <w:vAlign w:val="center"/>
          </w:tcPr>
          <w:p w14:paraId="53EFC414" w14:textId="0DD5C9D4"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41.2</w:t>
            </w:r>
          </w:p>
        </w:tc>
        <w:tc>
          <w:tcPr>
            <w:tcW w:w="412" w:type="pct"/>
            <w:vAlign w:val="center"/>
          </w:tcPr>
          <w:p w14:paraId="30420AB5" w14:textId="5DAC79AB"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36.6</w:t>
            </w:r>
          </w:p>
        </w:tc>
        <w:tc>
          <w:tcPr>
            <w:tcW w:w="412" w:type="pct"/>
            <w:vAlign w:val="center"/>
          </w:tcPr>
          <w:p w14:paraId="70A19A9E" w14:textId="3CC4830B"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35.4</w:t>
            </w:r>
          </w:p>
        </w:tc>
        <w:tc>
          <w:tcPr>
            <w:tcW w:w="412" w:type="pct"/>
            <w:vAlign w:val="center"/>
          </w:tcPr>
          <w:p w14:paraId="02B58993" w14:textId="59E40261"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37.1</w:t>
            </w:r>
          </w:p>
        </w:tc>
        <w:tc>
          <w:tcPr>
            <w:tcW w:w="404" w:type="pct"/>
            <w:vAlign w:val="center"/>
          </w:tcPr>
          <w:p w14:paraId="096B8EB8" w14:textId="1B3C24B9"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37.0</w:t>
            </w:r>
          </w:p>
        </w:tc>
        <w:tc>
          <w:tcPr>
            <w:tcW w:w="401" w:type="pct"/>
            <w:vAlign w:val="center"/>
          </w:tcPr>
          <w:p w14:paraId="7E4ED2CD" w14:textId="0A17268B" w:rsidR="006C7824" w:rsidRPr="00E8656C" w:rsidRDefault="006C7824" w:rsidP="005E54CB">
            <w:pPr>
              <w:pStyle w:val="Tabletextupdate"/>
              <w:framePr w:wrap="auto"/>
              <w:jc w:val="center"/>
              <w:rPr>
                <w:rFonts w:ascii="Arial" w:hAnsi="Arial" w:cs="Arial"/>
                <w:color w:val="auto"/>
              </w:rPr>
            </w:pPr>
            <w:r w:rsidRPr="00517FD9">
              <w:rPr>
                <w:sz w:val="18"/>
              </w:rPr>
              <w:t>38.2</w:t>
            </w:r>
          </w:p>
        </w:tc>
      </w:tr>
      <w:tr w:rsidR="006C7824" w:rsidRPr="00E8656C" w14:paraId="3466D2BE" w14:textId="77777777" w:rsidTr="005E54CB">
        <w:trPr>
          <w:trHeight w:val="60"/>
        </w:trPr>
        <w:tc>
          <w:tcPr>
            <w:tcW w:w="880" w:type="pct"/>
          </w:tcPr>
          <w:p w14:paraId="0419A795" w14:textId="0F6C9EEE"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Location</w:t>
            </w:r>
            <w:r w:rsidRPr="00E8656C">
              <w:rPr>
                <w:rFonts w:ascii="Arial" w:hAnsi="Arial" w:cs="Arial"/>
                <w:b/>
                <w:bCs/>
                <w:color w:val="auto"/>
                <w:vertAlign w:val="superscript"/>
              </w:rPr>
              <w:t>**†</w:t>
            </w:r>
          </w:p>
        </w:tc>
        <w:tc>
          <w:tcPr>
            <w:tcW w:w="843" w:type="pct"/>
            <w:tcMar>
              <w:top w:w="113" w:type="dxa"/>
              <w:left w:w="57" w:type="dxa"/>
              <w:bottom w:w="113" w:type="dxa"/>
              <w:right w:w="57" w:type="dxa"/>
            </w:tcMar>
          </w:tcPr>
          <w:p w14:paraId="673EAA6F" w14:textId="77777777"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Regional/remote</w:t>
            </w:r>
          </w:p>
        </w:tc>
        <w:tc>
          <w:tcPr>
            <w:tcW w:w="412" w:type="pct"/>
            <w:vAlign w:val="center"/>
          </w:tcPr>
          <w:p w14:paraId="6A1D6413" w14:textId="6D598CBE"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37.0</w:t>
            </w:r>
          </w:p>
        </w:tc>
        <w:tc>
          <w:tcPr>
            <w:tcW w:w="412" w:type="pct"/>
            <w:vAlign w:val="center"/>
          </w:tcPr>
          <w:p w14:paraId="0495217F" w14:textId="1F79566D"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39.0</w:t>
            </w:r>
          </w:p>
        </w:tc>
        <w:tc>
          <w:tcPr>
            <w:tcW w:w="412" w:type="pct"/>
            <w:vAlign w:val="center"/>
          </w:tcPr>
          <w:p w14:paraId="6832AA86" w14:textId="0CF561C0"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38.5</w:t>
            </w:r>
          </w:p>
        </w:tc>
        <w:tc>
          <w:tcPr>
            <w:tcW w:w="412" w:type="pct"/>
            <w:vAlign w:val="center"/>
          </w:tcPr>
          <w:p w14:paraId="7AC4C904" w14:textId="3CB3C789"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36.8</w:t>
            </w:r>
          </w:p>
        </w:tc>
        <w:tc>
          <w:tcPr>
            <w:tcW w:w="412" w:type="pct"/>
            <w:vAlign w:val="center"/>
          </w:tcPr>
          <w:p w14:paraId="6A60A5B2" w14:textId="57FAA2DE"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34.2</w:t>
            </w:r>
          </w:p>
        </w:tc>
        <w:tc>
          <w:tcPr>
            <w:tcW w:w="412" w:type="pct"/>
            <w:vAlign w:val="center"/>
          </w:tcPr>
          <w:p w14:paraId="18C198A0" w14:textId="4546FF28"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35.3</w:t>
            </w:r>
          </w:p>
        </w:tc>
        <w:tc>
          <w:tcPr>
            <w:tcW w:w="404" w:type="pct"/>
            <w:vAlign w:val="center"/>
          </w:tcPr>
          <w:p w14:paraId="5608E85F" w14:textId="4FB77992" w:rsidR="006C7824" w:rsidRPr="00E8656C" w:rsidRDefault="006C7824" w:rsidP="005E54CB">
            <w:pPr>
              <w:pStyle w:val="Tabletextupdate"/>
              <w:framePr w:wrap="auto"/>
              <w:jc w:val="center"/>
              <w:rPr>
                <w:rFonts w:ascii="Arial" w:hAnsi="Arial" w:cs="Arial"/>
                <w:color w:val="auto"/>
              </w:rPr>
            </w:pPr>
            <w:r w:rsidRPr="00E8656C">
              <w:rPr>
                <w:rFonts w:ascii="Arial" w:hAnsi="Arial" w:cs="Arial"/>
                <w:color w:val="auto"/>
              </w:rPr>
              <w:t>36.1</w:t>
            </w:r>
          </w:p>
        </w:tc>
        <w:tc>
          <w:tcPr>
            <w:tcW w:w="401" w:type="pct"/>
            <w:vAlign w:val="center"/>
          </w:tcPr>
          <w:p w14:paraId="2EC771D5" w14:textId="352E566C" w:rsidR="006C7824" w:rsidRPr="00E8656C" w:rsidRDefault="006C7824" w:rsidP="005E54CB">
            <w:pPr>
              <w:pStyle w:val="Tabletextupdate"/>
              <w:framePr w:wrap="auto"/>
              <w:jc w:val="center"/>
              <w:rPr>
                <w:rFonts w:ascii="Arial" w:hAnsi="Arial" w:cs="Arial"/>
                <w:color w:val="auto"/>
              </w:rPr>
            </w:pPr>
            <w:r w:rsidRPr="00517FD9">
              <w:rPr>
                <w:sz w:val="18"/>
              </w:rPr>
              <w:t>36.9</w:t>
            </w:r>
          </w:p>
        </w:tc>
      </w:tr>
      <w:tr w:rsidR="004D7A82" w:rsidRPr="00E8656C" w14:paraId="4F3F4F09" w14:textId="77777777" w:rsidTr="005E54CB">
        <w:trPr>
          <w:trHeight w:val="60"/>
        </w:trPr>
        <w:tc>
          <w:tcPr>
            <w:tcW w:w="880" w:type="pct"/>
          </w:tcPr>
          <w:p w14:paraId="67AF9F1C" w14:textId="77777777" w:rsidR="000331EB" w:rsidRPr="00E8656C" w:rsidRDefault="000331EB" w:rsidP="005E74F1">
            <w:pPr>
              <w:pStyle w:val="Tabletextupdate"/>
              <w:framePr w:wrap="auto"/>
              <w:rPr>
                <w:rFonts w:ascii="Arial" w:hAnsi="Arial" w:cs="Arial"/>
                <w:b/>
                <w:bCs/>
                <w:color w:val="auto"/>
              </w:rPr>
            </w:pPr>
          </w:p>
        </w:tc>
        <w:tc>
          <w:tcPr>
            <w:tcW w:w="843" w:type="pct"/>
            <w:tcMar>
              <w:top w:w="113" w:type="dxa"/>
              <w:left w:w="57" w:type="dxa"/>
              <w:bottom w:w="113" w:type="dxa"/>
              <w:right w:w="57" w:type="dxa"/>
            </w:tcMar>
          </w:tcPr>
          <w:p w14:paraId="5777D813" w14:textId="77777777" w:rsidR="000331EB" w:rsidRPr="00E8656C" w:rsidRDefault="000331EB" w:rsidP="005E74F1">
            <w:pPr>
              <w:pStyle w:val="Tabletextupdate"/>
              <w:framePr w:wrap="auto"/>
              <w:rPr>
                <w:rFonts w:ascii="Arial" w:hAnsi="Arial" w:cs="Arial"/>
                <w:b/>
                <w:bCs/>
                <w:color w:val="auto"/>
                <w:lang w:val="en-US"/>
              </w:rPr>
            </w:pPr>
            <w:r w:rsidRPr="00E8656C">
              <w:rPr>
                <w:rFonts w:ascii="Arial" w:hAnsi="Arial" w:cs="Arial"/>
                <w:b/>
                <w:bCs/>
                <w:color w:val="auto"/>
              </w:rPr>
              <w:t>Total</w:t>
            </w:r>
          </w:p>
        </w:tc>
        <w:tc>
          <w:tcPr>
            <w:tcW w:w="412" w:type="pct"/>
            <w:vAlign w:val="center"/>
          </w:tcPr>
          <w:p w14:paraId="2BA9481D" w14:textId="2A0739E7" w:rsidR="000331EB" w:rsidRPr="00E8656C" w:rsidRDefault="00BE2EA8" w:rsidP="005E54CB">
            <w:pPr>
              <w:pStyle w:val="Tabletextupdate"/>
              <w:framePr w:wrap="auto"/>
              <w:jc w:val="center"/>
              <w:rPr>
                <w:rFonts w:ascii="Arial" w:hAnsi="Arial" w:cs="Arial"/>
                <w:b/>
                <w:bCs/>
                <w:color w:val="auto"/>
              </w:rPr>
            </w:pPr>
            <w:r w:rsidRPr="00E8656C">
              <w:rPr>
                <w:rFonts w:ascii="Arial" w:hAnsi="Arial" w:cs="Arial"/>
                <w:b/>
                <w:bCs/>
                <w:color w:val="auto"/>
              </w:rPr>
              <w:t>48.3</w:t>
            </w:r>
          </w:p>
        </w:tc>
        <w:tc>
          <w:tcPr>
            <w:tcW w:w="412" w:type="pct"/>
            <w:vAlign w:val="center"/>
          </w:tcPr>
          <w:p w14:paraId="18405A01" w14:textId="5ECAEE93" w:rsidR="000331EB" w:rsidRPr="00E8656C" w:rsidRDefault="00BE2EA8" w:rsidP="005E54CB">
            <w:pPr>
              <w:pStyle w:val="Tabletextupdate"/>
              <w:framePr w:wrap="auto"/>
              <w:jc w:val="center"/>
              <w:rPr>
                <w:rFonts w:ascii="Arial" w:hAnsi="Arial" w:cs="Arial"/>
                <w:b/>
                <w:bCs/>
                <w:color w:val="auto"/>
              </w:rPr>
            </w:pPr>
            <w:r w:rsidRPr="00E8656C">
              <w:rPr>
                <w:rFonts w:ascii="Arial" w:hAnsi="Arial" w:cs="Arial"/>
                <w:b/>
                <w:bCs/>
                <w:color w:val="auto"/>
              </w:rPr>
              <w:t>51.1</w:t>
            </w:r>
          </w:p>
        </w:tc>
        <w:tc>
          <w:tcPr>
            <w:tcW w:w="412" w:type="pct"/>
            <w:vAlign w:val="center"/>
          </w:tcPr>
          <w:p w14:paraId="77C98731" w14:textId="78631277" w:rsidR="000331EB" w:rsidRPr="00E8656C" w:rsidRDefault="000331EB" w:rsidP="005E54CB">
            <w:pPr>
              <w:pStyle w:val="Tabletextupdate"/>
              <w:framePr w:wrap="auto"/>
              <w:jc w:val="center"/>
              <w:rPr>
                <w:rFonts w:ascii="Arial" w:hAnsi="Arial" w:cs="Arial"/>
                <w:b/>
                <w:bCs/>
                <w:color w:val="auto"/>
              </w:rPr>
            </w:pPr>
            <w:r w:rsidRPr="00E8656C">
              <w:rPr>
                <w:rFonts w:ascii="Arial" w:hAnsi="Arial" w:cs="Arial"/>
                <w:b/>
                <w:bCs/>
                <w:color w:val="auto"/>
              </w:rPr>
              <w:t>51.</w:t>
            </w:r>
            <w:r w:rsidR="00BE2EA8" w:rsidRPr="00E8656C">
              <w:rPr>
                <w:rFonts w:ascii="Arial" w:hAnsi="Arial" w:cs="Arial"/>
                <w:b/>
                <w:bCs/>
                <w:color w:val="auto"/>
              </w:rPr>
              <w:t>5</w:t>
            </w:r>
          </w:p>
        </w:tc>
        <w:tc>
          <w:tcPr>
            <w:tcW w:w="412" w:type="pct"/>
            <w:vAlign w:val="center"/>
          </w:tcPr>
          <w:p w14:paraId="095450CD" w14:textId="1E055979" w:rsidR="000331EB" w:rsidRPr="00E8656C" w:rsidRDefault="00BE2EA8" w:rsidP="005E54CB">
            <w:pPr>
              <w:pStyle w:val="Tabletextupdate"/>
              <w:framePr w:wrap="auto"/>
              <w:jc w:val="center"/>
              <w:rPr>
                <w:rFonts w:ascii="Arial" w:hAnsi="Arial" w:cs="Arial"/>
                <w:b/>
                <w:bCs/>
                <w:color w:val="auto"/>
              </w:rPr>
            </w:pPr>
            <w:r w:rsidRPr="00E8656C">
              <w:rPr>
                <w:rFonts w:ascii="Arial" w:hAnsi="Arial" w:cs="Arial"/>
                <w:b/>
                <w:bCs/>
                <w:color w:val="auto"/>
              </w:rPr>
              <w:t>43.4</w:t>
            </w:r>
          </w:p>
        </w:tc>
        <w:tc>
          <w:tcPr>
            <w:tcW w:w="412" w:type="pct"/>
            <w:vAlign w:val="center"/>
          </w:tcPr>
          <w:p w14:paraId="02AC6E77" w14:textId="791DE4B8" w:rsidR="000331EB" w:rsidRPr="00E8656C" w:rsidRDefault="00BE2EA8" w:rsidP="005E54CB">
            <w:pPr>
              <w:pStyle w:val="Tabletextupdate"/>
              <w:framePr w:wrap="auto"/>
              <w:jc w:val="center"/>
              <w:rPr>
                <w:rFonts w:ascii="Arial" w:hAnsi="Arial" w:cs="Arial"/>
                <w:b/>
                <w:bCs/>
                <w:color w:val="auto"/>
              </w:rPr>
            </w:pPr>
            <w:r w:rsidRPr="00E8656C">
              <w:rPr>
                <w:rFonts w:ascii="Arial" w:hAnsi="Arial" w:cs="Arial"/>
                <w:b/>
                <w:bCs/>
                <w:color w:val="auto"/>
              </w:rPr>
              <w:t>39.7</w:t>
            </w:r>
          </w:p>
        </w:tc>
        <w:tc>
          <w:tcPr>
            <w:tcW w:w="412" w:type="pct"/>
            <w:vAlign w:val="center"/>
          </w:tcPr>
          <w:p w14:paraId="2C16823B" w14:textId="44C3252C" w:rsidR="000331EB" w:rsidRPr="00E8656C" w:rsidRDefault="00BE2EA8" w:rsidP="005E54CB">
            <w:pPr>
              <w:pStyle w:val="Tabletextupdate"/>
              <w:framePr w:wrap="auto"/>
              <w:jc w:val="center"/>
              <w:rPr>
                <w:rFonts w:ascii="Arial" w:hAnsi="Arial" w:cs="Arial"/>
                <w:b/>
                <w:bCs/>
                <w:color w:val="auto"/>
              </w:rPr>
            </w:pPr>
            <w:r w:rsidRPr="00E8656C">
              <w:rPr>
                <w:rFonts w:ascii="Arial" w:hAnsi="Arial" w:cs="Arial"/>
                <w:b/>
                <w:bCs/>
                <w:color w:val="auto"/>
              </w:rPr>
              <w:t>44.7</w:t>
            </w:r>
          </w:p>
        </w:tc>
        <w:tc>
          <w:tcPr>
            <w:tcW w:w="404" w:type="pct"/>
            <w:vAlign w:val="center"/>
          </w:tcPr>
          <w:p w14:paraId="768ED159" w14:textId="7EAB28E6" w:rsidR="000331EB" w:rsidRPr="00E8656C" w:rsidRDefault="00BE2EA8" w:rsidP="005E54CB">
            <w:pPr>
              <w:pStyle w:val="Tabletextupdate"/>
              <w:framePr w:wrap="auto"/>
              <w:jc w:val="center"/>
              <w:rPr>
                <w:rFonts w:ascii="Arial" w:hAnsi="Arial" w:cs="Arial"/>
                <w:b/>
                <w:bCs/>
                <w:color w:val="auto"/>
              </w:rPr>
            </w:pPr>
            <w:r w:rsidRPr="00E8656C">
              <w:rPr>
                <w:rFonts w:ascii="Arial" w:hAnsi="Arial" w:cs="Arial"/>
                <w:b/>
                <w:bCs/>
                <w:color w:val="auto"/>
              </w:rPr>
              <w:t>48.5</w:t>
            </w:r>
          </w:p>
        </w:tc>
        <w:tc>
          <w:tcPr>
            <w:tcW w:w="401" w:type="pct"/>
            <w:vAlign w:val="center"/>
          </w:tcPr>
          <w:p w14:paraId="600231DA" w14:textId="2EDFF3F4" w:rsidR="000331EB" w:rsidRPr="00E8656C" w:rsidRDefault="00BE2EA8" w:rsidP="005E54CB">
            <w:pPr>
              <w:pStyle w:val="Tabletextupdate"/>
              <w:framePr w:wrap="auto"/>
              <w:jc w:val="center"/>
              <w:rPr>
                <w:rFonts w:ascii="Arial" w:hAnsi="Arial" w:cs="Arial"/>
                <w:b/>
                <w:bCs/>
                <w:color w:val="auto"/>
              </w:rPr>
            </w:pPr>
            <w:r w:rsidRPr="00E8656C">
              <w:rPr>
                <w:rFonts w:ascii="Arial" w:hAnsi="Arial" w:cs="Arial"/>
                <w:b/>
                <w:bCs/>
                <w:color w:val="auto"/>
              </w:rPr>
              <w:t>51.9</w:t>
            </w:r>
          </w:p>
        </w:tc>
      </w:tr>
    </w:tbl>
    <w:p w14:paraId="7D1FDC43" w14:textId="77777777" w:rsidR="001223BE" w:rsidRPr="00E8656C" w:rsidRDefault="001223BE" w:rsidP="00AC1207">
      <w:pPr>
        <w:pStyle w:val="Noteupdate"/>
        <w:spacing w:before="240"/>
        <w:rPr>
          <w:color w:val="auto"/>
          <w:sz w:val="18"/>
          <w:szCs w:val="18"/>
        </w:rPr>
      </w:pPr>
      <w:r w:rsidRPr="00E8656C">
        <w:rPr>
          <w:color w:val="auto"/>
          <w:sz w:val="18"/>
          <w:szCs w:val="18"/>
        </w:rPr>
        <w:t>* Internal mode of attendance is where (</w:t>
      </w:r>
      <w:proofErr w:type="spellStart"/>
      <w:r w:rsidRPr="00E8656C">
        <w:rPr>
          <w:color w:val="auto"/>
          <w:sz w:val="18"/>
          <w:szCs w:val="18"/>
        </w:rPr>
        <w:t>i</w:t>
      </w:r>
      <w:proofErr w:type="spellEnd"/>
      <w:r w:rsidRPr="00E8656C">
        <w:rPr>
          <w:color w:val="auto"/>
          <w:sz w:val="18"/>
          <w:szCs w:val="18"/>
        </w:rPr>
        <w:t>) the study is undertaken through attendance at the higher education provider on a regular basis, or (ii) for higher degree unit enrolments, where regular attendance is not required but the student attends the higher education provider on an agreed schedule for the purposes of supervision and/or instruction. External mode of attendance is where lesson materials, assignments, etc. are delivered to the student, and any associated attendance at the institution is of an incidental, irregular, special or voluntary nature. Multi-mode of attendance is where study is undertaken partially on an internal mode of attendance and partially on an external mode of attendance.</w:t>
      </w:r>
    </w:p>
    <w:p w14:paraId="4A51E156" w14:textId="77777777" w:rsidR="001223BE" w:rsidRPr="00E8656C" w:rsidRDefault="001223BE" w:rsidP="001223BE">
      <w:pPr>
        <w:pStyle w:val="Noteupdate"/>
        <w:rPr>
          <w:color w:val="auto"/>
          <w:sz w:val="18"/>
          <w:szCs w:val="18"/>
        </w:rPr>
      </w:pPr>
      <w:r w:rsidRPr="00E8656C">
        <w:rPr>
          <w:color w:val="auto"/>
          <w:sz w:val="18"/>
          <w:szCs w:val="18"/>
        </w:rPr>
        <w:t>** First Nations, socio-economic, and locality data reflect values for domestic students only, excluding international students. The remaining demographic and equity groups include all students, both domestic and international.</w:t>
      </w:r>
    </w:p>
    <w:p w14:paraId="423E88C4" w14:textId="77777777" w:rsidR="001223BE" w:rsidRPr="00E8656C" w:rsidRDefault="001223BE" w:rsidP="001223BE">
      <w:pPr>
        <w:pStyle w:val="Noteupdate"/>
        <w:rPr>
          <w:color w:val="auto"/>
          <w:sz w:val="18"/>
          <w:szCs w:val="18"/>
        </w:rPr>
      </w:pPr>
      <w:r w:rsidRPr="00E8656C">
        <w:rPr>
          <w:color w:val="auto"/>
          <w:sz w:val="18"/>
          <w:szCs w:val="18"/>
        </w:rPr>
        <w:t xml:space="preserve">*** Home language other than English refers to graduates who arrived in Australia less than 10 years prior to the year in which the data was </w:t>
      </w:r>
      <w:proofErr w:type="gramStart"/>
      <w:r w:rsidRPr="00E8656C">
        <w:rPr>
          <w:color w:val="auto"/>
          <w:sz w:val="18"/>
          <w:szCs w:val="18"/>
        </w:rPr>
        <w:t>collected, and</w:t>
      </w:r>
      <w:proofErr w:type="gramEnd"/>
      <w:r w:rsidRPr="00E8656C">
        <w:rPr>
          <w:color w:val="auto"/>
          <w:sz w:val="18"/>
          <w:szCs w:val="18"/>
        </w:rPr>
        <w:t xml:space="preserve"> comes from a home where a language other than English is spoken. This information is reported by institutions through the TCSI system. Data presented here includes both domestic and international student responses.</w:t>
      </w:r>
    </w:p>
    <w:p w14:paraId="7411AFF3" w14:textId="67831FA4" w:rsidR="001223BE" w:rsidRPr="00E8656C" w:rsidRDefault="001223BE" w:rsidP="001223BE">
      <w:pPr>
        <w:pStyle w:val="Noteupdate"/>
        <w:rPr>
          <w:color w:val="auto"/>
          <w:sz w:val="18"/>
          <w:szCs w:val="18"/>
        </w:rPr>
      </w:pPr>
      <w:r w:rsidRPr="00E8656C">
        <w:rPr>
          <w:color w:val="auto"/>
          <w:sz w:val="18"/>
          <w:szCs w:val="18"/>
        </w:rPr>
        <w:t xml:space="preserve">**** First in family refers to students commencing a </w:t>
      </w:r>
      <w:proofErr w:type="gramStart"/>
      <w:r w:rsidRPr="00E8656C">
        <w:rPr>
          <w:color w:val="auto"/>
          <w:sz w:val="18"/>
          <w:szCs w:val="18"/>
        </w:rPr>
        <w:t>bachelor</w:t>
      </w:r>
      <w:proofErr w:type="gramEnd"/>
      <w:r w:rsidRPr="00E8656C">
        <w:rPr>
          <w:color w:val="auto"/>
          <w:sz w:val="18"/>
          <w:szCs w:val="18"/>
        </w:rPr>
        <w:t xml:space="preserve"> degree level qualification when their parent(s) or guardian(s) have not. Based on the highest level of educational attainment of a student’s parent(s) or guardian(s) as identified by the student. This information is reported by institutions through the Tertiary Collection of Student Information (TCSI) system.</w:t>
      </w:r>
      <w:r w:rsidR="006F7F90" w:rsidRPr="00E8656C">
        <w:rPr>
          <w:color w:val="auto"/>
          <w:sz w:val="18"/>
          <w:szCs w:val="18"/>
        </w:rPr>
        <w:t xml:space="preserve"> </w:t>
      </w:r>
    </w:p>
    <w:p w14:paraId="6597FAEE" w14:textId="31B9D1FA" w:rsidR="001223BE" w:rsidRPr="00E8656C" w:rsidRDefault="00C80340" w:rsidP="001223BE">
      <w:pPr>
        <w:pStyle w:val="Noteupdate"/>
        <w:rPr>
          <w:color w:val="auto"/>
          <w:sz w:val="18"/>
          <w:szCs w:val="18"/>
        </w:rPr>
      </w:pPr>
      <w:r w:rsidRPr="00E8656C">
        <w:rPr>
          <w:color w:val="auto"/>
          <w:sz w:val="18"/>
          <w:szCs w:val="18"/>
        </w:rPr>
        <w:t>**</w:t>
      </w:r>
      <w:r w:rsidR="001223BE" w:rsidRPr="00E8656C">
        <w:rPr>
          <w:color w:val="auto"/>
          <w:sz w:val="18"/>
          <w:szCs w:val="18"/>
        </w:rPr>
        <w:t>† Socio-economic status and Location are derived from students’ permanent home residence against the 2011 SEIFA Index of Education and Occupation by postal area.</w:t>
      </w:r>
    </w:p>
    <w:p w14:paraId="12826DD5" w14:textId="77777777" w:rsidR="001223BE" w:rsidRPr="00E8656C" w:rsidRDefault="001223BE" w:rsidP="001223BE">
      <w:pPr>
        <w:pStyle w:val="Noteupdate"/>
        <w:rPr>
          <w:color w:val="auto"/>
          <w:sz w:val="18"/>
          <w:szCs w:val="18"/>
        </w:rPr>
      </w:pPr>
      <w:r w:rsidRPr="00E8656C">
        <w:rPr>
          <w:color w:val="auto"/>
          <w:sz w:val="18"/>
          <w:szCs w:val="18"/>
        </w:rPr>
        <w:t>†† Some sub-groups may not add to 100 per cent due to rounding.</w:t>
      </w:r>
    </w:p>
    <w:p w14:paraId="301FAAE9" w14:textId="41F65544" w:rsidR="00D36643" w:rsidRPr="00E8656C" w:rsidRDefault="00D36643" w:rsidP="00D36643">
      <w:pPr>
        <w:pStyle w:val="Noteupdate"/>
        <w:rPr>
          <w:color w:val="auto"/>
          <w:sz w:val="18"/>
          <w:szCs w:val="18"/>
        </w:rPr>
      </w:pPr>
      <w:r w:rsidRPr="00E8656C">
        <w:rPr>
          <w:color w:val="auto"/>
          <w:sz w:val="18"/>
          <w:szCs w:val="18"/>
        </w:rPr>
        <w:t>Source: BELONGSAT_PGC_ALL_17-YY_SG</w:t>
      </w:r>
    </w:p>
    <w:p w14:paraId="798E5109" w14:textId="3F5FDCDE" w:rsidR="005E3F94" w:rsidRPr="00E8656C" w:rsidRDefault="005E3F94" w:rsidP="00AC1207">
      <w:pPr>
        <w:pStyle w:val="Appendix3"/>
      </w:pPr>
      <w:bookmarkStart w:id="145" w:name="_Toc207802621"/>
      <w:r w:rsidRPr="00E8656C">
        <w:lastRenderedPageBreak/>
        <w:t>Considered leaving the institution</w:t>
      </w:r>
      <w:bookmarkEnd w:id="145"/>
    </w:p>
    <w:p w14:paraId="57EA6192" w14:textId="2DFE6255" w:rsidR="008527D9" w:rsidRPr="00E8656C" w:rsidRDefault="008527D9" w:rsidP="00695177">
      <w:pPr>
        <w:pStyle w:val="Caption"/>
      </w:pPr>
      <w:bookmarkStart w:id="146" w:name="_Toc201065425"/>
      <w:r w:rsidRPr="00E8656C">
        <w:t xml:space="preserve">Table </w:t>
      </w:r>
      <w:r w:rsidRPr="00E8656C">
        <w:fldChar w:fldCharType="begin"/>
      </w:r>
      <w:r w:rsidRPr="00E8656C">
        <w:instrText xml:space="preserve"> SEQ Table \* ARABIC </w:instrText>
      </w:r>
      <w:r w:rsidRPr="00E8656C">
        <w:fldChar w:fldCharType="separate"/>
      </w:r>
      <w:r w:rsidRPr="00E8656C">
        <w:rPr>
          <w:noProof/>
        </w:rPr>
        <w:t>8</w:t>
      </w:r>
      <w:r w:rsidRPr="00E8656C">
        <w:rPr>
          <w:noProof/>
        </w:rPr>
        <w:fldChar w:fldCharType="end"/>
      </w:r>
      <w:r w:rsidR="00AC1207" w:rsidRPr="00E8656C">
        <w:tab/>
      </w:r>
      <w:r w:rsidRPr="00E8656C">
        <w:t>Reasons for considering early departure from institution in 2024 by course level (%)</w:t>
      </w:r>
      <w:bookmarkEnd w:id="146"/>
    </w:p>
    <w:tbl>
      <w:tblPr>
        <w:tblStyle w:val="TableGrid"/>
        <w:tblW w:w="8075" w:type="dxa"/>
        <w:tblCellMar>
          <w:top w:w="57" w:type="dxa"/>
          <w:bottom w:w="57" w:type="dxa"/>
        </w:tblCellMar>
        <w:tblLook w:val="04A0" w:firstRow="1" w:lastRow="0" w:firstColumn="1" w:lastColumn="0" w:noHBand="0" w:noVBand="1"/>
      </w:tblPr>
      <w:tblGrid>
        <w:gridCol w:w="3823"/>
        <w:gridCol w:w="2126"/>
        <w:gridCol w:w="2126"/>
      </w:tblGrid>
      <w:tr w:rsidR="004D7A82" w:rsidRPr="00E8656C" w14:paraId="0BE36E8E" w14:textId="77777777" w:rsidTr="005E54CB">
        <w:trPr>
          <w:cnfStyle w:val="100000000000" w:firstRow="1" w:lastRow="0" w:firstColumn="0" w:lastColumn="0" w:oddVBand="0" w:evenVBand="0" w:oddHBand="0" w:evenHBand="0" w:firstRowFirstColumn="0" w:firstRowLastColumn="0" w:lastRowFirstColumn="0" w:lastRowLastColumn="0"/>
          <w:trHeight w:val="375"/>
          <w:tblHeader/>
        </w:trPr>
        <w:tc>
          <w:tcPr>
            <w:tcW w:w="3823" w:type="dxa"/>
            <w:noWrap/>
            <w:vAlign w:val="center"/>
          </w:tcPr>
          <w:p w14:paraId="18805D52" w14:textId="77777777" w:rsidR="005E3F94" w:rsidRPr="00E8656C" w:rsidRDefault="005E3F94">
            <w:pPr>
              <w:rPr>
                <w:rFonts w:eastAsia="Times New Roman" w:cs="Arial"/>
                <w:b w:val="0"/>
                <w:bCs/>
                <w:color w:val="auto"/>
                <w:sz w:val="18"/>
                <w:lang w:eastAsia="en-AU"/>
              </w:rPr>
            </w:pPr>
            <w:bookmarkStart w:id="147" w:name="_Hlk192670353"/>
            <w:r w:rsidRPr="00E8656C">
              <w:rPr>
                <w:rFonts w:eastAsia="Times New Roman" w:cs="Arial"/>
                <w:bCs/>
                <w:color w:val="auto"/>
                <w:sz w:val="18"/>
                <w:lang w:eastAsia="en-AU"/>
              </w:rPr>
              <w:t>R</w:t>
            </w:r>
            <w:bookmarkStart w:id="148" w:name="Title_8"/>
            <w:bookmarkEnd w:id="148"/>
            <w:r w:rsidRPr="00E8656C">
              <w:rPr>
                <w:rFonts w:eastAsia="Times New Roman" w:cs="Arial"/>
                <w:bCs/>
                <w:color w:val="auto"/>
                <w:sz w:val="18"/>
                <w:lang w:eastAsia="en-AU"/>
              </w:rPr>
              <w:t>easons considered leaving institution</w:t>
            </w:r>
          </w:p>
        </w:tc>
        <w:tc>
          <w:tcPr>
            <w:tcW w:w="2126" w:type="dxa"/>
            <w:vAlign w:val="center"/>
          </w:tcPr>
          <w:p w14:paraId="0F88D268" w14:textId="77777777" w:rsidR="005E3F94" w:rsidRPr="00E8656C" w:rsidRDefault="005E3F94">
            <w:pPr>
              <w:jc w:val="center"/>
              <w:rPr>
                <w:rFonts w:cs="Arial"/>
                <w:b w:val="0"/>
                <w:bCs/>
                <w:color w:val="auto"/>
                <w:sz w:val="18"/>
              </w:rPr>
            </w:pPr>
            <w:r w:rsidRPr="00E8656C">
              <w:rPr>
                <w:rFonts w:cs="Arial"/>
                <w:bCs/>
                <w:color w:val="auto"/>
                <w:sz w:val="18"/>
              </w:rPr>
              <w:t>Undergraduate</w:t>
            </w:r>
          </w:p>
        </w:tc>
        <w:tc>
          <w:tcPr>
            <w:tcW w:w="2126" w:type="dxa"/>
            <w:vAlign w:val="center"/>
          </w:tcPr>
          <w:p w14:paraId="0EFC9B6D" w14:textId="77777777" w:rsidR="005E3F94" w:rsidRPr="00E8656C" w:rsidRDefault="005E3F94">
            <w:pPr>
              <w:jc w:val="center"/>
              <w:rPr>
                <w:rFonts w:cs="Arial"/>
                <w:b w:val="0"/>
                <w:bCs/>
                <w:color w:val="auto"/>
                <w:sz w:val="18"/>
              </w:rPr>
            </w:pPr>
            <w:r w:rsidRPr="00E8656C">
              <w:rPr>
                <w:rFonts w:cs="Arial"/>
                <w:bCs/>
                <w:color w:val="auto"/>
                <w:sz w:val="18"/>
              </w:rPr>
              <w:t>Postgraduate coursework</w:t>
            </w:r>
          </w:p>
        </w:tc>
      </w:tr>
      <w:tr w:rsidR="004D7A82" w:rsidRPr="00E8656C" w14:paraId="65BB3DE8" w14:textId="77777777" w:rsidTr="005E54CB">
        <w:trPr>
          <w:trHeight w:val="375"/>
        </w:trPr>
        <w:tc>
          <w:tcPr>
            <w:tcW w:w="3823" w:type="dxa"/>
            <w:noWrap/>
            <w:vAlign w:val="bottom"/>
            <w:hideMark/>
          </w:tcPr>
          <w:p w14:paraId="2F14FBC7" w14:textId="77777777" w:rsidR="005E3F94" w:rsidRPr="00E8656C" w:rsidRDefault="005E3F94">
            <w:pPr>
              <w:rPr>
                <w:rFonts w:eastAsia="Times New Roman" w:cs="Arial"/>
                <w:color w:val="auto"/>
                <w:sz w:val="18"/>
                <w:lang w:eastAsia="en-AU"/>
              </w:rPr>
            </w:pPr>
            <w:r w:rsidRPr="00E8656C">
              <w:rPr>
                <w:rFonts w:cs="Arial"/>
                <w:color w:val="auto"/>
                <w:sz w:val="18"/>
              </w:rPr>
              <w:t>Boredom/lack of interest</w:t>
            </w:r>
          </w:p>
        </w:tc>
        <w:tc>
          <w:tcPr>
            <w:tcW w:w="2126" w:type="dxa"/>
            <w:vAlign w:val="bottom"/>
          </w:tcPr>
          <w:p w14:paraId="530BD1FD" w14:textId="77777777" w:rsidR="005E3F94" w:rsidRPr="00E8656C" w:rsidRDefault="005E3F94">
            <w:pPr>
              <w:jc w:val="center"/>
              <w:rPr>
                <w:rFonts w:eastAsia="Times New Roman" w:cs="Arial"/>
                <w:color w:val="auto"/>
                <w:sz w:val="18"/>
                <w:lang w:eastAsia="en-AU"/>
              </w:rPr>
            </w:pPr>
            <w:r w:rsidRPr="00E8656C">
              <w:rPr>
                <w:rFonts w:cs="Arial"/>
                <w:color w:val="auto"/>
                <w:sz w:val="18"/>
              </w:rPr>
              <w:t>20.9</w:t>
            </w:r>
          </w:p>
        </w:tc>
        <w:tc>
          <w:tcPr>
            <w:tcW w:w="2126" w:type="dxa"/>
            <w:vAlign w:val="bottom"/>
          </w:tcPr>
          <w:p w14:paraId="0783C8CE" w14:textId="77777777" w:rsidR="005E3F94" w:rsidRPr="00E8656C" w:rsidRDefault="005E3F94">
            <w:pPr>
              <w:jc w:val="center"/>
              <w:rPr>
                <w:rFonts w:eastAsia="Times New Roman" w:cs="Arial"/>
                <w:color w:val="auto"/>
                <w:sz w:val="18"/>
                <w:lang w:eastAsia="en-AU"/>
              </w:rPr>
            </w:pPr>
            <w:r w:rsidRPr="00E8656C">
              <w:rPr>
                <w:rFonts w:cs="Arial"/>
                <w:color w:val="auto"/>
                <w:sz w:val="18"/>
              </w:rPr>
              <w:t>10.2</w:t>
            </w:r>
          </w:p>
        </w:tc>
      </w:tr>
      <w:tr w:rsidR="004D7A82" w:rsidRPr="00E8656C" w14:paraId="32CD7BB9" w14:textId="77777777" w:rsidTr="005E54CB">
        <w:trPr>
          <w:trHeight w:val="375"/>
        </w:trPr>
        <w:tc>
          <w:tcPr>
            <w:tcW w:w="3823" w:type="dxa"/>
            <w:noWrap/>
            <w:vAlign w:val="bottom"/>
            <w:hideMark/>
          </w:tcPr>
          <w:p w14:paraId="5B42DA86" w14:textId="77777777" w:rsidR="005E3F94" w:rsidRPr="00E8656C" w:rsidRDefault="005E3F94">
            <w:pPr>
              <w:rPr>
                <w:rFonts w:eastAsia="Times New Roman" w:cs="Arial"/>
                <w:color w:val="auto"/>
                <w:sz w:val="18"/>
                <w:lang w:eastAsia="en-AU"/>
              </w:rPr>
            </w:pPr>
            <w:r w:rsidRPr="00E8656C">
              <w:rPr>
                <w:rFonts w:cs="Arial"/>
                <w:color w:val="auto"/>
                <w:sz w:val="18"/>
              </w:rPr>
              <w:t>Commuting difficulties</w:t>
            </w:r>
          </w:p>
        </w:tc>
        <w:tc>
          <w:tcPr>
            <w:tcW w:w="2126" w:type="dxa"/>
            <w:vAlign w:val="bottom"/>
          </w:tcPr>
          <w:p w14:paraId="2EC64071" w14:textId="77777777" w:rsidR="005E3F94" w:rsidRPr="00E8656C" w:rsidRDefault="005E3F94">
            <w:pPr>
              <w:jc w:val="center"/>
              <w:rPr>
                <w:rFonts w:eastAsia="Times New Roman" w:cs="Arial"/>
                <w:color w:val="auto"/>
                <w:sz w:val="18"/>
                <w:lang w:eastAsia="en-AU"/>
              </w:rPr>
            </w:pPr>
            <w:r w:rsidRPr="00E8656C">
              <w:rPr>
                <w:rFonts w:cs="Arial"/>
                <w:color w:val="auto"/>
                <w:sz w:val="18"/>
              </w:rPr>
              <w:t>16.3</w:t>
            </w:r>
          </w:p>
        </w:tc>
        <w:tc>
          <w:tcPr>
            <w:tcW w:w="2126" w:type="dxa"/>
            <w:vAlign w:val="bottom"/>
          </w:tcPr>
          <w:p w14:paraId="06A2E8E6" w14:textId="77777777" w:rsidR="005E3F94" w:rsidRPr="00E8656C" w:rsidRDefault="005E3F94">
            <w:pPr>
              <w:jc w:val="center"/>
              <w:rPr>
                <w:rFonts w:eastAsia="Times New Roman" w:cs="Arial"/>
                <w:color w:val="auto"/>
                <w:sz w:val="18"/>
                <w:lang w:eastAsia="en-AU"/>
              </w:rPr>
            </w:pPr>
            <w:r w:rsidRPr="00E8656C">
              <w:rPr>
                <w:rFonts w:cs="Arial"/>
                <w:color w:val="auto"/>
                <w:sz w:val="18"/>
              </w:rPr>
              <w:t>6.5</w:t>
            </w:r>
          </w:p>
        </w:tc>
      </w:tr>
      <w:tr w:rsidR="004D7A82" w:rsidRPr="00E8656C" w14:paraId="69390708" w14:textId="77777777" w:rsidTr="005E54CB">
        <w:trPr>
          <w:trHeight w:val="375"/>
        </w:trPr>
        <w:tc>
          <w:tcPr>
            <w:tcW w:w="3823" w:type="dxa"/>
            <w:noWrap/>
            <w:vAlign w:val="bottom"/>
            <w:hideMark/>
          </w:tcPr>
          <w:p w14:paraId="10103C94" w14:textId="77777777" w:rsidR="005E3F94" w:rsidRPr="00E8656C" w:rsidRDefault="005E3F94">
            <w:pPr>
              <w:rPr>
                <w:rFonts w:eastAsia="Times New Roman" w:cs="Arial"/>
                <w:color w:val="auto"/>
                <w:sz w:val="18"/>
                <w:lang w:eastAsia="en-AU"/>
              </w:rPr>
            </w:pPr>
            <w:r w:rsidRPr="00E8656C">
              <w:rPr>
                <w:rFonts w:cs="Arial"/>
                <w:color w:val="auto"/>
                <w:sz w:val="18"/>
              </w:rPr>
              <w:t>Concerns about my institution's reputation</w:t>
            </w:r>
          </w:p>
        </w:tc>
        <w:tc>
          <w:tcPr>
            <w:tcW w:w="2126" w:type="dxa"/>
            <w:vAlign w:val="bottom"/>
          </w:tcPr>
          <w:p w14:paraId="59F0C179" w14:textId="77777777" w:rsidR="005E3F94" w:rsidRPr="00E8656C" w:rsidRDefault="005E3F94">
            <w:pPr>
              <w:jc w:val="center"/>
              <w:rPr>
                <w:rFonts w:eastAsia="Times New Roman" w:cs="Arial"/>
                <w:color w:val="auto"/>
                <w:sz w:val="18"/>
                <w:lang w:eastAsia="en-AU"/>
              </w:rPr>
            </w:pPr>
            <w:r w:rsidRPr="00E8656C">
              <w:rPr>
                <w:rFonts w:cs="Arial"/>
                <w:color w:val="auto"/>
                <w:sz w:val="18"/>
              </w:rPr>
              <w:t>11.5</w:t>
            </w:r>
          </w:p>
        </w:tc>
        <w:tc>
          <w:tcPr>
            <w:tcW w:w="2126" w:type="dxa"/>
            <w:vAlign w:val="bottom"/>
          </w:tcPr>
          <w:p w14:paraId="043B1248" w14:textId="77777777" w:rsidR="005E3F94" w:rsidRPr="00E8656C" w:rsidRDefault="005E3F94">
            <w:pPr>
              <w:jc w:val="center"/>
              <w:rPr>
                <w:rFonts w:eastAsia="Times New Roman" w:cs="Arial"/>
                <w:color w:val="auto"/>
                <w:sz w:val="18"/>
                <w:lang w:eastAsia="en-AU"/>
              </w:rPr>
            </w:pPr>
            <w:r w:rsidRPr="00E8656C">
              <w:rPr>
                <w:rFonts w:cs="Arial"/>
                <w:color w:val="auto"/>
                <w:sz w:val="18"/>
              </w:rPr>
              <w:t>9.1</w:t>
            </w:r>
          </w:p>
        </w:tc>
      </w:tr>
      <w:tr w:rsidR="004D7A82" w:rsidRPr="00E8656C" w14:paraId="3A2EFD01" w14:textId="77777777" w:rsidTr="005E54CB">
        <w:trPr>
          <w:trHeight w:val="375"/>
        </w:trPr>
        <w:tc>
          <w:tcPr>
            <w:tcW w:w="3823" w:type="dxa"/>
            <w:noWrap/>
            <w:vAlign w:val="bottom"/>
            <w:hideMark/>
          </w:tcPr>
          <w:p w14:paraId="4BCFA48F" w14:textId="77777777" w:rsidR="005E3F94" w:rsidRPr="00E8656C" w:rsidRDefault="005E3F94">
            <w:pPr>
              <w:rPr>
                <w:rFonts w:eastAsia="Times New Roman" w:cs="Arial"/>
                <w:color w:val="auto"/>
                <w:sz w:val="18"/>
                <w:lang w:eastAsia="en-AU"/>
              </w:rPr>
            </w:pPr>
            <w:r w:rsidRPr="00E8656C">
              <w:rPr>
                <w:rFonts w:cs="Arial"/>
                <w:color w:val="auto"/>
                <w:sz w:val="18"/>
              </w:rPr>
              <w:t>Course expectations not met</w:t>
            </w:r>
          </w:p>
        </w:tc>
        <w:tc>
          <w:tcPr>
            <w:tcW w:w="2126" w:type="dxa"/>
            <w:vAlign w:val="bottom"/>
          </w:tcPr>
          <w:p w14:paraId="77E8D5F1" w14:textId="77777777" w:rsidR="005E3F94" w:rsidRPr="00E8656C" w:rsidRDefault="005E3F94">
            <w:pPr>
              <w:jc w:val="center"/>
              <w:rPr>
                <w:rFonts w:eastAsia="Times New Roman" w:cs="Arial"/>
                <w:color w:val="auto"/>
                <w:sz w:val="18"/>
                <w:lang w:eastAsia="en-AU"/>
              </w:rPr>
            </w:pPr>
            <w:r w:rsidRPr="00E8656C">
              <w:rPr>
                <w:rFonts w:cs="Arial"/>
                <w:color w:val="auto"/>
                <w:sz w:val="18"/>
              </w:rPr>
              <w:t>28.2</w:t>
            </w:r>
          </w:p>
        </w:tc>
        <w:tc>
          <w:tcPr>
            <w:tcW w:w="2126" w:type="dxa"/>
            <w:vAlign w:val="bottom"/>
          </w:tcPr>
          <w:p w14:paraId="3A647025" w14:textId="77777777" w:rsidR="005E3F94" w:rsidRPr="00E8656C" w:rsidRDefault="005E3F94">
            <w:pPr>
              <w:jc w:val="center"/>
              <w:rPr>
                <w:rFonts w:eastAsia="Times New Roman" w:cs="Arial"/>
                <w:color w:val="auto"/>
                <w:sz w:val="18"/>
                <w:lang w:eastAsia="en-AU"/>
              </w:rPr>
            </w:pPr>
            <w:r w:rsidRPr="00E8656C">
              <w:rPr>
                <w:rFonts w:cs="Arial"/>
                <w:color w:val="auto"/>
                <w:sz w:val="18"/>
              </w:rPr>
              <w:t>30.4</w:t>
            </w:r>
          </w:p>
        </w:tc>
      </w:tr>
      <w:bookmarkEnd w:id="147"/>
      <w:tr w:rsidR="004D7A82" w:rsidRPr="00E8656C" w14:paraId="3BC412ED" w14:textId="77777777" w:rsidTr="005E54CB">
        <w:trPr>
          <w:trHeight w:val="375"/>
        </w:trPr>
        <w:tc>
          <w:tcPr>
            <w:tcW w:w="3823" w:type="dxa"/>
            <w:noWrap/>
            <w:vAlign w:val="bottom"/>
            <w:hideMark/>
          </w:tcPr>
          <w:p w14:paraId="37ACE6BB" w14:textId="77777777" w:rsidR="005E3F94" w:rsidRPr="00E8656C" w:rsidRDefault="005E3F94">
            <w:pPr>
              <w:rPr>
                <w:rFonts w:eastAsia="Times New Roman" w:cs="Arial"/>
                <w:color w:val="auto"/>
                <w:sz w:val="18"/>
                <w:lang w:eastAsia="en-AU"/>
              </w:rPr>
            </w:pPr>
            <w:r w:rsidRPr="00E8656C">
              <w:rPr>
                <w:rFonts w:cs="Arial"/>
                <w:color w:val="auto"/>
                <w:sz w:val="18"/>
              </w:rPr>
              <w:t>Difficulty with study workload</w:t>
            </w:r>
          </w:p>
        </w:tc>
        <w:tc>
          <w:tcPr>
            <w:tcW w:w="2126" w:type="dxa"/>
            <w:vAlign w:val="bottom"/>
          </w:tcPr>
          <w:p w14:paraId="7F1C65D4" w14:textId="77777777" w:rsidR="005E3F94" w:rsidRPr="00E8656C" w:rsidRDefault="005E3F94">
            <w:pPr>
              <w:jc w:val="center"/>
              <w:rPr>
                <w:rFonts w:eastAsia="Times New Roman" w:cs="Arial"/>
                <w:color w:val="auto"/>
                <w:sz w:val="18"/>
                <w:lang w:eastAsia="en-AU"/>
              </w:rPr>
            </w:pPr>
            <w:r w:rsidRPr="00E8656C">
              <w:rPr>
                <w:rFonts w:cs="Arial"/>
                <w:color w:val="auto"/>
                <w:sz w:val="18"/>
              </w:rPr>
              <w:t>36.2</w:t>
            </w:r>
          </w:p>
        </w:tc>
        <w:tc>
          <w:tcPr>
            <w:tcW w:w="2126" w:type="dxa"/>
            <w:vAlign w:val="bottom"/>
          </w:tcPr>
          <w:p w14:paraId="7F7B644E" w14:textId="77777777" w:rsidR="005E3F94" w:rsidRPr="00E8656C" w:rsidRDefault="005E3F94">
            <w:pPr>
              <w:jc w:val="center"/>
              <w:rPr>
                <w:rFonts w:eastAsia="Times New Roman" w:cs="Arial"/>
                <w:color w:val="auto"/>
                <w:sz w:val="18"/>
                <w:lang w:eastAsia="en-AU"/>
              </w:rPr>
            </w:pPr>
            <w:r w:rsidRPr="00E8656C">
              <w:rPr>
                <w:rFonts w:cs="Arial"/>
                <w:color w:val="auto"/>
                <w:sz w:val="18"/>
              </w:rPr>
              <w:t>34.0</w:t>
            </w:r>
          </w:p>
        </w:tc>
      </w:tr>
      <w:tr w:rsidR="004D7A82" w:rsidRPr="00E8656C" w14:paraId="0B632028" w14:textId="77777777" w:rsidTr="005E54CB">
        <w:trPr>
          <w:trHeight w:val="375"/>
        </w:trPr>
        <w:tc>
          <w:tcPr>
            <w:tcW w:w="3823" w:type="dxa"/>
            <w:noWrap/>
            <w:vAlign w:val="bottom"/>
            <w:hideMark/>
          </w:tcPr>
          <w:p w14:paraId="6C16DB0C" w14:textId="77777777" w:rsidR="005E3F94" w:rsidRPr="00E8656C" w:rsidRDefault="005E3F94">
            <w:pPr>
              <w:rPr>
                <w:rFonts w:eastAsia="Times New Roman" w:cs="Arial"/>
                <w:color w:val="auto"/>
                <w:sz w:val="18"/>
                <w:lang w:eastAsia="en-AU"/>
              </w:rPr>
            </w:pPr>
            <w:r w:rsidRPr="00E8656C">
              <w:rPr>
                <w:rFonts w:cs="Arial"/>
                <w:color w:val="auto"/>
                <w:sz w:val="18"/>
              </w:rPr>
              <w:t>Family caring responsibilities</w:t>
            </w:r>
          </w:p>
        </w:tc>
        <w:tc>
          <w:tcPr>
            <w:tcW w:w="2126" w:type="dxa"/>
            <w:vAlign w:val="bottom"/>
          </w:tcPr>
          <w:p w14:paraId="43DE4A1A" w14:textId="77777777" w:rsidR="005E3F94" w:rsidRPr="00E8656C" w:rsidRDefault="005E3F94">
            <w:pPr>
              <w:jc w:val="center"/>
              <w:rPr>
                <w:rFonts w:eastAsia="Times New Roman" w:cs="Arial"/>
                <w:color w:val="auto"/>
                <w:sz w:val="18"/>
                <w:lang w:eastAsia="en-AU"/>
              </w:rPr>
            </w:pPr>
            <w:r w:rsidRPr="00E8656C">
              <w:rPr>
                <w:rFonts w:cs="Arial"/>
                <w:color w:val="auto"/>
                <w:sz w:val="18"/>
              </w:rPr>
              <w:t>18.0</w:t>
            </w:r>
          </w:p>
        </w:tc>
        <w:tc>
          <w:tcPr>
            <w:tcW w:w="2126" w:type="dxa"/>
            <w:vAlign w:val="bottom"/>
          </w:tcPr>
          <w:p w14:paraId="41CDB344" w14:textId="77777777" w:rsidR="005E3F94" w:rsidRPr="00E8656C" w:rsidRDefault="005E3F94">
            <w:pPr>
              <w:jc w:val="center"/>
              <w:rPr>
                <w:rFonts w:eastAsia="Times New Roman" w:cs="Arial"/>
                <w:color w:val="auto"/>
                <w:sz w:val="18"/>
                <w:lang w:eastAsia="en-AU"/>
              </w:rPr>
            </w:pPr>
            <w:r w:rsidRPr="00E8656C">
              <w:rPr>
                <w:rFonts w:cs="Arial"/>
                <w:color w:val="auto"/>
                <w:sz w:val="18"/>
              </w:rPr>
              <w:t>20.4</w:t>
            </w:r>
          </w:p>
        </w:tc>
      </w:tr>
      <w:tr w:rsidR="004D7A82" w:rsidRPr="00E8656C" w14:paraId="53A89B22" w14:textId="77777777" w:rsidTr="005E54CB">
        <w:trPr>
          <w:trHeight w:val="375"/>
        </w:trPr>
        <w:tc>
          <w:tcPr>
            <w:tcW w:w="3823" w:type="dxa"/>
            <w:noWrap/>
            <w:vAlign w:val="bottom"/>
            <w:hideMark/>
          </w:tcPr>
          <w:p w14:paraId="74D559F2" w14:textId="77777777" w:rsidR="005E3F94" w:rsidRPr="00E8656C" w:rsidRDefault="005E3F94">
            <w:pPr>
              <w:rPr>
                <w:rFonts w:eastAsia="Times New Roman" w:cs="Arial"/>
                <w:color w:val="auto"/>
                <w:sz w:val="18"/>
                <w:lang w:eastAsia="en-AU"/>
              </w:rPr>
            </w:pPr>
            <w:r w:rsidRPr="00E8656C">
              <w:rPr>
                <w:rFonts w:cs="Arial"/>
                <w:color w:val="auto"/>
                <w:sz w:val="18"/>
              </w:rPr>
              <w:t>Financial difficulties</w:t>
            </w:r>
          </w:p>
        </w:tc>
        <w:tc>
          <w:tcPr>
            <w:tcW w:w="2126" w:type="dxa"/>
            <w:vAlign w:val="bottom"/>
          </w:tcPr>
          <w:p w14:paraId="37E89AB1" w14:textId="77777777" w:rsidR="005E3F94" w:rsidRPr="00E8656C" w:rsidRDefault="005E3F94">
            <w:pPr>
              <w:jc w:val="center"/>
              <w:rPr>
                <w:rFonts w:eastAsia="Times New Roman" w:cs="Arial"/>
                <w:color w:val="auto"/>
                <w:sz w:val="18"/>
                <w:lang w:eastAsia="en-AU"/>
              </w:rPr>
            </w:pPr>
            <w:r w:rsidRPr="00E8656C">
              <w:rPr>
                <w:rFonts w:cs="Arial"/>
                <w:color w:val="auto"/>
                <w:sz w:val="18"/>
              </w:rPr>
              <w:t>40.5</w:t>
            </w:r>
          </w:p>
        </w:tc>
        <w:tc>
          <w:tcPr>
            <w:tcW w:w="2126" w:type="dxa"/>
            <w:vAlign w:val="bottom"/>
          </w:tcPr>
          <w:p w14:paraId="718342DA" w14:textId="77777777" w:rsidR="005E3F94" w:rsidRPr="00E8656C" w:rsidRDefault="005E3F94">
            <w:pPr>
              <w:jc w:val="center"/>
              <w:rPr>
                <w:rFonts w:eastAsia="Times New Roman" w:cs="Arial"/>
                <w:color w:val="auto"/>
                <w:sz w:val="18"/>
                <w:lang w:eastAsia="en-AU"/>
              </w:rPr>
            </w:pPr>
            <w:r w:rsidRPr="00E8656C">
              <w:rPr>
                <w:rFonts w:cs="Arial"/>
                <w:color w:val="auto"/>
                <w:sz w:val="18"/>
              </w:rPr>
              <w:t>35.8</w:t>
            </w:r>
          </w:p>
        </w:tc>
      </w:tr>
      <w:tr w:rsidR="004D7A82" w:rsidRPr="00E8656C" w14:paraId="31D4BFD3" w14:textId="77777777" w:rsidTr="005E54CB">
        <w:trPr>
          <w:trHeight w:val="375"/>
        </w:trPr>
        <w:tc>
          <w:tcPr>
            <w:tcW w:w="3823" w:type="dxa"/>
            <w:noWrap/>
            <w:vAlign w:val="bottom"/>
            <w:hideMark/>
          </w:tcPr>
          <w:p w14:paraId="06543D99" w14:textId="77777777" w:rsidR="005E3F94" w:rsidRPr="00E8656C" w:rsidRDefault="005E3F94">
            <w:pPr>
              <w:rPr>
                <w:rFonts w:eastAsia="Times New Roman" w:cs="Arial"/>
                <w:color w:val="auto"/>
                <w:sz w:val="18"/>
                <w:lang w:eastAsia="en-AU"/>
              </w:rPr>
            </w:pPr>
            <w:r w:rsidRPr="00E8656C">
              <w:rPr>
                <w:rFonts w:cs="Arial"/>
                <w:color w:val="auto"/>
                <w:sz w:val="18"/>
              </w:rPr>
              <w:t>Gap year/deferral</w:t>
            </w:r>
          </w:p>
        </w:tc>
        <w:tc>
          <w:tcPr>
            <w:tcW w:w="2126" w:type="dxa"/>
            <w:vAlign w:val="bottom"/>
          </w:tcPr>
          <w:p w14:paraId="68CBCCAE" w14:textId="77777777" w:rsidR="005E3F94" w:rsidRPr="00E8656C" w:rsidRDefault="005E3F94">
            <w:pPr>
              <w:jc w:val="center"/>
              <w:rPr>
                <w:rFonts w:eastAsia="Times New Roman" w:cs="Arial"/>
                <w:color w:val="auto"/>
                <w:sz w:val="18"/>
                <w:lang w:eastAsia="en-AU"/>
              </w:rPr>
            </w:pPr>
            <w:r w:rsidRPr="00E8656C">
              <w:rPr>
                <w:rFonts w:cs="Arial"/>
                <w:color w:val="auto"/>
                <w:sz w:val="18"/>
              </w:rPr>
              <w:t>11.3</w:t>
            </w:r>
          </w:p>
        </w:tc>
        <w:tc>
          <w:tcPr>
            <w:tcW w:w="2126" w:type="dxa"/>
            <w:vAlign w:val="bottom"/>
          </w:tcPr>
          <w:p w14:paraId="6D780E98" w14:textId="77777777" w:rsidR="005E3F94" w:rsidRPr="00E8656C" w:rsidRDefault="005E3F94">
            <w:pPr>
              <w:jc w:val="center"/>
              <w:rPr>
                <w:rFonts w:eastAsia="Times New Roman" w:cs="Arial"/>
                <w:color w:val="auto"/>
                <w:sz w:val="18"/>
                <w:lang w:eastAsia="en-AU"/>
              </w:rPr>
            </w:pPr>
            <w:r w:rsidRPr="00E8656C">
              <w:rPr>
                <w:rFonts w:cs="Arial"/>
                <w:color w:val="auto"/>
                <w:sz w:val="18"/>
              </w:rPr>
              <w:t>3.5</w:t>
            </w:r>
          </w:p>
        </w:tc>
      </w:tr>
      <w:tr w:rsidR="004D7A82" w:rsidRPr="00E8656C" w14:paraId="3D87391E" w14:textId="77777777" w:rsidTr="005E54CB">
        <w:trPr>
          <w:trHeight w:val="375"/>
        </w:trPr>
        <w:tc>
          <w:tcPr>
            <w:tcW w:w="3823" w:type="dxa"/>
            <w:noWrap/>
            <w:vAlign w:val="bottom"/>
            <w:hideMark/>
          </w:tcPr>
          <w:p w14:paraId="49CFDCFD" w14:textId="77777777" w:rsidR="005E3F94" w:rsidRPr="00E8656C" w:rsidRDefault="005E3F94">
            <w:pPr>
              <w:rPr>
                <w:rFonts w:eastAsia="Times New Roman" w:cs="Arial"/>
                <w:color w:val="auto"/>
                <w:sz w:val="18"/>
                <w:lang w:eastAsia="en-AU"/>
              </w:rPr>
            </w:pPr>
            <w:r w:rsidRPr="00E8656C">
              <w:rPr>
                <w:rFonts w:cs="Arial"/>
                <w:color w:val="auto"/>
                <w:sz w:val="18"/>
              </w:rPr>
              <w:t>Lack of academic support</w:t>
            </w:r>
          </w:p>
        </w:tc>
        <w:tc>
          <w:tcPr>
            <w:tcW w:w="2126" w:type="dxa"/>
            <w:vAlign w:val="bottom"/>
          </w:tcPr>
          <w:p w14:paraId="465DBFDC" w14:textId="77777777" w:rsidR="005E3F94" w:rsidRPr="00E8656C" w:rsidRDefault="005E3F94">
            <w:pPr>
              <w:jc w:val="center"/>
              <w:rPr>
                <w:rFonts w:eastAsia="Times New Roman" w:cs="Arial"/>
                <w:color w:val="auto"/>
                <w:sz w:val="18"/>
                <w:lang w:eastAsia="en-AU"/>
              </w:rPr>
            </w:pPr>
            <w:r w:rsidRPr="00E8656C">
              <w:rPr>
                <w:rFonts w:cs="Arial"/>
                <w:color w:val="auto"/>
                <w:sz w:val="18"/>
              </w:rPr>
              <w:t>23.0</w:t>
            </w:r>
          </w:p>
        </w:tc>
        <w:tc>
          <w:tcPr>
            <w:tcW w:w="2126" w:type="dxa"/>
            <w:vAlign w:val="bottom"/>
          </w:tcPr>
          <w:p w14:paraId="15962E9F" w14:textId="77777777" w:rsidR="005E3F94" w:rsidRPr="00E8656C" w:rsidRDefault="005E3F94">
            <w:pPr>
              <w:jc w:val="center"/>
              <w:rPr>
                <w:rFonts w:eastAsia="Times New Roman" w:cs="Arial"/>
                <w:color w:val="auto"/>
                <w:sz w:val="18"/>
                <w:lang w:eastAsia="en-AU"/>
              </w:rPr>
            </w:pPr>
            <w:r w:rsidRPr="00E8656C">
              <w:rPr>
                <w:rFonts w:cs="Arial"/>
                <w:color w:val="auto"/>
                <w:sz w:val="18"/>
              </w:rPr>
              <w:t>21.1</w:t>
            </w:r>
          </w:p>
        </w:tc>
      </w:tr>
      <w:tr w:rsidR="004D7A82" w:rsidRPr="00E8656C" w14:paraId="56F29334" w14:textId="77777777" w:rsidTr="005E54CB">
        <w:trPr>
          <w:trHeight w:val="375"/>
        </w:trPr>
        <w:tc>
          <w:tcPr>
            <w:tcW w:w="3823" w:type="dxa"/>
            <w:noWrap/>
            <w:vAlign w:val="bottom"/>
            <w:hideMark/>
          </w:tcPr>
          <w:p w14:paraId="07A705F3" w14:textId="77777777" w:rsidR="005E3F94" w:rsidRPr="00E8656C" w:rsidRDefault="005E3F94">
            <w:pPr>
              <w:rPr>
                <w:rFonts w:eastAsia="Times New Roman" w:cs="Arial"/>
                <w:color w:val="auto"/>
                <w:sz w:val="18"/>
                <w:lang w:eastAsia="en-AU"/>
              </w:rPr>
            </w:pPr>
            <w:r w:rsidRPr="00E8656C">
              <w:rPr>
                <w:rFonts w:cs="Arial"/>
                <w:color w:val="auto"/>
                <w:sz w:val="18"/>
              </w:rPr>
              <w:t>Lack of administrative support</w:t>
            </w:r>
          </w:p>
        </w:tc>
        <w:tc>
          <w:tcPr>
            <w:tcW w:w="2126" w:type="dxa"/>
            <w:vAlign w:val="bottom"/>
          </w:tcPr>
          <w:p w14:paraId="2D9BEAC9" w14:textId="77777777" w:rsidR="005E3F94" w:rsidRPr="00E8656C" w:rsidRDefault="005E3F94">
            <w:pPr>
              <w:jc w:val="center"/>
              <w:rPr>
                <w:rFonts w:eastAsia="Times New Roman" w:cs="Arial"/>
                <w:color w:val="auto"/>
                <w:sz w:val="18"/>
                <w:lang w:eastAsia="en-AU"/>
              </w:rPr>
            </w:pPr>
            <w:r w:rsidRPr="00E8656C">
              <w:rPr>
                <w:rFonts w:cs="Arial"/>
                <w:color w:val="auto"/>
                <w:sz w:val="18"/>
              </w:rPr>
              <w:t>14.5</w:t>
            </w:r>
          </w:p>
        </w:tc>
        <w:tc>
          <w:tcPr>
            <w:tcW w:w="2126" w:type="dxa"/>
            <w:vAlign w:val="bottom"/>
          </w:tcPr>
          <w:p w14:paraId="518ADAA3" w14:textId="77777777" w:rsidR="005E3F94" w:rsidRPr="00E8656C" w:rsidRDefault="005E3F94">
            <w:pPr>
              <w:jc w:val="center"/>
              <w:rPr>
                <w:rFonts w:eastAsia="Times New Roman" w:cs="Arial"/>
                <w:color w:val="auto"/>
                <w:sz w:val="18"/>
                <w:lang w:eastAsia="en-AU"/>
              </w:rPr>
            </w:pPr>
            <w:r w:rsidRPr="00E8656C">
              <w:rPr>
                <w:rFonts w:cs="Arial"/>
                <w:color w:val="auto"/>
                <w:sz w:val="18"/>
              </w:rPr>
              <w:t>13.6</w:t>
            </w:r>
          </w:p>
        </w:tc>
      </w:tr>
      <w:tr w:rsidR="004D7A82" w:rsidRPr="00E8656C" w14:paraId="2D0360E9" w14:textId="77777777" w:rsidTr="005E54CB">
        <w:trPr>
          <w:trHeight w:val="375"/>
        </w:trPr>
        <w:tc>
          <w:tcPr>
            <w:tcW w:w="3823" w:type="dxa"/>
            <w:noWrap/>
            <w:vAlign w:val="bottom"/>
            <w:hideMark/>
          </w:tcPr>
          <w:p w14:paraId="330612A0" w14:textId="77777777" w:rsidR="005E3F94" w:rsidRPr="00E8656C" w:rsidRDefault="005E3F94">
            <w:pPr>
              <w:rPr>
                <w:rFonts w:eastAsia="Times New Roman" w:cs="Arial"/>
                <w:color w:val="auto"/>
                <w:sz w:val="18"/>
                <w:lang w:eastAsia="en-AU"/>
              </w:rPr>
            </w:pPr>
            <w:r w:rsidRPr="00E8656C">
              <w:rPr>
                <w:rFonts w:cs="Arial"/>
                <w:color w:val="auto"/>
                <w:sz w:val="18"/>
              </w:rPr>
              <w:t>Lack of career prospects</w:t>
            </w:r>
          </w:p>
        </w:tc>
        <w:tc>
          <w:tcPr>
            <w:tcW w:w="2126" w:type="dxa"/>
            <w:vAlign w:val="bottom"/>
          </w:tcPr>
          <w:p w14:paraId="0B054AB6" w14:textId="77777777" w:rsidR="005E3F94" w:rsidRPr="00E8656C" w:rsidRDefault="005E3F94">
            <w:pPr>
              <w:jc w:val="center"/>
              <w:rPr>
                <w:rFonts w:eastAsia="Times New Roman" w:cs="Arial"/>
                <w:color w:val="auto"/>
                <w:sz w:val="18"/>
                <w:lang w:eastAsia="en-AU"/>
              </w:rPr>
            </w:pPr>
            <w:r w:rsidRPr="00E8656C">
              <w:rPr>
                <w:rFonts w:cs="Arial"/>
                <w:color w:val="auto"/>
                <w:sz w:val="18"/>
              </w:rPr>
              <w:t>15.4</w:t>
            </w:r>
          </w:p>
        </w:tc>
        <w:tc>
          <w:tcPr>
            <w:tcW w:w="2126" w:type="dxa"/>
            <w:vAlign w:val="bottom"/>
          </w:tcPr>
          <w:p w14:paraId="650FDFA3" w14:textId="77777777" w:rsidR="005E3F94" w:rsidRPr="00E8656C" w:rsidRDefault="005E3F94">
            <w:pPr>
              <w:jc w:val="center"/>
              <w:rPr>
                <w:rFonts w:eastAsia="Times New Roman" w:cs="Arial"/>
                <w:color w:val="auto"/>
                <w:sz w:val="18"/>
                <w:lang w:eastAsia="en-AU"/>
              </w:rPr>
            </w:pPr>
            <w:r w:rsidRPr="00E8656C">
              <w:rPr>
                <w:rFonts w:cs="Arial"/>
                <w:color w:val="auto"/>
                <w:sz w:val="18"/>
              </w:rPr>
              <w:t>16.1</w:t>
            </w:r>
          </w:p>
        </w:tc>
      </w:tr>
      <w:tr w:rsidR="004D7A82" w:rsidRPr="00E8656C" w14:paraId="3135BD6A" w14:textId="77777777" w:rsidTr="005E54CB">
        <w:trPr>
          <w:trHeight w:val="375"/>
        </w:trPr>
        <w:tc>
          <w:tcPr>
            <w:tcW w:w="3823" w:type="dxa"/>
            <w:noWrap/>
            <w:vAlign w:val="bottom"/>
            <w:hideMark/>
          </w:tcPr>
          <w:p w14:paraId="75A9854F" w14:textId="2CD1E12F" w:rsidR="005E3F94" w:rsidRPr="00E8656C" w:rsidRDefault="005E3F94">
            <w:pPr>
              <w:rPr>
                <w:rFonts w:eastAsia="Times New Roman" w:cs="Arial"/>
                <w:color w:val="auto"/>
                <w:sz w:val="18"/>
                <w:lang w:eastAsia="en-AU"/>
              </w:rPr>
            </w:pPr>
            <w:r w:rsidRPr="00E8656C">
              <w:rPr>
                <w:rFonts w:cs="Arial"/>
                <w:color w:val="auto"/>
                <w:sz w:val="18"/>
              </w:rPr>
              <w:t>Lack of connection to my institution</w:t>
            </w:r>
          </w:p>
        </w:tc>
        <w:tc>
          <w:tcPr>
            <w:tcW w:w="2126" w:type="dxa"/>
            <w:vAlign w:val="bottom"/>
          </w:tcPr>
          <w:p w14:paraId="036C3086" w14:textId="77777777" w:rsidR="005E3F94" w:rsidRPr="00E8656C" w:rsidRDefault="005E3F94">
            <w:pPr>
              <w:jc w:val="center"/>
              <w:rPr>
                <w:rFonts w:eastAsia="Times New Roman" w:cs="Arial"/>
                <w:color w:val="auto"/>
                <w:sz w:val="18"/>
                <w:lang w:eastAsia="en-AU"/>
              </w:rPr>
            </w:pPr>
            <w:r w:rsidRPr="00E8656C">
              <w:rPr>
                <w:rFonts w:cs="Arial"/>
                <w:color w:val="auto"/>
                <w:sz w:val="18"/>
              </w:rPr>
              <w:t>21.5</w:t>
            </w:r>
          </w:p>
        </w:tc>
        <w:tc>
          <w:tcPr>
            <w:tcW w:w="2126" w:type="dxa"/>
            <w:vAlign w:val="bottom"/>
          </w:tcPr>
          <w:p w14:paraId="688E2BDD" w14:textId="77777777" w:rsidR="005E3F94" w:rsidRPr="00E8656C" w:rsidRDefault="005E3F94">
            <w:pPr>
              <w:jc w:val="center"/>
              <w:rPr>
                <w:rFonts w:eastAsia="Times New Roman" w:cs="Arial"/>
                <w:color w:val="auto"/>
                <w:sz w:val="18"/>
                <w:lang w:eastAsia="en-AU"/>
              </w:rPr>
            </w:pPr>
            <w:r w:rsidRPr="00E8656C">
              <w:rPr>
                <w:rFonts w:cs="Arial"/>
                <w:color w:val="auto"/>
                <w:sz w:val="18"/>
              </w:rPr>
              <w:t>15.4</w:t>
            </w:r>
          </w:p>
        </w:tc>
      </w:tr>
      <w:tr w:rsidR="004D7A82" w:rsidRPr="00E8656C" w14:paraId="0BF07562" w14:textId="77777777" w:rsidTr="005E54CB">
        <w:trPr>
          <w:trHeight w:val="375"/>
        </w:trPr>
        <w:tc>
          <w:tcPr>
            <w:tcW w:w="3823" w:type="dxa"/>
            <w:noWrap/>
            <w:vAlign w:val="bottom"/>
            <w:hideMark/>
          </w:tcPr>
          <w:p w14:paraId="75B05635" w14:textId="12751A3C" w:rsidR="005E3F94" w:rsidRPr="00E8656C" w:rsidRDefault="005E3F94">
            <w:pPr>
              <w:rPr>
                <w:rFonts w:eastAsia="Times New Roman" w:cs="Arial"/>
                <w:color w:val="auto"/>
                <w:sz w:val="18"/>
                <w:lang w:eastAsia="en-AU"/>
              </w:rPr>
            </w:pPr>
            <w:r w:rsidRPr="00E8656C">
              <w:rPr>
                <w:rFonts w:cs="Arial"/>
                <w:color w:val="auto"/>
                <w:sz w:val="18"/>
              </w:rPr>
              <w:t>Limited access to technology</w:t>
            </w:r>
          </w:p>
        </w:tc>
        <w:tc>
          <w:tcPr>
            <w:tcW w:w="2126" w:type="dxa"/>
            <w:vAlign w:val="bottom"/>
          </w:tcPr>
          <w:p w14:paraId="08E83322" w14:textId="77777777" w:rsidR="005E3F94" w:rsidRPr="00E8656C" w:rsidRDefault="005E3F94">
            <w:pPr>
              <w:jc w:val="center"/>
              <w:rPr>
                <w:rFonts w:eastAsia="Times New Roman" w:cs="Arial"/>
                <w:color w:val="auto"/>
                <w:sz w:val="18"/>
                <w:lang w:eastAsia="en-AU"/>
              </w:rPr>
            </w:pPr>
            <w:r w:rsidRPr="00E8656C">
              <w:rPr>
                <w:rFonts w:cs="Arial"/>
                <w:color w:val="auto"/>
                <w:sz w:val="18"/>
              </w:rPr>
              <w:t>3.3</w:t>
            </w:r>
          </w:p>
        </w:tc>
        <w:tc>
          <w:tcPr>
            <w:tcW w:w="2126" w:type="dxa"/>
            <w:vAlign w:val="bottom"/>
          </w:tcPr>
          <w:p w14:paraId="4EFE46D7" w14:textId="77777777" w:rsidR="005E3F94" w:rsidRPr="00E8656C" w:rsidRDefault="005E3F94">
            <w:pPr>
              <w:jc w:val="center"/>
              <w:rPr>
                <w:rFonts w:eastAsia="Times New Roman" w:cs="Arial"/>
                <w:color w:val="auto"/>
                <w:sz w:val="18"/>
                <w:lang w:eastAsia="en-AU"/>
              </w:rPr>
            </w:pPr>
            <w:r w:rsidRPr="00E8656C">
              <w:rPr>
                <w:rFonts w:cs="Arial"/>
                <w:color w:val="auto"/>
                <w:sz w:val="18"/>
              </w:rPr>
              <w:t>3.4</w:t>
            </w:r>
          </w:p>
        </w:tc>
      </w:tr>
      <w:tr w:rsidR="004D7A82" w:rsidRPr="00E8656C" w14:paraId="23D0823E" w14:textId="77777777" w:rsidTr="005E54CB">
        <w:trPr>
          <w:trHeight w:val="375"/>
        </w:trPr>
        <w:tc>
          <w:tcPr>
            <w:tcW w:w="3823" w:type="dxa"/>
            <w:noWrap/>
            <w:vAlign w:val="bottom"/>
            <w:hideMark/>
          </w:tcPr>
          <w:p w14:paraId="22D3EAD3" w14:textId="75B4BE28" w:rsidR="005E3F94" w:rsidRPr="00E8656C" w:rsidRDefault="005E3F94">
            <w:pPr>
              <w:rPr>
                <w:rFonts w:eastAsia="Times New Roman" w:cs="Arial"/>
                <w:color w:val="auto"/>
                <w:sz w:val="18"/>
                <w:lang w:eastAsia="en-AU"/>
              </w:rPr>
            </w:pPr>
            <w:r w:rsidRPr="00E8656C">
              <w:rPr>
                <w:rFonts w:cs="Arial"/>
                <w:color w:val="auto"/>
                <w:sz w:val="18"/>
              </w:rPr>
              <w:t>Low or failing grades</w:t>
            </w:r>
          </w:p>
        </w:tc>
        <w:tc>
          <w:tcPr>
            <w:tcW w:w="2126" w:type="dxa"/>
            <w:vAlign w:val="bottom"/>
          </w:tcPr>
          <w:p w14:paraId="36E4594D" w14:textId="77777777" w:rsidR="005E3F94" w:rsidRPr="00E8656C" w:rsidRDefault="005E3F94">
            <w:pPr>
              <w:jc w:val="center"/>
              <w:rPr>
                <w:rFonts w:eastAsia="Times New Roman" w:cs="Arial"/>
                <w:color w:val="auto"/>
                <w:sz w:val="18"/>
                <w:lang w:eastAsia="en-AU"/>
              </w:rPr>
            </w:pPr>
            <w:r w:rsidRPr="00E8656C">
              <w:rPr>
                <w:rFonts w:cs="Arial"/>
                <w:color w:val="auto"/>
                <w:sz w:val="18"/>
              </w:rPr>
              <w:t>14.0</w:t>
            </w:r>
          </w:p>
        </w:tc>
        <w:tc>
          <w:tcPr>
            <w:tcW w:w="2126" w:type="dxa"/>
            <w:vAlign w:val="bottom"/>
          </w:tcPr>
          <w:p w14:paraId="71429EBC" w14:textId="77777777" w:rsidR="005E3F94" w:rsidRPr="00E8656C" w:rsidRDefault="005E3F94">
            <w:pPr>
              <w:jc w:val="center"/>
              <w:rPr>
                <w:rFonts w:eastAsia="Times New Roman" w:cs="Arial"/>
                <w:color w:val="auto"/>
                <w:sz w:val="18"/>
                <w:lang w:eastAsia="en-AU"/>
              </w:rPr>
            </w:pPr>
            <w:r w:rsidRPr="00E8656C">
              <w:rPr>
                <w:rFonts w:cs="Arial"/>
                <w:color w:val="auto"/>
                <w:sz w:val="18"/>
              </w:rPr>
              <w:t>9.6</w:t>
            </w:r>
          </w:p>
        </w:tc>
      </w:tr>
      <w:tr w:rsidR="004D7A82" w:rsidRPr="00E8656C" w14:paraId="40CF7A88" w14:textId="77777777" w:rsidTr="005E54CB">
        <w:trPr>
          <w:trHeight w:val="375"/>
        </w:trPr>
        <w:tc>
          <w:tcPr>
            <w:tcW w:w="3823" w:type="dxa"/>
            <w:noWrap/>
            <w:vAlign w:val="bottom"/>
            <w:hideMark/>
          </w:tcPr>
          <w:p w14:paraId="11214663" w14:textId="77777777" w:rsidR="005E3F94" w:rsidRPr="00E8656C" w:rsidRDefault="005E3F94">
            <w:pPr>
              <w:rPr>
                <w:rFonts w:eastAsia="Times New Roman" w:cs="Arial"/>
                <w:color w:val="auto"/>
                <w:sz w:val="18"/>
                <w:lang w:eastAsia="en-AU"/>
              </w:rPr>
            </w:pPr>
            <w:r w:rsidRPr="00E8656C">
              <w:rPr>
                <w:rFonts w:cs="Arial"/>
                <w:color w:val="auto"/>
                <w:sz w:val="18"/>
              </w:rPr>
              <w:t>Moving residence</w:t>
            </w:r>
          </w:p>
        </w:tc>
        <w:tc>
          <w:tcPr>
            <w:tcW w:w="2126" w:type="dxa"/>
            <w:vAlign w:val="bottom"/>
          </w:tcPr>
          <w:p w14:paraId="449610D7" w14:textId="77777777" w:rsidR="005E3F94" w:rsidRPr="00E8656C" w:rsidRDefault="005E3F94">
            <w:pPr>
              <w:jc w:val="center"/>
              <w:rPr>
                <w:rFonts w:eastAsia="Times New Roman" w:cs="Arial"/>
                <w:color w:val="auto"/>
                <w:sz w:val="18"/>
                <w:lang w:eastAsia="en-AU"/>
              </w:rPr>
            </w:pPr>
            <w:r w:rsidRPr="00E8656C">
              <w:rPr>
                <w:rFonts w:cs="Arial"/>
                <w:color w:val="auto"/>
                <w:sz w:val="18"/>
              </w:rPr>
              <w:t>6.8</w:t>
            </w:r>
          </w:p>
        </w:tc>
        <w:tc>
          <w:tcPr>
            <w:tcW w:w="2126" w:type="dxa"/>
            <w:vAlign w:val="bottom"/>
          </w:tcPr>
          <w:p w14:paraId="4C10EFE1" w14:textId="77777777" w:rsidR="005E3F94" w:rsidRPr="00E8656C" w:rsidRDefault="005E3F94">
            <w:pPr>
              <w:jc w:val="center"/>
              <w:rPr>
                <w:rFonts w:eastAsia="Times New Roman" w:cs="Arial"/>
                <w:color w:val="auto"/>
                <w:sz w:val="18"/>
                <w:lang w:eastAsia="en-AU"/>
              </w:rPr>
            </w:pPr>
            <w:r w:rsidRPr="00E8656C">
              <w:rPr>
                <w:rFonts w:cs="Arial"/>
                <w:color w:val="auto"/>
                <w:sz w:val="18"/>
              </w:rPr>
              <w:t>4.9</w:t>
            </w:r>
          </w:p>
        </w:tc>
      </w:tr>
      <w:tr w:rsidR="004D7A82" w:rsidRPr="00E8656C" w14:paraId="4DB93675" w14:textId="77777777" w:rsidTr="005E54CB">
        <w:trPr>
          <w:trHeight w:val="375"/>
        </w:trPr>
        <w:tc>
          <w:tcPr>
            <w:tcW w:w="3823" w:type="dxa"/>
            <w:noWrap/>
            <w:vAlign w:val="bottom"/>
            <w:hideMark/>
          </w:tcPr>
          <w:p w14:paraId="729C8D8B" w14:textId="10BF604D" w:rsidR="005E3F94" w:rsidRPr="00E8656C" w:rsidRDefault="005E3F94">
            <w:pPr>
              <w:rPr>
                <w:rFonts w:eastAsia="Times New Roman" w:cs="Arial"/>
                <w:color w:val="auto"/>
                <w:sz w:val="18"/>
                <w:lang w:eastAsia="en-AU"/>
              </w:rPr>
            </w:pPr>
            <w:r w:rsidRPr="00E8656C">
              <w:rPr>
                <w:rFonts w:cs="Arial"/>
                <w:color w:val="auto"/>
                <w:sz w:val="18"/>
              </w:rPr>
              <w:t>Moving to another institution</w:t>
            </w:r>
          </w:p>
        </w:tc>
        <w:tc>
          <w:tcPr>
            <w:tcW w:w="2126" w:type="dxa"/>
            <w:vAlign w:val="bottom"/>
          </w:tcPr>
          <w:p w14:paraId="7AEEFB0A" w14:textId="77777777" w:rsidR="005E3F94" w:rsidRPr="00E8656C" w:rsidRDefault="005E3F94">
            <w:pPr>
              <w:jc w:val="center"/>
              <w:rPr>
                <w:rFonts w:eastAsia="Times New Roman" w:cs="Arial"/>
                <w:color w:val="auto"/>
                <w:sz w:val="18"/>
                <w:lang w:eastAsia="en-AU"/>
              </w:rPr>
            </w:pPr>
            <w:r w:rsidRPr="00E8656C">
              <w:rPr>
                <w:rFonts w:cs="Arial"/>
                <w:color w:val="auto"/>
                <w:sz w:val="18"/>
              </w:rPr>
              <w:t>15.5</w:t>
            </w:r>
          </w:p>
        </w:tc>
        <w:tc>
          <w:tcPr>
            <w:tcW w:w="2126" w:type="dxa"/>
            <w:vAlign w:val="bottom"/>
          </w:tcPr>
          <w:p w14:paraId="3D219E0D" w14:textId="77777777" w:rsidR="005E3F94" w:rsidRPr="00E8656C" w:rsidRDefault="005E3F94">
            <w:pPr>
              <w:jc w:val="center"/>
              <w:rPr>
                <w:rFonts w:eastAsia="Times New Roman" w:cs="Arial"/>
                <w:color w:val="auto"/>
                <w:sz w:val="18"/>
                <w:lang w:eastAsia="en-AU"/>
              </w:rPr>
            </w:pPr>
            <w:r w:rsidRPr="00E8656C">
              <w:rPr>
                <w:rFonts w:cs="Arial"/>
                <w:color w:val="auto"/>
                <w:sz w:val="18"/>
              </w:rPr>
              <w:t>8.5</w:t>
            </w:r>
          </w:p>
        </w:tc>
      </w:tr>
      <w:tr w:rsidR="004D7A82" w:rsidRPr="00E8656C" w14:paraId="0A8A4574" w14:textId="77777777" w:rsidTr="005E54CB">
        <w:trPr>
          <w:trHeight w:val="375"/>
        </w:trPr>
        <w:tc>
          <w:tcPr>
            <w:tcW w:w="3823" w:type="dxa"/>
            <w:noWrap/>
            <w:vAlign w:val="bottom"/>
            <w:hideMark/>
          </w:tcPr>
          <w:p w14:paraId="556B0942" w14:textId="0FF38B3F" w:rsidR="005E3F94" w:rsidRPr="00E8656C" w:rsidRDefault="005E3F94">
            <w:pPr>
              <w:rPr>
                <w:rFonts w:eastAsia="Times New Roman" w:cs="Arial"/>
                <w:color w:val="auto"/>
                <w:sz w:val="18"/>
                <w:lang w:eastAsia="en-AU"/>
              </w:rPr>
            </w:pPr>
            <w:r w:rsidRPr="00E8656C">
              <w:rPr>
                <w:rFonts w:cs="Arial"/>
                <w:color w:val="auto"/>
                <w:sz w:val="18"/>
              </w:rPr>
              <w:t>My course is too difficult</w:t>
            </w:r>
          </w:p>
        </w:tc>
        <w:tc>
          <w:tcPr>
            <w:tcW w:w="2126" w:type="dxa"/>
            <w:vAlign w:val="bottom"/>
          </w:tcPr>
          <w:p w14:paraId="064F1241" w14:textId="77777777" w:rsidR="005E3F94" w:rsidRPr="00E8656C" w:rsidRDefault="005E3F94">
            <w:pPr>
              <w:jc w:val="center"/>
              <w:rPr>
                <w:rFonts w:eastAsia="Times New Roman" w:cs="Arial"/>
                <w:color w:val="auto"/>
                <w:sz w:val="18"/>
                <w:lang w:eastAsia="en-AU"/>
              </w:rPr>
            </w:pPr>
            <w:r w:rsidRPr="00E8656C">
              <w:rPr>
                <w:rFonts w:cs="Arial"/>
                <w:color w:val="auto"/>
                <w:sz w:val="18"/>
              </w:rPr>
              <w:t>6.1</w:t>
            </w:r>
          </w:p>
        </w:tc>
        <w:tc>
          <w:tcPr>
            <w:tcW w:w="2126" w:type="dxa"/>
            <w:vAlign w:val="bottom"/>
          </w:tcPr>
          <w:p w14:paraId="227C02F5" w14:textId="77777777" w:rsidR="005E3F94" w:rsidRPr="00E8656C" w:rsidRDefault="005E3F94">
            <w:pPr>
              <w:jc w:val="center"/>
              <w:rPr>
                <w:rFonts w:eastAsia="Times New Roman" w:cs="Arial"/>
                <w:color w:val="auto"/>
                <w:sz w:val="18"/>
                <w:lang w:eastAsia="en-AU"/>
              </w:rPr>
            </w:pPr>
            <w:r w:rsidRPr="00E8656C">
              <w:rPr>
                <w:rFonts w:cs="Arial"/>
                <w:color w:val="auto"/>
                <w:sz w:val="18"/>
              </w:rPr>
              <w:t>6.5</w:t>
            </w:r>
          </w:p>
        </w:tc>
      </w:tr>
      <w:tr w:rsidR="004D7A82" w:rsidRPr="00E8656C" w14:paraId="091E9E59" w14:textId="77777777" w:rsidTr="005E54CB">
        <w:trPr>
          <w:trHeight w:val="375"/>
        </w:trPr>
        <w:tc>
          <w:tcPr>
            <w:tcW w:w="3823" w:type="dxa"/>
            <w:noWrap/>
            <w:vAlign w:val="bottom"/>
            <w:hideMark/>
          </w:tcPr>
          <w:p w14:paraId="75971B73" w14:textId="69D4A922" w:rsidR="005E3F94" w:rsidRPr="00E8656C" w:rsidRDefault="005E3F94">
            <w:pPr>
              <w:rPr>
                <w:rFonts w:eastAsia="Times New Roman" w:cs="Arial"/>
                <w:color w:val="auto"/>
                <w:sz w:val="18"/>
                <w:lang w:eastAsia="en-AU"/>
              </w:rPr>
            </w:pPr>
            <w:r w:rsidRPr="00E8656C">
              <w:rPr>
                <w:rFonts w:cs="Arial"/>
                <w:color w:val="auto"/>
                <w:sz w:val="18"/>
              </w:rPr>
              <w:t>My English language skills</w:t>
            </w:r>
          </w:p>
        </w:tc>
        <w:tc>
          <w:tcPr>
            <w:tcW w:w="2126" w:type="dxa"/>
            <w:vAlign w:val="bottom"/>
          </w:tcPr>
          <w:p w14:paraId="41050057" w14:textId="77777777" w:rsidR="005E3F94" w:rsidRPr="00E8656C" w:rsidRDefault="005E3F94">
            <w:pPr>
              <w:jc w:val="center"/>
              <w:rPr>
                <w:rFonts w:eastAsia="Times New Roman" w:cs="Arial"/>
                <w:color w:val="auto"/>
                <w:sz w:val="18"/>
                <w:lang w:eastAsia="en-AU"/>
              </w:rPr>
            </w:pPr>
            <w:r w:rsidRPr="00E8656C">
              <w:rPr>
                <w:rFonts w:cs="Arial"/>
                <w:color w:val="auto"/>
                <w:sz w:val="18"/>
              </w:rPr>
              <w:t>1.5</w:t>
            </w:r>
          </w:p>
        </w:tc>
        <w:tc>
          <w:tcPr>
            <w:tcW w:w="2126" w:type="dxa"/>
            <w:vAlign w:val="bottom"/>
          </w:tcPr>
          <w:p w14:paraId="77EAE34B" w14:textId="77777777" w:rsidR="005E3F94" w:rsidRPr="00E8656C" w:rsidRDefault="005E3F94">
            <w:pPr>
              <w:jc w:val="center"/>
              <w:rPr>
                <w:rFonts w:eastAsia="Times New Roman" w:cs="Arial"/>
                <w:color w:val="auto"/>
                <w:sz w:val="18"/>
                <w:lang w:eastAsia="en-AU"/>
              </w:rPr>
            </w:pPr>
            <w:r w:rsidRPr="00E8656C">
              <w:rPr>
                <w:rFonts w:cs="Arial"/>
                <w:color w:val="auto"/>
                <w:sz w:val="18"/>
              </w:rPr>
              <w:t>2.8</w:t>
            </w:r>
          </w:p>
        </w:tc>
      </w:tr>
      <w:tr w:rsidR="004D7A82" w:rsidRPr="00E8656C" w14:paraId="598D778C" w14:textId="77777777" w:rsidTr="005E54CB">
        <w:trPr>
          <w:trHeight w:val="375"/>
        </w:trPr>
        <w:tc>
          <w:tcPr>
            <w:tcW w:w="3823" w:type="dxa"/>
            <w:noWrap/>
            <w:vAlign w:val="bottom"/>
            <w:hideMark/>
          </w:tcPr>
          <w:p w14:paraId="76AD7799" w14:textId="61099FAA" w:rsidR="005E3F94" w:rsidRPr="00E8656C" w:rsidRDefault="005E3F94">
            <w:pPr>
              <w:rPr>
                <w:rFonts w:eastAsia="Times New Roman" w:cs="Arial"/>
                <w:color w:val="auto"/>
                <w:sz w:val="18"/>
                <w:lang w:eastAsia="en-AU"/>
              </w:rPr>
            </w:pPr>
            <w:r w:rsidRPr="00E8656C">
              <w:rPr>
                <w:rFonts w:cs="Arial"/>
                <w:color w:val="auto"/>
                <w:sz w:val="18"/>
              </w:rPr>
              <w:t>My mental health</w:t>
            </w:r>
          </w:p>
        </w:tc>
        <w:tc>
          <w:tcPr>
            <w:tcW w:w="2126" w:type="dxa"/>
            <w:vAlign w:val="bottom"/>
          </w:tcPr>
          <w:p w14:paraId="77D21C6B" w14:textId="77777777" w:rsidR="005E3F94" w:rsidRPr="00E8656C" w:rsidRDefault="005E3F94">
            <w:pPr>
              <w:jc w:val="center"/>
              <w:rPr>
                <w:rFonts w:eastAsia="Times New Roman" w:cs="Arial"/>
                <w:color w:val="auto"/>
                <w:sz w:val="18"/>
                <w:lang w:eastAsia="en-AU"/>
              </w:rPr>
            </w:pPr>
            <w:r w:rsidRPr="00E8656C">
              <w:rPr>
                <w:rFonts w:cs="Arial"/>
                <w:color w:val="auto"/>
                <w:sz w:val="18"/>
              </w:rPr>
              <w:t>40.9</w:t>
            </w:r>
          </w:p>
        </w:tc>
        <w:tc>
          <w:tcPr>
            <w:tcW w:w="2126" w:type="dxa"/>
            <w:vAlign w:val="bottom"/>
          </w:tcPr>
          <w:p w14:paraId="52992E2E" w14:textId="77777777" w:rsidR="005E3F94" w:rsidRPr="00E8656C" w:rsidRDefault="005E3F94">
            <w:pPr>
              <w:jc w:val="center"/>
              <w:rPr>
                <w:rFonts w:eastAsia="Times New Roman" w:cs="Arial"/>
                <w:color w:val="auto"/>
                <w:sz w:val="18"/>
                <w:lang w:eastAsia="en-AU"/>
              </w:rPr>
            </w:pPr>
            <w:r w:rsidRPr="00E8656C">
              <w:rPr>
                <w:rFonts w:cs="Arial"/>
                <w:color w:val="auto"/>
                <w:sz w:val="18"/>
              </w:rPr>
              <w:t>28.1</w:t>
            </w:r>
          </w:p>
        </w:tc>
      </w:tr>
      <w:tr w:rsidR="004D7A82" w:rsidRPr="00E8656C" w14:paraId="3FF6D792" w14:textId="77777777" w:rsidTr="005E54CB">
        <w:trPr>
          <w:trHeight w:val="375"/>
        </w:trPr>
        <w:tc>
          <w:tcPr>
            <w:tcW w:w="3823" w:type="dxa"/>
            <w:noWrap/>
            <w:vAlign w:val="bottom"/>
            <w:hideMark/>
          </w:tcPr>
          <w:p w14:paraId="233011B9" w14:textId="4D12B1EC" w:rsidR="005E3F94" w:rsidRPr="00E8656C" w:rsidRDefault="005E3F94">
            <w:pPr>
              <w:rPr>
                <w:rFonts w:eastAsia="Times New Roman" w:cs="Arial"/>
                <w:color w:val="auto"/>
                <w:sz w:val="18"/>
                <w:lang w:eastAsia="en-AU"/>
              </w:rPr>
            </w:pPr>
            <w:r w:rsidRPr="00E8656C">
              <w:rPr>
                <w:rFonts w:cs="Arial"/>
                <w:color w:val="auto"/>
                <w:sz w:val="18"/>
              </w:rPr>
              <w:t>My physical health</w:t>
            </w:r>
          </w:p>
        </w:tc>
        <w:tc>
          <w:tcPr>
            <w:tcW w:w="2126" w:type="dxa"/>
            <w:vAlign w:val="bottom"/>
          </w:tcPr>
          <w:p w14:paraId="0624B436" w14:textId="77777777" w:rsidR="005E3F94" w:rsidRPr="00E8656C" w:rsidRDefault="005E3F94">
            <w:pPr>
              <w:jc w:val="center"/>
              <w:rPr>
                <w:rFonts w:eastAsia="Times New Roman" w:cs="Arial"/>
                <w:color w:val="auto"/>
                <w:sz w:val="18"/>
                <w:lang w:eastAsia="en-AU"/>
              </w:rPr>
            </w:pPr>
            <w:r w:rsidRPr="00E8656C">
              <w:rPr>
                <w:rFonts w:cs="Arial"/>
                <w:color w:val="auto"/>
                <w:sz w:val="18"/>
              </w:rPr>
              <w:t>11.6</w:t>
            </w:r>
          </w:p>
        </w:tc>
        <w:tc>
          <w:tcPr>
            <w:tcW w:w="2126" w:type="dxa"/>
            <w:vAlign w:val="bottom"/>
          </w:tcPr>
          <w:p w14:paraId="49223277" w14:textId="77777777" w:rsidR="005E3F94" w:rsidRPr="00E8656C" w:rsidRDefault="005E3F94">
            <w:pPr>
              <w:jc w:val="center"/>
              <w:rPr>
                <w:rFonts w:eastAsia="Times New Roman" w:cs="Arial"/>
                <w:color w:val="auto"/>
                <w:sz w:val="18"/>
                <w:lang w:eastAsia="en-AU"/>
              </w:rPr>
            </w:pPr>
            <w:r w:rsidRPr="00E8656C">
              <w:rPr>
                <w:rFonts w:cs="Arial"/>
                <w:color w:val="auto"/>
                <w:sz w:val="18"/>
              </w:rPr>
              <w:t>9.3</w:t>
            </w:r>
          </w:p>
        </w:tc>
      </w:tr>
      <w:tr w:rsidR="004D7A82" w:rsidRPr="00E8656C" w14:paraId="00E3D0F7" w14:textId="77777777" w:rsidTr="005E54CB">
        <w:trPr>
          <w:trHeight w:val="375"/>
        </w:trPr>
        <w:tc>
          <w:tcPr>
            <w:tcW w:w="3823" w:type="dxa"/>
            <w:noWrap/>
            <w:vAlign w:val="bottom"/>
            <w:hideMark/>
          </w:tcPr>
          <w:p w14:paraId="7BB8DBCB" w14:textId="36E569AB" w:rsidR="005E3F94" w:rsidRPr="00E8656C" w:rsidRDefault="005E3F94">
            <w:pPr>
              <w:rPr>
                <w:rFonts w:eastAsia="Times New Roman" w:cs="Arial"/>
                <w:color w:val="auto"/>
                <w:sz w:val="18"/>
                <w:lang w:eastAsia="en-AU"/>
              </w:rPr>
            </w:pPr>
            <w:r w:rsidRPr="00E8656C">
              <w:rPr>
                <w:rFonts w:cs="Arial"/>
                <w:color w:val="auto"/>
                <w:sz w:val="18"/>
              </w:rPr>
              <w:t>My stress levels</w:t>
            </w:r>
          </w:p>
        </w:tc>
        <w:tc>
          <w:tcPr>
            <w:tcW w:w="2126" w:type="dxa"/>
            <w:vAlign w:val="bottom"/>
          </w:tcPr>
          <w:p w14:paraId="7DD50031" w14:textId="77777777" w:rsidR="005E3F94" w:rsidRPr="00E8656C" w:rsidRDefault="005E3F94">
            <w:pPr>
              <w:jc w:val="center"/>
              <w:rPr>
                <w:rFonts w:eastAsia="Times New Roman" w:cs="Arial"/>
                <w:color w:val="auto"/>
                <w:sz w:val="18"/>
                <w:lang w:eastAsia="en-AU"/>
              </w:rPr>
            </w:pPr>
            <w:r w:rsidRPr="00E8656C">
              <w:rPr>
                <w:rFonts w:cs="Arial"/>
                <w:color w:val="auto"/>
                <w:sz w:val="18"/>
              </w:rPr>
              <w:t>42.3</w:t>
            </w:r>
          </w:p>
        </w:tc>
        <w:tc>
          <w:tcPr>
            <w:tcW w:w="2126" w:type="dxa"/>
            <w:vAlign w:val="bottom"/>
          </w:tcPr>
          <w:p w14:paraId="6F7544F8" w14:textId="77777777" w:rsidR="005E3F94" w:rsidRPr="00E8656C" w:rsidRDefault="005E3F94">
            <w:pPr>
              <w:jc w:val="center"/>
              <w:rPr>
                <w:rFonts w:eastAsia="Times New Roman" w:cs="Arial"/>
                <w:color w:val="auto"/>
                <w:sz w:val="18"/>
                <w:lang w:eastAsia="en-AU"/>
              </w:rPr>
            </w:pPr>
            <w:r w:rsidRPr="00E8656C">
              <w:rPr>
                <w:rFonts w:cs="Arial"/>
                <w:color w:val="auto"/>
                <w:sz w:val="18"/>
              </w:rPr>
              <w:t>35.4</w:t>
            </w:r>
          </w:p>
        </w:tc>
      </w:tr>
      <w:tr w:rsidR="004D7A82" w:rsidRPr="00E8656C" w14:paraId="017BBB7C" w14:textId="77777777" w:rsidTr="005E54CB">
        <w:trPr>
          <w:trHeight w:val="375"/>
        </w:trPr>
        <w:tc>
          <w:tcPr>
            <w:tcW w:w="3823" w:type="dxa"/>
            <w:noWrap/>
            <w:vAlign w:val="bottom"/>
            <w:hideMark/>
          </w:tcPr>
          <w:p w14:paraId="3ED43260" w14:textId="77777777" w:rsidR="005E3F94" w:rsidRPr="00E8656C" w:rsidRDefault="005E3F94">
            <w:pPr>
              <w:rPr>
                <w:rFonts w:eastAsia="Times New Roman" w:cs="Arial"/>
                <w:color w:val="auto"/>
                <w:sz w:val="18"/>
                <w:lang w:eastAsia="en-AU"/>
              </w:rPr>
            </w:pPr>
            <w:r w:rsidRPr="00E8656C">
              <w:rPr>
                <w:rFonts w:cs="Arial"/>
                <w:color w:val="auto"/>
                <w:sz w:val="18"/>
              </w:rPr>
              <w:t>Paid work responsibilities</w:t>
            </w:r>
          </w:p>
        </w:tc>
        <w:tc>
          <w:tcPr>
            <w:tcW w:w="2126" w:type="dxa"/>
            <w:vAlign w:val="bottom"/>
          </w:tcPr>
          <w:p w14:paraId="6D9D71E1" w14:textId="77777777" w:rsidR="005E3F94" w:rsidRPr="00E8656C" w:rsidRDefault="005E3F94">
            <w:pPr>
              <w:jc w:val="center"/>
              <w:rPr>
                <w:rFonts w:eastAsia="Times New Roman" w:cs="Arial"/>
                <w:color w:val="auto"/>
                <w:sz w:val="18"/>
                <w:lang w:eastAsia="en-AU"/>
              </w:rPr>
            </w:pPr>
            <w:r w:rsidRPr="00E8656C">
              <w:rPr>
                <w:rFonts w:cs="Arial"/>
                <w:color w:val="auto"/>
                <w:sz w:val="18"/>
              </w:rPr>
              <w:t>26.3</w:t>
            </w:r>
          </w:p>
        </w:tc>
        <w:tc>
          <w:tcPr>
            <w:tcW w:w="2126" w:type="dxa"/>
            <w:vAlign w:val="bottom"/>
          </w:tcPr>
          <w:p w14:paraId="4C26A459" w14:textId="77777777" w:rsidR="005E3F94" w:rsidRPr="00E8656C" w:rsidRDefault="005E3F94">
            <w:pPr>
              <w:jc w:val="center"/>
              <w:rPr>
                <w:rFonts w:eastAsia="Times New Roman" w:cs="Arial"/>
                <w:color w:val="auto"/>
                <w:sz w:val="18"/>
                <w:lang w:eastAsia="en-AU"/>
              </w:rPr>
            </w:pPr>
            <w:r w:rsidRPr="00E8656C">
              <w:rPr>
                <w:rFonts w:cs="Arial"/>
                <w:color w:val="auto"/>
                <w:sz w:val="18"/>
              </w:rPr>
              <w:t>24.9</w:t>
            </w:r>
          </w:p>
        </w:tc>
      </w:tr>
      <w:tr w:rsidR="004D7A82" w:rsidRPr="00E8656C" w14:paraId="5EA4B8F6" w14:textId="77777777" w:rsidTr="005E54CB">
        <w:trPr>
          <w:trHeight w:val="375"/>
        </w:trPr>
        <w:tc>
          <w:tcPr>
            <w:tcW w:w="3823" w:type="dxa"/>
            <w:noWrap/>
            <w:vAlign w:val="bottom"/>
            <w:hideMark/>
          </w:tcPr>
          <w:p w14:paraId="02D42CA9" w14:textId="77777777" w:rsidR="005E3F94" w:rsidRPr="00E8656C" w:rsidRDefault="005E3F94">
            <w:pPr>
              <w:rPr>
                <w:rFonts w:eastAsia="Times New Roman" w:cs="Arial"/>
                <w:color w:val="auto"/>
                <w:sz w:val="18"/>
                <w:lang w:eastAsia="en-AU"/>
              </w:rPr>
            </w:pPr>
            <w:r w:rsidRPr="00E8656C">
              <w:rPr>
                <w:rFonts w:cs="Arial"/>
                <w:color w:val="auto"/>
                <w:sz w:val="18"/>
              </w:rPr>
              <w:t>Quality concerns</w:t>
            </w:r>
          </w:p>
        </w:tc>
        <w:tc>
          <w:tcPr>
            <w:tcW w:w="2126" w:type="dxa"/>
            <w:vAlign w:val="bottom"/>
          </w:tcPr>
          <w:p w14:paraId="20C2141B" w14:textId="77777777" w:rsidR="005E3F94" w:rsidRPr="00E8656C" w:rsidRDefault="005E3F94">
            <w:pPr>
              <w:jc w:val="center"/>
              <w:rPr>
                <w:rFonts w:eastAsia="Times New Roman" w:cs="Arial"/>
                <w:color w:val="auto"/>
                <w:sz w:val="18"/>
                <w:lang w:eastAsia="en-AU"/>
              </w:rPr>
            </w:pPr>
            <w:r w:rsidRPr="00E8656C">
              <w:rPr>
                <w:rFonts w:cs="Arial"/>
                <w:color w:val="auto"/>
                <w:sz w:val="18"/>
              </w:rPr>
              <w:t>13.8</w:t>
            </w:r>
          </w:p>
        </w:tc>
        <w:tc>
          <w:tcPr>
            <w:tcW w:w="2126" w:type="dxa"/>
            <w:vAlign w:val="bottom"/>
          </w:tcPr>
          <w:p w14:paraId="508A2470" w14:textId="77777777" w:rsidR="005E3F94" w:rsidRPr="00E8656C" w:rsidRDefault="005E3F94">
            <w:pPr>
              <w:jc w:val="center"/>
              <w:rPr>
                <w:rFonts w:eastAsia="Times New Roman" w:cs="Arial"/>
                <w:color w:val="auto"/>
                <w:sz w:val="18"/>
                <w:lang w:eastAsia="en-AU"/>
              </w:rPr>
            </w:pPr>
            <w:r w:rsidRPr="00E8656C">
              <w:rPr>
                <w:rFonts w:cs="Arial"/>
                <w:color w:val="auto"/>
                <w:sz w:val="18"/>
              </w:rPr>
              <w:t>16.3</w:t>
            </w:r>
          </w:p>
        </w:tc>
      </w:tr>
      <w:tr w:rsidR="004D7A82" w:rsidRPr="00E8656C" w14:paraId="7C65B32C" w14:textId="77777777" w:rsidTr="005E54CB">
        <w:trPr>
          <w:trHeight w:val="375"/>
        </w:trPr>
        <w:tc>
          <w:tcPr>
            <w:tcW w:w="3823" w:type="dxa"/>
            <w:noWrap/>
            <w:vAlign w:val="bottom"/>
            <w:hideMark/>
          </w:tcPr>
          <w:p w14:paraId="70589679" w14:textId="77777777" w:rsidR="005E3F94" w:rsidRPr="00E8656C" w:rsidRDefault="005E3F94">
            <w:pPr>
              <w:rPr>
                <w:rFonts w:eastAsia="Times New Roman" w:cs="Arial"/>
                <w:color w:val="auto"/>
                <w:sz w:val="18"/>
                <w:lang w:eastAsia="en-AU"/>
              </w:rPr>
            </w:pPr>
            <w:r w:rsidRPr="00E8656C">
              <w:rPr>
                <w:rFonts w:cs="Arial"/>
                <w:color w:val="auto"/>
                <w:sz w:val="18"/>
              </w:rPr>
              <w:t>Social Reasons</w:t>
            </w:r>
          </w:p>
        </w:tc>
        <w:tc>
          <w:tcPr>
            <w:tcW w:w="2126" w:type="dxa"/>
            <w:vAlign w:val="bottom"/>
          </w:tcPr>
          <w:p w14:paraId="11918962" w14:textId="77777777" w:rsidR="005E3F94" w:rsidRPr="00E8656C" w:rsidRDefault="005E3F94">
            <w:pPr>
              <w:jc w:val="center"/>
              <w:rPr>
                <w:rFonts w:eastAsia="Times New Roman" w:cs="Arial"/>
                <w:color w:val="auto"/>
                <w:sz w:val="18"/>
                <w:lang w:eastAsia="en-AU"/>
              </w:rPr>
            </w:pPr>
            <w:r w:rsidRPr="00E8656C">
              <w:rPr>
                <w:rFonts w:cs="Arial"/>
                <w:color w:val="auto"/>
                <w:sz w:val="18"/>
              </w:rPr>
              <w:t>11.1</w:t>
            </w:r>
          </w:p>
        </w:tc>
        <w:tc>
          <w:tcPr>
            <w:tcW w:w="2126" w:type="dxa"/>
            <w:vAlign w:val="bottom"/>
          </w:tcPr>
          <w:p w14:paraId="17503DF6" w14:textId="77777777" w:rsidR="005E3F94" w:rsidRPr="00E8656C" w:rsidRDefault="005E3F94">
            <w:pPr>
              <w:jc w:val="center"/>
              <w:rPr>
                <w:rFonts w:eastAsia="Times New Roman" w:cs="Arial"/>
                <w:color w:val="auto"/>
                <w:sz w:val="18"/>
                <w:lang w:eastAsia="en-AU"/>
              </w:rPr>
            </w:pPr>
            <w:r w:rsidRPr="00E8656C">
              <w:rPr>
                <w:rFonts w:cs="Arial"/>
                <w:color w:val="auto"/>
                <w:sz w:val="18"/>
              </w:rPr>
              <w:t>5.2</w:t>
            </w:r>
          </w:p>
        </w:tc>
      </w:tr>
      <w:tr w:rsidR="004D7A82" w:rsidRPr="00E8656C" w14:paraId="24827A18" w14:textId="77777777" w:rsidTr="005E54CB">
        <w:trPr>
          <w:trHeight w:val="375"/>
        </w:trPr>
        <w:tc>
          <w:tcPr>
            <w:tcW w:w="3823" w:type="dxa"/>
            <w:noWrap/>
            <w:vAlign w:val="bottom"/>
            <w:hideMark/>
          </w:tcPr>
          <w:p w14:paraId="649790A6" w14:textId="77777777" w:rsidR="005E3F94" w:rsidRPr="00E8656C" w:rsidRDefault="005E3F94">
            <w:pPr>
              <w:rPr>
                <w:rFonts w:eastAsia="Times New Roman" w:cs="Arial"/>
                <w:color w:val="auto"/>
                <w:sz w:val="18"/>
                <w:lang w:eastAsia="en-AU"/>
              </w:rPr>
            </w:pPr>
            <w:r w:rsidRPr="00E8656C">
              <w:rPr>
                <w:rFonts w:cs="Arial"/>
                <w:color w:val="auto"/>
                <w:sz w:val="18"/>
              </w:rPr>
              <w:t>Study/life balance</w:t>
            </w:r>
          </w:p>
        </w:tc>
        <w:tc>
          <w:tcPr>
            <w:tcW w:w="2126" w:type="dxa"/>
            <w:vAlign w:val="bottom"/>
          </w:tcPr>
          <w:p w14:paraId="25951F47" w14:textId="77777777" w:rsidR="005E3F94" w:rsidRPr="00E8656C" w:rsidRDefault="005E3F94">
            <w:pPr>
              <w:jc w:val="center"/>
              <w:rPr>
                <w:rFonts w:eastAsia="Times New Roman" w:cs="Arial"/>
                <w:color w:val="auto"/>
                <w:sz w:val="18"/>
                <w:lang w:eastAsia="en-AU"/>
              </w:rPr>
            </w:pPr>
            <w:r w:rsidRPr="00E8656C">
              <w:rPr>
                <w:rFonts w:cs="Arial"/>
                <w:color w:val="auto"/>
                <w:sz w:val="18"/>
              </w:rPr>
              <w:t>32.7</w:t>
            </w:r>
          </w:p>
        </w:tc>
        <w:tc>
          <w:tcPr>
            <w:tcW w:w="2126" w:type="dxa"/>
            <w:vAlign w:val="bottom"/>
          </w:tcPr>
          <w:p w14:paraId="64DD9AA4" w14:textId="77777777" w:rsidR="005E3F94" w:rsidRPr="00E8656C" w:rsidRDefault="005E3F94">
            <w:pPr>
              <w:jc w:val="center"/>
              <w:rPr>
                <w:rFonts w:eastAsia="Times New Roman" w:cs="Arial"/>
                <w:color w:val="auto"/>
                <w:sz w:val="18"/>
                <w:lang w:eastAsia="en-AU"/>
              </w:rPr>
            </w:pPr>
            <w:r w:rsidRPr="00E8656C">
              <w:rPr>
                <w:rFonts w:cs="Arial"/>
                <w:color w:val="auto"/>
                <w:sz w:val="18"/>
              </w:rPr>
              <w:t>28.2</w:t>
            </w:r>
          </w:p>
        </w:tc>
      </w:tr>
      <w:tr w:rsidR="004D7A82" w:rsidRPr="00E8656C" w14:paraId="45B3C16A" w14:textId="77777777" w:rsidTr="005E54CB">
        <w:trPr>
          <w:trHeight w:val="375"/>
        </w:trPr>
        <w:tc>
          <w:tcPr>
            <w:tcW w:w="3823" w:type="dxa"/>
            <w:noWrap/>
            <w:vAlign w:val="bottom"/>
            <w:hideMark/>
          </w:tcPr>
          <w:p w14:paraId="3C92AF81" w14:textId="617ABE10" w:rsidR="005E3F94" w:rsidRPr="00E8656C" w:rsidRDefault="005E3F94">
            <w:pPr>
              <w:rPr>
                <w:rFonts w:eastAsia="Times New Roman" w:cs="Arial"/>
                <w:color w:val="auto"/>
                <w:sz w:val="18"/>
                <w:lang w:eastAsia="en-AU"/>
              </w:rPr>
            </w:pPr>
            <w:r w:rsidRPr="00E8656C">
              <w:rPr>
                <w:rFonts w:cs="Arial"/>
                <w:color w:val="auto"/>
                <w:sz w:val="18"/>
              </w:rPr>
              <w:t>To pursue a career or job offer</w:t>
            </w:r>
          </w:p>
        </w:tc>
        <w:tc>
          <w:tcPr>
            <w:tcW w:w="2126" w:type="dxa"/>
            <w:vAlign w:val="bottom"/>
          </w:tcPr>
          <w:p w14:paraId="6263B7F6" w14:textId="77777777" w:rsidR="005E3F94" w:rsidRPr="00E8656C" w:rsidRDefault="005E3F94">
            <w:pPr>
              <w:jc w:val="center"/>
              <w:rPr>
                <w:rFonts w:eastAsia="Times New Roman" w:cs="Arial"/>
                <w:color w:val="auto"/>
                <w:sz w:val="18"/>
                <w:lang w:eastAsia="en-AU"/>
              </w:rPr>
            </w:pPr>
            <w:r w:rsidRPr="00E8656C">
              <w:rPr>
                <w:rFonts w:cs="Arial"/>
                <w:color w:val="auto"/>
                <w:sz w:val="18"/>
              </w:rPr>
              <w:t>8.9</w:t>
            </w:r>
          </w:p>
        </w:tc>
        <w:tc>
          <w:tcPr>
            <w:tcW w:w="2126" w:type="dxa"/>
            <w:vAlign w:val="bottom"/>
          </w:tcPr>
          <w:p w14:paraId="269538E0" w14:textId="77777777" w:rsidR="005E3F94" w:rsidRPr="00E8656C" w:rsidRDefault="005E3F94">
            <w:pPr>
              <w:jc w:val="center"/>
              <w:rPr>
                <w:rFonts w:eastAsia="Times New Roman" w:cs="Arial"/>
                <w:color w:val="auto"/>
                <w:sz w:val="18"/>
                <w:lang w:eastAsia="en-AU"/>
              </w:rPr>
            </w:pPr>
            <w:r w:rsidRPr="00E8656C">
              <w:rPr>
                <w:rFonts w:cs="Arial"/>
                <w:color w:val="auto"/>
                <w:sz w:val="18"/>
              </w:rPr>
              <w:t>10.2</w:t>
            </w:r>
          </w:p>
        </w:tc>
      </w:tr>
      <w:tr w:rsidR="004D7A82" w:rsidRPr="00E8656C" w14:paraId="66ED9EBE" w14:textId="77777777" w:rsidTr="005E54CB">
        <w:trPr>
          <w:trHeight w:val="375"/>
        </w:trPr>
        <w:tc>
          <w:tcPr>
            <w:tcW w:w="3823" w:type="dxa"/>
            <w:noWrap/>
            <w:vAlign w:val="bottom"/>
          </w:tcPr>
          <w:p w14:paraId="1C0FE9C2" w14:textId="77777777" w:rsidR="005E3F94" w:rsidRPr="00E8656C" w:rsidRDefault="005E3F94">
            <w:pPr>
              <w:rPr>
                <w:rFonts w:eastAsia="Times New Roman" w:cs="Arial"/>
                <w:color w:val="auto"/>
                <w:sz w:val="18"/>
                <w:lang w:eastAsia="en-AU"/>
              </w:rPr>
            </w:pPr>
            <w:r w:rsidRPr="00E8656C">
              <w:rPr>
                <w:rFonts w:cs="Arial"/>
                <w:color w:val="auto"/>
                <w:sz w:val="18"/>
              </w:rPr>
              <w:t>To travel</w:t>
            </w:r>
          </w:p>
        </w:tc>
        <w:tc>
          <w:tcPr>
            <w:tcW w:w="2126" w:type="dxa"/>
            <w:vAlign w:val="bottom"/>
          </w:tcPr>
          <w:p w14:paraId="298780AF" w14:textId="77777777" w:rsidR="005E3F94" w:rsidRPr="00E8656C" w:rsidRDefault="005E3F94">
            <w:pPr>
              <w:jc w:val="center"/>
              <w:rPr>
                <w:rFonts w:cs="Arial"/>
                <w:color w:val="auto"/>
                <w:sz w:val="18"/>
              </w:rPr>
            </w:pPr>
            <w:r w:rsidRPr="00E8656C">
              <w:rPr>
                <w:rFonts w:cs="Arial"/>
                <w:color w:val="auto"/>
                <w:sz w:val="18"/>
              </w:rPr>
              <w:t>5.8</w:t>
            </w:r>
          </w:p>
        </w:tc>
        <w:tc>
          <w:tcPr>
            <w:tcW w:w="2126" w:type="dxa"/>
            <w:vAlign w:val="bottom"/>
          </w:tcPr>
          <w:p w14:paraId="4E607ECF" w14:textId="77777777" w:rsidR="005E3F94" w:rsidRPr="00E8656C" w:rsidRDefault="005E3F94">
            <w:pPr>
              <w:jc w:val="center"/>
              <w:rPr>
                <w:rFonts w:cs="Arial"/>
                <w:color w:val="auto"/>
                <w:sz w:val="18"/>
              </w:rPr>
            </w:pPr>
            <w:r w:rsidRPr="00E8656C">
              <w:rPr>
                <w:rFonts w:cs="Arial"/>
                <w:color w:val="auto"/>
                <w:sz w:val="18"/>
              </w:rPr>
              <w:t>2.3</w:t>
            </w:r>
          </w:p>
        </w:tc>
      </w:tr>
      <w:tr w:rsidR="004D7A82" w:rsidRPr="00E8656C" w14:paraId="2F3866DE" w14:textId="77777777" w:rsidTr="005E54CB">
        <w:trPr>
          <w:trHeight w:val="375"/>
        </w:trPr>
        <w:tc>
          <w:tcPr>
            <w:tcW w:w="3823" w:type="dxa"/>
            <w:noWrap/>
            <w:vAlign w:val="bottom"/>
            <w:hideMark/>
          </w:tcPr>
          <w:p w14:paraId="44EFCD2B" w14:textId="77777777" w:rsidR="005E3F94" w:rsidRPr="00E8656C" w:rsidRDefault="005E3F94">
            <w:pPr>
              <w:rPr>
                <w:rFonts w:eastAsia="Times New Roman" w:cs="Arial"/>
                <w:color w:val="auto"/>
                <w:sz w:val="18"/>
                <w:lang w:eastAsia="en-AU"/>
              </w:rPr>
            </w:pPr>
            <w:r w:rsidRPr="00E8656C">
              <w:rPr>
                <w:rFonts w:cs="Arial"/>
                <w:color w:val="auto"/>
                <w:sz w:val="18"/>
              </w:rPr>
              <w:lastRenderedPageBreak/>
              <w:t>Other reasons</w:t>
            </w:r>
          </w:p>
        </w:tc>
        <w:tc>
          <w:tcPr>
            <w:tcW w:w="2126" w:type="dxa"/>
            <w:vAlign w:val="bottom"/>
          </w:tcPr>
          <w:p w14:paraId="3E9EC4E9" w14:textId="77777777" w:rsidR="005E3F94" w:rsidRPr="00E8656C" w:rsidRDefault="005E3F94">
            <w:pPr>
              <w:jc w:val="center"/>
              <w:rPr>
                <w:rFonts w:eastAsia="Times New Roman" w:cs="Arial"/>
                <w:color w:val="auto"/>
                <w:sz w:val="18"/>
                <w:lang w:eastAsia="en-AU"/>
              </w:rPr>
            </w:pPr>
            <w:r w:rsidRPr="00E8656C">
              <w:rPr>
                <w:rFonts w:cs="Arial"/>
                <w:color w:val="auto"/>
                <w:sz w:val="18"/>
              </w:rPr>
              <w:t>5.0</w:t>
            </w:r>
          </w:p>
        </w:tc>
        <w:tc>
          <w:tcPr>
            <w:tcW w:w="2126" w:type="dxa"/>
            <w:vAlign w:val="bottom"/>
          </w:tcPr>
          <w:p w14:paraId="6BF4F3C3" w14:textId="77777777" w:rsidR="005E3F94" w:rsidRPr="00E8656C" w:rsidRDefault="005E3F94">
            <w:pPr>
              <w:jc w:val="center"/>
              <w:rPr>
                <w:rFonts w:eastAsia="Times New Roman" w:cs="Arial"/>
                <w:color w:val="auto"/>
                <w:sz w:val="18"/>
                <w:lang w:eastAsia="en-AU"/>
              </w:rPr>
            </w:pPr>
            <w:r w:rsidRPr="00E8656C">
              <w:rPr>
                <w:rFonts w:cs="Arial"/>
                <w:color w:val="auto"/>
                <w:sz w:val="18"/>
              </w:rPr>
              <w:t>9.3</w:t>
            </w:r>
          </w:p>
        </w:tc>
      </w:tr>
    </w:tbl>
    <w:p w14:paraId="6817DD4C" w14:textId="2E899CED" w:rsidR="005E3F94" w:rsidRPr="00E8656C" w:rsidRDefault="005E3F94" w:rsidP="00AC1207">
      <w:pPr>
        <w:pStyle w:val="Appendix3"/>
      </w:pPr>
      <w:bookmarkStart w:id="149" w:name="_Ref197098102"/>
      <w:bookmarkStart w:id="150" w:name="_Ref197098150"/>
      <w:bookmarkStart w:id="151" w:name="_Toc207802622"/>
      <w:r w:rsidRPr="00E8656C">
        <w:t>Freedom of Expression</w:t>
      </w:r>
      <w:bookmarkEnd w:id="149"/>
      <w:bookmarkEnd w:id="150"/>
      <w:bookmarkEnd w:id="151"/>
    </w:p>
    <w:p w14:paraId="5368A51B" w14:textId="6877D6D1" w:rsidR="008527D9" w:rsidRPr="00E8656C" w:rsidRDefault="008527D9" w:rsidP="00695177">
      <w:pPr>
        <w:pStyle w:val="Caption"/>
      </w:pPr>
      <w:bookmarkStart w:id="152" w:name="_Toc201065426"/>
      <w:r w:rsidRPr="00E8656C">
        <w:t xml:space="preserve">Table </w:t>
      </w:r>
      <w:r w:rsidRPr="00E8656C">
        <w:fldChar w:fldCharType="begin"/>
      </w:r>
      <w:r w:rsidRPr="00E8656C">
        <w:instrText xml:space="preserve"> SEQ Table \* ARABIC </w:instrText>
      </w:r>
      <w:r w:rsidRPr="00E8656C">
        <w:fldChar w:fldCharType="separate"/>
      </w:r>
      <w:r w:rsidRPr="00E8656C">
        <w:rPr>
          <w:noProof/>
        </w:rPr>
        <w:t>9</w:t>
      </w:r>
      <w:r w:rsidRPr="00E8656C">
        <w:rPr>
          <w:noProof/>
        </w:rPr>
        <w:fldChar w:fldCharType="end"/>
      </w:r>
      <w:r w:rsidR="00AC1207" w:rsidRPr="00E8656C">
        <w:tab/>
      </w:r>
      <w:r w:rsidRPr="00E8656C">
        <w:t>Freedom of expression by demographic sub-group, undergraduate, 2024 (% positive rating)</w:t>
      </w:r>
      <w:bookmarkEnd w:id="152"/>
    </w:p>
    <w:tbl>
      <w:tblPr>
        <w:tblpPr w:leftFromText="180" w:rightFromText="180" w:vertAnchor="text" w:tblpY="1"/>
        <w:tblOverlap w:val="never"/>
        <w:tblW w:w="4946" w:type="pct"/>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CellMar>
          <w:top w:w="57" w:type="dxa"/>
          <w:left w:w="57" w:type="dxa"/>
          <w:bottom w:w="57" w:type="dxa"/>
          <w:right w:w="57" w:type="dxa"/>
        </w:tblCellMar>
        <w:tblLook w:val="0000" w:firstRow="0" w:lastRow="0" w:firstColumn="0" w:lastColumn="0" w:noHBand="0" w:noVBand="0"/>
      </w:tblPr>
      <w:tblGrid>
        <w:gridCol w:w="1551"/>
        <w:gridCol w:w="1848"/>
        <w:gridCol w:w="1769"/>
        <w:gridCol w:w="6"/>
        <w:gridCol w:w="1773"/>
        <w:gridCol w:w="1701"/>
        <w:gridCol w:w="1699"/>
      </w:tblGrid>
      <w:tr w:rsidR="00AC1207" w:rsidRPr="00E8656C" w14:paraId="7C31632A" w14:textId="77777777" w:rsidTr="006C7824">
        <w:trPr>
          <w:trHeight w:val="841"/>
          <w:tblHeader/>
        </w:trPr>
        <w:tc>
          <w:tcPr>
            <w:tcW w:w="749" w:type="pct"/>
          </w:tcPr>
          <w:p w14:paraId="5CE722C5" w14:textId="77777777" w:rsidR="00AC1207" w:rsidRPr="00E8656C" w:rsidRDefault="00AC1207" w:rsidP="00BD6351">
            <w:pPr>
              <w:pStyle w:val="Tabletextupdate"/>
              <w:framePr w:wrap="auto"/>
              <w:rPr>
                <w:rFonts w:ascii="Arial" w:hAnsi="Arial" w:cs="Arial"/>
                <w:b/>
                <w:bCs/>
                <w:color w:val="auto"/>
              </w:rPr>
            </w:pPr>
            <w:bookmarkStart w:id="153" w:name="Title_9"/>
            <w:bookmarkEnd w:id="153"/>
          </w:p>
        </w:tc>
        <w:tc>
          <w:tcPr>
            <w:tcW w:w="893" w:type="pct"/>
          </w:tcPr>
          <w:p w14:paraId="1535CFCD" w14:textId="615D8C95" w:rsidR="00AC1207" w:rsidRPr="00E8656C" w:rsidRDefault="00AC1207" w:rsidP="00BD6351">
            <w:pPr>
              <w:pStyle w:val="Tabletextupdate"/>
              <w:framePr w:wrap="auto"/>
              <w:rPr>
                <w:rFonts w:ascii="Arial" w:hAnsi="Arial" w:cs="Arial"/>
                <w:b/>
                <w:bCs/>
                <w:color w:val="auto"/>
              </w:rPr>
            </w:pPr>
          </w:p>
        </w:tc>
        <w:tc>
          <w:tcPr>
            <w:tcW w:w="855" w:type="pct"/>
            <w:vAlign w:val="bottom"/>
          </w:tcPr>
          <w:p w14:paraId="4C71B0A2" w14:textId="77777777" w:rsidR="00AC1207" w:rsidRPr="00E8656C" w:rsidRDefault="00AC1207" w:rsidP="00E8656C">
            <w:pPr>
              <w:pStyle w:val="Tabletextupdate"/>
              <w:framePr w:wrap="auto"/>
              <w:jc w:val="center"/>
              <w:rPr>
                <w:rFonts w:ascii="Arial" w:hAnsi="Arial" w:cs="Arial"/>
                <w:color w:val="auto"/>
                <w:sz w:val="18"/>
              </w:rPr>
            </w:pPr>
            <w:r w:rsidRPr="00E8656C">
              <w:rPr>
                <w:rFonts w:ascii="Arial" w:hAnsi="Arial" w:cs="Arial"/>
                <w:b/>
                <w:bCs/>
                <w:color w:val="auto"/>
                <w:sz w:val="18"/>
              </w:rPr>
              <w:t>I am free to express views</w:t>
            </w:r>
          </w:p>
        </w:tc>
        <w:tc>
          <w:tcPr>
            <w:tcW w:w="860" w:type="pct"/>
            <w:gridSpan w:val="2"/>
            <w:vAlign w:val="bottom"/>
          </w:tcPr>
          <w:p w14:paraId="4092036E" w14:textId="77777777" w:rsidR="00AC1207" w:rsidRPr="00E8656C" w:rsidRDefault="00AC1207" w:rsidP="00E8656C">
            <w:pPr>
              <w:pStyle w:val="Tabletextupdate"/>
              <w:framePr w:wrap="auto"/>
              <w:jc w:val="center"/>
              <w:rPr>
                <w:rFonts w:ascii="Arial" w:hAnsi="Arial" w:cs="Arial"/>
                <w:color w:val="auto"/>
                <w:sz w:val="18"/>
              </w:rPr>
            </w:pPr>
            <w:r w:rsidRPr="00E8656C">
              <w:rPr>
                <w:rFonts w:ascii="Arial" w:hAnsi="Arial" w:cs="Arial"/>
                <w:b/>
                <w:bCs/>
                <w:color w:val="auto"/>
                <w:sz w:val="18"/>
              </w:rPr>
              <w:t>Academics are free to express their views</w:t>
            </w:r>
          </w:p>
        </w:tc>
        <w:tc>
          <w:tcPr>
            <w:tcW w:w="822" w:type="pct"/>
            <w:vAlign w:val="bottom"/>
          </w:tcPr>
          <w:p w14:paraId="3C9A5EDD" w14:textId="77777777" w:rsidR="00AC1207" w:rsidRPr="00E8656C" w:rsidRDefault="00AC1207" w:rsidP="00E8656C">
            <w:pPr>
              <w:pStyle w:val="Tabletextupdate"/>
              <w:framePr w:wrap="auto"/>
              <w:jc w:val="center"/>
              <w:rPr>
                <w:rFonts w:ascii="Arial" w:hAnsi="Arial" w:cs="Arial"/>
                <w:color w:val="auto"/>
                <w:sz w:val="18"/>
                <w:lang w:val="en-AU"/>
              </w:rPr>
            </w:pPr>
            <w:r w:rsidRPr="00E8656C">
              <w:rPr>
                <w:rFonts w:ascii="Arial" w:hAnsi="Arial" w:cs="Arial"/>
                <w:b/>
                <w:bCs/>
                <w:color w:val="auto"/>
                <w:sz w:val="18"/>
                <w:lang w:val="en-AU"/>
              </w:rPr>
              <w:t>I am free from discrimination, harm or hatred</w:t>
            </w:r>
          </w:p>
        </w:tc>
        <w:tc>
          <w:tcPr>
            <w:tcW w:w="821" w:type="pct"/>
            <w:vAlign w:val="bottom"/>
          </w:tcPr>
          <w:p w14:paraId="09361E34" w14:textId="77777777" w:rsidR="00AC1207" w:rsidRPr="00E8656C" w:rsidRDefault="00AC1207" w:rsidP="00E8656C">
            <w:pPr>
              <w:pStyle w:val="Tabletextupdate"/>
              <w:framePr w:wrap="auto"/>
              <w:jc w:val="center"/>
              <w:rPr>
                <w:rFonts w:ascii="Arial" w:hAnsi="Arial" w:cs="Arial"/>
                <w:color w:val="auto"/>
                <w:sz w:val="18"/>
              </w:rPr>
            </w:pPr>
            <w:r w:rsidRPr="00E8656C">
              <w:rPr>
                <w:rFonts w:ascii="Arial" w:hAnsi="Arial" w:cs="Arial"/>
                <w:b/>
                <w:bCs/>
                <w:color w:val="auto"/>
                <w:sz w:val="18"/>
              </w:rPr>
              <w:t>Overall freedom of expression</w:t>
            </w:r>
          </w:p>
        </w:tc>
      </w:tr>
      <w:tr w:rsidR="00AC1207" w:rsidRPr="00E8656C" w14:paraId="2F792FC1" w14:textId="77777777" w:rsidTr="006C7824">
        <w:trPr>
          <w:trHeight w:val="60"/>
        </w:trPr>
        <w:tc>
          <w:tcPr>
            <w:tcW w:w="749" w:type="pct"/>
          </w:tcPr>
          <w:p w14:paraId="59F3A47F"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Stage of Studies</w:t>
            </w:r>
          </w:p>
        </w:tc>
        <w:tc>
          <w:tcPr>
            <w:tcW w:w="893" w:type="pct"/>
            <w:tcMar>
              <w:top w:w="113" w:type="dxa"/>
              <w:left w:w="57" w:type="dxa"/>
              <w:bottom w:w="113" w:type="dxa"/>
              <w:right w:w="57" w:type="dxa"/>
            </w:tcMar>
          </w:tcPr>
          <w:p w14:paraId="72FA784C"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Commencing</w:t>
            </w:r>
          </w:p>
        </w:tc>
        <w:tc>
          <w:tcPr>
            <w:tcW w:w="855" w:type="pct"/>
            <w:vAlign w:val="center"/>
          </w:tcPr>
          <w:p w14:paraId="0DE5E57D" w14:textId="67F26FE9"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75.6</w:t>
            </w:r>
          </w:p>
        </w:tc>
        <w:tc>
          <w:tcPr>
            <w:tcW w:w="860" w:type="pct"/>
            <w:gridSpan w:val="2"/>
            <w:vAlign w:val="center"/>
          </w:tcPr>
          <w:p w14:paraId="47A192D9" w14:textId="47B63A48"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76.7</w:t>
            </w:r>
          </w:p>
        </w:tc>
        <w:tc>
          <w:tcPr>
            <w:tcW w:w="822" w:type="pct"/>
            <w:vAlign w:val="center"/>
          </w:tcPr>
          <w:p w14:paraId="1C8B6FA4" w14:textId="28A8901F"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81.5</w:t>
            </w:r>
          </w:p>
        </w:tc>
        <w:tc>
          <w:tcPr>
            <w:tcW w:w="821" w:type="pct"/>
            <w:vAlign w:val="center"/>
          </w:tcPr>
          <w:p w14:paraId="2C46B421" w14:textId="3779084E"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86.6</w:t>
            </w:r>
          </w:p>
        </w:tc>
      </w:tr>
      <w:tr w:rsidR="00AC1207" w:rsidRPr="00E8656C" w14:paraId="3AE02914" w14:textId="77777777" w:rsidTr="006C7824">
        <w:trPr>
          <w:trHeight w:val="60"/>
        </w:trPr>
        <w:tc>
          <w:tcPr>
            <w:tcW w:w="749" w:type="pct"/>
          </w:tcPr>
          <w:p w14:paraId="5729C9D1" w14:textId="46D77AF1" w:rsidR="00FF7540" w:rsidRPr="00E8656C" w:rsidRDefault="00AC1207" w:rsidP="00FF7540">
            <w:pPr>
              <w:pStyle w:val="Tabletextupdate"/>
              <w:framePr w:wrap="auto"/>
              <w:rPr>
                <w:rFonts w:ascii="Arial" w:hAnsi="Arial" w:cs="Arial"/>
                <w:b/>
                <w:bCs/>
                <w:color w:val="auto"/>
              </w:rPr>
            </w:pPr>
            <w:r w:rsidRPr="00E8656C">
              <w:rPr>
                <w:rFonts w:ascii="Arial" w:hAnsi="Arial" w:cs="Arial"/>
                <w:b/>
                <w:bCs/>
                <w:color w:val="auto"/>
              </w:rPr>
              <w:t>Stage of Studies</w:t>
            </w:r>
          </w:p>
        </w:tc>
        <w:tc>
          <w:tcPr>
            <w:tcW w:w="893" w:type="pct"/>
            <w:tcMar>
              <w:top w:w="113" w:type="dxa"/>
              <w:left w:w="57" w:type="dxa"/>
              <w:bottom w:w="113" w:type="dxa"/>
              <w:right w:w="57" w:type="dxa"/>
            </w:tcMar>
          </w:tcPr>
          <w:p w14:paraId="7930346F"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Later Year</w:t>
            </w:r>
          </w:p>
        </w:tc>
        <w:tc>
          <w:tcPr>
            <w:tcW w:w="855" w:type="pct"/>
            <w:vAlign w:val="center"/>
          </w:tcPr>
          <w:p w14:paraId="49587A8A" w14:textId="5ABC1EFA"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70.5</w:t>
            </w:r>
          </w:p>
        </w:tc>
        <w:tc>
          <w:tcPr>
            <w:tcW w:w="860" w:type="pct"/>
            <w:gridSpan w:val="2"/>
            <w:vAlign w:val="center"/>
          </w:tcPr>
          <w:p w14:paraId="6261CF7B" w14:textId="34E6AD28"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69.4</w:t>
            </w:r>
          </w:p>
        </w:tc>
        <w:tc>
          <w:tcPr>
            <w:tcW w:w="822" w:type="pct"/>
            <w:vAlign w:val="center"/>
          </w:tcPr>
          <w:p w14:paraId="5D61893C" w14:textId="65ADC19D"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78.0</w:t>
            </w:r>
          </w:p>
        </w:tc>
        <w:tc>
          <w:tcPr>
            <w:tcW w:w="821" w:type="pct"/>
            <w:vAlign w:val="center"/>
          </w:tcPr>
          <w:p w14:paraId="01DA9DB0" w14:textId="39405C85"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81.9</w:t>
            </w:r>
          </w:p>
        </w:tc>
      </w:tr>
      <w:tr w:rsidR="00AC1207" w:rsidRPr="00E8656C" w14:paraId="66129C75" w14:textId="77777777" w:rsidTr="006C7824">
        <w:trPr>
          <w:trHeight w:val="60"/>
        </w:trPr>
        <w:tc>
          <w:tcPr>
            <w:tcW w:w="749" w:type="pct"/>
          </w:tcPr>
          <w:p w14:paraId="4494AA53" w14:textId="28BED90A"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Study mode*</w:t>
            </w:r>
          </w:p>
        </w:tc>
        <w:tc>
          <w:tcPr>
            <w:tcW w:w="893" w:type="pct"/>
            <w:tcMar>
              <w:top w:w="113" w:type="dxa"/>
              <w:left w:w="57" w:type="dxa"/>
              <w:bottom w:w="113" w:type="dxa"/>
              <w:right w:w="57" w:type="dxa"/>
            </w:tcMar>
          </w:tcPr>
          <w:p w14:paraId="16571CA1" w14:textId="444B6DB3"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Internal/</w:t>
            </w:r>
            <w:r w:rsidR="0018504B" w:rsidRPr="00E8656C">
              <w:rPr>
                <w:rFonts w:ascii="Arial" w:hAnsi="Arial" w:cs="Arial"/>
                <w:b/>
                <w:bCs/>
                <w:color w:val="auto"/>
              </w:rPr>
              <w:t>multi-</w:t>
            </w:r>
            <w:r w:rsidRPr="00E8656C">
              <w:rPr>
                <w:rFonts w:ascii="Arial" w:hAnsi="Arial" w:cs="Arial"/>
                <w:b/>
                <w:bCs/>
                <w:color w:val="auto"/>
              </w:rPr>
              <w:t>mode</w:t>
            </w:r>
          </w:p>
        </w:tc>
        <w:tc>
          <w:tcPr>
            <w:tcW w:w="858" w:type="pct"/>
            <w:gridSpan w:val="2"/>
            <w:vAlign w:val="center"/>
          </w:tcPr>
          <w:p w14:paraId="26F2043D" w14:textId="7DFD34C8"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74.3</w:t>
            </w:r>
          </w:p>
        </w:tc>
        <w:tc>
          <w:tcPr>
            <w:tcW w:w="857" w:type="pct"/>
            <w:vAlign w:val="center"/>
          </w:tcPr>
          <w:p w14:paraId="2D995108" w14:textId="108D9892"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74.5</w:t>
            </w:r>
          </w:p>
        </w:tc>
        <w:tc>
          <w:tcPr>
            <w:tcW w:w="822" w:type="pct"/>
            <w:vAlign w:val="center"/>
          </w:tcPr>
          <w:p w14:paraId="6DC67493" w14:textId="55E98165"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80.1</w:t>
            </w:r>
          </w:p>
        </w:tc>
        <w:tc>
          <w:tcPr>
            <w:tcW w:w="821" w:type="pct"/>
            <w:vAlign w:val="center"/>
          </w:tcPr>
          <w:p w14:paraId="71730EFB" w14:textId="752A3F64"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85.1</w:t>
            </w:r>
          </w:p>
        </w:tc>
      </w:tr>
      <w:tr w:rsidR="00AC1207" w:rsidRPr="00E8656C" w14:paraId="2A3C32DE" w14:textId="77777777" w:rsidTr="006C7824">
        <w:trPr>
          <w:trHeight w:val="60"/>
        </w:trPr>
        <w:tc>
          <w:tcPr>
            <w:tcW w:w="749" w:type="pct"/>
          </w:tcPr>
          <w:p w14:paraId="73091648" w14:textId="2AD734BF" w:rsidR="00FF7540" w:rsidRPr="00E8656C" w:rsidRDefault="00AC1207" w:rsidP="00FF7540">
            <w:pPr>
              <w:pStyle w:val="Tabletextupdate"/>
              <w:framePr w:wrap="auto"/>
              <w:rPr>
                <w:rFonts w:ascii="Arial" w:hAnsi="Arial" w:cs="Arial"/>
                <w:b/>
                <w:bCs/>
                <w:color w:val="auto"/>
              </w:rPr>
            </w:pPr>
            <w:r w:rsidRPr="00E8656C">
              <w:rPr>
                <w:rFonts w:ascii="Arial" w:hAnsi="Arial" w:cs="Arial"/>
                <w:b/>
                <w:bCs/>
                <w:color w:val="auto"/>
              </w:rPr>
              <w:t>Study mode*</w:t>
            </w:r>
          </w:p>
        </w:tc>
        <w:tc>
          <w:tcPr>
            <w:tcW w:w="893" w:type="pct"/>
            <w:tcMar>
              <w:top w:w="113" w:type="dxa"/>
              <w:left w:w="57" w:type="dxa"/>
              <w:bottom w:w="113" w:type="dxa"/>
              <w:right w:w="57" w:type="dxa"/>
            </w:tcMar>
          </w:tcPr>
          <w:p w14:paraId="3EA8C9EF" w14:textId="1FB9EC43"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External</w:t>
            </w:r>
          </w:p>
        </w:tc>
        <w:tc>
          <w:tcPr>
            <w:tcW w:w="858" w:type="pct"/>
            <w:gridSpan w:val="2"/>
            <w:vAlign w:val="center"/>
          </w:tcPr>
          <w:p w14:paraId="6C57A060" w14:textId="75DEE64C"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67.3</w:t>
            </w:r>
          </w:p>
        </w:tc>
        <w:tc>
          <w:tcPr>
            <w:tcW w:w="857" w:type="pct"/>
            <w:vAlign w:val="center"/>
          </w:tcPr>
          <w:p w14:paraId="78B078CF" w14:textId="2322E5FE"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66.8</w:t>
            </w:r>
          </w:p>
        </w:tc>
        <w:tc>
          <w:tcPr>
            <w:tcW w:w="822" w:type="pct"/>
            <w:vAlign w:val="center"/>
          </w:tcPr>
          <w:p w14:paraId="251799CF" w14:textId="7A15E5F7"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79.1</w:t>
            </w:r>
          </w:p>
        </w:tc>
        <w:tc>
          <w:tcPr>
            <w:tcW w:w="821" w:type="pct"/>
            <w:vAlign w:val="center"/>
          </w:tcPr>
          <w:p w14:paraId="15745060" w14:textId="70CEE0CD"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81.1</w:t>
            </w:r>
          </w:p>
        </w:tc>
      </w:tr>
      <w:tr w:rsidR="00AC1207" w:rsidRPr="00E8656C" w14:paraId="09FD2C70" w14:textId="77777777" w:rsidTr="006C7824">
        <w:trPr>
          <w:trHeight w:val="60"/>
        </w:trPr>
        <w:tc>
          <w:tcPr>
            <w:tcW w:w="749" w:type="pct"/>
          </w:tcPr>
          <w:p w14:paraId="6C1EB4A0" w14:textId="4A285D30"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Provider Type</w:t>
            </w:r>
          </w:p>
        </w:tc>
        <w:tc>
          <w:tcPr>
            <w:tcW w:w="893" w:type="pct"/>
            <w:tcMar>
              <w:top w:w="113" w:type="dxa"/>
              <w:left w:w="57" w:type="dxa"/>
              <w:bottom w:w="113" w:type="dxa"/>
              <w:right w:w="57" w:type="dxa"/>
            </w:tcMar>
          </w:tcPr>
          <w:p w14:paraId="71045170" w14:textId="32F59EBC"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NUHEIs</w:t>
            </w:r>
          </w:p>
        </w:tc>
        <w:tc>
          <w:tcPr>
            <w:tcW w:w="858" w:type="pct"/>
            <w:gridSpan w:val="2"/>
            <w:vAlign w:val="center"/>
          </w:tcPr>
          <w:p w14:paraId="4DB52482" w14:textId="0335E561"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79.3</w:t>
            </w:r>
          </w:p>
        </w:tc>
        <w:tc>
          <w:tcPr>
            <w:tcW w:w="857" w:type="pct"/>
            <w:vAlign w:val="center"/>
          </w:tcPr>
          <w:p w14:paraId="39465B94" w14:textId="0CDE09A8"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79.6</w:t>
            </w:r>
          </w:p>
        </w:tc>
        <w:tc>
          <w:tcPr>
            <w:tcW w:w="822" w:type="pct"/>
            <w:vAlign w:val="center"/>
          </w:tcPr>
          <w:p w14:paraId="5B341A20" w14:textId="3524329C"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84.7</w:t>
            </w:r>
          </w:p>
        </w:tc>
        <w:tc>
          <w:tcPr>
            <w:tcW w:w="821" w:type="pct"/>
            <w:vAlign w:val="center"/>
          </w:tcPr>
          <w:p w14:paraId="78DB23E6" w14:textId="4B9313E1"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88.5</w:t>
            </w:r>
          </w:p>
        </w:tc>
      </w:tr>
      <w:tr w:rsidR="00AC1207" w:rsidRPr="00E8656C" w14:paraId="2C8940E8" w14:textId="77777777" w:rsidTr="006C7824">
        <w:trPr>
          <w:trHeight w:val="60"/>
        </w:trPr>
        <w:tc>
          <w:tcPr>
            <w:tcW w:w="749" w:type="pct"/>
          </w:tcPr>
          <w:p w14:paraId="509E7E28" w14:textId="63C0888E" w:rsidR="00FF7540" w:rsidRPr="00E8656C" w:rsidRDefault="00AC1207" w:rsidP="00FF7540">
            <w:pPr>
              <w:pStyle w:val="Tabletextupdate"/>
              <w:framePr w:wrap="auto"/>
              <w:rPr>
                <w:rFonts w:ascii="Arial" w:hAnsi="Arial" w:cs="Arial"/>
                <w:b/>
                <w:bCs/>
                <w:color w:val="auto"/>
              </w:rPr>
            </w:pPr>
            <w:r w:rsidRPr="00E8656C">
              <w:rPr>
                <w:rFonts w:ascii="Arial" w:hAnsi="Arial" w:cs="Arial"/>
                <w:b/>
                <w:bCs/>
                <w:color w:val="auto"/>
              </w:rPr>
              <w:t>Provider Type</w:t>
            </w:r>
          </w:p>
        </w:tc>
        <w:tc>
          <w:tcPr>
            <w:tcW w:w="893" w:type="pct"/>
            <w:tcMar>
              <w:top w:w="113" w:type="dxa"/>
              <w:left w:w="57" w:type="dxa"/>
              <w:bottom w:w="113" w:type="dxa"/>
              <w:right w:w="57" w:type="dxa"/>
            </w:tcMar>
          </w:tcPr>
          <w:p w14:paraId="6B5AAA95" w14:textId="2229D5FE"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Universities</w:t>
            </w:r>
          </w:p>
        </w:tc>
        <w:tc>
          <w:tcPr>
            <w:tcW w:w="858" w:type="pct"/>
            <w:gridSpan w:val="2"/>
            <w:vAlign w:val="center"/>
          </w:tcPr>
          <w:p w14:paraId="104EFF1B" w14:textId="45AD5FC7"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72.8</w:t>
            </w:r>
          </w:p>
        </w:tc>
        <w:tc>
          <w:tcPr>
            <w:tcW w:w="857" w:type="pct"/>
            <w:vAlign w:val="center"/>
          </w:tcPr>
          <w:p w14:paraId="419D74B8" w14:textId="3D253757"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73.0</w:t>
            </w:r>
          </w:p>
        </w:tc>
        <w:tc>
          <w:tcPr>
            <w:tcW w:w="822" w:type="pct"/>
            <w:vAlign w:val="center"/>
          </w:tcPr>
          <w:p w14:paraId="50937C60" w14:textId="48B66A81"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79.5</w:t>
            </w:r>
          </w:p>
        </w:tc>
        <w:tc>
          <w:tcPr>
            <w:tcW w:w="821" w:type="pct"/>
            <w:vAlign w:val="center"/>
          </w:tcPr>
          <w:p w14:paraId="45175E4B" w14:textId="646E7EDF"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84.2</w:t>
            </w:r>
          </w:p>
        </w:tc>
      </w:tr>
      <w:tr w:rsidR="00AC1207" w:rsidRPr="00E8656C" w14:paraId="64C82228" w14:textId="77777777" w:rsidTr="006C7824">
        <w:trPr>
          <w:trHeight w:val="60"/>
        </w:trPr>
        <w:tc>
          <w:tcPr>
            <w:tcW w:w="749" w:type="pct"/>
          </w:tcPr>
          <w:p w14:paraId="0DB63DE5"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Gender</w:t>
            </w:r>
          </w:p>
        </w:tc>
        <w:tc>
          <w:tcPr>
            <w:tcW w:w="893" w:type="pct"/>
            <w:tcMar>
              <w:top w:w="113" w:type="dxa"/>
              <w:left w:w="57" w:type="dxa"/>
              <w:bottom w:w="113" w:type="dxa"/>
              <w:right w:w="57" w:type="dxa"/>
            </w:tcMar>
          </w:tcPr>
          <w:p w14:paraId="23712294"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Male</w:t>
            </w:r>
          </w:p>
        </w:tc>
        <w:tc>
          <w:tcPr>
            <w:tcW w:w="858" w:type="pct"/>
            <w:gridSpan w:val="2"/>
            <w:vAlign w:val="center"/>
          </w:tcPr>
          <w:p w14:paraId="46485DEF" w14:textId="27402F36"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70.5</w:t>
            </w:r>
          </w:p>
        </w:tc>
        <w:tc>
          <w:tcPr>
            <w:tcW w:w="857" w:type="pct"/>
            <w:vAlign w:val="center"/>
          </w:tcPr>
          <w:p w14:paraId="61486F51" w14:textId="57C8DF1E"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71.7</w:t>
            </w:r>
          </w:p>
        </w:tc>
        <w:tc>
          <w:tcPr>
            <w:tcW w:w="822" w:type="pct"/>
            <w:vAlign w:val="center"/>
          </w:tcPr>
          <w:p w14:paraId="32E359EF" w14:textId="1920BCEB"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79.5</w:t>
            </w:r>
          </w:p>
        </w:tc>
        <w:tc>
          <w:tcPr>
            <w:tcW w:w="821" w:type="pct"/>
            <w:vAlign w:val="center"/>
          </w:tcPr>
          <w:p w14:paraId="56FDE1B1" w14:textId="7E060C92"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82.5</w:t>
            </w:r>
          </w:p>
        </w:tc>
      </w:tr>
      <w:tr w:rsidR="00AC1207" w:rsidRPr="00E8656C" w14:paraId="18E3EBA5" w14:textId="77777777" w:rsidTr="006C7824">
        <w:trPr>
          <w:trHeight w:val="60"/>
        </w:trPr>
        <w:tc>
          <w:tcPr>
            <w:tcW w:w="749" w:type="pct"/>
          </w:tcPr>
          <w:p w14:paraId="6CD35715" w14:textId="17B8581A" w:rsidR="00FF7540" w:rsidRPr="00E8656C" w:rsidRDefault="00AC1207" w:rsidP="00FF7540">
            <w:pPr>
              <w:pStyle w:val="Tabletextupdate"/>
              <w:framePr w:wrap="auto"/>
              <w:rPr>
                <w:rFonts w:ascii="Arial" w:hAnsi="Arial" w:cs="Arial"/>
                <w:b/>
                <w:bCs/>
                <w:color w:val="auto"/>
              </w:rPr>
            </w:pPr>
            <w:r w:rsidRPr="00E8656C">
              <w:rPr>
                <w:rFonts w:ascii="Arial" w:hAnsi="Arial" w:cs="Arial"/>
                <w:b/>
                <w:bCs/>
                <w:color w:val="auto"/>
              </w:rPr>
              <w:t>Gender</w:t>
            </w:r>
          </w:p>
        </w:tc>
        <w:tc>
          <w:tcPr>
            <w:tcW w:w="893" w:type="pct"/>
            <w:tcMar>
              <w:top w:w="113" w:type="dxa"/>
              <w:left w:w="57" w:type="dxa"/>
              <w:bottom w:w="113" w:type="dxa"/>
              <w:right w:w="57" w:type="dxa"/>
            </w:tcMar>
          </w:tcPr>
          <w:p w14:paraId="02C0B8D1"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Female</w:t>
            </w:r>
          </w:p>
        </w:tc>
        <w:tc>
          <w:tcPr>
            <w:tcW w:w="858" w:type="pct"/>
            <w:gridSpan w:val="2"/>
            <w:vAlign w:val="center"/>
          </w:tcPr>
          <w:p w14:paraId="367EEAE4" w14:textId="645FF3E5"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75.1</w:t>
            </w:r>
          </w:p>
        </w:tc>
        <w:tc>
          <w:tcPr>
            <w:tcW w:w="857" w:type="pct"/>
            <w:vAlign w:val="center"/>
          </w:tcPr>
          <w:p w14:paraId="3E05F2D0" w14:textId="50246BEC"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74.8</w:t>
            </w:r>
          </w:p>
        </w:tc>
        <w:tc>
          <w:tcPr>
            <w:tcW w:w="822" w:type="pct"/>
            <w:vAlign w:val="center"/>
          </w:tcPr>
          <w:p w14:paraId="0540F912" w14:textId="17FC45FC"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80.5</w:t>
            </w:r>
          </w:p>
        </w:tc>
        <w:tc>
          <w:tcPr>
            <w:tcW w:w="821" w:type="pct"/>
            <w:vAlign w:val="center"/>
          </w:tcPr>
          <w:p w14:paraId="289FE369" w14:textId="491D3BE4"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85.9</w:t>
            </w:r>
          </w:p>
        </w:tc>
      </w:tr>
      <w:tr w:rsidR="00AC1207" w:rsidRPr="00E8656C" w14:paraId="246A4B2B" w14:textId="77777777" w:rsidTr="006C7824">
        <w:trPr>
          <w:trHeight w:val="60"/>
        </w:trPr>
        <w:tc>
          <w:tcPr>
            <w:tcW w:w="749" w:type="pct"/>
          </w:tcPr>
          <w:p w14:paraId="7AD3CAC4"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Age</w:t>
            </w:r>
          </w:p>
        </w:tc>
        <w:tc>
          <w:tcPr>
            <w:tcW w:w="893" w:type="pct"/>
            <w:tcMar>
              <w:top w:w="113" w:type="dxa"/>
              <w:left w:w="57" w:type="dxa"/>
              <w:bottom w:w="113" w:type="dxa"/>
              <w:right w:w="57" w:type="dxa"/>
            </w:tcMar>
          </w:tcPr>
          <w:p w14:paraId="2A16B964"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Under 25</w:t>
            </w:r>
          </w:p>
        </w:tc>
        <w:tc>
          <w:tcPr>
            <w:tcW w:w="858" w:type="pct"/>
            <w:gridSpan w:val="2"/>
            <w:vAlign w:val="center"/>
          </w:tcPr>
          <w:p w14:paraId="44D2F24A" w14:textId="501C8AC2"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74.7</w:t>
            </w:r>
          </w:p>
        </w:tc>
        <w:tc>
          <w:tcPr>
            <w:tcW w:w="857" w:type="pct"/>
            <w:vAlign w:val="center"/>
          </w:tcPr>
          <w:p w14:paraId="6BA5ED3A" w14:textId="204D1766"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75.5</w:t>
            </w:r>
          </w:p>
        </w:tc>
        <w:tc>
          <w:tcPr>
            <w:tcW w:w="822" w:type="pct"/>
            <w:vAlign w:val="center"/>
          </w:tcPr>
          <w:p w14:paraId="578ABCEF" w14:textId="44159A61"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80.7</w:t>
            </w:r>
          </w:p>
        </w:tc>
        <w:tc>
          <w:tcPr>
            <w:tcW w:w="821" w:type="pct"/>
            <w:vAlign w:val="center"/>
          </w:tcPr>
          <w:p w14:paraId="007F0833" w14:textId="018F879A"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85.7</w:t>
            </w:r>
          </w:p>
        </w:tc>
      </w:tr>
      <w:tr w:rsidR="00AC1207" w:rsidRPr="00E8656C" w14:paraId="24FEA846" w14:textId="77777777" w:rsidTr="006C7824">
        <w:trPr>
          <w:trHeight w:val="60"/>
        </w:trPr>
        <w:tc>
          <w:tcPr>
            <w:tcW w:w="749" w:type="pct"/>
          </w:tcPr>
          <w:p w14:paraId="1CD284C5" w14:textId="29C4050F" w:rsidR="00AC1207" w:rsidRPr="00E8656C" w:rsidRDefault="00AC1207" w:rsidP="00AC1207">
            <w:pPr>
              <w:pStyle w:val="Tabletextupdate"/>
              <w:framePr w:wrap="auto"/>
              <w:rPr>
                <w:rFonts w:ascii="Arial" w:hAnsi="Arial" w:cs="Arial"/>
                <w:b/>
                <w:bCs/>
                <w:color w:val="auto"/>
              </w:rPr>
            </w:pPr>
            <w:r w:rsidRPr="00E8656C">
              <w:rPr>
                <w:rFonts w:ascii="Arial" w:hAnsi="Arial" w:cs="Arial"/>
                <w:b/>
                <w:bCs/>
                <w:color w:val="auto"/>
              </w:rPr>
              <w:t>Age</w:t>
            </w:r>
          </w:p>
        </w:tc>
        <w:tc>
          <w:tcPr>
            <w:tcW w:w="893" w:type="pct"/>
            <w:tcMar>
              <w:top w:w="113" w:type="dxa"/>
              <w:left w:w="57" w:type="dxa"/>
              <w:bottom w:w="113" w:type="dxa"/>
              <w:right w:w="57" w:type="dxa"/>
            </w:tcMar>
          </w:tcPr>
          <w:p w14:paraId="533C37DE" w14:textId="77777777" w:rsidR="00AC1207" w:rsidRPr="00E8656C" w:rsidRDefault="00AC1207" w:rsidP="00AC1207">
            <w:pPr>
              <w:pStyle w:val="Tabletextupdate"/>
              <w:framePr w:wrap="auto"/>
              <w:rPr>
                <w:rFonts w:ascii="Arial" w:hAnsi="Arial" w:cs="Arial"/>
                <w:b/>
                <w:bCs/>
                <w:color w:val="auto"/>
              </w:rPr>
            </w:pPr>
            <w:r w:rsidRPr="00E8656C">
              <w:rPr>
                <w:rFonts w:ascii="Arial" w:hAnsi="Arial" w:cs="Arial"/>
                <w:b/>
                <w:bCs/>
                <w:color w:val="auto"/>
              </w:rPr>
              <w:t>25 to 29</w:t>
            </w:r>
          </w:p>
        </w:tc>
        <w:tc>
          <w:tcPr>
            <w:tcW w:w="858" w:type="pct"/>
            <w:gridSpan w:val="2"/>
            <w:vAlign w:val="center"/>
          </w:tcPr>
          <w:p w14:paraId="48382DFB" w14:textId="720403E6"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71.4</w:t>
            </w:r>
          </w:p>
        </w:tc>
        <w:tc>
          <w:tcPr>
            <w:tcW w:w="857" w:type="pct"/>
            <w:vAlign w:val="center"/>
          </w:tcPr>
          <w:p w14:paraId="2E48CEC0" w14:textId="488775A7"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70.7</w:t>
            </w:r>
          </w:p>
        </w:tc>
        <w:tc>
          <w:tcPr>
            <w:tcW w:w="822" w:type="pct"/>
            <w:vAlign w:val="center"/>
          </w:tcPr>
          <w:p w14:paraId="3A306A0D" w14:textId="0BD0602C"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78.4</w:t>
            </w:r>
          </w:p>
        </w:tc>
        <w:tc>
          <w:tcPr>
            <w:tcW w:w="821" w:type="pct"/>
            <w:vAlign w:val="center"/>
          </w:tcPr>
          <w:p w14:paraId="6E614771" w14:textId="7A51D664"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82.1</w:t>
            </w:r>
          </w:p>
        </w:tc>
      </w:tr>
      <w:tr w:rsidR="00AC1207" w:rsidRPr="00E8656C" w14:paraId="24322680" w14:textId="77777777" w:rsidTr="006C7824">
        <w:trPr>
          <w:trHeight w:val="60"/>
        </w:trPr>
        <w:tc>
          <w:tcPr>
            <w:tcW w:w="749" w:type="pct"/>
          </w:tcPr>
          <w:p w14:paraId="588A4066" w14:textId="6002C7E5" w:rsidR="00AC1207" w:rsidRPr="00E8656C" w:rsidRDefault="00AC1207" w:rsidP="00AC1207">
            <w:pPr>
              <w:pStyle w:val="Tabletextupdate"/>
              <w:framePr w:wrap="auto"/>
              <w:rPr>
                <w:rFonts w:ascii="Arial" w:hAnsi="Arial" w:cs="Arial"/>
                <w:b/>
                <w:bCs/>
                <w:color w:val="auto"/>
              </w:rPr>
            </w:pPr>
            <w:r w:rsidRPr="00E8656C">
              <w:rPr>
                <w:rFonts w:ascii="Arial" w:hAnsi="Arial" w:cs="Arial"/>
                <w:b/>
                <w:bCs/>
                <w:color w:val="auto"/>
              </w:rPr>
              <w:t>Age</w:t>
            </w:r>
          </w:p>
        </w:tc>
        <w:tc>
          <w:tcPr>
            <w:tcW w:w="893" w:type="pct"/>
            <w:tcMar>
              <w:top w:w="113" w:type="dxa"/>
              <w:left w:w="57" w:type="dxa"/>
              <w:bottom w:w="113" w:type="dxa"/>
              <w:right w:w="57" w:type="dxa"/>
            </w:tcMar>
          </w:tcPr>
          <w:p w14:paraId="4AD56105" w14:textId="77777777" w:rsidR="00AC1207" w:rsidRPr="00E8656C" w:rsidRDefault="00AC1207" w:rsidP="00AC1207">
            <w:pPr>
              <w:pStyle w:val="Tabletextupdate"/>
              <w:framePr w:wrap="auto"/>
              <w:rPr>
                <w:rFonts w:ascii="Arial" w:hAnsi="Arial" w:cs="Arial"/>
                <w:b/>
                <w:bCs/>
                <w:color w:val="auto"/>
              </w:rPr>
            </w:pPr>
            <w:r w:rsidRPr="00E8656C">
              <w:rPr>
                <w:rFonts w:ascii="Arial" w:hAnsi="Arial" w:cs="Arial"/>
                <w:b/>
                <w:bCs/>
                <w:color w:val="auto"/>
              </w:rPr>
              <w:t>30 to 39</w:t>
            </w:r>
          </w:p>
        </w:tc>
        <w:tc>
          <w:tcPr>
            <w:tcW w:w="858" w:type="pct"/>
            <w:gridSpan w:val="2"/>
            <w:vAlign w:val="center"/>
          </w:tcPr>
          <w:p w14:paraId="76F7E018" w14:textId="1F167D14"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70.1</w:t>
            </w:r>
          </w:p>
        </w:tc>
        <w:tc>
          <w:tcPr>
            <w:tcW w:w="857" w:type="pct"/>
            <w:vAlign w:val="center"/>
          </w:tcPr>
          <w:p w14:paraId="1E5CEC69" w14:textId="0FB95A18"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68.9</w:t>
            </w:r>
          </w:p>
        </w:tc>
        <w:tc>
          <w:tcPr>
            <w:tcW w:w="822" w:type="pct"/>
            <w:vAlign w:val="center"/>
          </w:tcPr>
          <w:p w14:paraId="6DE63D00" w14:textId="54061ECC"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78.4</w:t>
            </w:r>
          </w:p>
        </w:tc>
        <w:tc>
          <w:tcPr>
            <w:tcW w:w="821" w:type="pct"/>
            <w:vAlign w:val="center"/>
          </w:tcPr>
          <w:p w14:paraId="34BF266E" w14:textId="309AA40E"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81.5</w:t>
            </w:r>
          </w:p>
        </w:tc>
      </w:tr>
      <w:tr w:rsidR="00AC1207" w:rsidRPr="00E8656C" w14:paraId="14CDB175" w14:textId="77777777" w:rsidTr="006C7824">
        <w:trPr>
          <w:trHeight w:val="60"/>
        </w:trPr>
        <w:tc>
          <w:tcPr>
            <w:tcW w:w="749" w:type="pct"/>
          </w:tcPr>
          <w:p w14:paraId="32FBBC7D" w14:textId="65BB85EA" w:rsidR="00AC1207" w:rsidRPr="00E8656C" w:rsidRDefault="00AC1207" w:rsidP="00AC1207">
            <w:pPr>
              <w:pStyle w:val="Tabletextupdate"/>
              <w:framePr w:wrap="auto"/>
              <w:rPr>
                <w:rFonts w:ascii="Arial" w:hAnsi="Arial" w:cs="Arial"/>
                <w:b/>
                <w:bCs/>
                <w:color w:val="auto"/>
              </w:rPr>
            </w:pPr>
            <w:r w:rsidRPr="00E8656C">
              <w:rPr>
                <w:rFonts w:ascii="Arial" w:hAnsi="Arial" w:cs="Arial"/>
                <w:b/>
                <w:bCs/>
                <w:color w:val="auto"/>
              </w:rPr>
              <w:t>Age</w:t>
            </w:r>
          </w:p>
        </w:tc>
        <w:tc>
          <w:tcPr>
            <w:tcW w:w="893" w:type="pct"/>
            <w:tcMar>
              <w:top w:w="113" w:type="dxa"/>
              <w:left w:w="57" w:type="dxa"/>
              <w:bottom w:w="113" w:type="dxa"/>
              <w:right w:w="57" w:type="dxa"/>
            </w:tcMar>
          </w:tcPr>
          <w:p w14:paraId="7E7AE5E4" w14:textId="77777777" w:rsidR="00AC1207" w:rsidRPr="00E8656C" w:rsidRDefault="00AC1207" w:rsidP="00AC1207">
            <w:pPr>
              <w:pStyle w:val="Tabletextupdate"/>
              <w:framePr w:wrap="auto"/>
              <w:rPr>
                <w:rFonts w:ascii="Arial" w:hAnsi="Arial" w:cs="Arial"/>
                <w:b/>
                <w:bCs/>
                <w:color w:val="auto"/>
              </w:rPr>
            </w:pPr>
            <w:r w:rsidRPr="00E8656C">
              <w:rPr>
                <w:rFonts w:ascii="Arial" w:hAnsi="Arial" w:cs="Arial"/>
                <w:b/>
                <w:bCs/>
                <w:color w:val="auto"/>
              </w:rPr>
              <w:t>40 and over</w:t>
            </w:r>
          </w:p>
        </w:tc>
        <w:tc>
          <w:tcPr>
            <w:tcW w:w="858" w:type="pct"/>
            <w:gridSpan w:val="2"/>
            <w:vAlign w:val="center"/>
          </w:tcPr>
          <w:p w14:paraId="4BD25DE7" w14:textId="3CC918BF"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65.9</w:t>
            </w:r>
          </w:p>
        </w:tc>
        <w:tc>
          <w:tcPr>
            <w:tcW w:w="857" w:type="pct"/>
            <w:vAlign w:val="center"/>
          </w:tcPr>
          <w:p w14:paraId="60694D58" w14:textId="54C1F6B3"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62.3</w:t>
            </w:r>
          </w:p>
        </w:tc>
        <w:tc>
          <w:tcPr>
            <w:tcW w:w="822" w:type="pct"/>
            <w:vAlign w:val="center"/>
          </w:tcPr>
          <w:p w14:paraId="42C90E6C" w14:textId="09D85566"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76.6</w:t>
            </w:r>
          </w:p>
        </w:tc>
        <w:tc>
          <w:tcPr>
            <w:tcW w:w="821" w:type="pct"/>
            <w:vAlign w:val="center"/>
          </w:tcPr>
          <w:p w14:paraId="363B1CD4" w14:textId="3794777E"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79.1</w:t>
            </w:r>
          </w:p>
        </w:tc>
      </w:tr>
      <w:tr w:rsidR="00AC1207" w:rsidRPr="00E8656C" w14:paraId="2B2C4950" w14:textId="77777777" w:rsidTr="006C7824">
        <w:trPr>
          <w:trHeight w:val="60"/>
        </w:trPr>
        <w:tc>
          <w:tcPr>
            <w:tcW w:w="749" w:type="pct"/>
            <w:vAlign w:val="center"/>
          </w:tcPr>
          <w:p w14:paraId="321D9113" w14:textId="5B39CDE5"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First Nations**</w:t>
            </w:r>
          </w:p>
        </w:tc>
        <w:tc>
          <w:tcPr>
            <w:tcW w:w="893" w:type="pct"/>
            <w:tcMar>
              <w:top w:w="113" w:type="dxa"/>
              <w:left w:w="57" w:type="dxa"/>
              <w:bottom w:w="113" w:type="dxa"/>
              <w:right w:w="57" w:type="dxa"/>
            </w:tcMar>
          </w:tcPr>
          <w:p w14:paraId="335348E4"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First Nations</w:t>
            </w:r>
          </w:p>
        </w:tc>
        <w:tc>
          <w:tcPr>
            <w:tcW w:w="858" w:type="pct"/>
            <w:gridSpan w:val="2"/>
            <w:vAlign w:val="center"/>
          </w:tcPr>
          <w:p w14:paraId="1D201524" w14:textId="09C71EDF"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71.9</w:t>
            </w:r>
          </w:p>
        </w:tc>
        <w:tc>
          <w:tcPr>
            <w:tcW w:w="857" w:type="pct"/>
            <w:vAlign w:val="center"/>
          </w:tcPr>
          <w:p w14:paraId="72D7D666" w14:textId="302222C5"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73.0</w:t>
            </w:r>
          </w:p>
        </w:tc>
        <w:tc>
          <w:tcPr>
            <w:tcW w:w="822" w:type="pct"/>
            <w:vAlign w:val="center"/>
          </w:tcPr>
          <w:p w14:paraId="5D48FC77" w14:textId="4B50E300"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75.1</w:t>
            </w:r>
          </w:p>
        </w:tc>
        <w:tc>
          <w:tcPr>
            <w:tcW w:w="821" w:type="pct"/>
            <w:vAlign w:val="center"/>
          </w:tcPr>
          <w:p w14:paraId="540A5358" w14:textId="55B8DE69"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82.4</w:t>
            </w:r>
          </w:p>
        </w:tc>
      </w:tr>
      <w:tr w:rsidR="00AC1207" w:rsidRPr="00E8656C" w14:paraId="7725F13D" w14:textId="77777777" w:rsidTr="006C7824">
        <w:trPr>
          <w:trHeight w:val="60"/>
        </w:trPr>
        <w:tc>
          <w:tcPr>
            <w:tcW w:w="749" w:type="pct"/>
          </w:tcPr>
          <w:p w14:paraId="5D053C94" w14:textId="3309E609" w:rsidR="00FF7540" w:rsidRPr="00E8656C" w:rsidRDefault="00AC1207" w:rsidP="00FF7540">
            <w:pPr>
              <w:pStyle w:val="Tabletextupdate"/>
              <w:framePr w:wrap="auto"/>
              <w:rPr>
                <w:rFonts w:ascii="Arial" w:hAnsi="Arial" w:cs="Arial"/>
                <w:b/>
                <w:bCs/>
                <w:color w:val="auto"/>
              </w:rPr>
            </w:pPr>
            <w:r w:rsidRPr="00E8656C">
              <w:rPr>
                <w:rFonts w:ascii="Arial" w:hAnsi="Arial" w:cs="Arial"/>
                <w:b/>
                <w:bCs/>
                <w:color w:val="auto"/>
              </w:rPr>
              <w:t>First Nations**</w:t>
            </w:r>
          </w:p>
        </w:tc>
        <w:tc>
          <w:tcPr>
            <w:tcW w:w="893" w:type="pct"/>
            <w:tcMar>
              <w:top w:w="113" w:type="dxa"/>
              <w:left w:w="57" w:type="dxa"/>
              <w:bottom w:w="113" w:type="dxa"/>
              <w:right w:w="57" w:type="dxa"/>
            </w:tcMar>
          </w:tcPr>
          <w:p w14:paraId="2CF1F4A6"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Non-Indigenous</w:t>
            </w:r>
          </w:p>
        </w:tc>
        <w:tc>
          <w:tcPr>
            <w:tcW w:w="858" w:type="pct"/>
            <w:gridSpan w:val="2"/>
            <w:vAlign w:val="center"/>
          </w:tcPr>
          <w:p w14:paraId="594359F2" w14:textId="36F80F6E"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72.0</w:t>
            </w:r>
          </w:p>
        </w:tc>
        <w:tc>
          <w:tcPr>
            <w:tcW w:w="857" w:type="pct"/>
            <w:vAlign w:val="center"/>
          </w:tcPr>
          <w:p w14:paraId="07DE8A5C" w14:textId="289CAF11"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72.0</w:t>
            </w:r>
          </w:p>
        </w:tc>
        <w:tc>
          <w:tcPr>
            <w:tcW w:w="822" w:type="pct"/>
            <w:vAlign w:val="center"/>
          </w:tcPr>
          <w:p w14:paraId="7F6E9F0B" w14:textId="792152A2"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80.1</w:t>
            </w:r>
          </w:p>
        </w:tc>
        <w:tc>
          <w:tcPr>
            <w:tcW w:w="821" w:type="pct"/>
            <w:vAlign w:val="center"/>
          </w:tcPr>
          <w:p w14:paraId="51D86EF8" w14:textId="3039407B"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83.9</w:t>
            </w:r>
          </w:p>
        </w:tc>
      </w:tr>
      <w:tr w:rsidR="00AC1207" w:rsidRPr="00E8656C" w14:paraId="246099BF" w14:textId="77777777" w:rsidTr="006C7824">
        <w:trPr>
          <w:trHeight w:val="60"/>
        </w:trPr>
        <w:tc>
          <w:tcPr>
            <w:tcW w:w="749" w:type="pct"/>
          </w:tcPr>
          <w:p w14:paraId="05A4A680" w14:textId="43FA2B4E"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Home language***</w:t>
            </w:r>
          </w:p>
        </w:tc>
        <w:tc>
          <w:tcPr>
            <w:tcW w:w="893" w:type="pct"/>
            <w:tcMar>
              <w:top w:w="113" w:type="dxa"/>
              <w:left w:w="57" w:type="dxa"/>
              <w:bottom w:w="113" w:type="dxa"/>
              <w:right w:w="57" w:type="dxa"/>
            </w:tcMar>
          </w:tcPr>
          <w:p w14:paraId="1894415D"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English</w:t>
            </w:r>
          </w:p>
        </w:tc>
        <w:tc>
          <w:tcPr>
            <w:tcW w:w="858" w:type="pct"/>
            <w:gridSpan w:val="2"/>
            <w:vAlign w:val="center"/>
          </w:tcPr>
          <w:p w14:paraId="0A9C3D7E" w14:textId="6574AE33"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72.2</w:t>
            </w:r>
          </w:p>
        </w:tc>
        <w:tc>
          <w:tcPr>
            <w:tcW w:w="857" w:type="pct"/>
            <w:vAlign w:val="center"/>
          </w:tcPr>
          <w:p w14:paraId="26EFC0CC" w14:textId="1DF4EE4D"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72.3</w:t>
            </w:r>
          </w:p>
        </w:tc>
        <w:tc>
          <w:tcPr>
            <w:tcW w:w="822" w:type="pct"/>
            <w:vAlign w:val="center"/>
          </w:tcPr>
          <w:p w14:paraId="56C42A86" w14:textId="0E6C16AD"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80.0</w:t>
            </w:r>
          </w:p>
        </w:tc>
        <w:tc>
          <w:tcPr>
            <w:tcW w:w="821" w:type="pct"/>
            <w:vAlign w:val="center"/>
          </w:tcPr>
          <w:p w14:paraId="3EA03D68" w14:textId="1F6B7C76"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84.0</w:t>
            </w:r>
          </w:p>
        </w:tc>
      </w:tr>
      <w:tr w:rsidR="00AC1207" w:rsidRPr="00E8656C" w14:paraId="2DEDB914" w14:textId="77777777" w:rsidTr="006C7824">
        <w:trPr>
          <w:trHeight w:val="60"/>
        </w:trPr>
        <w:tc>
          <w:tcPr>
            <w:tcW w:w="749" w:type="pct"/>
          </w:tcPr>
          <w:p w14:paraId="28F6FB7F" w14:textId="573FE326" w:rsidR="00FF7540" w:rsidRPr="00E8656C" w:rsidRDefault="00AC1207" w:rsidP="00FF7540">
            <w:pPr>
              <w:pStyle w:val="Tabletextupdate"/>
              <w:framePr w:wrap="auto"/>
              <w:rPr>
                <w:rFonts w:ascii="Arial" w:hAnsi="Arial" w:cs="Arial"/>
                <w:b/>
                <w:bCs/>
                <w:color w:val="auto"/>
              </w:rPr>
            </w:pPr>
            <w:r w:rsidRPr="00E8656C">
              <w:rPr>
                <w:rFonts w:ascii="Arial" w:hAnsi="Arial" w:cs="Arial"/>
                <w:b/>
                <w:bCs/>
                <w:color w:val="auto"/>
              </w:rPr>
              <w:t>Home language***</w:t>
            </w:r>
          </w:p>
        </w:tc>
        <w:tc>
          <w:tcPr>
            <w:tcW w:w="893" w:type="pct"/>
            <w:tcMar>
              <w:top w:w="113" w:type="dxa"/>
              <w:left w:w="57" w:type="dxa"/>
              <w:bottom w:w="113" w:type="dxa"/>
              <w:right w:w="57" w:type="dxa"/>
            </w:tcMar>
          </w:tcPr>
          <w:p w14:paraId="261AF913"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Other</w:t>
            </w:r>
          </w:p>
        </w:tc>
        <w:tc>
          <w:tcPr>
            <w:tcW w:w="858" w:type="pct"/>
            <w:gridSpan w:val="2"/>
            <w:vAlign w:val="center"/>
          </w:tcPr>
          <w:p w14:paraId="73D221BF" w14:textId="484BC00E"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79.4</w:t>
            </w:r>
          </w:p>
        </w:tc>
        <w:tc>
          <w:tcPr>
            <w:tcW w:w="857" w:type="pct"/>
            <w:vAlign w:val="center"/>
          </w:tcPr>
          <w:p w14:paraId="5F65800A" w14:textId="5866D29E"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80.2</w:t>
            </w:r>
          </w:p>
        </w:tc>
        <w:tc>
          <w:tcPr>
            <w:tcW w:w="822" w:type="pct"/>
            <w:vAlign w:val="center"/>
          </w:tcPr>
          <w:p w14:paraId="53EDEFF3" w14:textId="63AEAE35"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80.4</w:t>
            </w:r>
          </w:p>
        </w:tc>
        <w:tc>
          <w:tcPr>
            <w:tcW w:w="821" w:type="pct"/>
            <w:vAlign w:val="center"/>
          </w:tcPr>
          <w:p w14:paraId="6A1B21D4" w14:textId="7992832B"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87.5</w:t>
            </w:r>
          </w:p>
        </w:tc>
      </w:tr>
      <w:tr w:rsidR="00AC1207" w:rsidRPr="00E8656C" w14:paraId="4BE7FB61" w14:textId="77777777" w:rsidTr="006C7824">
        <w:trPr>
          <w:trHeight w:val="60"/>
        </w:trPr>
        <w:tc>
          <w:tcPr>
            <w:tcW w:w="749" w:type="pct"/>
          </w:tcPr>
          <w:p w14:paraId="13E1FFCC"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Disability</w:t>
            </w:r>
          </w:p>
        </w:tc>
        <w:tc>
          <w:tcPr>
            <w:tcW w:w="893" w:type="pct"/>
            <w:tcMar>
              <w:top w:w="113" w:type="dxa"/>
              <w:left w:w="57" w:type="dxa"/>
              <w:bottom w:w="113" w:type="dxa"/>
              <w:right w:w="57" w:type="dxa"/>
            </w:tcMar>
          </w:tcPr>
          <w:p w14:paraId="601EEC2E"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Disability reported</w:t>
            </w:r>
          </w:p>
        </w:tc>
        <w:tc>
          <w:tcPr>
            <w:tcW w:w="858" w:type="pct"/>
            <w:gridSpan w:val="2"/>
            <w:vAlign w:val="center"/>
          </w:tcPr>
          <w:p w14:paraId="1D578DF5" w14:textId="1D13B7A6"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70.0</w:t>
            </w:r>
          </w:p>
        </w:tc>
        <w:tc>
          <w:tcPr>
            <w:tcW w:w="857" w:type="pct"/>
            <w:vAlign w:val="center"/>
          </w:tcPr>
          <w:p w14:paraId="42EDC366" w14:textId="7BAADEA5"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69.1</w:t>
            </w:r>
          </w:p>
        </w:tc>
        <w:tc>
          <w:tcPr>
            <w:tcW w:w="822" w:type="pct"/>
            <w:vAlign w:val="center"/>
          </w:tcPr>
          <w:p w14:paraId="366E0043" w14:textId="3F5E0C68"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74.1</w:t>
            </w:r>
          </w:p>
        </w:tc>
        <w:tc>
          <w:tcPr>
            <w:tcW w:w="821" w:type="pct"/>
            <w:vAlign w:val="center"/>
          </w:tcPr>
          <w:p w14:paraId="350CECDF" w14:textId="04BF13B1"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80.1</w:t>
            </w:r>
          </w:p>
        </w:tc>
      </w:tr>
      <w:tr w:rsidR="00AC1207" w:rsidRPr="00E8656C" w14:paraId="1BC335E8" w14:textId="77777777" w:rsidTr="006C7824">
        <w:trPr>
          <w:trHeight w:val="60"/>
        </w:trPr>
        <w:tc>
          <w:tcPr>
            <w:tcW w:w="749" w:type="pct"/>
          </w:tcPr>
          <w:p w14:paraId="1DA3A64F" w14:textId="17171115" w:rsidR="00FF7540" w:rsidRPr="00E8656C" w:rsidRDefault="00AC1207" w:rsidP="00FF7540">
            <w:pPr>
              <w:pStyle w:val="Tabletextupdate"/>
              <w:framePr w:wrap="auto"/>
              <w:rPr>
                <w:rFonts w:ascii="Arial" w:hAnsi="Arial" w:cs="Arial"/>
                <w:b/>
                <w:bCs/>
                <w:color w:val="auto"/>
              </w:rPr>
            </w:pPr>
            <w:r w:rsidRPr="00E8656C">
              <w:rPr>
                <w:rFonts w:ascii="Arial" w:hAnsi="Arial" w:cs="Arial"/>
                <w:b/>
                <w:bCs/>
                <w:color w:val="auto"/>
              </w:rPr>
              <w:t>Disability</w:t>
            </w:r>
          </w:p>
        </w:tc>
        <w:tc>
          <w:tcPr>
            <w:tcW w:w="893" w:type="pct"/>
            <w:tcMar>
              <w:top w:w="113" w:type="dxa"/>
              <w:left w:w="57" w:type="dxa"/>
              <w:bottom w:w="113" w:type="dxa"/>
              <w:right w:w="57" w:type="dxa"/>
            </w:tcMar>
          </w:tcPr>
          <w:p w14:paraId="2A2FF805"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No disability reported</w:t>
            </w:r>
          </w:p>
        </w:tc>
        <w:tc>
          <w:tcPr>
            <w:tcW w:w="858" w:type="pct"/>
            <w:gridSpan w:val="2"/>
            <w:vAlign w:val="center"/>
          </w:tcPr>
          <w:p w14:paraId="0D4AB10F" w14:textId="187917A0"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74.0</w:t>
            </w:r>
          </w:p>
        </w:tc>
        <w:tc>
          <w:tcPr>
            <w:tcW w:w="857" w:type="pct"/>
            <w:vAlign w:val="center"/>
          </w:tcPr>
          <w:p w14:paraId="05774CBE" w14:textId="652C6BAE"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74.3</w:t>
            </w:r>
          </w:p>
        </w:tc>
        <w:tc>
          <w:tcPr>
            <w:tcW w:w="822" w:type="pct"/>
            <w:vAlign w:val="center"/>
          </w:tcPr>
          <w:p w14:paraId="4CC7C2A8" w14:textId="160ED3DE"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80.8</w:t>
            </w:r>
          </w:p>
        </w:tc>
        <w:tc>
          <w:tcPr>
            <w:tcW w:w="821" w:type="pct"/>
            <w:vAlign w:val="center"/>
          </w:tcPr>
          <w:p w14:paraId="26837243" w14:textId="31632593"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85.2</w:t>
            </w:r>
          </w:p>
        </w:tc>
      </w:tr>
      <w:tr w:rsidR="00AC1207" w:rsidRPr="00E8656C" w14:paraId="15CF3249" w14:textId="77777777" w:rsidTr="006C7824">
        <w:trPr>
          <w:trHeight w:val="60"/>
        </w:trPr>
        <w:tc>
          <w:tcPr>
            <w:tcW w:w="749" w:type="pct"/>
          </w:tcPr>
          <w:p w14:paraId="0B3FE240" w14:textId="69125E31"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lastRenderedPageBreak/>
              <w:t>Citizenship status</w:t>
            </w:r>
          </w:p>
        </w:tc>
        <w:tc>
          <w:tcPr>
            <w:tcW w:w="893" w:type="pct"/>
            <w:tcMar>
              <w:top w:w="113" w:type="dxa"/>
              <w:left w:w="57" w:type="dxa"/>
              <w:bottom w:w="113" w:type="dxa"/>
              <w:right w:w="57" w:type="dxa"/>
            </w:tcMar>
          </w:tcPr>
          <w:p w14:paraId="2CD7797B" w14:textId="4192D618"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Domestic</w:t>
            </w:r>
          </w:p>
        </w:tc>
        <w:tc>
          <w:tcPr>
            <w:tcW w:w="858" w:type="pct"/>
            <w:gridSpan w:val="2"/>
            <w:vAlign w:val="center"/>
          </w:tcPr>
          <w:p w14:paraId="615C416B" w14:textId="788C1111"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72.0</w:t>
            </w:r>
          </w:p>
        </w:tc>
        <w:tc>
          <w:tcPr>
            <w:tcW w:w="857" w:type="pct"/>
            <w:vAlign w:val="center"/>
          </w:tcPr>
          <w:p w14:paraId="2B4688A1" w14:textId="742BE945"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72.1</w:t>
            </w:r>
          </w:p>
        </w:tc>
        <w:tc>
          <w:tcPr>
            <w:tcW w:w="822" w:type="pct"/>
            <w:vAlign w:val="center"/>
          </w:tcPr>
          <w:p w14:paraId="4BF44B66" w14:textId="51E29635"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80.0</w:t>
            </w:r>
          </w:p>
        </w:tc>
        <w:tc>
          <w:tcPr>
            <w:tcW w:w="821" w:type="pct"/>
            <w:vAlign w:val="center"/>
          </w:tcPr>
          <w:p w14:paraId="75FD69C2" w14:textId="43A53BB0"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83.9</w:t>
            </w:r>
          </w:p>
        </w:tc>
      </w:tr>
      <w:tr w:rsidR="00AC1207" w:rsidRPr="00E8656C" w14:paraId="29CA8E86" w14:textId="77777777" w:rsidTr="006C7824">
        <w:trPr>
          <w:trHeight w:val="60"/>
        </w:trPr>
        <w:tc>
          <w:tcPr>
            <w:tcW w:w="749" w:type="pct"/>
          </w:tcPr>
          <w:p w14:paraId="48C8E945" w14:textId="257864C4" w:rsidR="00FF7540" w:rsidRPr="00E8656C" w:rsidRDefault="00AC1207" w:rsidP="00FF7540">
            <w:pPr>
              <w:pStyle w:val="Tabletextupdate"/>
              <w:framePr w:wrap="auto"/>
              <w:rPr>
                <w:rFonts w:ascii="Arial" w:hAnsi="Arial" w:cs="Arial"/>
                <w:b/>
                <w:bCs/>
                <w:color w:val="auto"/>
              </w:rPr>
            </w:pPr>
            <w:r w:rsidRPr="00E8656C">
              <w:rPr>
                <w:rFonts w:ascii="Arial" w:hAnsi="Arial" w:cs="Arial"/>
                <w:b/>
                <w:bCs/>
                <w:color w:val="auto"/>
              </w:rPr>
              <w:t>Citizenship status</w:t>
            </w:r>
          </w:p>
        </w:tc>
        <w:tc>
          <w:tcPr>
            <w:tcW w:w="893" w:type="pct"/>
            <w:tcMar>
              <w:top w:w="113" w:type="dxa"/>
              <w:left w:w="57" w:type="dxa"/>
              <w:bottom w:w="113" w:type="dxa"/>
              <w:right w:w="57" w:type="dxa"/>
            </w:tcMar>
          </w:tcPr>
          <w:p w14:paraId="5EA9D23B" w14:textId="6D2AA852"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International</w:t>
            </w:r>
          </w:p>
        </w:tc>
        <w:tc>
          <w:tcPr>
            <w:tcW w:w="858" w:type="pct"/>
            <w:gridSpan w:val="2"/>
            <w:vAlign w:val="center"/>
          </w:tcPr>
          <w:p w14:paraId="33F31D4B" w14:textId="30779F01"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79.9</w:t>
            </w:r>
          </w:p>
        </w:tc>
        <w:tc>
          <w:tcPr>
            <w:tcW w:w="857" w:type="pct"/>
            <w:vAlign w:val="center"/>
          </w:tcPr>
          <w:p w14:paraId="10B78364" w14:textId="53A0EDF5"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80.8</w:t>
            </w:r>
          </w:p>
        </w:tc>
        <w:tc>
          <w:tcPr>
            <w:tcW w:w="822" w:type="pct"/>
            <w:vAlign w:val="center"/>
          </w:tcPr>
          <w:p w14:paraId="6B384F32" w14:textId="7CA94FAF"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80.2</w:t>
            </w:r>
          </w:p>
        </w:tc>
        <w:tc>
          <w:tcPr>
            <w:tcW w:w="821" w:type="pct"/>
            <w:vAlign w:val="center"/>
          </w:tcPr>
          <w:p w14:paraId="6A431005" w14:textId="34EFAD20"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88.0</w:t>
            </w:r>
          </w:p>
        </w:tc>
      </w:tr>
      <w:tr w:rsidR="00AC1207" w:rsidRPr="00E8656C" w14:paraId="3C46065B" w14:textId="77777777" w:rsidTr="006C7824">
        <w:trPr>
          <w:trHeight w:val="60"/>
        </w:trPr>
        <w:tc>
          <w:tcPr>
            <w:tcW w:w="749" w:type="pct"/>
          </w:tcPr>
          <w:p w14:paraId="5ACA6413" w14:textId="3FBB1CF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First in family status</w:t>
            </w:r>
            <w:r w:rsidRPr="00E8656C">
              <w:rPr>
                <w:rFonts w:ascii="Arial" w:hAnsi="Arial" w:cs="Arial"/>
                <w:b/>
                <w:bCs/>
                <w:color w:val="auto"/>
                <w:vertAlign w:val="superscript"/>
              </w:rPr>
              <w:t>****</w:t>
            </w:r>
          </w:p>
        </w:tc>
        <w:tc>
          <w:tcPr>
            <w:tcW w:w="893" w:type="pct"/>
            <w:tcMar>
              <w:top w:w="113" w:type="dxa"/>
              <w:left w:w="57" w:type="dxa"/>
              <w:bottom w:w="113" w:type="dxa"/>
              <w:right w:w="57" w:type="dxa"/>
            </w:tcMar>
          </w:tcPr>
          <w:p w14:paraId="216E0BFD"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First in family</w:t>
            </w:r>
          </w:p>
        </w:tc>
        <w:tc>
          <w:tcPr>
            <w:tcW w:w="858" w:type="pct"/>
            <w:gridSpan w:val="2"/>
            <w:vAlign w:val="center"/>
          </w:tcPr>
          <w:p w14:paraId="15CEAFA5" w14:textId="781BBD81"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75.4</w:t>
            </w:r>
          </w:p>
        </w:tc>
        <w:tc>
          <w:tcPr>
            <w:tcW w:w="857" w:type="pct"/>
            <w:vAlign w:val="center"/>
          </w:tcPr>
          <w:p w14:paraId="35351267" w14:textId="5FD5AD70"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76.6</w:t>
            </w:r>
          </w:p>
        </w:tc>
        <w:tc>
          <w:tcPr>
            <w:tcW w:w="822" w:type="pct"/>
            <w:vAlign w:val="center"/>
          </w:tcPr>
          <w:p w14:paraId="500FBB81" w14:textId="0662E404"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81.9</w:t>
            </w:r>
          </w:p>
        </w:tc>
        <w:tc>
          <w:tcPr>
            <w:tcW w:w="821" w:type="pct"/>
            <w:vAlign w:val="center"/>
          </w:tcPr>
          <w:p w14:paraId="069925A6" w14:textId="69D16476"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86.7</w:t>
            </w:r>
          </w:p>
        </w:tc>
      </w:tr>
      <w:tr w:rsidR="00AC1207" w:rsidRPr="00E8656C" w14:paraId="7B717932" w14:textId="77777777" w:rsidTr="006C7824">
        <w:trPr>
          <w:trHeight w:val="60"/>
        </w:trPr>
        <w:tc>
          <w:tcPr>
            <w:tcW w:w="749" w:type="pct"/>
          </w:tcPr>
          <w:p w14:paraId="656E9B9C" w14:textId="405927D8" w:rsidR="00FF7540" w:rsidRPr="00E8656C" w:rsidRDefault="00AC1207" w:rsidP="00FF7540">
            <w:pPr>
              <w:pStyle w:val="Tabletextupdate"/>
              <w:framePr w:wrap="auto"/>
              <w:rPr>
                <w:rFonts w:ascii="Arial" w:hAnsi="Arial" w:cs="Arial"/>
                <w:b/>
                <w:bCs/>
                <w:color w:val="auto"/>
              </w:rPr>
            </w:pPr>
            <w:r w:rsidRPr="00E8656C">
              <w:rPr>
                <w:rFonts w:ascii="Arial" w:hAnsi="Arial" w:cs="Arial"/>
                <w:b/>
                <w:bCs/>
                <w:color w:val="auto"/>
              </w:rPr>
              <w:t>First in family status</w:t>
            </w:r>
            <w:r w:rsidRPr="00E8656C">
              <w:rPr>
                <w:rFonts w:ascii="Arial" w:hAnsi="Arial" w:cs="Arial"/>
                <w:b/>
                <w:bCs/>
                <w:color w:val="auto"/>
                <w:vertAlign w:val="superscript"/>
              </w:rPr>
              <w:t>****</w:t>
            </w:r>
          </w:p>
        </w:tc>
        <w:tc>
          <w:tcPr>
            <w:tcW w:w="893" w:type="pct"/>
            <w:tcMar>
              <w:top w:w="113" w:type="dxa"/>
              <w:left w:w="57" w:type="dxa"/>
              <w:bottom w:w="113" w:type="dxa"/>
              <w:right w:w="57" w:type="dxa"/>
            </w:tcMar>
          </w:tcPr>
          <w:p w14:paraId="5F54A59B"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Not first in family</w:t>
            </w:r>
          </w:p>
        </w:tc>
        <w:tc>
          <w:tcPr>
            <w:tcW w:w="858" w:type="pct"/>
            <w:gridSpan w:val="2"/>
            <w:vAlign w:val="center"/>
          </w:tcPr>
          <w:p w14:paraId="4D6227C4" w14:textId="5B41FD64"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75.5</w:t>
            </w:r>
          </w:p>
        </w:tc>
        <w:tc>
          <w:tcPr>
            <w:tcW w:w="857" w:type="pct"/>
            <w:vAlign w:val="center"/>
          </w:tcPr>
          <w:p w14:paraId="499C58BA" w14:textId="236B8EEF"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76.5</w:t>
            </w:r>
          </w:p>
        </w:tc>
        <w:tc>
          <w:tcPr>
            <w:tcW w:w="822" w:type="pct"/>
            <w:vAlign w:val="center"/>
          </w:tcPr>
          <w:p w14:paraId="0E04BF33" w14:textId="1AD20F40"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81.5</w:t>
            </w:r>
          </w:p>
        </w:tc>
        <w:tc>
          <w:tcPr>
            <w:tcW w:w="821" w:type="pct"/>
            <w:vAlign w:val="center"/>
          </w:tcPr>
          <w:p w14:paraId="6727C305" w14:textId="2107F9C8"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86.6</w:t>
            </w:r>
          </w:p>
        </w:tc>
      </w:tr>
      <w:tr w:rsidR="00AC1207" w:rsidRPr="00E8656C" w14:paraId="2B95E4E7" w14:textId="77777777" w:rsidTr="006C7824">
        <w:trPr>
          <w:trHeight w:val="60"/>
        </w:trPr>
        <w:tc>
          <w:tcPr>
            <w:tcW w:w="749" w:type="pct"/>
          </w:tcPr>
          <w:p w14:paraId="4B435FF6" w14:textId="3314DC33"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Previous higher education experience</w:t>
            </w:r>
          </w:p>
        </w:tc>
        <w:tc>
          <w:tcPr>
            <w:tcW w:w="893" w:type="pct"/>
            <w:tcMar>
              <w:top w:w="113" w:type="dxa"/>
              <w:left w:w="57" w:type="dxa"/>
              <w:bottom w:w="113" w:type="dxa"/>
              <w:right w:w="57" w:type="dxa"/>
            </w:tcMar>
          </w:tcPr>
          <w:p w14:paraId="72C53050"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At current institution</w:t>
            </w:r>
          </w:p>
        </w:tc>
        <w:tc>
          <w:tcPr>
            <w:tcW w:w="858" w:type="pct"/>
            <w:gridSpan w:val="2"/>
            <w:vAlign w:val="center"/>
          </w:tcPr>
          <w:p w14:paraId="11DB6600" w14:textId="0DA2C52A"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72.8</w:t>
            </w:r>
          </w:p>
        </w:tc>
        <w:tc>
          <w:tcPr>
            <w:tcW w:w="857" w:type="pct"/>
            <w:vAlign w:val="center"/>
          </w:tcPr>
          <w:p w14:paraId="28E4C812" w14:textId="70573A37"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71.8</w:t>
            </w:r>
          </w:p>
        </w:tc>
        <w:tc>
          <w:tcPr>
            <w:tcW w:w="822" w:type="pct"/>
            <w:vAlign w:val="center"/>
          </w:tcPr>
          <w:p w14:paraId="6BDC2B9C" w14:textId="079FBAA8"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78.4</w:t>
            </w:r>
          </w:p>
        </w:tc>
        <w:tc>
          <w:tcPr>
            <w:tcW w:w="821" w:type="pct"/>
            <w:vAlign w:val="center"/>
          </w:tcPr>
          <w:p w14:paraId="7881EE0A" w14:textId="4A062B3F"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83.4</w:t>
            </w:r>
          </w:p>
        </w:tc>
      </w:tr>
      <w:tr w:rsidR="00AC1207" w:rsidRPr="00E8656C" w14:paraId="1C58797F" w14:textId="77777777" w:rsidTr="006C7824">
        <w:trPr>
          <w:trHeight w:val="60"/>
        </w:trPr>
        <w:tc>
          <w:tcPr>
            <w:tcW w:w="749" w:type="pct"/>
          </w:tcPr>
          <w:p w14:paraId="307B41B8" w14:textId="4F65172B" w:rsidR="00FF7540" w:rsidRPr="00E8656C" w:rsidRDefault="00AC1207" w:rsidP="00FF7540">
            <w:pPr>
              <w:pStyle w:val="Tabletextupdate"/>
              <w:framePr w:wrap="auto"/>
              <w:rPr>
                <w:rFonts w:ascii="Arial" w:hAnsi="Arial" w:cs="Arial"/>
                <w:b/>
                <w:bCs/>
                <w:color w:val="auto"/>
              </w:rPr>
            </w:pPr>
            <w:r w:rsidRPr="00E8656C">
              <w:rPr>
                <w:rFonts w:ascii="Arial" w:hAnsi="Arial" w:cs="Arial"/>
                <w:b/>
                <w:bCs/>
                <w:color w:val="auto"/>
              </w:rPr>
              <w:t>Previous higher education experience</w:t>
            </w:r>
          </w:p>
        </w:tc>
        <w:tc>
          <w:tcPr>
            <w:tcW w:w="893" w:type="pct"/>
            <w:tcMar>
              <w:top w:w="113" w:type="dxa"/>
              <w:left w:w="57" w:type="dxa"/>
              <w:bottom w:w="113" w:type="dxa"/>
              <w:right w:w="57" w:type="dxa"/>
            </w:tcMar>
          </w:tcPr>
          <w:p w14:paraId="0394F47B"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At another institution</w:t>
            </w:r>
          </w:p>
        </w:tc>
        <w:tc>
          <w:tcPr>
            <w:tcW w:w="858" w:type="pct"/>
            <w:gridSpan w:val="2"/>
            <w:vAlign w:val="center"/>
          </w:tcPr>
          <w:p w14:paraId="0473D4D9" w14:textId="38729BF3"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74.1</w:t>
            </w:r>
          </w:p>
        </w:tc>
        <w:tc>
          <w:tcPr>
            <w:tcW w:w="857" w:type="pct"/>
            <w:vAlign w:val="center"/>
          </w:tcPr>
          <w:p w14:paraId="6AB94B37" w14:textId="5D61568D"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74.4</w:t>
            </w:r>
          </w:p>
        </w:tc>
        <w:tc>
          <w:tcPr>
            <w:tcW w:w="822" w:type="pct"/>
            <w:vAlign w:val="center"/>
          </w:tcPr>
          <w:p w14:paraId="61877AA2" w14:textId="15C87F8C"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80.6</w:t>
            </w:r>
          </w:p>
        </w:tc>
        <w:tc>
          <w:tcPr>
            <w:tcW w:w="821" w:type="pct"/>
            <w:vAlign w:val="center"/>
          </w:tcPr>
          <w:p w14:paraId="25788A25" w14:textId="69B5F590"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85.1</w:t>
            </w:r>
          </w:p>
        </w:tc>
      </w:tr>
      <w:tr w:rsidR="00AC1207" w:rsidRPr="00E8656C" w14:paraId="37B3F434" w14:textId="77777777" w:rsidTr="006C7824">
        <w:trPr>
          <w:trHeight w:val="60"/>
        </w:trPr>
        <w:tc>
          <w:tcPr>
            <w:tcW w:w="749" w:type="pct"/>
          </w:tcPr>
          <w:p w14:paraId="0939BEA1" w14:textId="1B71759B" w:rsidR="00FF7540" w:rsidRPr="00E8656C" w:rsidRDefault="00AC1207" w:rsidP="00FF7540">
            <w:pPr>
              <w:pStyle w:val="Tabletextupdate"/>
              <w:framePr w:wrap="auto"/>
              <w:rPr>
                <w:rFonts w:ascii="Arial" w:hAnsi="Arial" w:cs="Arial"/>
                <w:b/>
                <w:bCs/>
                <w:color w:val="auto"/>
              </w:rPr>
            </w:pPr>
            <w:r w:rsidRPr="00E8656C">
              <w:rPr>
                <w:rFonts w:ascii="Arial" w:hAnsi="Arial" w:cs="Arial"/>
                <w:b/>
                <w:bCs/>
                <w:color w:val="auto"/>
              </w:rPr>
              <w:t>Previous higher education experience</w:t>
            </w:r>
          </w:p>
        </w:tc>
        <w:tc>
          <w:tcPr>
            <w:tcW w:w="893" w:type="pct"/>
            <w:tcMar>
              <w:top w:w="113" w:type="dxa"/>
              <w:left w:w="57" w:type="dxa"/>
              <w:bottom w:w="113" w:type="dxa"/>
              <w:right w:w="57" w:type="dxa"/>
            </w:tcMar>
          </w:tcPr>
          <w:p w14:paraId="0752D087" w14:textId="77777777" w:rsidR="00FF7540" w:rsidRPr="00E8656C" w:rsidRDefault="00FF7540" w:rsidP="00FF7540">
            <w:pPr>
              <w:pStyle w:val="Tabletextupdate"/>
              <w:framePr w:wrap="auto"/>
              <w:rPr>
                <w:rFonts w:ascii="Arial" w:hAnsi="Arial" w:cs="Arial"/>
                <w:b/>
                <w:bCs/>
                <w:color w:val="auto"/>
              </w:rPr>
            </w:pPr>
            <w:r w:rsidRPr="00E8656C">
              <w:rPr>
                <w:rFonts w:ascii="Arial" w:hAnsi="Arial" w:cs="Arial"/>
                <w:b/>
                <w:bCs/>
                <w:color w:val="auto"/>
              </w:rPr>
              <w:t>New to higher education</w:t>
            </w:r>
          </w:p>
        </w:tc>
        <w:tc>
          <w:tcPr>
            <w:tcW w:w="858" w:type="pct"/>
            <w:gridSpan w:val="2"/>
            <w:vAlign w:val="center"/>
          </w:tcPr>
          <w:p w14:paraId="0F167AB3" w14:textId="1FD57BE4"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76.6</w:t>
            </w:r>
          </w:p>
        </w:tc>
        <w:tc>
          <w:tcPr>
            <w:tcW w:w="857" w:type="pct"/>
            <w:vAlign w:val="center"/>
          </w:tcPr>
          <w:p w14:paraId="6C6DEC95" w14:textId="7A4241C0"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78.3</w:t>
            </w:r>
          </w:p>
        </w:tc>
        <w:tc>
          <w:tcPr>
            <w:tcW w:w="822" w:type="pct"/>
            <w:vAlign w:val="center"/>
          </w:tcPr>
          <w:p w14:paraId="5019FBE0" w14:textId="47D1E065"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82.3</w:t>
            </w:r>
          </w:p>
        </w:tc>
        <w:tc>
          <w:tcPr>
            <w:tcW w:w="821" w:type="pct"/>
            <w:vAlign w:val="center"/>
          </w:tcPr>
          <w:p w14:paraId="0FE0A203" w14:textId="049A81D0" w:rsidR="00FF7540" w:rsidRPr="00E8656C" w:rsidRDefault="00FF7540" w:rsidP="00101208">
            <w:pPr>
              <w:pStyle w:val="Tabletextupdate"/>
              <w:framePr w:wrap="auto"/>
              <w:jc w:val="center"/>
              <w:rPr>
                <w:rFonts w:ascii="Arial" w:hAnsi="Arial" w:cs="Arial"/>
                <w:color w:val="auto"/>
              </w:rPr>
            </w:pPr>
            <w:r w:rsidRPr="00E8656C">
              <w:rPr>
                <w:rFonts w:ascii="Arial" w:hAnsi="Arial" w:cs="Arial"/>
                <w:color w:val="auto"/>
              </w:rPr>
              <w:t>87.6</w:t>
            </w:r>
          </w:p>
        </w:tc>
      </w:tr>
      <w:tr w:rsidR="006C7824" w:rsidRPr="00E8656C" w14:paraId="184683FE" w14:textId="77777777" w:rsidTr="00143B7B">
        <w:trPr>
          <w:trHeight w:val="60"/>
        </w:trPr>
        <w:tc>
          <w:tcPr>
            <w:tcW w:w="749" w:type="pct"/>
          </w:tcPr>
          <w:p w14:paraId="0DAC41B1" w14:textId="2561E148"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Socio-economic status</w:t>
            </w:r>
            <w:r w:rsidRPr="00E8656C">
              <w:rPr>
                <w:rFonts w:ascii="Arial" w:hAnsi="Arial" w:cs="Arial"/>
                <w:b/>
                <w:bCs/>
                <w:color w:val="auto"/>
                <w:vertAlign w:val="superscript"/>
              </w:rPr>
              <w:t>**†</w:t>
            </w:r>
          </w:p>
        </w:tc>
        <w:tc>
          <w:tcPr>
            <w:tcW w:w="893" w:type="pct"/>
            <w:tcMar>
              <w:top w:w="113" w:type="dxa"/>
              <w:left w:w="57" w:type="dxa"/>
              <w:bottom w:w="113" w:type="dxa"/>
              <w:right w:w="57" w:type="dxa"/>
            </w:tcMar>
          </w:tcPr>
          <w:p w14:paraId="2460CBC4" w14:textId="77777777"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 xml:space="preserve">High </w:t>
            </w:r>
          </w:p>
        </w:tc>
        <w:tc>
          <w:tcPr>
            <w:tcW w:w="858" w:type="pct"/>
            <w:gridSpan w:val="2"/>
            <w:vAlign w:val="bottom"/>
          </w:tcPr>
          <w:p w14:paraId="3075D4FA" w14:textId="0FADB918"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72.4</w:t>
            </w:r>
          </w:p>
        </w:tc>
        <w:tc>
          <w:tcPr>
            <w:tcW w:w="857" w:type="pct"/>
            <w:vAlign w:val="bottom"/>
          </w:tcPr>
          <w:p w14:paraId="33784C32" w14:textId="16A28D1C"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72.0</w:t>
            </w:r>
          </w:p>
        </w:tc>
        <w:tc>
          <w:tcPr>
            <w:tcW w:w="822" w:type="pct"/>
            <w:vAlign w:val="bottom"/>
          </w:tcPr>
          <w:p w14:paraId="290FD7AF" w14:textId="750C3845"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79.9</w:t>
            </w:r>
          </w:p>
        </w:tc>
        <w:tc>
          <w:tcPr>
            <w:tcW w:w="821" w:type="pct"/>
            <w:vAlign w:val="bottom"/>
          </w:tcPr>
          <w:p w14:paraId="5FD20CEB" w14:textId="70D7ABBF"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83.7</w:t>
            </w:r>
          </w:p>
        </w:tc>
      </w:tr>
      <w:tr w:rsidR="006C7824" w:rsidRPr="00E8656C" w14:paraId="770DE546" w14:textId="77777777" w:rsidTr="00143B7B">
        <w:trPr>
          <w:trHeight w:val="60"/>
        </w:trPr>
        <w:tc>
          <w:tcPr>
            <w:tcW w:w="749" w:type="pct"/>
          </w:tcPr>
          <w:p w14:paraId="64425AF9" w14:textId="3777119D"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Socio-economic status</w:t>
            </w:r>
            <w:r w:rsidRPr="00E8656C">
              <w:rPr>
                <w:rFonts w:ascii="Arial" w:hAnsi="Arial" w:cs="Arial"/>
                <w:b/>
                <w:bCs/>
                <w:color w:val="auto"/>
                <w:vertAlign w:val="superscript"/>
              </w:rPr>
              <w:t>**†</w:t>
            </w:r>
          </w:p>
        </w:tc>
        <w:tc>
          <w:tcPr>
            <w:tcW w:w="893" w:type="pct"/>
            <w:tcMar>
              <w:top w:w="113" w:type="dxa"/>
              <w:left w:w="57" w:type="dxa"/>
              <w:bottom w:w="113" w:type="dxa"/>
              <w:right w:w="57" w:type="dxa"/>
            </w:tcMar>
          </w:tcPr>
          <w:p w14:paraId="60A8E908" w14:textId="77777777"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 xml:space="preserve">Medium </w:t>
            </w:r>
          </w:p>
        </w:tc>
        <w:tc>
          <w:tcPr>
            <w:tcW w:w="858" w:type="pct"/>
            <w:gridSpan w:val="2"/>
            <w:vAlign w:val="bottom"/>
          </w:tcPr>
          <w:p w14:paraId="4B00CB4C" w14:textId="1CE4A1D2"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72.2</w:t>
            </w:r>
          </w:p>
        </w:tc>
        <w:tc>
          <w:tcPr>
            <w:tcW w:w="857" w:type="pct"/>
            <w:vAlign w:val="bottom"/>
          </w:tcPr>
          <w:p w14:paraId="7883F1F5" w14:textId="0A20AA44"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72.3</w:t>
            </w:r>
          </w:p>
        </w:tc>
        <w:tc>
          <w:tcPr>
            <w:tcW w:w="822" w:type="pct"/>
            <w:vAlign w:val="bottom"/>
          </w:tcPr>
          <w:p w14:paraId="78E62B8D" w14:textId="2230B64A"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80.5</w:t>
            </w:r>
          </w:p>
        </w:tc>
        <w:tc>
          <w:tcPr>
            <w:tcW w:w="821" w:type="pct"/>
            <w:vAlign w:val="bottom"/>
          </w:tcPr>
          <w:p w14:paraId="3121C1A0" w14:textId="41CE0894"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84.3</w:t>
            </w:r>
          </w:p>
        </w:tc>
      </w:tr>
      <w:tr w:rsidR="006C7824" w:rsidRPr="00E8656C" w14:paraId="0E422448" w14:textId="77777777" w:rsidTr="00143B7B">
        <w:trPr>
          <w:trHeight w:val="60"/>
        </w:trPr>
        <w:tc>
          <w:tcPr>
            <w:tcW w:w="749" w:type="pct"/>
          </w:tcPr>
          <w:p w14:paraId="6B219993" w14:textId="6DEB845B"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Socio-economic status</w:t>
            </w:r>
            <w:r w:rsidRPr="00E8656C">
              <w:rPr>
                <w:rFonts w:ascii="Arial" w:hAnsi="Arial" w:cs="Arial"/>
                <w:b/>
                <w:bCs/>
                <w:color w:val="auto"/>
                <w:vertAlign w:val="superscript"/>
              </w:rPr>
              <w:t>**†</w:t>
            </w:r>
          </w:p>
        </w:tc>
        <w:tc>
          <w:tcPr>
            <w:tcW w:w="893" w:type="pct"/>
            <w:tcMar>
              <w:top w:w="113" w:type="dxa"/>
              <w:left w:w="57" w:type="dxa"/>
              <w:bottom w:w="113" w:type="dxa"/>
              <w:right w:w="57" w:type="dxa"/>
            </w:tcMar>
          </w:tcPr>
          <w:p w14:paraId="030D9305" w14:textId="77777777"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Low</w:t>
            </w:r>
          </w:p>
        </w:tc>
        <w:tc>
          <w:tcPr>
            <w:tcW w:w="858" w:type="pct"/>
            <w:gridSpan w:val="2"/>
            <w:vAlign w:val="bottom"/>
          </w:tcPr>
          <w:p w14:paraId="3ACDC89C" w14:textId="182BEB7D"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71.2</w:t>
            </w:r>
          </w:p>
        </w:tc>
        <w:tc>
          <w:tcPr>
            <w:tcW w:w="857" w:type="pct"/>
            <w:vAlign w:val="bottom"/>
          </w:tcPr>
          <w:p w14:paraId="0395DF72" w14:textId="67F5C617"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72.1</w:t>
            </w:r>
          </w:p>
        </w:tc>
        <w:tc>
          <w:tcPr>
            <w:tcW w:w="822" w:type="pct"/>
            <w:vAlign w:val="bottom"/>
          </w:tcPr>
          <w:p w14:paraId="27A9C992" w14:textId="5ABD5C96"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79.2</w:t>
            </w:r>
          </w:p>
        </w:tc>
        <w:tc>
          <w:tcPr>
            <w:tcW w:w="821" w:type="pct"/>
            <w:vAlign w:val="bottom"/>
          </w:tcPr>
          <w:p w14:paraId="37A69F83" w14:textId="2D95C67A"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83.6</w:t>
            </w:r>
          </w:p>
        </w:tc>
      </w:tr>
      <w:tr w:rsidR="006C7824" w:rsidRPr="00E8656C" w14:paraId="53D1540C" w14:textId="77777777" w:rsidTr="00143B7B">
        <w:trPr>
          <w:trHeight w:val="60"/>
        </w:trPr>
        <w:tc>
          <w:tcPr>
            <w:tcW w:w="749" w:type="pct"/>
          </w:tcPr>
          <w:p w14:paraId="1A76A0C5" w14:textId="0F30E3FE"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Location</w:t>
            </w:r>
            <w:r w:rsidRPr="00E8656C">
              <w:rPr>
                <w:rFonts w:ascii="Arial" w:hAnsi="Arial" w:cs="Arial"/>
                <w:b/>
                <w:bCs/>
                <w:color w:val="auto"/>
                <w:vertAlign w:val="superscript"/>
              </w:rPr>
              <w:t>**†</w:t>
            </w:r>
          </w:p>
        </w:tc>
        <w:tc>
          <w:tcPr>
            <w:tcW w:w="893" w:type="pct"/>
            <w:tcMar>
              <w:top w:w="113" w:type="dxa"/>
              <w:left w:w="57" w:type="dxa"/>
              <w:bottom w:w="113" w:type="dxa"/>
              <w:right w:w="57" w:type="dxa"/>
            </w:tcMar>
          </w:tcPr>
          <w:p w14:paraId="54026B66" w14:textId="77777777"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Metro</w:t>
            </w:r>
          </w:p>
        </w:tc>
        <w:tc>
          <w:tcPr>
            <w:tcW w:w="858" w:type="pct"/>
            <w:gridSpan w:val="2"/>
            <w:vAlign w:val="bottom"/>
          </w:tcPr>
          <w:p w14:paraId="7BDF0CFB" w14:textId="65EC03F2"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72.1</w:t>
            </w:r>
          </w:p>
        </w:tc>
        <w:tc>
          <w:tcPr>
            <w:tcW w:w="857" w:type="pct"/>
            <w:vAlign w:val="bottom"/>
          </w:tcPr>
          <w:p w14:paraId="3701ECB9" w14:textId="2A603BA6"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72.3</w:t>
            </w:r>
          </w:p>
        </w:tc>
        <w:tc>
          <w:tcPr>
            <w:tcW w:w="822" w:type="pct"/>
            <w:vAlign w:val="bottom"/>
          </w:tcPr>
          <w:p w14:paraId="5FE352A4" w14:textId="48DD15E3"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79.8</w:t>
            </w:r>
          </w:p>
        </w:tc>
        <w:tc>
          <w:tcPr>
            <w:tcW w:w="821" w:type="pct"/>
            <w:vAlign w:val="bottom"/>
          </w:tcPr>
          <w:p w14:paraId="2EE64AD3" w14:textId="649D8359"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83.9</w:t>
            </w:r>
          </w:p>
        </w:tc>
      </w:tr>
      <w:tr w:rsidR="006C7824" w:rsidRPr="00E8656C" w14:paraId="0AC5645C" w14:textId="77777777" w:rsidTr="00143B7B">
        <w:trPr>
          <w:trHeight w:val="60"/>
        </w:trPr>
        <w:tc>
          <w:tcPr>
            <w:tcW w:w="749" w:type="pct"/>
          </w:tcPr>
          <w:p w14:paraId="20923092" w14:textId="288D57A3"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Location</w:t>
            </w:r>
            <w:r w:rsidRPr="00E8656C">
              <w:rPr>
                <w:rFonts w:ascii="Arial" w:hAnsi="Arial" w:cs="Arial"/>
                <w:b/>
                <w:bCs/>
                <w:color w:val="auto"/>
                <w:vertAlign w:val="superscript"/>
              </w:rPr>
              <w:t>**†</w:t>
            </w:r>
          </w:p>
        </w:tc>
        <w:tc>
          <w:tcPr>
            <w:tcW w:w="893" w:type="pct"/>
            <w:tcMar>
              <w:top w:w="113" w:type="dxa"/>
              <w:left w:w="57" w:type="dxa"/>
              <w:bottom w:w="113" w:type="dxa"/>
              <w:right w:w="57" w:type="dxa"/>
            </w:tcMar>
          </w:tcPr>
          <w:p w14:paraId="235E0D35" w14:textId="77777777" w:rsidR="006C7824" w:rsidRPr="00E8656C" w:rsidRDefault="006C7824" w:rsidP="006C7824">
            <w:pPr>
              <w:pStyle w:val="Tabletextupdate"/>
              <w:framePr w:wrap="auto"/>
              <w:rPr>
                <w:rFonts w:ascii="Arial" w:hAnsi="Arial" w:cs="Arial"/>
                <w:b/>
                <w:bCs/>
                <w:color w:val="auto"/>
              </w:rPr>
            </w:pPr>
            <w:r w:rsidRPr="00E8656C">
              <w:rPr>
                <w:rFonts w:ascii="Arial" w:hAnsi="Arial" w:cs="Arial"/>
                <w:b/>
                <w:bCs/>
                <w:color w:val="auto"/>
              </w:rPr>
              <w:t>Regional/remote</w:t>
            </w:r>
          </w:p>
        </w:tc>
        <w:tc>
          <w:tcPr>
            <w:tcW w:w="858" w:type="pct"/>
            <w:gridSpan w:val="2"/>
            <w:vAlign w:val="bottom"/>
          </w:tcPr>
          <w:p w14:paraId="6A2D7E9F" w14:textId="09C4DE07"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71.9</w:t>
            </w:r>
          </w:p>
        </w:tc>
        <w:tc>
          <w:tcPr>
            <w:tcW w:w="857" w:type="pct"/>
            <w:vAlign w:val="bottom"/>
          </w:tcPr>
          <w:p w14:paraId="6E5F87D4" w14:textId="60866D36"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71.9</w:t>
            </w:r>
          </w:p>
        </w:tc>
        <w:tc>
          <w:tcPr>
            <w:tcW w:w="822" w:type="pct"/>
            <w:vAlign w:val="bottom"/>
          </w:tcPr>
          <w:p w14:paraId="61EAC9B3" w14:textId="20189313"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81.2</w:t>
            </w:r>
          </w:p>
        </w:tc>
        <w:tc>
          <w:tcPr>
            <w:tcW w:w="821" w:type="pct"/>
            <w:vAlign w:val="bottom"/>
          </w:tcPr>
          <w:p w14:paraId="0748B145" w14:textId="69CF0D4D"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84.3</w:t>
            </w:r>
          </w:p>
        </w:tc>
      </w:tr>
      <w:tr w:rsidR="00AC1207" w:rsidRPr="00E8656C" w14:paraId="4E1FA287" w14:textId="77777777" w:rsidTr="006C7824">
        <w:trPr>
          <w:trHeight w:val="60"/>
        </w:trPr>
        <w:tc>
          <w:tcPr>
            <w:tcW w:w="749" w:type="pct"/>
          </w:tcPr>
          <w:p w14:paraId="51A7CB0D" w14:textId="77777777" w:rsidR="00101208" w:rsidRPr="00E8656C" w:rsidRDefault="00101208" w:rsidP="00101208">
            <w:pPr>
              <w:pStyle w:val="Tabletextupdate"/>
              <w:framePr w:wrap="auto"/>
              <w:rPr>
                <w:rFonts w:ascii="Arial" w:hAnsi="Arial" w:cs="Arial"/>
                <w:b/>
                <w:bCs/>
                <w:color w:val="auto"/>
              </w:rPr>
            </w:pPr>
          </w:p>
        </w:tc>
        <w:tc>
          <w:tcPr>
            <w:tcW w:w="893" w:type="pct"/>
            <w:tcMar>
              <w:top w:w="113" w:type="dxa"/>
              <w:left w:w="57" w:type="dxa"/>
              <w:bottom w:w="113" w:type="dxa"/>
              <w:right w:w="57" w:type="dxa"/>
            </w:tcMar>
          </w:tcPr>
          <w:p w14:paraId="2D25A351" w14:textId="77777777" w:rsidR="00101208" w:rsidRPr="00E8656C" w:rsidRDefault="00101208" w:rsidP="00101208">
            <w:pPr>
              <w:pStyle w:val="Tabletextupdate"/>
              <w:framePr w:wrap="auto"/>
              <w:rPr>
                <w:rFonts w:ascii="Arial" w:hAnsi="Arial" w:cs="Arial"/>
                <w:b/>
                <w:bCs/>
                <w:color w:val="auto"/>
                <w:lang w:val="en-US"/>
              </w:rPr>
            </w:pPr>
            <w:r w:rsidRPr="00E8656C">
              <w:rPr>
                <w:rFonts w:ascii="Arial" w:hAnsi="Arial" w:cs="Arial"/>
                <w:b/>
                <w:bCs/>
                <w:color w:val="auto"/>
              </w:rPr>
              <w:t>Total</w:t>
            </w:r>
          </w:p>
        </w:tc>
        <w:tc>
          <w:tcPr>
            <w:tcW w:w="858" w:type="pct"/>
            <w:gridSpan w:val="2"/>
            <w:vAlign w:val="bottom"/>
          </w:tcPr>
          <w:p w14:paraId="17F71BFE" w14:textId="02BF5C3D" w:rsidR="00101208" w:rsidRPr="00E8656C" w:rsidRDefault="00101208" w:rsidP="00101208">
            <w:pPr>
              <w:pStyle w:val="Tabletextupdate"/>
              <w:framePr w:wrap="auto"/>
              <w:jc w:val="center"/>
              <w:rPr>
                <w:rFonts w:ascii="Arial" w:hAnsi="Arial" w:cs="Arial"/>
                <w:b/>
                <w:bCs/>
                <w:color w:val="auto"/>
              </w:rPr>
            </w:pPr>
            <w:r w:rsidRPr="00E8656C">
              <w:rPr>
                <w:rFonts w:ascii="Arial" w:hAnsi="Arial" w:cs="Arial"/>
                <w:b/>
                <w:bCs/>
                <w:color w:val="auto"/>
                <w:sz w:val="22"/>
                <w:szCs w:val="22"/>
              </w:rPr>
              <w:t>73.5</w:t>
            </w:r>
          </w:p>
        </w:tc>
        <w:tc>
          <w:tcPr>
            <w:tcW w:w="857" w:type="pct"/>
            <w:vAlign w:val="bottom"/>
          </w:tcPr>
          <w:p w14:paraId="7DF99046" w14:textId="4A64CD1D" w:rsidR="00101208" w:rsidRPr="00E8656C" w:rsidRDefault="00101208" w:rsidP="00101208">
            <w:pPr>
              <w:pStyle w:val="Tabletextupdate"/>
              <w:framePr w:wrap="auto"/>
              <w:jc w:val="center"/>
              <w:rPr>
                <w:rFonts w:ascii="Arial" w:hAnsi="Arial" w:cs="Arial"/>
                <w:b/>
                <w:bCs/>
                <w:color w:val="auto"/>
              </w:rPr>
            </w:pPr>
            <w:r w:rsidRPr="00E8656C">
              <w:rPr>
                <w:rFonts w:ascii="Arial" w:hAnsi="Arial" w:cs="Arial"/>
                <w:b/>
                <w:bCs/>
                <w:color w:val="auto"/>
                <w:sz w:val="22"/>
                <w:szCs w:val="22"/>
              </w:rPr>
              <w:t>73.7</w:t>
            </w:r>
          </w:p>
        </w:tc>
        <w:tc>
          <w:tcPr>
            <w:tcW w:w="822" w:type="pct"/>
            <w:vAlign w:val="bottom"/>
          </w:tcPr>
          <w:p w14:paraId="6A20C5B0" w14:textId="439CB32F" w:rsidR="00101208" w:rsidRPr="00E8656C" w:rsidRDefault="00101208" w:rsidP="00101208">
            <w:pPr>
              <w:pStyle w:val="Tabletextupdate"/>
              <w:framePr w:wrap="auto"/>
              <w:jc w:val="center"/>
              <w:rPr>
                <w:rFonts w:ascii="Arial" w:hAnsi="Arial" w:cs="Arial"/>
                <w:b/>
                <w:bCs/>
                <w:color w:val="auto"/>
              </w:rPr>
            </w:pPr>
            <w:r w:rsidRPr="00E8656C">
              <w:rPr>
                <w:rFonts w:ascii="Arial" w:hAnsi="Arial" w:cs="Arial"/>
                <w:b/>
                <w:bCs/>
                <w:color w:val="auto"/>
              </w:rPr>
              <w:t>80.0</w:t>
            </w:r>
          </w:p>
        </w:tc>
        <w:tc>
          <w:tcPr>
            <w:tcW w:w="821" w:type="pct"/>
            <w:vAlign w:val="bottom"/>
          </w:tcPr>
          <w:p w14:paraId="064CDF50" w14:textId="2047D62D" w:rsidR="00101208" w:rsidRPr="00E8656C" w:rsidRDefault="00101208" w:rsidP="00101208">
            <w:pPr>
              <w:pStyle w:val="Tabletextupdate"/>
              <w:framePr w:wrap="auto"/>
              <w:jc w:val="center"/>
              <w:rPr>
                <w:rFonts w:ascii="Arial" w:hAnsi="Arial" w:cs="Arial"/>
                <w:b/>
                <w:bCs/>
                <w:color w:val="auto"/>
              </w:rPr>
            </w:pPr>
            <w:r w:rsidRPr="00E8656C">
              <w:rPr>
                <w:rFonts w:ascii="Arial" w:hAnsi="Arial" w:cs="Arial"/>
                <w:b/>
                <w:bCs/>
                <w:color w:val="auto"/>
              </w:rPr>
              <w:t>84.6</w:t>
            </w:r>
          </w:p>
        </w:tc>
      </w:tr>
    </w:tbl>
    <w:p w14:paraId="76928F08" w14:textId="77777777" w:rsidR="001223BE" w:rsidRPr="00E8656C" w:rsidRDefault="001223BE" w:rsidP="00AC1207">
      <w:pPr>
        <w:pStyle w:val="Noteupdate"/>
        <w:spacing w:before="240"/>
        <w:rPr>
          <w:color w:val="auto"/>
          <w:sz w:val="18"/>
          <w:szCs w:val="18"/>
        </w:rPr>
      </w:pPr>
      <w:r w:rsidRPr="00E8656C">
        <w:rPr>
          <w:color w:val="auto"/>
          <w:sz w:val="18"/>
          <w:szCs w:val="18"/>
        </w:rPr>
        <w:t>* Internal mode of attendance is where (</w:t>
      </w:r>
      <w:proofErr w:type="spellStart"/>
      <w:r w:rsidRPr="00E8656C">
        <w:rPr>
          <w:color w:val="auto"/>
          <w:sz w:val="18"/>
          <w:szCs w:val="18"/>
        </w:rPr>
        <w:t>i</w:t>
      </w:r>
      <w:proofErr w:type="spellEnd"/>
      <w:r w:rsidRPr="00E8656C">
        <w:rPr>
          <w:color w:val="auto"/>
          <w:sz w:val="18"/>
          <w:szCs w:val="18"/>
        </w:rPr>
        <w:t>) the study is undertaken through attendance at the higher education provider on a regular basis, or (ii) for higher degree unit enrolments, where regular attendance is not required but the student attends the higher education provider on an agreed schedule for the purposes of supervision and/or instruction. External mode of attendance is where lesson materials, assignments, etc. are delivered to the student, and any associated attendance at the institution is of an incidental, irregular, special or voluntary nature. Multi-mode of attendance is where study is undertaken partially on an internal mode of attendance and partially on an external mode of attendance.</w:t>
      </w:r>
    </w:p>
    <w:p w14:paraId="6F8628BA" w14:textId="77777777" w:rsidR="001223BE" w:rsidRPr="00E8656C" w:rsidRDefault="001223BE" w:rsidP="001223BE">
      <w:pPr>
        <w:pStyle w:val="Noteupdate"/>
        <w:rPr>
          <w:color w:val="auto"/>
          <w:sz w:val="18"/>
          <w:szCs w:val="18"/>
        </w:rPr>
      </w:pPr>
      <w:r w:rsidRPr="00E8656C">
        <w:rPr>
          <w:color w:val="auto"/>
          <w:sz w:val="18"/>
          <w:szCs w:val="18"/>
        </w:rPr>
        <w:t>** First Nations, socio-economic, and locality data reflect values for domestic students only, excluding international students. The remaining demographic and equity groups include all students, both domestic and international.</w:t>
      </w:r>
    </w:p>
    <w:p w14:paraId="08D56D79" w14:textId="77777777" w:rsidR="001223BE" w:rsidRPr="00E8656C" w:rsidRDefault="001223BE" w:rsidP="001223BE">
      <w:pPr>
        <w:pStyle w:val="Noteupdate"/>
        <w:rPr>
          <w:color w:val="auto"/>
          <w:sz w:val="18"/>
          <w:szCs w:val="18"/>
        </w:rPr>
      </w:pPr>
      <w:r w:rsidRPr="00E8656C">
        <w:rPr>
          <w:color w:val="auto"/>
          <w:sz w:val="18"/>
          <w:szCs w:val="18"/>
        </w:rPr>
        <w:t xml:space="preserve">*** Home language other than English refers to graduates who arrived in Australia less than 10 years prior to the year in which </w:t>
      </w:r>
      <w:r w:rsidRPr="00E8656C">
        <w:rPr>
          <w:color w:val="auto"/>
          <w:sz w:val="18"/>
          <w:szCs w:val="18"/>
        </w:rPr>
        <w:lastRenderedPageBreak/>
        <w:t xml:space="preserve">the data was </w:t>
      </w:r>
      <w:proofErr w:type="gramStart"/>
      <w:r w:rsidRPr="00E8656C">
        <w:rPr>
          <w:color w:val="auto"/>
          <w:sz w:val="18"/>
          <w:szCs w:val="18"/>
        </w:rPr>
        <w:t>collected, and</w:t>
      </w:r>
      <w:proofErr w:type="gramEnd"/>
      <w:r w:rsidRPr="00E8656C">
        <w:rPr>
          <w:color w:val="auto"/>
          <w:sz w:val="18"/>
          <w:szCs w:val="18"/>
        </w:rPr>
        <w:t xml:space="preserve"> comes from a home where a language other than English is spoken. This information is reported by institutions through the TCSI system. Data presented here includes both domestic and international student responses.</w:t>
      </w:r>
    </w:p>
    <w:p w14:paraId="7ED55ED8" w14:textId="11C64DA9" w:rsidR="001223BE" w:rsidRPr="00E8656C" w:rsidRDefault="001223BE" w:rsidP="001223BE">
      <w:pPr>
        <w:pStyle w:val="Noteupdate"/>
        <w:rPr>
          <w:color w:val="auto"/>
          <w:sz w:val="18"/>
          <w:szCs w:val="18"/>
        </w:rPr>
      </w:pPr>
      <w:r w:rsidRPr="00E8656C">
        <w:rPr>
          <w:color w:val="auto"/>
          <w:sz w:val="18"/>
          <w:szCs w:val="18"/>
        </w:rPr>
        <w:t xml:space="preserve">**** First in family refers to students commencing a </w:t>
      </w:r>
      <w:proofErr w:type="gramStart"/>
      <w:r w:rsidRPr="00E8656C">
        <w:rPr>
          <w:color w:val="auto"/>
          <w:sz w:val="18"/>
          <w:szCs w:val="18"/>
        </w:rPr>
        <w:t>bachelor</w:t>
      </w:r>
      <w:proofErr w:type="gramEnd"/>
      <w:r w:rsidRPr="00E8656C">
        <w:rPr>
          <w:color w:val="auto"/>
          <w:sz w:val="18"/>
          <w:szCs w:val="18"/>
        </w:rPr>
        <w:t xml:space="preserve"> degree level qualification when their parent(s) or guardian(s) have not. Based on the highest level of educational attainment of a student’s parent(s) or guardian(s) as identified by the student. This information is reported by institutions through the Tertiary Collection of Student Information (TCSI) system.</w:t>
      </w:r>
      <w:r w:rsidR="006F7F90" w:rsidRPr="00E8656C">
        <w:rPr>
          <w:color w:val="auto"/>
          <w:sz w:val="18"/>
          <w:szCs w:val="18"/>
        </w:rPr>
        <w:t xml:space="preserve"> </w:t>
      </w:r>
    </w:p>
    <w:p w14:paraId="5AA484E5" w14:textId="40B92B61" w:rsidR="001223BE" w:rsidRPr="00E8656C" w:rsidRDefault="0087362B" w:rsidP="001223BE">
      <w:pPr>
        <w:pStyle w:val="Noteupdate"/>
        <w:rPr>
          <w:color w:val="auto"/>
          <w:sz w:val="18"/>
          <w:szCs w:val="18"/>
        </w:rPr>
      </w:pPr>
      <w:r w:rsidRPr="00E8656C">
        <w:rPr>
          <w:color w:val="auto"/>
          <w:sz w:val="18"/>
          <w:szCs w:val="18"/>
        </w:rPr>
        <w:t>**</w:t>
      </w:r>
      <w:r w:rsidR="001223BE" w:rsidRPr="00E8656C">
        <w:rPr>
          <w:color w:val="auto"/>
          <w:sz w:val="18"/>
          <w:szCs w:val="18"/>
        </w:rPr>
        <w:t>† Socio-economic status and Location are derived from students’ permanent home residence against the 2011 SEIFA Index of Education and Occupation by postal area.</w:t>
      </w:r>
    </w:p>
    <w:p w14:paraId="748B2BEA" w14:textId="591A3FF1" w:rsidR="00101208" w:rsidRPr="00E8656C" w:rsidRDefault="001223BE" w:rsidP="001223BE">
      <w:pPr>
        <w:pStyle w:val="Noteupdate"/>
        <w:rPr>
          <w:color w:val="auto"/>
          <w:sz w:val="18"/>
          <w:szCs w:val="18"/>
        </w:rPr>
      </w:pPr>
      <w:r w:rsidRPr="00E8656C">
        <w:rPr>
          <w:color w:val="auto"/>
          <w:sz w:val="18"/>
          <w:szCs w:val="18"/>
        </w:rPr>
        <w:t>†† Some sub-groups may not add to 100 per cent due to rounding.</w:t>
      </w:r>
    </w:p>
    <w:p w14:paraId="5F13DE5C" w14:textId="77777777" w:rsidR="00101208" w:rsidRPr="00E8656C" w:rsidRDefault="00101208">
      <w:pPr>
        <w:spacing w:after="160" w:line="259" w:lineRule="auto"/>
        <w:rPr>
          <w:rFonts w:eastAsiaTheme="minorEastAsia" w:cs="Arial"/>
          <w:spacing w:val="1"/>
          <w:sz w:val="16"/>
          <w:szCs w:val="16"/>
          <w:lang w:val="en-GB"/>
        </w:rPr>
      </w:pPr>
      <w:r w:rsidRPr="00E8656C">
        <w:rPr>
          <w:rFonts w:cs="Arial"/>
        </w:rPr>
        <w:br w:type="page"/>
      </w:r>
    </w:p>
    <w:p w14:paraId="2E742049" w14:textId="1CF62E73" w:rsidR="008527D9" w:rsidRPr="00E8656C" w:rsidRDefault="008527D9" w:rsidP="00695177">
      <w:pPr>
        <w:pStyle w:val="Caption"/>
      </w:pPr>
      <w:bookmarkStart w:id="154" w:name="_Toc201065427"/>
      <w:r w:rsidRPr="00E8656C">
        <w:lastRenderedPageBreak/>
        <w:t xml:space="preserve">Table </w:t>
      </w:r>
      <w:r w:rsidRPr="00E8656C">
        <w:fldChar w:fldCharType="begin"/>
      </w:r>
      <w:r w:rsidRPr="00E8656C">
        <w:instrText xml:space="preserve"> SEQ Table \* ARABIC </w:instrText>
      </w:r>
      <w:r w:rsidRPr="00E8656C">
        <w:fldChar w:fldCharType="separate"/>
      </w:r>
      <w:r w:rsidRPr="00E8656C">
        <w:rPr>
          <w:noProof/>
        </w:rPr>
        <w:t>10</w:t>
      </w:r>
      <w:r w:rsidRPr="00E8656C">
        <w:rPr>
          <w:noProof/>
        </w:rPr>
        <w:fldChar w:fldCharType="end"/>
      </w:r>
      <w:r w:rsidR="00182A31" w:rsidRPr="00E8656C">
        <w:tab/>
      </w:r>
      <w:r w:rsidRPr="00E8656C">
        <w:t>Freedom of expression by demographic sub-group, postgraduate coursework, 2024 (% positive rating)</w:t>
      </w:r>
      <w:bookmarkEnd w:id="154"/>
    </w:p>
    <w:tbl>
      <w:tblPr>
        <w:tblpPr w:leftFromText="180" w:rightFromText="180" w:vertAnchor="text" w:tblpY="1"/>
        <w:tblOverlap w:val="never"/>
        <w:tblW w:w="5137" w:type="pct"/>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ayout w:type="fixed"/>
        <w:tblCellMar>
          <w:top w:w="57" w:type="dxa"/>
          <w:left w:w="57" w:type="dxa"/>
          <w:bottom w:w="57" w:type="dxa"/>
          <w:right w:w="57" w:type="dxa"/>
        </w:tblCellMar>
        <w:tblLook w:val="0000" w:firstRow="0" w:lastRow="0" w:firstColumn="0" w:lastColumn="0" w:noHBand="0" w:noVBand="0"/>
      </w:tblPr>
      <w:tblGrid>
        <w:gridCol w:w="1667"/>
        <w:gridCol w:w="2250"/>
        <w:gridCol w:w="1816"/>
        <w:gridCol w:w="1814"/>
        <w:gridCol w:w="1674"/>
        <w:gridCol w:w="1526"/>
      </w:tblGrid>
      <w:tr w:rsidR="00AC1207" w:rsidRPr="00E8656C" w14:paraId="0CD0E9F8" w14:textId="77777777" w:rsidTr="006C7824">
        <w:trPr>
          <w:trHeight w:val="841"/>
          <w:tblHeader/>
        </w:trPr>
        <w:tc>
          <w:tcPr>
            <w:tcW w:w="775" w:type="pct"/>
          </w:tcPr>
          <w:p w14:paraId="03F29F8A" w14:textId="77777777" w:rsidR="00AC1207" w:rsidRPr="00E8656C" w:rsidRDefault="00AC1207">
            <w:pPr>
              <w:pStyle w:val="Tabletextupdate"/>
              <w:framePr w:wrap="auto"/>
              <w:rPr>
                <w:rFonts w:ascii="Arial" w:hAnsi="Arial" w:cs="Arial"/>
                <w:color w:val="auto"/>
              </w:rPr>
            </w:pPr>
            <w:bookmarkStart w:id="155" w:name="Title_10"/>
            <w:bookmarkEnd w:id="155"/>
          </w:p>
        </w:tc>
        <w:tc>
          <w:tcPr>
            <w:tcW w:w="1047" w:type="pct"/>
          </w:tcPr>
          <w:p w14:paraId="2D84201A" w14:textId="310ABC9D" w:rsidR="00AC1207" w:rsidRPr="00E8656C" w:rsidRDefault="00AC1207">
            <w:pPr>
              <w:pStyle w:val="Tabletextupdate"/>
              <w:framePr w:wrap="auto"/>
              <w:rPr>
                <w:rFonts w:ascii="Arial" w:hAnsi="Arial" w:cs="Arial"/>
                <w:color w:val="auto"/>
              </w:rPr>
            </w:pPr>
          </w:p>
        </w:tc>
        <w:tc>
          <w:tcPr>
            <w:tcW w:w="845" w:type="pct"/>
            <w:vAlign w:val="center"/>
          </w:tcPr>
          <w:p w14:paraId="40D05D30" w14:textId="77777777" w:rsidR="00AC1207" w:rsidRPr="00E8656C" w:rsidRDefault="00AC1207">
            <w:pPr>
              <w:pStyle w:val="Tabletextupdate"/>
              <w:framePr w:wrap="auto"/>
              <w:jc w:val="center"/>
              <w:rPr>
                <w:rFonts w:ascii="Arial" w:hAnsi="Arial" w:cs="Arial"/>
                <w:color w:val="auto"/>
                <w:sz w:val="18"/>
              </w:rPr>
            </w:pPr>
            <w:r w:rsidRPr="00E8656C">
              <w:rPr>
                <w:rFonts w:ascii="Arial" w:hAnsi="Arial" w:cs="Arial"/>
                <w:b/>
                <w:bCs/>
                <w:color w:val="auto"/>
                <w:sz w:val="18"/>
              </w:rPr>
              <w:t>I am free to express views</w:t>
            </w:r>
          </w:p>
        </w:tc>
        <w:tc>
          <w:tcPr>
            <w:tcW w:w="844" w:type="pct"/>
            <w:vAlign w:val="center"/>
          </w:tcPr>
          <w:p w14:paraId="1493C8D1" w14:textId="77777777" w:rsidR="00AC1207" w:rsidRPr="00E8656C" w:rsidRDefault="00AC1207">
            <w:pPr>
              <w:pStyle w:val="Tabletextupdate"/>
              <w:framePr w:wrap="auto"/>
              <w:jc w:val="center"/>
              <w:rPr>
                <w:rFonts w:ascii="Arial" w:hAnsi="Arial" w:cs="Arial"/>
                <w:color w:val="auto"/>
                <w:sz w:val="18"/>
              </w:rPr>
            </w:pPr>
            <w:r w:rsidRPr="00E8656C">
              <w:rPr>
                <w:rFonts w:ascii="Arial" w:hAnsi="Arial" w:cs="Arial"/>
                <w:b/>
                <w:bCs/>
                <w:color w:val="auto"/>
                <w:sz w:val="18"/>
              </w:rPr>
              <w:t>Academics are free to express their views</w:t>
            </w:r>
          </w:p>
        </w:tc>
        <w:tc>
          <w:tcPr>
            <w:tcW w:w="779" w:type="pct"/>
            <w:vAlign w:val="center"/>
          </w:tcPr>
          <w:p w14:paraId="048BAD41" w14:textId="77777777" w:rsidR="00AC1207" w:rsidRPr="00E8656C" w:rsidRDefault="00AC1207">
            <w:pPr>
              <w:pStyle w:val="Tabletextupdate"/>
              <w:framePr w:wrap="auto"/>
              <w:jc w:val="center"/>
              <w:rPr>
                <w:rFonts w:ascii="Arial" w:hAnsi="Arial" w:cs="Arial"/>
                <w:color w:val="auto"/>
                <w:sz w:val="18"/>
              </w:rPr>
            </w:pPr>
            <w:r w:rsidRPr="00E8656C">
              <w:rPr>
                <w:rFonts w:ascii="Arial" w:hAnsi="Arial" w:cs="Arial"/>
                <w:b/>
                <w:bCs/>
                <w:color w:val="auto"/>
                <w:sz w:val="18"/>
              </w:rPr>
              <w:t>I am free from discrimination, harm or hatred</w:t>
            </w:r>
          </w:p>
        </w:tc>
        <w:tc>
          <w:tcPr>
            <w:tcW w:w="710" w:type="pct"/>
            <w:vAlign w:val="center"/>
          </w:tcPr>
          <w:p w14:paraId="7D825A58" w14:textId="77777777" w:rsidR="00AC1207" w:rsidRPr="00E8656C" w:rsidRDefault="00AC1207">
            <w:pPr>
              <w:pStyle w:val="Tabletextupdate"/>
              <w:framePr w:wrap="auto"/>
              <w:jc w:val="center"/>
              <w:rPr>
                <w:rFonts w:ascii="Arial" w:hAnsi="Arial" w:cs="Arial"/>
                <w:color w:val="auto"/>
                <w:sz w:val="18"/>
              </w:rPr>
            </w:pPr>
            <w:r w:rsidRPr="00E8656C">
              <w:rPr>
                <w:rFonts w:ascii="Arial" w:hAnsi="Arial" w:cs="Arial"/>
                <w:b/>
                <w:bCs/>
                <w:color w:val="auto"/>
                <w:sz w:val="18"/>
              </w:rPr>
              <w:t>Overall freedom of expression</w:t>
            </w:r>
          </w:p>
        </w:tc>
      </w:tr>
      <w:tr w:rsidR="004D7A82" w:rsidRPr="00E8656C" w14:paraId="78514F52" w14:textId="77777777" w:rsidTr="006C7824">
        <w:trPr>
          <w:trHeight w:val="60"/>
        </w:trPr>
        <w:tc>
          <w:tcPr>
            <w:tcW w:w="775" w:type="pct"/>
          </w:tcPr>
          <w:p w14:paraId="45AC7648"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Stage of Studies</w:t>
            </w:r>
          </w:p>
        </w:tc>
        <w:tc>
          <w:tcPr>
            <w:tcW w:w="1047" w:type="pct"/>
            <w:tcMar>
              <w:top w:w="113" w:type="dxa"/>
              <w:left w:w="57" w:type="dxa"/>
              <w:bottom w:w="113" w:type="dxa"/>
              <w:right w:w="57" w:type="dxa"/>
            </w:tcMar>
          </w:tcPr>
          <w:p w14:paraId="044281ED"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Commencing</w:t>
            </w:r>
          </w:p>
        </w:tc>
        <w:tc>
          <w:tcPr>
            <w:tcW w:w="845" w:type="pct"/>
            <w:vAlign w:val="center"/>
          </w:tcPr>
          <w:p w14:paraId="067F0571" w14:textId="4742AADC"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77.2</w:t>
            </w:r>
          </w:p>
        </w:tc>
        <w:tc>
          <w:tcPr>
            <w:tcW w:w="844" w:type="pct"/>
            <w:vAlign w:val="center"/>
          </w:tcPr>
          <w:p w14:paraId="52007732" w14:textId="63A183E0"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76.1</w:t>
            </w:r>
          </w:p>
        </w:tc>
        <w:tc>
          <w:tcPr>
            <w:tcW w:w="779" w:type="pct"/>
            <w:vAlign w:val="center"/>
          </w:tcPr>
          <w:p w14:paraId="76E9AD60" w14:textId="464D0CEE"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81.7</w:t>
            </w:r>
          </w:p>
        </w:tc>
        <w:tc>
          <w:tcPr>
            <w:tcW w:w="710" w:type="pct"/>
            <w:vAlign w:val="center"/>
          </w:tcPr>
          <w:p w14:paraId="7DAD3182" w14:textId="14F5D729"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86.3</w:t>
            </w:r>
          </w:p>
        </w:tc>
      </w:tr>
      <w:tr w:rsidR="004D7A82" w:rsidRPr="00E8656C" w14:paraId="6012386A" w14:textId="77777777" w:rsidTr="006C7824">
        <w:trPr>
          <w:trHeight w:val="60"/>
        </w:trPr>
        <w:tc>
          <w:tcPr>
            <w:tcW w:w="775" w:type="pct"/>
          </w:tcPr>
          <w:p w14:paraId="625CE9CF" w14:textId="3913512B" w:rsidR="00DD6526" w:rsidRPr="00E8656C" w:rsidRDefault="00AC1207" w:rsidP="00DD6526">
            <w:pPr>
              <w:pStyle w:val="Tabletextupdate"/>
              <w:framePr w:wrap="auto"/>
              <w:rPr>
                <w:rFonts w:ascii="Arial" w:hAnsi="Arial" w:cs="Arial"/>
                <w:color w:val="auto"/>
              </w:rPr>
            </w:pPr>
            <w:r w:rsidRPr="00E8656C">
              <w:rPr>
                <w:rFonts w:ascii="Arial" w:hAnsi="Arial" w:cs="Arial"/>
                <w:color w:val="auto"/>
              </w:rPr>
              <w:t>Stage of Studies</w:t>
            </w:r>
          </w:p>
        </w:tc>
        <w:tc>
          <w:tcPr>
            <w:tcW w:w="1047" w:type="pct"/>
            <w:tcMar>
              <w:top w:w="113" w:type="dxa"/>
              <w:left w:w="57" w:type="dxa"/>
              <w:bottom w:w="113" w:type="dxa"/>
              <w:right w:w="57" w:type="dxa"/>
            </w:tcMar>
          </w:tcPr>
          <w:p w14:paraId="21828F21"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Later Year</w:t>
            </w:r>
          </w:p>
        </w:tc>
        <w:tc>
          <w:tcPr>
            <w:tcW w:w="845" w:type="pct"/>
            <w:vAlign w:val="center"/>
          </w:tcPr>
          <w:p w14:paraId="28B9B22B" w14:textId="364C0B6C"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76.9</w:t>
            </w:r>
          </w:p>
        </w:tc>
        <w:tc>
          <w:tcPr>
            <w:tcW w:w="844" w:type="pct"/>
            <w:vAlign w:val="center"/>
          </w:tcPr>
          <w:p w14:paraId="76F4D28A" w14:textId="1E5F0BAC"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76.0</w:t>
            </w:r>
          </w:p>
        </w:tc>
        <w:tc>
          <w:tcPr>
            <w:tcW w:w="779" w:type="pct"/>
            <w:vAlign w:val="center"/>
          </w:tcPr>
          <w:p w14:paraId="293DFDCE" w14:textId="3F4F8C5E"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80.7</w:t>
            </w:r>
          </w:p>
        </w:tc>
        <w:tc>
          <w:tcPr>
            <w:tcW w:w="710" w:type="pct"/>
            <w:vAlign w:val="center"/>
          </w:tcPr>
          <w:p w14:paraId="4A3EA379" w14:textId="69C8C58B"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85.4</w:t>
            </w:r>
          </w:p>
        </w:tc>
      </w:tr>
      <w:tr w:rsidR="004D7A82" w:rsidRPr="00E8656C" w14:paraId="68B2F55F" w14:textId="77777777" w:rsidTr="006C7824">
        <w:trPr>
          <w:trHeight w:val="60"/>
        </w:trPr>
        <w:tc>
          <w:tcPr>
            <w:tcW w:w="775" w:type="pct"/>
          </w:tcPr>
          <w:p w14:paraId="360B2415"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Study mode*</w:t>
            </w:r>
          </w:p>
        </w:tc>
        <w:tc>
          <w:tcPr>
            <w:tcW w:w="1047" w:type="pct"/>
            <w:tcMar>
              <w:top w:w="113" w:type="dxa"/>
              <w:left w:w="57" w:type="dxa"/>
              <w:bottom w:w="113" w:type="dxa"/>
              <w:right w:w="57" w:type="dxa"/>
            </w:tcMar>
          </w:tcPr>
          <w:p w14:paraId="647410D8" w14:textId="30455134"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Internal/</w:t>
            </w:r>
            <w:r w:rsidR="0018504B" w:rsidRPr="00E8656C">
              <w:rPr>
                <w:rFonts w:ascii="Arial" w:hAnsi="Arial" w:cs="Arial"/>
                <w:color w:val="auto"/>
              </w:rPr>
              <w:t>multi-</w:t>
            </w:r>
            <w:r w:rsidRPr="00E8656C">
              <w:rPr>
                <w:rFonts w:ascii="Arial" w:hAnsi="Arial" w:cs="Arial"/>
                <w:color w:val="auto"/>
              </w:rPr>
              <w:t>mode</w:t>
            </w:r>
          </w:p>
        </w:tc>
        <w:tc>
          <w:tcPr>
            <w:tcW w:w="845" w:type="pct"/>
            <w:vAlign w:val="center"/>
          </w:tcPr>
          <w:p w14:paraId="53B718CB" w14:textId="564F45B4"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79.9</w:t>
            </w:r>
          </w:p>
        </w:tc>
        <w:tc>
          <w:tcPr>
            <w:tcW w:w="844" w:type="pct"/>
            <w:vAlign w:val="center"/>
          </w:tcPr>
          <w:p w14:paraId="323EF3EC" w14:textId="3A31ECEC"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79.4</w:t>
            </w:r>
          </w:p>
        </w:tc>
        <w:tc>
          <w:tcPr>
            <w:tcW w:w="779" w:type="pct"/>
            <w:vAlign w:val="center"/>
          </w:tcPr>
          <w:p w14:paraId="342065D9" w14:textId="285AEE1B"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82.1</w:t>
            </w:r>
          </w:p>
        </w:tc>
        <w:tc>
          <w:tcPr>
            <w:tcW w:w="710" w:type="pct"/>
            <w:vAlign w:val="center"/>
          </w:tcPr>
          <w:p w14:paraId="59F009C0" w14:textId="436D4984"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87.5</w:t>
            </w:r>
          </w:p>
        </w:tc>
      </w:tr>
      <w:tr w:rsidR="004D7A82" w:rsidRPr="00E8656C" w14:paraId="4D5ED591" w14:textId="77777777" w:rsidTr="006C7824">
        <w:trPr>
          <w:trHeight w:val="60"/>
        </w:trPr>
        <w:tc>
          <w:tcPr>
            <w:tcW w:w="775" w:type="pct"/>
          </w:tcPr>
          <w:p w14:paraId="347C298F" w14:textId="3CCE1BA8" w:rsidR="00DD6526" w:rsidRPr="00E8656C" w:rsidRDefault="00AC1207" w:rsidP="00DD6526">
            <w:pPr>
              <w:pStyle w:val="Tabletextupdate"/>
              <w:framePr w:wrap="auto"/>
              <w:rPr>
                <w:rFonts w:ascii="Arial" w:hAnsi="Arial" w:cs="Arial"/>
                <w:color w:val="auto"/>
              </w:rPr>
            </w:pPr>
            <w:r w:rsidRPr="00E8656C">
              <w:rPr>
                <w:rFonts w:ascii="Arial" w:hAnsi="Arial" w:cs="Arial"/>
                <w:color w:val="auto"/>
              </w:rPr>
              <w:t>Study mode*</w:t>
            </w:r>
          </w:p>
        </w:tc>
        <w:tc>
          <w:tcPr>
            <w:tcW w:w="1047" w:type="pct"/>
            <w:tcMar>
              <w:top w:w="113" w:type="dxa"/>
              <w:left w:w="57" w:type="dxa"/>
              <w:bottom w:w="113" w:type="dxa"/>
              <w:right w:w="57" w:type="dxa"/>
            </w:tcMar>
          </w:tcPr>
          <w:p w14:paraId="1A5329F2" w14:textId="2ECBC23D"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External</w:t>
            </w:r>
          </w:p>
        </w:tc>
        <w:tc>
          <w:tcPr>
            <w:tcW w:w="845" w:type="pct"/>
            <w:vAlign w:val="center"/>
          </w:tcPr>
          <w:p w14:paraId="037CD7F9" w14:textId="52AA2046"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67.6</w:t>
            </w:r>
          </w:p>
        </w:tc>
        <w:tc>
          <w:tcPr>
            <w:tcW w:w="844" w:type="pct"/>
            <w:vAlign w:val="center"/>
          </w:tcPr>
          <w:p w14:paraId="677621A1" w14:textId="63A4F6AB"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64.8</w:t>
            </w:r>
          </w:p>
        </w:tc>
        <w:tc>
          <w:tcPr>
            <w:tcW w:w="779" w:type="pct"/>
            <w:vAlign w:val="center"/>
          </w:tcPr>
          <w:p w14:paraId="39F503D7" w14:textId="4A97E4C6"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78.3</w:t>
            </w:r>
          </w:p>
        </w:tc>
        <w:tc>
          <w:tcPr>
            <w:tcW w:w="710" w:type="pct"/>
            <w:vAlign w:val="center"/>
          </w:tcPr>
          <w:p w14:paraId="07A12D98" w14:textId="403053ED"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80.5</w:t>
            </w:r>
          </w:p>
        </w:tc>
      </w:tr>
      <w:tr w:rsidR="004D7A82" w:rsidRPr="00E8656C" w14:paraId="06C54F44" w14:textId="77777777" w:rsidTr="006C7824">
        <w:trPr>
          <w:trHeight w:val="60"/>
        </w:trPr>
        <w:tc>
          <w:tcPr>
            <w:tcW w:w="775" w:type="pct"/>
          </w:tcPr>
          <w:p w14:paraId="276CFE90" w14:textId="1F0CD66B"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Provider Type</w:t>
            </w:r>
          </w:p>
        </w:tc>
        <w:tc>
          <w:tcPr>
            <w:tcW w:w="1047" w:type="pct"/>
            <w:tcMar>
              <w:top w:w="113" w:type="dxa"/>
              <w:left w:w="57" w:type="dxa"/>
              <w:bottom w:w="113" w:type="dxa"/>
              <w:right w:w="57" w:type="dxa"/>
            </w:tcMar>
          </w:tcPr>
          <w:p w14:paraId="1B6EB4FA" w14:textId="27A1150D"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NUHEIs</w:t>
            </w:r>
          </w:p>
        </w:tc>
        <w:tc>
          <w:tcPr>
            <w:tcW w:w="845" w:type="pct"/>
            <w:vAlign w:val="center"/>
          </w:tcPr>
          <w:p w14:paraId="0121AC6C" w14:textId="19107654"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81.2</w:t>
            </w:r>
          </w:p>
        </w:tc>
        <w:tc>
          <w:tcPr>
            <w:tcW w:w="844" w:type="pct"/>
            <w:vAlign w:val="center"/>
          </w:tcPr>
          <w:p w14:paraId="03E0574C" w14:textId="27983614"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81.1</w:t>
            </w:r>
          </w:p>
        </w:tc>
        <w:tc>
          <w:tcPr>
            <w:tcW w:w="779" w:type="pct"/>
            <w:vAlign w:val="center"/>
          </w:tcPr>
          <w:p w14:paraId="5081AA98" w14:textId="155F74A3"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86.4</w:t>
            </w:r>
          </w:p>
        </w:tc>
        <w:tc>
          <w:tcPr>
            <w:tcW w:w="710" w:type="pct"/>
            <w:vAlign w:val="center"/>
          </w:tcPr>
          <w:p w14:paraId="197A6019" w14:textId="0A0A3CC0"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89.0</w:t>
            </w:r>
          </w:p>
        </w:tc>
      </w:tr>
      <w:tr w:rsidR="004D7A82" w:rsidRPr="00E8656C" w14:paraId="14685B86" w14:textId="77777777" w:rsidTr="006C7824">
        <w:trPr>
          <w:trHeight w:val="60"/>
        </w:trPr>
        <w:tc>
          <w:tcPr>
            <w:tcW w:w="775" w:type="pct"/>
          </w:tcPr>
          <w:p w14:paraId="5A7E8F4F" w14:textId="4E7A3875" w:rsidR="00DD6526" w:rsidRPr="00E8656C" w:rsidRDefault="00AC1207" w:rsidP="00DD6526">
            <w:pPr>
              <w:pStyle w:val="Tabletextupdate"/>
              <w:framePr w:wrap="auto"/>
              <w:rPr>
                <w:rFonts w:ascii="Arial" w:hAnsi="Arial" w:cs="Arial"/>
                <w:color w:val="auto"/>
              </w:rPr>
            </w:pPr>
            <w:r w:rsidRPr="00E8656C">
              <w:rPr>
                <w:rFonts w:ascii="Arial" w:hAnsi="Arial" w:cs="Arial"/>
                <w:color w:val="auto"/>
              </w:rPr>
              <w:t>Provider Type</w:t>
            </w:r>
          </w:p>
        </w:tc>
        <w:tc>
          <w:tcPr>
            <w:tcW w:w="1047" w:type="pct"/>
            <w:tcMar>
              <w:top w:w="113" w:type="dxa"/>
              <w:left w:w="57" w:type="dxa"/>
              <w:bottom w:w="113" w:type="dxa"/>
              <w:right w:w="57" w:type="dxa"/>
            </w:tcMar>
          </w:tcPr>
          <w:p w14:paraId="444CBEF6" w14:textId="24180B69"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Universities</w:t>
            </w:r>
          </w:p>
        </w:tc>
        <w:tc>
          <w:tcPr>
            <w:tcW w:w="845" w:type="pct"/>
            <w:vAlign w:val="center"/>
          </w:tcPr>
          <w:p w14:paraId="4F46C779" w14:textId="45C959AE"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76.2</w:t>
            </w:r>
          </w:p>
        </w:tc>
        <w:tc>
          <w:tcPr>
            <w:tcW w:w="844" w:type="pct"/>
            <w:vAlign w:val="center"/>
          </w:tcPr>
          <w:p w14:paraId="695F3A35" w14:textId="5882506F"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75.1</w:t>
            </w:r>
          </w:p>
        </w:tc>
        <w:tc>
          <w:tcPr>
            <w:tcW w:w="779" w:type="pct"/>
            <w:vAlign w:val="center"/>
          </w:tcPr>
          <w:p w14:paraId="0548E783" w14:textId="1A54A591"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80.2</w:t>
            </w:r>
          </w:p>
        </w:tc>
        <w:tc>
          <w:tcPr>
            <w:tcW w:w="710" w:type="pct"/>
            <w:vAlign w:val="center"/>
          </w:tcPr>
          <w:p w14:paraId="58E6416A" w14:textId="3C606D17"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85.2</w:t>
            </w:r>
          </w:p>
        </w:tc>
      </w:tr>
      <w:tr w:rsidR="004D7A82" w:rsidRPr="00E8656C" w14:paraId="25935C16" w14:textId="77777777" w:rsidTr="006C7824">
        <w:trPr>
          <w:trHeight w:val="60"/>
        </w:trPr>
        <w:tc>
          <w:tcPr>
            <w:tcW w:w="775" w:type="pct"/>
          </w:tcPr>
          <w:p w14:paraId="4A34021A"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Gender</w:t>
            </w:r>
          </w:p>
        </w:tc>
        <w:tc>
          <w:tcPr>
            <w:tcW w:w="1047" w:type="pct"/>
            <w:tcMar>
              <w:top w:w="113" w:type="dxa"/>
              <w:left w:w="57" w:type="dxa"/>
              <w:bottom w:w="113" w:type="dxa"/>
              <w:right w:w="57" w:type="dxa"/>
            </w:tcMar>
          </w:tcPr>
          <w:p w14:paraId="484184E6"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Male</w:t>
            </w:r>
          </w:p>
        </w:tc>
        <w:tc>
          <w:tcPr>
            <w:tcW w:w="845" w:type="pct"/>
            <w:vAlign w:val="center"/>
          </w:tcPr>
          <w:p w14:paraId="14944326" w14:textId="5A45D4C9"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77.3</w:t>
            </w:r>
          </w:p>
        </w:tc>
        <w:tc>
          <w:tcPr>
            <w:tcW w:w="844" w:type="pct"/>
            <w:vAlign w:val="center"/>
          </w:tcPr>
          <w:p w14:paraId="16E0C93F" w14:textId="4400FD29"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76.8</w:t>
            </w:r>
          </w:p>
        </w:tc>
        <w:tc>
          <w:tcPr>
            <w:tcW w:w="779" w:type="pct"/>
            <w:vAlign w:val="center"/>
          </w:tcPr>
          <w:p w14:paraId="48953174" w14:textId="74FCD513"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81.7</w:t>
            </w:r>
          </w:p>
        </w:tc>
        <w:tc>
          <w:tcPr>
            <w:tcW w:w="710" w:type="pct"/>
            <w:vAlign w:val="center"/>
          </w:tcPr>
          <w:p w14:paraId="1E97187E" w14:textId="2287292C"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85.7</w:t>
            </w:r>
          </w:p>
        </w:tc>
      </w:tr>
      <w:tr w:rsidR="004D7A82" w:rsidRPr="00E8656C" w14:paraId="51FC026E" w14:textId="77777777" w:rsidTr="006C7824">
        <w:trPr>
          <w:trHeight w:val="60"/>
        </w:trPr>
        <w:tc>
          <w:tcPr>
            <w:tcW w:w="775" w:type="pct"/>
          </w:tcPr>
          <w:p w14:paraId="21408851" w14:textId="5455DA03" w:rsidR="00DD6526" w:rsidRPr="00E8656C" w:rsidRDefault="00AC1207" w:rsidP="00DD6526">
            <w:pPr>
              <w:pStyle w:val="Tabletextupdate"/>
              <w:framePr w:wrap="auto"/>
              <w:rPr>
                <w:rFonts w:ascii="Arial" w:hAnsi="Arial" w:cs="Arial"/>
                <w:color w:val="auto"/>
              </w:rPr>
            </w:pPr>
            <w:r w:rsidRPr="00E8656C">
              <w:rPr>
                <w:rFonts w:ascii="Arial" w:hAnsi="Arial" w:cs="Arial"/>
                <w:color w:val="auto"/>
              </w:rPr>
              <w:t>Gender</w:t>
            </w:r>
          </w:p>
        </w:tc>
        <w:tc>
          <w:tcPr>
            <w:tcW w:w="1047" w:type="pct"/>
            <w:tcMar>
              <w:top w:w="113" w:type="dxa"/>
              <w:left w:w="57" w:type="dxa"/>
              <w:bottom w:w="113" w:type="dxa"/>
              <w:right w:w="57" w:type="dxa"/>
            </w:tcMar>
          </w:tcPr>
          <w:p w14:paraId="43BA5A7A"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Female</w:t>
            </w:r>
          </w:p>
        </w:tc>
        <w:tc>
          <w:tcPr>
            <w:tcW w:w="845" w:type="pct"/>
            <w:vAlign w:val="center"/>
          </w:tcPr>
          <w:p w14:paraId="5F2DC5FF" w14:textId="36434CC9"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77.0</w:t>
            </w:r>
          </w:p>
        </w:tc>
        <w:tc>
          <w:tcPr>
            <w:tcW w:w="844" w:type="pct"/>
            <w:vAlign w:val="center"/>
          </w:tcPr>
          <w:p w14:paraId="7A11B301" w14:textId="4EE57FA7"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75.7</w:t>
            </w:r>
          </w:p>
        </w:tc>
        <w:tc>
          <w:tcPr>
            <w:tcW w:w="779" w:type="pct"/>
            <w:vAlign w:val="center"/>
          </w:tcPr>
          <w:p w14:paraId="140D38BC" w14:textId="555F1231"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81.0</w:t>
            </w:r>
          </w:p>
        </w:tc>
        <w:tc>
          <w:tcPr>
            <w:tcW w:w="710" w:type="pct"/>
            <w:vAlign w:val="center"/>
          </w:tcPr>
          <w:p w14:paraId="5A463214" w14:textId="3B49CA8D"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86.0</w:t>
            </w:r>
          </w:p>
        </w:tc>
      </w:tr>
      <w:tr w:rsidR="004D7A82" w:rsidRPr="00E8656C" w14:paraId="1584AF51" w14:textId="77777777" w:rsidTr="006C7824">
        <w:trPr>
          <w:trHeight w:val="60"/>
        </w:trPr>
        <w:tc>
          <w:tcPr>
            <w:tcW w:w="775" w:type="pct"/>
          </w:tcPr>
          <w:p w14:paraId="4BF615A5"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Age</w:t>
            </w:r>
          </w:p>
        </w:tc>
        <w:tc>
          <w:tcPr>
            <w:tcW w:w="1047" w:type="pct"/>
            <w:tcMar>
              <w:top w:w="113" w:type="dxa"/>
              <w:left w:w="57" w:type="dxa"/>
              <w:bottom w:w="113" w:type="dxa"/>
              <w:right w:w="57" w:type="dxa"/>
            </w:tcMar>
          </w:tcPr>
          <w:p w14:paraId="3AA9330F"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Under 25</w:t>
            </w:r>
          </w:p>
        </w:tc>
        <w:tc>
          <w:tcPr>
            <w:tcW w:w="845" w:type="pct"/>
            <w:vAlign w:val="center"/>
          </w:tcPr>
          <w:p w14:paraId="0818914E" w14:textId="18EC5A84"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80.2</w:t>
            </w:r>
          </w:p>
        </w:tc>
        <w:tc>
          <w:tcPr>
            <w:tcW w:w="844" w:type="pct"/>
            <w:vAlign w:val="center"/>
          </w:tcPr>
          <w:p w14:paraId="318B226C" w14:textId="3E5944E2"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80.4</w:t>
            </w:r>
          </w:p>
        </w:tc>
        <w:tc>
          <w:tcPr>
            <w:tcW w:w="779" w:type="pct"/>
            <w:vAlign w:val="center"/>
          </w:tcPr>
          <w:p w14:paraId="41B44ED8" w14:textId="01B45E28"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81.8</w:t>
            </w:r>
          </w:p>
        </w:tc>
        <w:tc>
          <w:tcPr>
            <w:tcW w:w="710" w:type="pct"/>
            <w:vAlign w:val="center"/>
          </w:tcPr>
          <w:p w14:paraId="3D41847E" w14:textId="7F8CE604"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87.8</w:t>
            </w:r>
          </w:p>
        </w:tc>
      </w:tr>
      <w:tr w:rsidR="00AC1207" w:rsidRPr="00E8656C" w14:paraId="458E9E5B" w14:textId="77777777" w:rsidTr="006C7824">
        <w:trPr>
          <w:trHeight w:val="60"/>
        </w:trPr>
        <w:tc>
          <w:tcPr>
            <w:tcW w:w="775" w:type="pct"/>
          </w:tcPr>
          <w:p w14:paraId="1E466C3A" w14:textId="67D99F7E" w:rsidR="00AC1207" w:rsidRPr="00E8656C" w:rsidRDefault="00AC1207" w:rsidP="00AC1207">
            <w:pPr>
              <w:pStyle w:val="Tabletextupdate"/>
              <w:framePr w:wrap="auto"/>
              <w:rPr>
                <w:rFonts w:ascii="Arial" w:hAnsi="Arial" w:cs="Arial"/>
                <w:color w:val="auto"/>
              </w:rPr>
            </w:pPr>
            <w:r w:rsidRPr="00E8656C">
              <w:rPr>
                <w:rFonts w:ascii="Arial" w:hAnsi="Arial" w:cs="Arial"/>
                <w:color w:val="auto"/>
              </w:rPr>
              <w:t>Age</w:t>
            </w:r>
          </w:p>
        </w:tc>
        <w:tc>
          <w:tcPr>
            <w:tcW w:w="1047" w:type="pct"/>
            <w:tcMar>
              <w:top w:w="113" w:type="dxa"/>
              <w:left w:w="57" w:type="dxa"/>
              <w:bottom w:w="113" w:type="dxa"/>
              <w:right w:w="57" w:type="dxa"/>
            </w:tcMar>
          </w:tcPr>
          <w:p w14:paraId="0EB2B096" w14:textId="77777777" w:rsidR="00AC1207" w:rsidRPr="00E8656C" w:rsidRDefault="00AC1207" w:rsidP="00AC1207">
            <w:pPr>
              <w:pStyle w:val="Tabletextupdate"/>
              <w:framePr w:wrap="auto"/>
              <w:rPr>
                <w:rFonts w:ascii="Arial" w:hAnsi="Arial" w:cs="Arial"/>
                <w:color w:val="auto"/>
              </w:rPr>
            </w:pPr>
            <w:r w:rsidRPr="00E8656C">
              <w:rPr>
                <w:rFonts w:ascii="Arial" w:hAnsi="Arial" w:cs="Arial"/>
                <w:color w:val="auto"/>
              </w:rPr>
              <w:t>25 to 29</w:t>
            </w:r>
          </w:p>
        </w:tc>
        <w:tc>
          <w:tcPr>
            <w:tcW w:w="845" w:type="pct"/>
            <w:vAlign w:val="center"/>
          </w:tcPr>
          <w:p w14:paraId="782D10DA" w14:textId="5B611E37"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79.3</w:t>
            </w:r>
          </w:p>
        </w:tc>
        <w:tc>
          <w:tcPr>
            <w:tcW w:w="844" w:type="pct"/>
            <w:vAlign w:val="center"/>
          </w:tcPr>
          <w:p w14:paraId="73EC7B65" w14:textId="37D11101"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78.9</w:t>
            </w:r>
          </w:p>
        </w:tc>
        <w:tc>
          <w:tcPr>
            <w:tcW w:w="779" w:type="pct"/>
            <w:vAlign w:val="center"/>
          </w:tcPr>
          <w:p w14:paraId="5246C9CD" w14:textId="6A8611DA"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82.1</w:t>
            </w:r>
          </w:p>
        </w:tc>
        <w:tc>
          <w:tcPr>
            <w:tcW w:w="710" w:type="pct"/>
            <w:vAlign w:val="center"/>
          </w:tcPr>
          <w:p w14:paraId="00B89DE9" w14:textId="3467C4C4"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87.0</w:t>
            </w:r>
          </w:p>
        </w:tc>
      </w:tr>
      <w:tr w:rsidR="00AC1207" w:rsidRPr="00E8656C" w14:paraId="11AA68A2" w14:textId="77777777" w:rsidTr="006C7824">
        <w:trPr>
          <w:trHeight w:val="60"/>
        </w:trPr>
        <w:tc>
          <w:tcPr>
            <w:tcW w:w="775" w:type="pct"/>
          </w:tcPr>
          <w:p w14:paraId="0B5DD112" w14:textId="22C88668" w:rsidR="00AC1207" w:rsidRPr="00E8656C" w:rsidRDefault="00AC1207" w:rsidP="00AC1207">
            <w:pPr>
              <w:pStyle w:val="Tabletextupdate"/>
              <w:framePr w:wrap="auto"/>
              <w:rPr>
                <w:rFonts w:ascii="Arial" w:hAnsi="Arial" w:cs="Arial"/>
                <w:color w:val="auto"/>
              </w:rPr>
            </w:pPr>
            <w:r w:rsidRPr="00E8656C">
              <w:rPr>
                <w:rFonts w:ascii="Arial" w:hAnsi="Arial" w:cs="Arial"/>
                <w:color w:val="auto"/>
              </w:rPr>
              <w:t>Age</w:t>
            </w:r>
          </w:p>
        </w:tc>
        <w:tc>
          <w:tcPr>
            <w:tcW w:w="1047" w:type="pct"/>
            <w:tcMar>
              <w:top w:w="113" w:type="dxa"/>
              <w:left w:w="57" w:type="dxa"/>
              <w:bottom w:w="113" w:type="dxa"/>
              <w:right w:w="57" w:type="dxa"/>
            </w:tcMar>
          </w:tcPr>
          <w:p w14:paraId="292A4D79" w14:textId="77777777" w:rsidR="00AC1207" w:rsidRPr="00E8656C" w:rsidRDefault="00AC1207" w:rsidP="00AC1207">
            <w:pPr>
              <w:pStyle w:val="Tabletextupdate"/>
              <w:framePr w:wrap="auto"/>
              <w:rPr>
                <w:rFonts w:ascii="Arial" w:hAnsi="Arial" w:cs="Arial"/>
                <w:color w:val="auto"/>
              </w:rPr>
            </w:pPr>
            <w:r w:rsidRPr="00E8656C">
              <w:rPr>
                <w:rFonts w:ascii="Arial" w:hAnsi="Arial" w:cs="Arial"/>
                <w:color w:val="auto"/>
              </w:rPr>
              <w:t>30 to 39</w:t>
            </w:r>
          </w:p>
        </w:tc>
        <w:tc>
          <w:tcPr>
            <w:tcW w:w="845" w:type="pct"/>
            <w:vAlign w:val="center"/>
          </w:tcPr>
          <w:p w14:paraId="56EADBB2" w14:textId="0BF4749D"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76.4</w:t>
            </w:r>
          </w:p>
        </w:tc>
        <w:tc>
          <w:tcPr>
            <w:tcW w:w="844" w:type="pct"/>
            <w:vAlign w:val="center"/>
          </w:tcPr>
          <w:p w14:paraId="0AFB131C" w14:textId="3C2A639B"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75.3</w:t>
            </w:r>
          </w:p>
        </w:tc>
        <w:tc>
          <w:tcPr>
            <w:tcW w:w="779" w:type="pct"/>
            <w:vAlign w:val="center"/>
          </w:tcPr>
          <w:p w14:paraId="5D18CBAC" w14:textId="413C1078"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82.0</w:t>
            </w:r>
          </w:p>
        </w:tc>
        <w:tc>
          <w:tcPr>
            <w:tcW w:w="710" w:type="pct"/>
            <w:vAlign w:val="center"/>
          </w:tcPr>
          <w:p w14:paraId="1B4A6FA9" w14:textId="3850994C"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85.8</w:t>
            </w:r>
          </w:p>
        </w:tc>
      </w:tr>
      <w:tr w:rsidR="00AC1207" w:rsidRPr="00E8656C" w14:paraId="48356F8D" w14:textId="77777777" w:rsidTr="006C7824">
        <w:trPr>
          <w:trHeight w:val="60"/>
        </w:trPr>
        <w:tc>
          <w:tcPr>
            <w:tcW w:w="775" w:type="pct"/>
          </w:tcPr>
          <w:p w14:paraId="517CD835" w14:textId="01D91143" w:rsidR="00AC1207" w:rsidRPr="00E8656C" w:rsidRDefault="00AC1207" w:rsidP="00AC1207">
            <w:pPr>
              <w:pStyle w:val="Tabletextupdate"/>
              <w:framePr w:wrap="auto"/>
              <w:rPr>
                <w:rFonts w:ascii="Arial" w:hAnsi="Arial" w:cs="Arial"/>
                <w:color w:val="auto"/>
              </w:rPr>
            </w:pPr>
            <w:r w:rsidRPr="00E8656C">
              <w:rPr>
                <w:rFonts w:ascii="Arial" w:hAnsi="Arial" w:cs="Arial"/>
                <w:color w:val="auto"/>
              </w:rPr>
              <w:t>Age</w:t>
            </w:r>
          </w:p>
        </w:tc>
        <w:tc>
          <w:tcPr>
            <w:tcW w:w="1047" w:type="pct"/>
            <w:tcMar>
              <w:top w:w="113" w:type="dxa"/>
              <w:left w:w="57" w:type="dxa"/>
              <w:bottom w:w="113" w:type="dxa"/>
              <w:right w:w="57" w:type="dxa"/>
            </w:tcMar>
          </w:tcPr>
          <w:p w14:paraId="3D7F3C6D" w14:textId="77777777" w:rsidR="00AC1207" w:rsidRPr="00E8656C" w:rsidRDefault="00AC1207" w:rsidP="00AC1207">
            <w:pPr>
              <w:pStyle w:val="Tabletextupdate"/>
              <w:framePr w:wrap="auto"/>
              <w:rPr>
                <w:rFonts w:ascii="Arial" w:hAnsi="Arial" w:cs="Arial"/>
                <w:color w:val="auto"/>
              </w:rPr>
            </w:pPr>
            <w:r w:rsidRPr="00E8656C">
              <w:rPr>
                <w:rFonts w:ascii="Arial" w:hAnsi="Arial" w:cs="Arial"/>
                <w:color w:val="auto"/>
              </w:rPr>
              <w:t>40 and over</w:t>
            </w:r>
          </w:p>
        </w:tc>
        <w:tc>
          <w:tcPr>
            <w:tcW w:w="845" w:type="pct"/>
            <w:vAlign w:val="center"/>
          </w:tcPr>
          <w:p w14:paraId="553DECE6" w14:textId="0715B9F3"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68.6</w:t>
            </w:r>
          </w:p>
        </w:tc>
        <w:tc>
          <w:tcPr>
            <w:tcW w:w="844" w:type="pct"/>
            <w:vAlign w:val="center"/>
          </w:tcPr>
          <w:p w14:paraId="43B62273" w14:textId="678B61BD"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64.4</w:t>
            </w:r>
          </w:p>
        </w:tc>
        <w:tc>
          <w:tcPr>
            <w:tcW w:w="779" w:type="pct"/>
            <w:vAlign w:val="center"/>
          </w:tcPr>
          <w:p w14:paraId="3D546906" w14:textId="69316DEB"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77.3</w:t>
            </w:r>
          </w:p>
        </w:tc>
        <w:tc>
          <w:tcPr>
            <w:tcW w:w="710" w:type="pct"/>
            <w:vAlign w:val="center"/>
          </w:tcPr>
          <w:p w14:paraId="6A4DDD73" w14:textId="2852BD8B"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80.3</w:t>
            </w:r>
          </w:p>
        </w:tc>
      </w:tr>
      <w:tr w:rsidR="004D7A82" w:rsidRPr="00E8656C" w14:paraId="25F2FB65" w14:textId="77777777" w:rsidTr="006C7824">
        <w:trPr>
          <w:trHeight w:val="60"/>
        </w:trPr>
        <w:tc>
          <w:tcPr>
            <w:tcW w:w="775" w:type="pct"/>
            <w:vAlign w:val="center"/>
          </w:tcPr>
          <w:p w14:paraId="450547D8"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First Nations**</w:t>
            </w:r>
          </w:p>
        </w:tc>
        <w:tc>
          <w:tcPr>
            <w:tcW w:w="1047" w:type="pct"/>
            <w:tcMar>
              <w:top w:w="113" w:type="dxa"/>
              <w:left w:w="57" w:type="dxa"/>
              <w:bottom w:w="113" w:type="dxa"/>
              <w:right w:w="57" w:type="dxa"/>
            </w:tcMar>
          </w:tcPr>
          <w:p w14:paraId="76A1F837"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First Nations</w:t>
            </w:r>
          </w:p>
        </w:tc>
        <w:tc>
          <w:tcPr>
            <w:tcW w:w="845" w:type="pct"/>
            <w:vAlign w:val="center"/>
          </w:tcPr>
          <w:p w14:paraId="3EBC5283" w14:textId="093E49ED"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68.1</w:t>
            </w:r>
          </w:p>
        </w:tc>
        <w:tc>
          <w:tcPr>
            <w:tcW w:w="844" w:type="pct"/>
            <w:vAlign w:val="center"/>
          </w:tcPr>
          <w:p w14:paraId="59B6413B" w14:textId="35A6C710"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64.8</w:t>
            </w:r>
          </w:p>
        </w:tc>
        <w:tc>
          <w:tcPr>
            <w:tcW w:w="779" w:type="pct"/>
            <w:vAlign w:val="center"/>
          </w:tcPr>
          <w:p w14:paraId="3FF165E0" w14:textId="5A2F92F8"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70.0</w:t>
            </w:r>
          </w:p>
        </w:tc>
        <w:tc>
          <w:tcPr>
            <w:tcW w:w="710" w:type="pct"/>
            <w:vAlign w:val="center"/>
          </w:tcPr>
          <w:p w14:paraId="2ADE1C5E" w14:textId="6E260BFB"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77.7</w:t>
            </w:r>
          </w:p>
        </w:tc>
      </w:tr>
      <w:tr w:rsidR="004D7A82" w:rsidRPr="00E8656C" w14:paraId="01A3655A" w14:textId="77777777" w:rsidTr="006C7824">
        <w:trPr>
          <w:trHeight w:val="60"/>
        </w:trPr>
        <w:tc>
          <w:tcPr>
            <w:tcW w:w="775" w:type="pct"/>
          </w:tcPr>
          <w:p w14:paraId="75A322D6" w14:textId="3C6C6D54" w:rsidR="00DD6526" w:rsidRPr="00E8656C" w:rsidRDefault="00AC1207" w:rsidP="00DD6526">
            <w:pPr>
              <w:pStyle w:val="Tabletextupdate"/>
              <w:framePr w:wrap="auto"/>
              <w:rPr>
                <w:rFonts w:ascii="Arial" w:hAnsi="Arial" w:cs="Arial"/>
                <w:color w:val="auto"/>
              </w:rPr>
            </w:pPr>
            <w:r w:rsidRPr="00E8656C">
              <w:rPr>
                <w:rFonts w:ascii="Arial" w:hAnsi="Arial" w:cs="Arial"/>
                <w:color w:val="auto"/>
              </w:rPr>
              <w:t>First Nations**</w:t>
            </w:r>
          </w:p>
        </w:tc>
        <w:tc>
          <w:tcPr>
            <w:tcW w:w="1047" w:type="pct"/>
            <w:tcMar>
              <w:top w:w="113" w:type="dxa"/>
              <w:left w:w="57" w:type="dxa"/>
              <w:bottom w:w="113" w:type="dxa"/>
              <w:right w:w="57" w:type="dxa"/>
            </w:tcMar>
          </w:tcPr>
          <w:p w14:paraId="0E7C6115"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Non-Indigenous</w:t>
            </w:r>
          </w:p>
        </w:tc>
        <w:tc>
          <w:tcPr>
            <w:tcW w:w="845" w:type="pct"/>
            <w:vAlign w:val="center"/>
          </w:tcPr>
          <w:p w14:paraId="54A5277D" w14:textId="44A69EDC"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68.0</w:t>
            </w:r>
          </w:p>
        </w:tc>
        <w:tc>
          <w:tcPr>
            <w:tcW w:w="844" w:type="pct"/>
            <w:vAlign w:val="center"/>
          </w:tcPr>
          <w:p w14:paraId="5EE8BD7A" w14:textId="47292F5E"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65.1</w:t>
            </w:r>
          </w:p>
        </w:tc>
        <w:tc>
          <w:tcPr>
            <w:tcW w:w="779" w:type="pct"/>
            <w:vAlign w:val="center"/>
          </w:tcPr>
          <w:p w14:paraId="21B9CDB6" w14:textId="120B1400"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77.8</w:t>
            </w:r>
          </w:p>
        </w:tc>
        <w:tc>
          <w:tcPr>
            <w:tcW w:w="710" w:type="pct"/>
            <w:vAlign w:val="center"/>
          </w:tcPr>
          <w:p w14:paraId="7015712B" w14:textId="4E0AF839"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80.0</w:t>
            </w:r>
          </w:p>
        </w:tc>
      </w:tr>
      <w:tr w:rsidR="004D7A82" w:rsidRPr="00E8656C" w14:paraId="6C016DEA" w14:textId="77777777" w:rsidTr="006C7824">
        <w:trPr>
          <w:trHeight w:val="60"/>
        </w:trPr>
        <w:tc>
          <w:tcPr>
            <w:tcW w:w="775" w:type="pct"/>
          </w:tcPr>
          <w:p w14:paraId="7473E25E"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Home language***</w:t>
            </w:r>
          </w:p>
        </w:tc>
        <w:tc>
          <w:tcPr>
            <w:tcW w:w="1047" w:type="pct"/>
            <w:tcMar>
              <w:top w:w="113" w:type="dxa"/>
              <w:left w:w="57" w:type="dxa"/>
              <w:bottom w:w="113" w:type="dxa"/>
              <w:right w:w="57" w:type="dxa"/>
            </w:tcMar>
          </w:tcPr>
          <w:p w14:paraId="1CC02497"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English</w:t>
            </w:r>
          </w:p>
        </w:tc>
        <w:tc>
          <w:tcPr>
            <w:tcW w:w="845" w:type="pct"/>
            <w:vAlign w:val="center"/>
          </w:tcPr>
          <w:p w14:paraId="12487E37" w14:textId="15E193B4"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71.0</w:t>
            </w:r>
          </w:p>
        </w:tc>
        <w:tc>
          <w:tcPr>
            <w:tcW w:w="844" w:type="pct"/>
            <w:vAlign w:val="center"/>
          </w:tcPr>
          <w:p w14:paraId="021EB0CB" w14:textId="09EC1093"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68.9</w:t>
            </w:r>
          </w:p>
        </w:tc>
        <w:tc>
          <w:tcPr>
            <w:tcW w:w="779" w:type="pct"/>
            <w:vAlign w:val="center"/>
          </w:tcPr>
          <w:p w14:paraId="6E7100AF" w14:textId="40448303"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79.0</w:t>
            </w:r>
          </w:p>
        </w:tc>
        <w:tc>
          <w:tcPr>
            <w:tcW w:w="710" w:type="pct"/>
            <w:vAlign w:val="center"/>
          </w:tcPr>
          <w:p w14:paraId="0034287A" w14:textId="1F62D8FE"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82.1</w:t>
            </w:r>
          </w:p>
        </w:tc>
      </w:tr>
      <w:tr w:rsidR="004D7A82" w:rsidRPr="00E8656C" w14:paraId="6E8CE1A1" w14:textId="77777777" w:rsidTr="006C7824">
        <w:trPr>
          <w:trHeight w:val="60"/>
        </w:trPr>
        <w:tc>
          <w:tcPr>
            <w:tcW w:w="775" w:type="pct"/>
          </w:tcPr>
          <w:p w14:paraId="0DE2A08D" w14:textId="33AAB64F" w:rsidR="00DD6526" w:rsidRPr="00E8656C" w:rsidRDefault="00AC1207" w:rsidP="00DD6526">
            <w:pPr>
              <w:pStyle w:val="Tabletextupdate"/>
              <w:framePr w:wrap="auto"/>
              <w:rPr>
                <w:rFonts w:ascii="Arial" w:hAnsi="Arial" w:cs="Arial"/>
                <w:color w:val="auto"/>
              </w:rPr>
            </w:pPr>
            <w:r w:rsidRPr="00E8656C">
              <w:rPr>
                <w:rFonts w:ascii="Arial" w:hAnsi="Arial" w:cs="Arial"/>
                <w:color w:val="auto"/>
              </w:rPr>
              <w:t>Home language***</w:t>
            </w:r>
          </w:p>
        </w:tc>
        <w:tc>
          <w:tcPr>
            <w:tcW w:w="1047" w:type="pct"/>
            <w:tcMar>
              <w:top w:w="113" w:type="dxa"/>
              <w:left w:w="57" w:type="dxa"/>
              <w:bottom w:w="113" w:type="dxa"/>
              <w:right w:w="57" w:type="dxa"/>
            </w:tcMar>
          </w:tcPr>
          <w:p w14:paraId="4A35EA5C"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Other</w:t>
            </w:r>
          </w:p>
        </w:tc>
        <w:tc>
          <w:tcPr>
            <w:tcW w:w="845" w:type="pct"/>
            <w:vAlign w:val="center"/>
          </w:tcPr>
          <w:p w14:paraId="116C9A8D" w14:textId="2E2B4604"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83.7</w:t>
            </w:r>
          </w:p>
        </w:tc>
        <w:tc>
          <w:tcPr>
            <w:tcW w:w="844" w:type="pct"/>
            <w:vAlign w:val="center"/>
          </w:tcPr>
          <w:p w14:paraId="0E71BF82" w14:textId="4D29D4B4"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84.0</w:t>
            </w:r>
          </w:p>
        </w:tc>
        <w:tc>
          <w:tcPr>
            <w:tcW w:w="779" w:type="pct"/>
            <w:vAlign w:val="center"/>
          </w:tcPr>
          <w:p w14:paraId="3CCC9F1D" w14:textId="58D1E1A5"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83.6</w:t>
            </w:r>
          </w:p>
        </w:tc>
        <w:tc>
          <w:tcPr>
            <w:tcW w:w="710" w:type="pct"/>
            <w:vAlign w:val="center"/>
          </w:tcPr>
          <w:p w14:paraId="110100EB" w14:textId="06CA5222"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90.0</w:t>
            </w:r>
          </w:p>
        </w:tc>
      </w:tr>
      <w:tr w:rsidR="004D7A82" w:rsidRPr="00E8656C" w14:paraId="4D569592" w14:textId="77777777" w:rsidTr="006C7824">
        <w:trPr>
          <w:trHeight w:val="60"/>
        </w:trPr>
        <w:tc>
          <w:tcPr>
            <w:tcW w:w="775" w:type="pct"/>
          </w:tcPr>
          <w:p w14:paraId="2DB8C86A"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Disability</w:t>
            </w:r>
          </w:p>
        </w:tc>
        <w:tc>
          <w:tcPr>
            <w:tcW w:w="1047" w:type="pct"/>
            <w:tcMar>
              <w:top w:w="113" w:type="dxa"/>
              <w:left w:w="57" w:type="dxa"/>
              <w:bottom w:w="113" w:type="dxa"/>
              <w:right w:w="57" w:type="dxa"/>
            </w:tcMar>
          </w:tcPr>
          <w:p w14:paraId="24ED45C7"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Disability reported</w:t>
            </w:r>
          </w:p>
        </w:tc>
        <w:tc>
          <w:tcPr>
            <w:tcW w:w="845" w:type="pct"/>
            <w:vAlign w:val="center"/>
          </w:tcPr>
          <w:p w14:paraId="3D9AB0C5" w14:textId="1ABD9801"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71.8</w:t>
            </w:r>
          </w:p>
        </w:tc>
        <w:tc>
          <w:tcPr>
            <w:tcW w:w="844" w:type="pct"/>
            <w:vAlign w:val="center"/>
          </w:tcPr>
          <w:p w14:paraId="727C485C" w14:textId="767D13EF"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69.7</w:t>
            </w:r>
          </w:p>
        </w:tc>
        <w:tc>
          <w:tcPr>
            <w:tcW w:w="779" w:type="pct"/>
            <w:vAlign w:val="center"/>
          </w:tcPr>
          <w:p w14:paraId="24F0E69D" w14:textId="3772B328"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75.2</w:t>
            </w:r>
          </w:p>
        </w:tc>
        <w:tc>
          <w:tcPr>
            <w:tcW w:w="710" w:type="pct"/>
            <w:vAlign w:val="center"/>
          </w:tcPr>
          <w:p w14:paraId="48CBCBCF" w14:textId="464FDEC5"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80.4</w:t>
            </w:r>
          </w:p>
        </w:tc>
      </w:tr>
      <w:tr w:rsidR="004D7A82" w:rsidRPr="00E8656C" w14:paraId="6D31361E" w14:textId="77777777" w:rsidTr="006C7824">
        <w:trPr>
          <w:trHeight w:val="60"/>
        </w:trPr>
        <w:tc>
          <w:tcPr>
            <w:tcW w:w="775" w:type="pct"/>
          </w:tcPr>
          <w:p w14:paraId="0DB4E5EC" w14:textId="7B1CB267" w:rsidR="00DD6526" w:rsidRPr="00E8656C" w:rsidRDefault="00AC1207" w:rsidP="00DD6526">
            <w:pPr>
              <w:pStyle w:val="Tabletextupdate"/>
              <w:framePr w:wrap="auto"/>
              <w:rPr>
                <w:rFonts w:ascii="Arial" w:hAnsi="Arial" w:cs="Arial"/>
                <w:color w:val="auto"/>
              </w:rPr>
            </w:pPr>
            <w:r w:rsidRPr="00E8656C">
              <w:rPr>
                <w:rFonts w:ascii="Arial" w:hAnsi="Arial" w:cs="Arial"/>
                <w:color w:val="auto"/>
              </w:rPr>
              <w:t>Disability</w:t>
            </w:r>
          </w:p>
        </w:tc>
        <w:tc>
          <w:tcPr>
            <w:tcW w:w="1047" w:type="pct"/>
            <w:tcMar>
              <w:top w:w="113" w:type="dxa"/>
              <w:left w:w="57" w:type="dxa"/>
              <w:bottom w:w="113" w:type="dxa"/>
              <w:right w:w="57" w:type="dxa"/>
            </w:tcMar>
          </w:tcPr>
          <w:p w14:paraId="6FE54714"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No disability reported</w:t>
            </w:r>
          </w:p>
        </w:tc>
        <w:tc>
          <w:tcPr>
            <w:tcW w:w="845" w:type="pct"/>
            <w:vAlign w:val="center"/>
          </w:tcPr>
          <w:p w14:paraId="49E4BAE2" w14:textId="01221239"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77.5</w:t>
            </w:r>
          </w:p>
        </w:tc>
        <w:tc>
          <w:tcPr>
            <w:tcW w:w="844" w:type="pct"/>
            <w:vAlign w:val="center"/>
          </w:tcPr>
          <w:p w14:paraId="66E24A3D" w14:textId="1321C257"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76.5</w:t>
            </w:r>
          </w:p>
        </w:tc>
        <w:tc>
          <w:tcPr>
            <w:tcW w:w="779" w:type="pct"/>
            <w:vAlign w:val="center"/>
          </w:tcPr>
          <w:p w14:paraId="1246F3B5" w14:textId="11294ED6"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81.7</w:t>
            </w:r>
          </w:p>
        </w:tc>
        <w:tc>
          <w:tcPr>
            <w:tcW w:w="710" w:type="pct"/>
            <w:vAlign w:val="center"/>
          </w:tcPr>
          <w:p w14:paraId="47002FA9" w14:textId="78C234CE"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86.3</w:t>
            </w:r>
          </w:p>
        </w:tc>
      </w:tr>
      <w:tr w:rsidR="004D7A82" w:rsidRPr="00E8656C" w14:paraId="5D357281" w14:textId="77777777" w:rsidTr="006C7824">
        <w:trPr>
          <w:trHeight w:val="60"/>
        </w:trPr>
        <w:tc>
          <w:tcPr>
            <w:tcW w:w="775" w:type="pct"/>
          </w:tcPr>
          <w:p w14:paraId="13F600EE"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Citizenship status</w:t>
            </w:r>
          </w:p>
        </w:tc>
        <w:tc>
          <w:tcPr>
            <w:tcW w:w="1047" w:type="pct"/>
            <w:tcMar>
              <w:top w:w="113" w:type="dxa"/>
              <w:left w:w="57" w:type="dxa"/>
              <w:bottom w:w="113" w:type="dxa"/>
              <w:right w:w="57" w:type="dxa"/>
            </w:tcMar>
          </w:tcPr>
          <w:p w14:paraId="5F8E70D1" w14:textId="64568CB5"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Domestic</w:t>
            </w:r>
          </w:p>
        </w:tc>
        <w:tc>
          <w:tcPr>
            <w:tcW w:w="845" w:type="pct"/>
            <w:vAlign w:val="center"/>
          </w:tcPr>
          <w:p w14:paraId="768AF144" w14:textId="4D70A8DA"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68.0</w:t>
            </w:r>
          </w:p>
        </w:tc>
        <w:tc>
          <w:tcPr>
            <w:tcW w:w="844" w:type="pct"/>
            <w:vAlign w:val="center"/>
          </w:tcPr>
          <w:p w14:paraId="4B56BAC2" w14:textId="760A858A"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65.1</w:t>
            </w:r>
          </w:p>
        </w:tc>
        <w:tc>
          <w:tcPr>
            <w:tcW w:w="779" w:type="pct"/>
            <w:vAlign w:val="center"/>
          </w:tcPr>
          <w:p w14:paraId="59478475" w14:textId="0CB1F0E1"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77.7</w:t>
            </w:r>
          </w:p>
        </w:tc>
        <w:tc>
          <w:tcPr>
            <w:tcW w:w="710" w:type="pct"/>
            <w:vAlign w:val="center"/>
          </w:tcPr>
          <w:p w14:paraId="27B1707F" w14:textId="21729107"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80.0</w:t>
            </w:r>
          </w:p>
        </w:tc>
      </w:tr>
      <w:tr w:rsidR="004D7A82" w:rsidRPr="00E8656C" w14:paraId="68A99935" w14:textId="77777777" w:rsidTr="006C7824">
        <w:trPr>
          <w:trHeight w:val="60"/>
        </w:trPr>
        <w:tc>
          <w:tcPr>
            <w:tcW w:w="775" w:type="pct"/>
          </w:tcPr>
          <w:p w14:paraId="6676ABCF" w14:textId="28299A74" w:rsidR="00DD6526" w:rsidRPr="00E8656C" w:rsidRDefault="00AC1207" w:rsidP="00DD6526">
            <w:pPr>
              <w:pStyle w:val="Tabletextupdate"/>
              <w:framePr w:wrap="auto"/>
              <w:rPr>
                <w:rFonts w:ascii="Arial" w:hAnsi="Arial" w:cs="Arial"/>
                <w:color w:val="auto"/>
              </w:rPr>
            </w:pPr>
            <w:r w:rsidRPr="00E8656C">
              <w:rPr>
                <w:rFonts w:ascii="Arial" w:hAnsi="Arial" w:cs="Arial"/>
                <w:color w:val="auto"/>
              </w:rPr>
              <w:t>Citizenship status</w:t>
            </w:r>
          </w:p>
        </w:tc>
        <w:tc>
          <w:tcPr>
            <w:tcW w:w="1047" w:type="pct"/>
            <w:tcMar>
              <w:top w:w="113" w:type="dxa"/>
              <w:left w:w="57" w:type="dxa"/>
              <w:bottom w:w="113" w:type="dxa"/>
              <w:right w:w="57" w:type="dxa"/>
            </w:tcMar>
          </w:tcPr>
          <w:p w14:paraId="71AA0215" w14:textId="6760D60A"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International</w:t>
            </w:r>
          </w:p>
        </w:tc>
        <w:tc>
          <w:tcPr>
            <w:tcW w:w="845" w:type="pct"/>
            <w:vAlign w:val="center"/>
          </w:tcPr>
          <w:p w14:paraId="221ED053" w14:textId="4332703E"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83.8</w:t>
            </w:r>
          </w:p>
        </w:tc>
        <w:tc>
          <w:tcPr>
            <w:tcW w:w="844" w:type="pct"/>
            <w:vAlign w:val="center"/>
          </w:tcPr>
          <w:p w14:paraId="132ABAD3" w14:textId="0108C4EE"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84.2</w:t>
            </w:r>
          </w:p>
        </w:tc>
        <w:tc>
          <w:tcPr>
            <w:tcW w:w="779" w:type="pct"/>
            <w:vAlign w:val="center"/>
          </w:tcPr>
          <w:p w14:paraId="694DECBE" w14:textId="4877A019"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83.8</w:t>
            </w:r>
          </w:p>
        </w:tc>
        <w:tc>
          <w:tcPr>
            <w:tcW w:w="710" w:type="pct"/>
            <w:vAlign w:val="center"/>
          </w:tcPr>
          <w:p w14:paraId="6D8028C9" w14:textId="3045BD6B"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90.2</w:t>
            </w:r>
          </w:p>
        </w:tc>
      </w:tr>
      <w:tr w:rsidR="004D7A82" w:rsidRPr="00E8656C" w14:paraId="33822B76" w14:textId="77777777" w:rsidTr="006C7824">
        <w:trPr>
          <w:trHeight w:val="60"/>
        </w:trPr>
        <w:tc>
          <w:tcPr>
            <w:tcW w:w="775" w:type="pct"/>
          </w:tcPr>
          <w:p w14:paraId="4D677F90"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First in family status</w:t>
            </w:r>
            <w:r w:rsidRPr="00E8656C">
              <w:rPr>
                <w:rFonts w:ascii="Arial" w:hAnsi="Arial" w:cs="Arial"/>
                <w:color w:val="auto"/>
                <w:vertAlign w:val="superscript"/>
              </w:rPr>
              <w:t>****</w:t>
            </w:r>
          </w:p>
        </w:tc>
        <w:tc>
          <w:tcPr>
            <w:tcW w:w="1047" w:type="pct"/>
            <w:tcMar>
              <w:top w:w="113" w:type="dxa"/>
              <w:left w:w="57" w:type="dxa"/>
              <w:bottom w:w="113" w:type="dxa"/>
              <w:right w:w="57" w:type="dxa"/>
            </w:tcMar>
          </w:tcPr>
          <w:p w14:paraId="16959414"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First in family</w:t>
            </w:r>
          </w:p>
        </w:tc>
        <w:tc>
          <w:tcPr>
            <w:tcW w:w="845" w:type="pct"/>
            <w:vAlign w:val="center"/>
          </w:tcPr>
          <w:p w14:paraId="035E71CD" w14:textId="7E808B1B"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75.0</w:t>
            </w:r>
          </w:p>
        </w:tc>
        <w:tc>
          <w:tcPr>
            <w:tcW w:w="844" w:type="pct"/>
            <w:vAlign w:val="center"/>
          </w:tcPr>
          <w:p w14:paraId="5940713B" w14:textId="246597D3"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73.0</w:t>
            </w:r>
          </w:p>
        </w:tc>
        <w:tc>
          <w:tcPr>
            <w:tcW w:w="779" w:type="pct"/>
            <w:vAlign w:val="center"/>
          </w:tcPr>
          <w:p w14:paraId="1844C146" w14:textId="687E4DCB"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81.0</w:t>
            </w:r>
          </w:p>
        </w:tc>
        <w:tc>
          <w:tcPr>
            <w:tcW w:w="710" w:type="pct"/>
            <w:vAlign w:val="center"/>
          </w:tcPr>
          <w:p w14:paraId="20B74FEE" w14:textId="507B6446"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84.9</w:t>
            </w:r>
          </w:p>
        </w:tc>
      </w:tr>
      <w:tr w:rsidR="004D7A82" w:rsidRPr="00E8656C" w14:paraId="6A82BFDF" w14:textId="77777777" w:rsidTr="006C7824">
        <w:trPr>
          <w:trHeight w:val="60"/>
        </w:trPr>
        <w:tc>
          <w:tcPr>
            <w:tcW w:w="775" w:type="pct"/>
          </w:tcPr>
          <w:p w14:paraId="23CA2B14" w14:textId="7CB1AFC7" w:rsidR="00DD6526" w:rsidRPr="00E8656C" w:rsidRDefault="00AC1207" w:rsidP="00DD6526">
            <w:pPr>
              <w:pStyle w:val="Tabletextupdate"/>
              <w:framePr w:wrap="auto"/>
              <w:rPr>
                <w:rFonts w:ascii="Arial" w:hAnsi="Arial" w:cs="Arial"/>
                <w:color w:val="auto"/>
              </w:rPr>
            </w:pPr>
            <w:r w:rsidRPr="00E8656C">
              <w:rPr>
                <w:rFonts w:ascii="Arial" w:hAnsi="Arial" w:cs="Arial"/>
                <w:color w:val="auto"/>
              </w:rPr>
              <w:lastRenderedPageBreak/>
              <w:t>First in family status</w:t>
            </w:r>
            <w:r w:rsidRPr="00E8656C">
              <w:rPr>
                <w:rFonts w:ascii="Arial" w:hAnsi="Arial" w:cs="Arial"/>
                <w:color w:val="auto"/>
                <w:vertAlign w:val="superscript"/>
              </w:rPr>
              <w:t>****</w:t>
            </w:r>
          </w:p>
        </w:tc>
        <w:tc>
          <w:tcPr>
            <w:tcW w:w="1047" w:type="pct"/>
            <w:tcMar>
              <w:top w:w="113" w:type="dxa"/>
              <w:left w:w="57" w:type="dxa"/>
              <w:bottom w:w="113" w:type="dxa"/>
              <w:right w:w="57" w:type="dxa"/>
            </w:tcMar>
          </w:tcPr>
          <w:p w14:paraId="1DE3769C"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Not first in family</w:t>
            </w:r>
          </w:p>
        </w:tc>
        <w:tc>
          <w:tcPr>
            <w:tcW w:w="845" w:type="pct"/>
            <w:vAlign w:val="center"/>
          </w:tcPr>
          <w:p w14:paraId="3A49F811" w14:textId="28C2B11D"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75.9</w:t>
            </w:r>
          </w:p>
        </w:tc>
        <w:tc>
          <w:tcPr>
            <w:tcW w:w="844" w:type="pct"/>
            <w:vAlign w:val="center"/>
          </w:tcPr>
          <w:p w14:paraId="42BE8343" w14:textId="50117DA6"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74.8</w:t>
            </w:r>
          </w:p>
        </w:tc>
        <w:tc>
          <w:tcPr>
            <w:tcW w:w="779" w:type="pct"/>
            <w:vAlign w:val="center"/>
          </w:tcPr>
          <w:p w14:paraId="21BE6813" w14:textId="4A0E3A85"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81.1</w:t>
            </w:r>
          </w:p>
        </w:tc>
        <w:tc>
          <w:tcPr>
            <w:tcW w:w="710" w:type="pct"/>
            <w:vAlign w:val="center"/>
          </w:tcPr>
          <w:p w14:paraId="20AB665D" w14:textId="1EE7EBC4"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85.8</w:t>
            </w:r>
          </w:p>
        </w:tc>
      </w:tr>
      <w:tr w:rsidR="004D7A82" w:rsidRPr="00E8656C" w14:paraId="333E1957" w14:textId="77777777" w:rsidTr="006C7824">
        <w:trPr>
          <w:trHeight w:val="60"/>
        </w:trPr>
        <w:tc>
          <w:tcPr>
            <w:tcW w:w="775" w:type="pct"/>
          </w:tcPr>
          <w:p w14:paraId="3507AFCB" w14:textId="1C0732A1"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Previous higher education experience</w:t>
            </w:r>
          </w:p>
        </w:tc>
        <w:tc>
          <w:tcPr>
            <w:tcW w:w="1047" w:type="pct"/>
            <w:tcMar>
              <w:top w:w="113" w:type="dxa"/>
              <w:left w:w="57" w:type="dxa"/>
              <w:bottom w:w="113" w:type="dxa"/>
              <w:right w:w="57" w:type="dxa"/>
            </w:tcMar>
          </w:tcPr>
          <w:p w14:paraId="02EFDA2A" w14:textId="77777777" w:rsidR="00DD6526" w:rsidRPr="00E8656C" w:rsidRDefault="00DD6526" w:rsidP="00DD6526">
            <w:pPr>
              <w:pStyle w:val="Tabletextupdate"/>
              <w:framePr w:wrap="auto"/>
              <w:rPr>
                <w:rFonts w:ascii="Arial" w:hAnsi="Arial" w:cs="Arial"/>
                <w:color w:val="auto"/>
              </w:rPr>
            </w:pPr>
            <w:r w:rsidRPr="00E8656C">
              <w:rPr>
                <w:rFonts w:ascii="Arial" w:hAnsi="Arial" w:cs="Arial"/>
                <w:color w:val="auto"/>
              </w:rPr>
              <w:t>At current institution</w:t>
            </w:r>
          </w:p>
        </w:tc>
        <w:tc>
          <w:tcPr>
            <w:tcW w:w="845" w:type="pct"/>
            <w:vAlign w:val="center"/>
          </w:tcPr>
          <w:p w14:paraId="46912173" w14:textId="424C83D0"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71.8</w:t>
            </w:r>
          </w:p>
        </w:tc>
        <w:tc>
          <w:tcPr>
            <w:tcW w:w="844" w:type="pct"/>
            <w:vAlign w:val="center"/>
          </w:tcPr>
          <w:p w14:paraId="48BD085A" w14:textId="0C699297"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69.5</w:t>
            </w:r>
          </w:p>
        </w:tc>
        <w:tc>
          <w:tcPr>
            <w:tcW w:w="779" w:type="pct"/>
            <w:vAlign w:val="center"/>
          </w:tcPr>
          <w:p w14:paraId="16F651CB" w14:textId="49295E08"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78.8</w:t>
            </w:r>
          </w:p>
        </w:tc>
        <w:tc>
          <w:tcPr>
            <w:tcW w:w="710" w:type="pct"/>
            <w:vAlign w:val="center"/>
          </w:tcPr>
          <w:p w14:paraId="02AC9E35" w14:textId="53093511" w:rsidR="00DD6526" w:rsidRPr="00E8656C" w:rsidRDefault="00DD6526" w:rsidP="00DD6526">
            <w:pPr>
              <w:pStyle w:val="Tabletextupdate"/>
              <w:framePr w:wrap="auto"/>
              <w:jc w:val="center"/>
              <w:rPr>
                <w:rFonts w:ascii="Arial" w:hAnsi="Arial" w:cs="Arial"/>
                <w:color w:val="auto"/>
              </w:rPr>
            </w:pPr>
            <w:r w:rsidRPr="00E8656C">
              <w:rPr>
                <w:rFonts w:ascii="Arial" w:hAnsi="Arial" w:cs="Arial"/>
                <w:color w:val="auto"/>
              </w:rPr>
              <w:t>82.5</w:t>
            </w:r>
          </w:p>
        </w:tc>
      </w:tr>
      <w:tr w:rsidR="00AC1207" w:rsidRPr="00E8656C" w14:paraId="669A430C" w14:textId="77777777" w:rsidTr="006C7824">
        <w:trPr>
          <w:trHeight w:val="60"/>
        </w:trPr>
        <w:tc>
          <w:tcPr>
            <w:tcW w:w="775" w:type="pct"/>
          </w:tcPr>
          <w:p w14:paraId="705F0063" w14:textId="50D13AEB" w:rsidR="00AC1207" w:rsidRPr="00E8656C" w:rsidRDefault="00AC1207" w:rsidP="00AC1207">
            <w:pPr>
              <w:pStyle w:val="Tabletextupdate"/>
              <w:framePr w:wrap="auto"/>
              <w:rPr>
                <w:rFonts w:ascii="Arial" w:hAnsi="Arial" w:cs="Arial"/>
                <w:color w:val="auto"/>
              </w:rPr>
            </w:pPr>
            <w:r w:rsidRPr="00E8656C">
              <w:rPr>
                <w:rFonts w:ascii="Arial" w:hAnsi="Arial" w:cs="Arial"/>
                <w:color w:val="auto"/>
              </w:rPr>
              <w:t>Previous higher education experience</w:t>
            </w:r>
          </w:p>
        </w:tc>
        <w:tc>
          <w:tcPr>
            <w:tcW w:w="1047" w:type="pct"/>
            <w:tcMar>
              <w:top w:w="113" w:type="dxa"/>
              <w:left w:w="57" w:type="dxa"/>
              <w:bottom w:w="113" w:type="dxa"/>
              <w:right w:w="57" w:type="dxa"/>
            </w:tcMar>
          </w:tcPr>
          <w:p w14:paraId="079EC862" w14:textId="77777777" w:rsidR="00AC1207" w:rsidRPr="00E8656C" w:rsidRDefault="00AC1207" w:rsidP="00AC1207">
            <w:pPr>
              <w:pStyle w:val="Tabletextupdate"/>
              <w:framePr w:wrap="auto"/>
              <w:rPr>
                <w:rFonts w:ascii="Arial" w:hAnsi="Arial" w:cs="Arial"/>
                <w:color w:val="auto"/>
              </w:rPr>
            </w:pPr>
            <w:r w:rsidRPr="00E8656C">
              <w:rPr>
                <w:rFonts w:ascii="Arial" w:hAnsi="Arial" w:cs="Arial"/>
                <w:color w:val="auto"/>
              </w:rPr>
              <w:t>At another institution</w:t>
            </w:r>
          </w:p>
        </w:tc>
        <w:tc>
          <w:tcPr>
            <w:tcW w:w="845" w:type="pct"/>
            <w:vAlign w:val="center"/>
          </w:tcPr>
          <w:p w14:paraId="717A1929" w14:textId="2345B70D"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77.2</w:t>
            </w:r>
          </w:p>
        </w:tc>
        <w:tc>
          <w:tcPr>
            <w:tcW w:w="844" w:type="pct"/>
            <w:vAlign w:val="center"/>
          </w:tcPr>
          <w:p w14:paraId="7424379F" w14:textId="448C3A73"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76.1</w:t>
            </w:r>
          </w:p>
        </w:tc>
        <w:tc>
          <w:tcPr>
            <w:tcW w:w="779" w:type="pct"/>
            <w:vAlign w:val="center"/>
          </w:tcPr>
          <w:p w14:paraId="2C76C72C" w14:textId="52AB279E"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81.7</w:t>
            </w:r>
          </w:p>
        </w:tc>
        <w:tc>
          <w:tcPr>
            <w:tcW w:w="710" w:type="pct"/>
            <w:vAlign w:val="center"/>
          </w:tcPr>
          <w:p w14:paraId="63C3B8ED" w14:textId="0B1BAA13"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86.3</w:t>
            </w:r>
          </w:p>
        </w:tc>
      </w:tr>
      <w:tr w:rsidR="00AC1207" w:rsidRPr="00E8656C" w14:paraId="12F2DFA4" w14:textId="77777777" w:rsidTr="006C7824">
        <w:trPr>
          <w:trHeight w:val="60"/>
        </w:trPr>
        <w:tc>
          <w:tcPr>
            <w:tcW w:w="775" w:type="pct"/>
          </w:tcPr>
          <w:p w14:paraId="470B133A" w14:textId="05CE28E9" w:rsidR="00AC1207" w:rsidRPr="00E8656C" w:rsidRDefault="00AC1207" w:rsidP="00AC1207">
            <w:pPr>
              <w:pStyle w:val="Tabletextupdate"/>
              <w:framePr w:wrap="auto"/>
              <w:rPr>
                <w:rFonts w:ascii="Arial" w:hAnsi="Arial" w:cs="Arial"/>
                <w:color w:val="auto"/>
              </w:rPr>
            </w:pPr>
            <w:r w:rsidRPr="00E8656C">
              <w:rPr>
                <w:rFonts w:ascii="Arial" w:hAnsi="Arial" w:cs="Arial"/>
                <w:color w:val="auto"/>
              </w:rPr>
              <w:t>Previous higher education experience</w:t>
            </w:r>
          </w:p>
        </w:tc>
        <w:tc>
          <w:tcPr>
            <w:tcW w:w="1047" w:type="pct"/>
            <w:tcMar>
              <w:top w:w="113" w:type="dxa"/>
              <w:left w:w="57" w:type="dxa"/>
              <w:bottom w:w="113" w:type="dxa"/>
              <w:right w:w="57" w:type="dxa"/>
            </w:tcMar>
          </w:tcPr>
          <w:p w14:paraId="0EED792E" w14:textId="77777777" w:rsidR="00AC1207" w:rsidRPr="00E8656C" w:rsidRDefault="00AC1207" w:rsidP="00AC1207">
            <w:pPr>
              <w:pStyle w:val="Tabletextupdate"/>
              <w:framePr w:wrap="auto"/>
              <w:rPr>
                <w:rFonts w:ascii="Arial" w:hAnsi="Arial" w:cs="Arial"/>
                <w:color w:val="auto"/>
              </w:rPr>
            </w:pPr>
            <w:r w:rsidRPr="00E8656C">
              <w:rPr>
                <w:rFonts w:ascii="Arial" w:hAnsi="Arial" w:cs="Arial"/>
                <w:color w:val="auto"/>
              </w:rPr>
              <w:t>New to higher education</w:t>
            </w:r>
          </w:p>
        </w:tc>
        <w:tc>
          <w:tcPr>
            <w:tcW w:w="845" w:type="pct"/>
            <w:vAlign w:val="center"/>
          </w:tcPr>
          <w:p w14:paraId="474E9CC6" w14:textId="3F584DEE"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84.0</w:t>
            </w:r>
          </w:p>
        </w:tc>
        <w:tc>
          <w:tcPr>
            <w:tcW w:w="844" w:type="pct"/>
            <w:vAlign w:val="center"/>
          </w:tcPr>
          <w:p w14:paraId="2DE12136" w14:textId="39B271B0"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84.1</w:t>
            </w:r>
          </w:p>
        </w:tc>
        <w:tc>
          <w:tcPr>
            <w:tcW w:w="779" w:type="pct"/>
            <w:vAlign w:val="center"/>
          </w:tcPr>
          <w:p w14:paraId="30C3E0D2" w14:textId="0DC038B2"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85.5</w:t>
            </w:r>
          </w:p>
        </w:tc>
        <w:tc>
          <w:tcPr>
            <w:tcW w:w="710" w:type="pct"/>
            <w:vAlign w:val="center"/>
          </w:tcPr>
          <w:p w14:paraId="6594A7B6" w14:textId="224BAA48" w:rsidR="00AC1207" w:rsidRPr="00E8656C" w:rsidRDefault="00AC1207" w:rsidP="00AC1207">
            <w:pPr>
              <w:pStyle w:val="Tabletextupdate"/>
              <w:framePr w:wrap="auto"/>
              <w:jc w:val="center"/>
              <w:rPr>
                <w:rFonts w:ascii="Arial" w:hAnsi="Arial" w:cs="Arial"/>
                <w:color w:val="auto"/>
              </w:rPr>
            </w:pPr>
            <w:r w:rsidRPr="00E8656C">
              <w:rPr>
                <w:rFonts w:ascii="Arial" w:hAnsi="Arial" w:cs="Arial"/>
                <w:color w:val="auto"/>
              </w:rPr>
              <w:t>90.6</w:t>
            </w:r>
          </w:p>
        </w:tc>
      </w:tr>
      <w:tr w:rsidR="006C7824" w:rsidRPr="00E8656C" w14:paraId="78E2DD5A" w14:textId="77777777" w:rsidTr="00143B7B">
        <w:trPr>
          <w:trHeight w:val="60"/>
        </w:trPr>
        <w:tc>
          <w:tcPr>
            <w:tcW w:w="775" w:type="pct"/>
          </w:tcPr>
          <w:p w14:paraId="0A7A46FC" w14:textId="77B3A9F0" w:rsidR="006C7824" w:rsidRPr="00E8656C" w:rsidRDefault="006C7824" w:rsidP="006C7824">
            <w:pPr>
              <w:pStyle w:val="Tabletextupdate"/>
              <w:framePr w:wrap="auto"/>
              <w:rPr>
                <w:rFonts w:ascii="Arial" w:hAnsi="Arial" w:cs="Arial"/>
                <w:color w:val="auto"/>
              </w:rPr>
            </w:pPr>
            <w:r w:rsidRPr="00E8656C">
              <w:rPr>
                <w:rFonts w:ascii="Arial" w:hAnsi="Arial" w:cs="Arial"/>
                <w:color w:val="auto"/>
              </w:rPr>
              <w:t>Socio-economic status</w:t>
            </w:r>
            <w:r w:rsidRPr="00E8656C">
              <w:rPr>
                <w:rFonts w:ascii="Arial" w:hAnsi="Arial" w:cs="Arial"/>
                <w:color w:val="auto"/>
                <w:vertAlign w:val="superscript"/>
              </w:rPr>
              <w:t>**†</w:t>
            </w:r>
          </w:p>
        </w:tc>
        <w:tc>
          <w:tcPr>
            <w:tcW w:w="1047" w:type="pct"/>
            <w:tcMar>
              <w:top w:w="113" w:type="dxa"/>
              <w:left w:w="57" w:type="dxa"/>
              <w:bottom w:w="113" w:type="dxa"/>
              <w:right w:w="57" w:type="dxa"/>
            </w:tcMar>
          </w:tcPr>
          <w:p w14:paraId="1001F210" w14:textId="77777777" w:rsidR="006C7824" w:rsidRPr="00E8656C" w:rsidRDefault="006C7824" w:rsidP="006C7824">
            <w:pPr>
              <w:pStyle w:val="Tabletextupdate"/>
              <w:framePr w:wrap="auto"/>
              <w:rPr>
                <w:rFonts w:ascii="Arial" w:hAnsi="Arial" w:cs="Arial"/>
                <w:color w:val="auto"/>
              </w:rPr>
            </w:pPr>
            <w:r w:rsidRPr="00E8656C">
              <w:rPr>
                <w:rFonts w:ascii="Arial" w:hAnsi="Arial" w:cs="Arial"/>
                <w:color w:val="auto"/>
              </w:rPr>
              <w:t xml:space="preserve">High </w:t>
            </w:r>
          </w:p>
        </w:tc>
        <w:tc>
          <w:tcPr>
            <w:tcW w:w="845" w:type="pct"/>
            <w:vAlign w:val="bottom"/>
          </w:tcPr>
          <w:p w14:paraId="35B0125A" w14:textId="05C034DA"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67.5</w:t>
            </w:r>
          </w:p>
        </w:tc>
        <w:tc>
          <w:tcPr>
            <w:tcW w:w="844" w:type="pct"/>
            <w:vAlign w:val="bottom"/>
          </w:tcPr>
          <w:p w14:paraId="3EBCC590" w14:textId="39B84EF6"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63.9</w:t>
            </w:r>
          </w:p>
        </w:tc>
        <w:tc>
          <w:tcPr>
            <w:tcW w:w="779" w:type="pct"/>
            <w:vAlign w:val="bottom"/>
          </w:tcPr>
          <w:p w14:paraId="6AF3E7FF" w14:textId="6EB9FCF2"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77.0</w:t>
            </w:r>
          </w:p>
        </w:tc>
        <w:tc>
          <w:tcPr>
            <w:tcW w:w="710" w:type="pct"/>
            <w:vAlign w:val="bottom"/>
          </w:tcPr>
          <w:p w14:paraId="2A1814CE" w14:textId="7029B7FD"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79.2</w:t>
            </w:r>
          </w:p>
        </w:tc>
      </w:tr>
      <w:tr w:rsidR="006C7824" w:rsidRPr="00E8656C" w14:paraId="4C6FF0D1" w14:textId="77777777" w:rsidTr="00143B7B">
        <w:trPr>
          <w:trHeight w:val="60"/>
        </w:trPr>
        <w:tc>
          <w:tcPr>
            <w:tcW w:w="775" w:type="pct"/>
          </w:tcPr>
          <w:p w14:paraId="3252C094" w14:textId="3E7A3B39" w:rsidR="006C7824" w:rsidRPr="00E8656C" w:rsidRDefault="006C7824" w:rsidP="006C7824">
            <w:pPr>
              <w:pStyle w:val="Tabletextupdate"/>
              <w:framePr w:wrap="auto"/>
              <w:rPr>
                <w:rFonts w:ascii="Arial" w:hAnsi="Arial" w:cs="Arial"/>
                <w:color w:val="auto"/>
              </w:rPr>
            </w:pPr>
            <w:r w:rsidRPr="00E8656C">
              <w:rPr>
                <w:rFonts w:ascii="Arial" w:hAnsi="Arial" w:cs="Arial"/>
                <w:color w:val="auto"/>
              </w:rPr>
              <w:t>Socio-economic status</w:t>
            </w:r>
            <w:r w:rsidRPr="00E8656C">
              <w:rPr>
                <w:rFonts w:ascii="Arial" w:hAnsi="Arial" w:cs="Arial"/>
                <w:color w:val="auto"/>
                <w:vertAlign w:val="superscript"/>
              </w:rPr>
              <w:t>**†</w:t>
            </w:r>
          </w:p>
        </w:tc>
        <w:tc>
          <w:tcPr>
            <w:tcW w:w="1047" w:type="pct"/>
            <w:tcMar>
              <w:top w:w="113" w:type="dxa"/>
              <w:left w:w="57" w:type="dxa"/>
              <w:bottom w:w="113" w:type="dxa"/>
              <w:right w:w="57" w:type="dxa"/>
            </w:tcMar>
          </w:tcPr>
          <w:p w14:paraId="2BB2C369" w14:textId="77777777" w:rsidR="006C7824" w:rsidRPr="00E8656C" w:rsidRDefault="006C7824" w:rsidP="006C7824">
            <w:pPr>
              <w:pStyle w:val="Tabletextupdate"/>
              <w:framePr w:wrap="auto"/>
              <w:rPr>
                <w:rFonts w:ascii="Arial" w:hAnsi="Arial" w:cs="Arial"/>
                <w:color w:val="auto"/>
              </w:rPr>
            </w:pPr>
            <w:r w:rsidRPr="00E8656C">
              <w:rPr>
                <w:rFonts w:ascii="Arial" w:hAnsi="Arial" w:cs="Arial"/>
                <w:color w:val="auto"/>
              </w:rPr>
              <w:t xml:space="preserve">Medium </w:t>
            </w:r>
          </w:p>
        </w:tc>
        <w:tc>
          <w:tcPr>
            <w:tcW w:w="845" w:type="pct"/>
            <w:vAlign w:val="bottom"/>
          </w:tcPr>
          <w:p w14:paraId="03FF5E3A" w14:textId="0B844A4B"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68.5</w:t>
            </w:r>
          </w:p>
        </w:tc>
        <w:tc>
          <w:tcPr>
            <w:tcW w:w="844" w:type="pct"/>
            <w:vAlign w:val="bottom"/>
          </w:tcPr>
          <w:p w14:paraId="76CE8AB1" w14:textId="6D22C994"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65.9</w:t>
            </w:r>
          </w:p>
        </w:tc>
        <w:tc>
          <w:tcPr>
            <w:tcW w:w="779" w:type="pct"/>
            <w:vAlign w:val="bottom"/>
          </w:tcPr>
          <w:p w14:paraId="6CABAE45" w14:textId="6A9C24A8"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78.3</w:t>
            </w:r>
          </w:p>
        </w:tc>
        <w:tc>
          <w:tcPr>
            <w:tcW w:w="710" w:type="pct"/>
            <w:vAlign w:val="bottom"/>
          </w:tcPr>
          <w:p w14:paraId="11498495" w14:textId="03371E79"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80.6</w:t>
            </w:r>
          </w:p>
        </w:tc>
      </w:tr>
      <w:tr w:rsidR="006C7824" w:rsidRPr="00E8656C" w14:paraId="1C1438B7" w14:textId="77777777" w:rsidTr="00143B7B">
        <w:trPr>
          <w:trHeight w:val="60"/>
        </w:trPr>
        <w:tc>
          <w:tcPr>
            <w:tcW w:w="775" w:type="pct"/>
          </w:tcPr>
          <w:p w14:paraId="7D764D9A" w14:textId="723EC4A2" w:rsidR="006C7824" w:rsidRPr="00E8656C" w:rsidRDefault="006C7824" w:rsidP="006C7824">
            <w:pPr>
              <w:pStyle w:val="Tabletextupdate"/>
              <w:framePr w:wrap="auto"/>
              <w:rPr>
                <w:rFonts w:ascii="Arial" w:hAnsi="Arial" w:cs="Arial"/>
                <w:color w:val="auto"/>
              </w:rPr>
            </w:pPr>
            <w:r w:rsidRPr="00E8656C">
              <w:rPr>
                <w:rFonts w:ascii="Arial" w:hAnsi="Arial" w:cs="Arial"/>
                <w:color w:val="auto"/>
              </w:rPr>
              <w:t>Socio-economic status</w:t>
            </w:r>
            <w:r w:rsidRPr="00E8656C">
              <w:rPr>
                <w:rFonts w:ascii="Arial" w:hAnsi="Arial" w:cs="Arial"/>
                <w:color w:val="auto"/>
                <w:vertAlign w:val="superscript"/>
              </w:rPr>
              <w:t>**†</w:t>
            </w:r>
          </w:p>
        </w:tc>
        <w:tc>
          <w:tcPr>
            <w:tcW w:w="1047" w:type="pct"/>
            <w:tcMar>
              <w:top w:w="113" w:type="dxa"/>
              <w:left w:w="57" w:type="dxa"/>
              <w:bottom w:w="113" w:type="dxa"/>
              <w:right w:w="57" w:type="dxa"/>
            </w:tcMar>
          </w:tcPr>
          <w:p w14:paraId="3E8BF851" w14:textId="77777777" w:rsidR="006C7824" w:rsidRPr="00E8656C" w:rsidRDefault="006C7824" w:rsidP="006C7824">
            <w:pPr>
              <w:pStyle w:val="Tabletextupdate"/>
              <w:framePr w:wrap="auto"/>
              <w:rPr>
                <w:rFonts w:ascii="Arial" w:hAnsi="Arial" w:cs="Arial"/>
                <w:color w:val="auto"/>
              </w:rPr>
            </w:pPr>
            <w:r w:rsidRPr="00E8656C">
              <w:rPr>
                <w:rFonts w:ascii="Arial" w:hAnsi="Arial" w:cs="Arial"/>
                <w:color w:val="auto"/>
              </w:rPr>
              <w:t>Low</w:t>
            </w:r>
          </w:p>
        </w:tc>
        <w:tc>
          <w:tcPr>
            <w:tcW w:w="845" w:type="pct"/>
            <w:vAlign w:val="bottom"/>
          </w:tcPr>
          <w:p w14:paraId="1AC22082" w14:textId="7498A879"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67.3</w:t>
            </w:r>
          </w:p>
        </w:tc>
        <w:tc>
          <w:tcPr>
            <w:tcW w:w="844" w:type="pct"/>
            <w:vAlign w:val="bottom"/>
          </w:tcPr>
          <w:p w14:paraId="2465CFFA" w14:textId="1F8423B8"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66.0</w:t>
            </w:r>
          </w:p>
        </w:tc>
        <w:tc>
          <w:tcPr>
            <w:tcW w:w="779" w:type="pct"/>
            <w:vAlign w:val="bottom"/>
          </w:tcPr>
          <w:p w14:paraId="70E87EDC" w14:textId="2B5B1AB1"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77.5</w:t>
            </w:r>
          </w:p>
        </w:tc>
        <w:tc>
          <w:tcPr>
            <w:tcW w:w="710" w:type="pct"/>
            <w:vAlign w:val="bottom"/>
          </w:tcPr>
          <w:p w14:paraId="2257C458" w14:textId="611BD1C3"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79.9</w:t>
            </w:r>
          </w:p>
        </w:tc>
      </w:tr>
      <w:tr w:rsidR="006C7824" w:rsidRPr="00E8656C" w14:paraId="734B7B60" w14:textId="77777777" w:rsidTr="00143B7B">
        <w:trPr>
          <w:trHeight w:val="60"/>
        </w:trPr>
        <w:tc>
          <w:tcPr>
            <w:tcW w:w="775" w:type="pct"/>
          </w:tcPr>
          <w:p w14:paraId="4ED088AA" w14:textId="73EEE1E8" w:rsidR="006C7824" w:rsidRPr="00E8656C" w:rsidRDefault="006C7824" w:rsidP="006C7824">
            <w:pPr>
              <w:pStyle w:val="Tabletextupdate"/>
              <w:framePr w:wrap="auto"/>
              <w:rPr>
                <w:rFonts w:ascii="Arial" w:hAnsi="Arial" w:cs="Arial"/>
                <w:color w:val="auto"/>
              </w:rPr>
            </w:pPr>
            <w:r w:rsidRPr="00E8656C">
              <w:rPr>
                <w:rFonts w:ascii="Arial" w:hAnsi="Arial" w:cs="Arial"/>
                <w:color w:val="auto"/>
              </w:rPr>
              <w:t>Location</w:t>
            </w:r>
            <w:r w:rsidRPr="00E8656C">
              <w:rPr>
                <w:rFonts w:ascii="Arial" w:hAnsi="Arial" w:cs="Arial"/>
                <w:color w:val="auto"/>
                <w:vertAlign w:val="superscript"/>
              </w:rPr>
              <w:t>**†</w:t>
            </w:r>
          </w:p>
        </w:tc>
        <w:tc>
          <w:tcPr>
            <w:tcW w:w="1047" w:type="pct"/>
            <w:tcMar>
              <w:top w:w="113" w:type="dxa"/>
              <w:left w:w="57" w:type="dxa"/>
              <w:bottom w:w="113" w:type="dxa"/>
              <w:right w:w="57" w:type="dxa"/>
            </w:tcMar>
          </w:tcPr>
          <w:p w14:paraId="3117C6D6" w14:textId="77777777" w:rsidR="006C7824" w:rsidRPr="00E8656C" w:rsidRDefault="006C7824" w:rsidP="006C7824">
            <w:pPr>
              <w:pStyle w:val="Tabletextupdate"/>
              <w:framePr w:wrap="auto"/>
              <w:rPr>
                <w:rFonts w:ascii="Arial" w:hAnsi="Arial" w:cs="Arial"/>
                <w:color w:val="auto"/>
              </w:rPr>
            </w:pPr>
            <w:r w:rsidRPr="00E8656C">
              <w:rPr>
                <w:rFonts w:ascii="Arial" w:hAnsi="Arial" w:cs="Arial"/>
                <w:color w:val="auto"/>
              </w:rPr>
              <w:t>Metro</w:t>
            </w:r>
          </w:p>
        </w:tc>
        <w:tc>
          <w:tcPr>
            <w:tcW w:w="845" w:type="pct"/>
            <w:vAlign w:val="bottom"/>
          </w:tcPr>
          <w:p w14:paraId="7833DADA" w14:textId="034B2167"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68.3</w:t>
            </w:r>
          </w:p>
        </w:tc>
        <w:tc>
          <w:tcPr>
            <w:tcW w:w="844" w:type="pct"/>
            <w:vAlign w:val="bottom"/>
          </w:tcPr>
          <w:p w14:paraId="785FD899" w14:textId="744D0DAF"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65.5</w:t>
            </w:r>
          </w:p>
        </w:tc>
        <w:tc>
          <w:tcPr>
            <w:tcW w:w="779" w:type="pct"/>
            <w:vAlign w:val="bottom"/>
          </w:tcPr>
          <w:p w14:paraId="10056C15" w14:textId="4B12E54B"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77.7</w:t>
            </w:r>
          </w:p>
        </w:tc>
        <w:tc>
          <w:tcPr>
            <w:tcW w:w="710" w:type="pct"/>
            <w:vAlign w:val="bottom"/>
          </w:tcPr>
          <w:p w14:paraId="3B1016E7" w14:textId="2EF33C3F"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80.0</w:t>
            </w:r>
          </w:p>
        </w:tc>
      </w:tr>
      <w:tr w:rsidR="006C7824" w:rsidRPr="00E8656C" w14:paraId="5175A075" w14:textId="77777777" w:rsidTr="00143B7B">
        <w:trPr>
          <w:trHeight w:val="60"/>
        </w:trPr>
        <w:tc>
          <w:tcPr>
            <w:tcW w:w="775" w:type="pct"/>
          </w:tcPr>
          <w:p w14:paraId="31C8FB73" w14:textId="02C144EF" w:rsidR="006C7824" w:rsidRPr="00E8656C" w:rsidRDefault="006C7824" w:rsidP="006C7824">
            <w:pPr>
              <w:pStyle w:val="Tabletextupdate"/>
              <w:framePr w:wrap="auto"/>
              <w:rPr>
                <w:rFonts w:ascii="Arial" w:hAnsi="Arial" w:cs="Arial"/>
                <w:color w:val="auto"/>
              </w:rPr>
            </w:pPr>
            <w:r w:rsidRPr="00E8656C">
              <w:rPr>
                <w:rFonts w:ascii="Arial" w:hAnsi="Arial" w:cs="Arial"/>
                <w:color w:val="auto"/>
              </w:rPr>
              <w:t>Location</w:t>
            </w:r>
            <w:r w:rsidRPr="00E8656C">
              <w:rPr>
                <w:rFonts w:ascii="Arial" w:hAnsi="Arial" w:cs="Arial"/>
                <w:color w:val="auto"/>
                <w:vertAlign w:val="superscript"/>
              </w:rPr>
              <w:t>**†</w:t>
            </w:r>
          </w:p>
        </w:tc>
        <w:tc>
          <w:tcPr>
            <w:tcW w:w="1047" w:type="pct"/>
            <w:tcMar>
              <w:top w:w="113" w:type="dxa"/>
              <w:left w:w="57" w:type="dxa"/>
              <w:bottom w:w="113" w:type="dxa"/>
              <w:right w:w="57" w:type="dxa"/>
            </w:tcMar>
          </w:tcPr>
          <w:p w14:paraId="06634213" w14:textId="77777777" w:rsidR="006C7824" w:rsidRPr="00E8656C" w:rsidRDefault="006C7824" w:rsidP="006C7824">
            <w:pPr>
              <w:pStyle w:val="Tabletextupdate"/>
              <w:framePr w:wrap="auto"/>
              <w:rPr>
                <w:rFonts w:ascii="Arial" w:hAnsi="Arial" w:cs="Arial"/>
                <w:color w:val="auto"/>
              </w:rPr>
            </w:pPr>
            <w:r w:rsidRPr="00E8656C">
              <w:rPr>
                <w:rFonts w:ascii="Arial" w:hAnsi="Arial" w:cs="Arial"/>
                <w:color w:val="auto"/>
              </w:rPr>
              <w:t>Regional/remote</w:t>
            </w:r>
          </w:p>
        </w:tc>
        <w:tc>
          <w:tcPr>
            <w:tcW w:w="845" w:type="pct"/>
            <w:vAlign w:val="bottom"/>
          </w:tcPr>
          <w:p w14:paraId="28EA7778" w14:textId="445B1A19"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66.5</w:t>
            </w:r>
          </w:p>
        </w:tc>
        <w:tc>
          <w:tcPr>
            <w:tcW w:w="844" w:type="pct"/>
            <w:vAlign w:val="bottom"/>
          </w:tcPr>
          <w:p w14:paraId="45F602A5" w14:textId="7605096B"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63.7</w:t>
            </w:r>
          </w:p>
        </w:tc>
        <w:tc>
          <w:tcPr>
            <w:tcW w:w="779" w:type="pct"/>
            <w:vAlign w:val="bottom"/>
          </w:tcPr>
          <w:p w14:paraId="09D05BCC" w14:textId="3A4753FE"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77.6</w:t>
            </w:r>
          </w:p>
        </w:tc>
        <w:tc>
          <w:tcPr>
            <w:tcW w:w="710" w:type="pct"/>
            <w:vAlign w:val="bottom"/>
          </w:tcPr>
          <w:p w14:paraId="195E4B26" w14:textId="5D6E1681" w:rsidR="006C7824" w:rsidRPr="00E8656C" w:rsidRDefault="006C7824" w:rsidP="006C7824">
            <w:pPr>
              <w:pStyle w:val="Tabletextupdate"/>
              <w:framePr w:wrap="auto"/>
              <w:jc w:val="center"/>
              <w:rPr>
                <w:rFonts w:ascii="Arial" w:hAnsi="Arial" w:cs="Arial"/>
                <w:color w:val="auto"/>
              </w:rPr>
            </w:pPr>
            <w:r w:rsidRPr="00517FD9">
              <w:rPr>
                <w:rFonts w:ascii="Arial" w:hAnsi="Arial" w:cs="Arial"/>
                <w:sz w:val="18"/>
              </w:rPr>
              <w:t>79.7</w:t>
            </w:r>
          </w:p>
        </w:tc>
      </w:tr>
      <w:tr w:rsidR="004D7A82" w:rsidRPr="00E8656C" w14:paraId="0E296C3D" w14:textId="77777777" w:rsidTr="006C7824">
        <w:trPr>
          <w:trHeight w:val="60"/>
        </w:trPr>
        <w:tc>
          <w:tcPr>
            <w:tcW w:w="775" w:type="pct"/>
          </w:tcPr>
          <w:p w14:paraId="2899966D" w14:textId="77777777" w:rsidR="001E7BD6" w:rsidRPr="00E8656C" w:rsidRDefault="001E7BD6" w:rsidP="001E7BD6">
            <w:pPr>
              <w:pStyle w:val="Tabletextupdate"/>
              <w:framePr w:wrap="auto"/>
              <w:rPr>
                <w:rFonts w:ascii="Arial" w:hAnsi="Arial" w:cs="Arial"/>
                <w:color w:val="auto"/>
              </w:rPr>
            </w:pPr>
          </w:p>
        </w:tc>
        <w:tc>
          <w:tcPr>
            <w:tcW w:w="1047" w:type="pct"/>
            <w:tcMar>
              <w:top w:w="113" w:type="dxa"/>
              <w:left w:w="57" w:type="dxa"/>
              <w:bottom w:w="113" w:type="dxa"/>
              <w:right w:w="57" w:type="dxa"/>
            </w:tcMar>
          </w:tcPr>
          <w:p w14:paraId="272C98FC" w14:textId="77777777" w:rsidR="001E7BD6" w:rsidRPr="00E8656C" w:rsidRDefault="001E7BD6" w:rsidP="001E7BD6">
            <w:pPr>
              <w:pStyle w:val="Tabletextupdate"/>
              <w:framePr w:wrap="auto"/>
              <w:rPr>
                <w:rFonts w:ascii="Arial" w:hAnsi="Arial" w:cs="Arial"/>
                <w:b/>
                <w:bCs/>
                <w:color w:val="auto"/>
                <w:lang w:val="en-US"/>
              </w:rPr>
            </w:pPr>
            <w:r w:rsidRPr="00E8656C">
              <w:rPr>
                <w:rFonts w:ascii="Arial" w:hAnsi="Arial" w:cs="Arial"/>
                <w:b/>
                <w:bCs/>
                <w:color w:val="auto"/>
              </w:rPr>
              <w:t>Total</w:t>
            </w:r>
          </w:p>
        </w:tc>
        <w:tc>
          <w:tcPr>
            <w:tcW w:w="845" w:type="pct"/>
            <w:vAlign w:val="bottom"/>
          </w:tcPr>
          <w:p w14:paraId="74F5B6AA" w14:textId="3D54AB8F" w:rsidR="001E7BD6" w:rsidRPr="00E8656C" w:rsidRDefault="001E7BD6" w:rsidP="001E7BD6">
            <w:pPr>
              <w:pStyle w:val="Tabletextupdate"/>
              <w:framePr w:wrap="auto"/>
              <w:jc w:val="center"/>
              <w:rPr>
                <w:rFonts w:ascii="Arial" w:hAnsi="Arial" w:cs="Arial"/>
                <w:b/>
                <w:bCs/>
                <w:color w:val="auto"/>
              </w:rPr>
            </w:pPr>
            <w:r w:rsidRPr="00E8656C">
              <w:rPr>
                <w:rFonts w:ascii="Arial" w:hAnsi="Arial" w:cs="Arial"/>
                <w:b/>
                <w:bCs/>
                <w:color w:val="auto"/>
              </w:rPr>
              <w:t>77.0</w:t>
            </w:r>
          </w:p>
        </w:tc>
        <w:tc>
          <w:tcPr>
            <w:tcW w:w="844" w:type="pct"/>
            <w:vAlign w:val="bottom"/>
          </w:tcPr>
          <w:p w14:paraId="116D7DAA" w14:textId="74465A6C" w:rsidR="001E7BD6" w:rsidRPr="00E8656C" w:rsidRDefault="001E7BD6" w:rsidP="001E7BD6">
            <w:pPr>
              <w:pStyle w:val="Tabletextupdate"/>
              <w:framePr w:wrap="auto"/>
              <w:jc w:val="center"/>
              <w:rPr>
                <w:rFonts w:ascii="Arial" w:hAnsi="Arial" w:cs="Arial"/>
                <w:b/>
                <w:bCs/>
                <w:color w:val="auto"/>
              </w:rPr>
            </w:pPr>
            <w:r w:rsidRPr="00E8656C">
              <w:rPr>
                <w:rFonts w:ascii="Arial" w:hAnsi="Arial" w:cs="Arial"/>
                <w:b/>
                <w:bCs/>
                <w:color w:val="auto"/>
              </w:rPr>
              <w:t>76.1</w:t>
            </w:r>
          </w:p>
        </w:tc>
        <w:tc>
          <w:tcPr>
            <w:tcW w:w="779" w:type="pct"/>
            <w:vAlign w:val="bottom"/>
          </w:tcPr>
          <w:p w14:paraId="307A976F" w14:textId="4A07DA65" w:rsidR="001E7BD6" w:rsidRPr="00E8656C" w:rsidRDefault="001E7BD6" w:rsidP="001E7BD6">
            <w:pPr>
              <w:pStyle w:val="Tabletextupdate"/>
              <w:framePr w:wrap="auto"/>
              <w:jc w:val="center"/>
              <w:rPr>
                <w:rFonts w:ascii="Arial" w:hAnsi="Arial" w:cs="Arial"/>
                <w:b/>
                <w:bCs/>
                <w:color w:val="auto"/>
              </w:rPr>
            </w:pPr>
            <w:r w:rsidRPr="00E8656C">
              <w:rPr>
                <w:rFonts w:ascii="Arial" w:hAnsi="Arial" w:cs="Arial"/>
                <w:b/>
                <w:bCs/>
                <w:color w:val="auto"/>
              </w:rPr>
              <w:t>81.2</w:t>
            </w:r>
          </w:p>
        </w:tc>
        <w:tc>
          <w:tcPr>
            <w:tcW w:w="710" w:type="pct"/>
            <w:vAlign w:val="bottom"/>
          </w:tcPr>
          <w:p w14:paraId="6A104B66" w14:textId="2A522398" w:rsidR="001E7BD6" w:rsidRPr="00E8656C" w:rsidRDefault="001E7BD6" w:rsidP="001E7BD6">
            <w:pPr>
              <w:pStyle w:val="Tabletextupdate"/>
              <w:framePr w:wrap="auto"/>
              <w:jc w:val="center"/>
              <w:rPr>
                <w:rFonts w:ascii="Arial" w:hAnsi="Arial" w:cs="Arial"/>
                <w:b/>
                <w:bCs/>
                <w:color w:val="auto"/>
              </w:rPr>
            </w:pPr>
            <w:r w:rsidRPr="00E8656C">
              <w:rPr>
                <w:rFonts w:ascii="Arial" w:hAnsi="Arial" w:cs="Arial"/>
                <w:b/>
                <w:bCs/>
                <w:color w:val="auto"/>
              </w:rPr>
              <w:t>85.8</w:t>
            </w:r>
          </w:p>
        </w:tc>
      </w:tr>
    </w:tbl>
    <w:p w14:paraId="5691C8A9" w14:textId="77777777" w:rsidR="00344DCE" w:rsidRPr="00E8656C" w:rsidRDefault="00344DCE" w:rsidP="00AC1207">
      <w:pPr>
        <w:pStyle w:val="Noteupdate"/>
        <w:spacing w:before="240"/>
        <w:rPr>
          <w:color w:val="auto"/>
          <w:sz w:val="18"/>
          <w:szCs w:val="18"/>
        </w:rPr>
      </w:pPr>
      <w:r w:rsidRPr="00E8656C">
        <w:rPr>
          <w:color w:val="auto"/>
          <w:sz w:val="18"/>
          <w:szCs w:val="18"/>
        </w:rPr>
        <w:t>* Internal mode of attendance is where (</w:t>
      </w:r>
      <w:proofErr w:type="spellStart"/>
      <w:r w:rsidRPr="00E8656C">
        <w:rPr>
          <w:color w:val="auto"/>
          <w:sz w:val="18"/>
          <w:szCs w:val="18"/>
        </w:rPr>
        <w:t>i</w:t>
      </w:r>
      <w:proofErr w:type="spellEnd"/>
      <w:r w:rsidRPr="00E8656C">
        <w:rPr>
          <w:color w:val="auto"/>
          <w:sz w:val="18"/>
          <w:szCs w:val="18"/>
        </w:rPr>
        <w:t>) the study is undertaken through attendance at the higher education provider on a regular basis, or (ii) for higher degree unit enrolments, where regular attendance is not required but the student attends the higher education provider on an agreed schedule for the purposes of supervision and/or instruction. External mode of attendance is where lesson materials, assignments, etc. are delivered to the student, and any associated attendance at the institution is of an incidental, irregular, special or voluntary nature. Multi-mode of attendance is where study is undertaken partially on an internal mode of attendance and partially on an external mode of attendance.</w:t>
      </w:r>
    </w:p>
    <w:p w14:paraId="31CBE02D" w14:textId="77777777" w:rsidR="00344DCE" w:rsidRPr="00E8656C" w:rsidRDefault="00344DCE" w:rsidP="00344DCE">
      <w:pPr>
        <w:pStyle w:val="Noteupdate"/>
        <w:rPr>
          <w:color w:val="auto"/>
          <w:sz w:val="18"/>
          <w:szCs w:val="18"/>
        </w:rPr>
      </w:pPr>
      <w:r w:rsidRPr="00E8656C">
        <w:rPr>
          <w:color w:val="auto"/>
          <w:sz w:val="18"/>
          <w:szCs w:val="18"/>
        </w:rPr>
        <w:t>** First Nations, socio-economic, and locality data reflect values for domestic students only, excluding international students. The remaining demographic and equity groups include all students, both domestic and international.</w:t>
      </w:r>
    </w:p>
    <w:p w14:paraId="7563DD96" w14:textId="77777777" w:rsidR="00344DCE" w:rsidRPr="00E8656C" w:rsidRDefault="00344DCE" w:rsidP="00344DCE">
      <w:pPr>
        <w:pStyle w:val="Noteupdate"/>
        <w:rPr>
          <w:color w:val="auto"/>
          <w:sz w:val="18"/>
          <w:szCs w:val="18"/>
        </w:rPr>
      </w:pPr>
      <w:r w:rsidRPr="00E8656C">
        <w:rPr>
          <w:color w:val="auto"/>
          <w:sz w:val="18"/>
          <w:szCs w:val="18"/>
        </w:rPr>
        <w:t xml:space="preserve">*** Home language other than English refers to graduates who arrived in Australia less than 10 years prior to the year in which the data was </w:t>
      </w:r>
      <w:proofErr w:type="gramStart"/>
      <w:r w:rsidRPr="00E8656C">
        <w:rPr>
          <w:color w:val="auto"/>
          <w:sz w:val="18"/>
          <w:szCs w:val="18"/>
        </w:rPr>
        <w:t>collected, and</w:t>
      </w:r>
      <w:proofErr w:type="gramEnd"/>
      <w:r w:rsidRPr="00E8656C">
        <w:rPr>
          <w:color w:val="auto"/>
          <w:sz w:val="18"/>
          <w:szCs w:val="18"/>
        </w:rPr>
        <w:t xml:space="preserve"> comes from a home where a language other than English is spoken. This information is reported by institutions through the TCSI system. Data presented here includes both domestic and international student responses.</w:t>
      </w:r>
    </w:p>
    <w:p w14:paraId="1338A906" w14:textId="6C903B58" w:rsidR="00344DCE" w:rsidRPr="00E8656C" w:rsidRDefault="00344DCE" w:rsidP="00344DCE">
      <w:pPr>
        <w:pStyle w:val="Noteupdate"/>
        <w:rPr>
          <w:color w:val="auto"/>
          <w:sz w:val="18"/>
          <w:szCs w:val="18"/>
        </w:rPr>
      </w:pPr>
      <w:r w:rsidRPr="00E8656C">
        <w:rPr>
          <w:color w:val="auto"/>
          <w:sz w:val="18"/>
          <w:szCs w:val="18"/>
        </w:rPr>
        <w:t xml:space="preserve">**** First in family refers to students commencing a </w:t>
      </w:r>
      <w:proofErr w:type="gramStart"/>
      <w:r w:rsidRPr="00E8656C">
        <w:rPr>
          <w:color w:val="auto"/>
          <w:sz w:val="18"/>
          <w:szCs w:val="18"/>
        </w:rPr>
        <w:t>bachelor</w:t>
      </w:r>
      <w:proofErr w:type="gramEnd"/>
      <w:r w:rsidRPr="00E8656C">
        <w:rPr>
          <w:color w:val="auto"/>
          <w:sz w:val="18"/>
          <w:szCs w:val="18"/>
        </w:rPr>
        <w:t xml:space="preserve"> degree level qualification when their parent(s) or guardian(s) have not. Based on the highest level of educational attainment of a student’s parent(s) or guardian(s) as identified by the student. This information is reported by institutions through the Tertiary Collection of Student Information (TCSI) system.</w:t>
      </w:r>
      <w:r w:rsidR="006F7F90" w:rsidRPr="00E8656C">
        <w:rPr>
          <w:color w:val="auto"/>
          <w:sz w:val="18"/>
          <w:szCs w:val="18"/>
        </w:rPr>
        <w:t xml:space="preserve"> </w:t>
      </w:r>
    </w:p>
    <w:p w14:paraId="7FB90373" w14:textId="1AC1EDA0" w:rsidR="00344DCE" w:rsidRPr="00E8656C" w:rsidRDefault="0087362B" w:rsidP="00344DCE">
      <w:pPr>
        <w:pStyle w:val="Noteupdate"/>
        <w:rPr>
          <w:color w:val="auto"/>
          <w:sz w:val="18"/>
          <w:szCs w:val="18"/>
        </w:rPr>
      </w:pPr>
      <w:r w:rsidRPr="00E8656C">
        <w:rPr>
          <w:color w:val="auto"/>
          <w:sz w:val="18"/>
          <w:szCs w:val="18"/>
        </w:rPr>
        <w:t>**</w:t>
      </w:r>
      <w:r w:rsidR="00344DCE" w:rsidRPr="00E8656C">
        <w:rPr>
          <w:color w:val="auto"/>
          <w:sz w:val="18"/>
          <w:szCs w:val="18"/>
        </w:rPr>
        <w:t>† Socio-economic status and Location are derived from students’ permanent home residence against the 2011 SEIFA Index of Education and Occupation by postal area.</w:t>
      </w:r>
    </w:p>
    <w:p w14:paraId="77C63C6C" w14:textId="77777777" w:rsidR="00344DCE" w:rsidRPr="00E8656C" w:rsidRDefault="00344DCE" w:rsidP="00344DCE">
      <w:pPr>
        <w:pStyle w:val="Noteupdate"/>
        <w:rPr>
          <w:color w:val="auto"/>
          <w:sz w:val="18"/>
          <w:szCs w:val="18"/>
        </w:rPr>
      </w:pPr>
      <w:r w:rsidRPr="00E8656C">
        <w:rPr>
          <w:color w:val="auto"/>
          <w:sz w:val="18"/>
          <w:szCs w:val="18"/>
        </w:rPr>
        <w:t>†† Some sub-groups may not add to 100 per cent due to rounding.</w:t>
      </w:r>
    </w:p>
    <w:p w14:paraId="75BCF2AE" w14:textId="77777777" w:rsidR="00AC1207" w:rsidRPr="00E8656C" w:rsidRDefault="00AC1207" w:rsidP="00344DCE">
      <w:pPr>
        <w:pStyle w:val="Noteupdate"/>
        <w:rPr>
          <w:color w:val="auto"/>
          <w:sz w:val="18"/>
          <w:szCs w:val="18"/>
        </w:rPr>
      </w:pPr>
    </w:p>
    <w:p w14:paraId="3BDBD2DC" w14:textId="77777777" w:rsidR="00AC1207" w:rsidRPr="00E8656C" w:rsidRDefault="00AC1207" w:rsidP="00344DCE">
      <w:pPr>
        <w:pStyle w:val="Noteupdate"/>
        <w:rPr>
          <w:color w:val="auto"/>
          <w:sz w:val="18"/>
          <w:szCs w:val="18"/>
        </w:rPr>
        <w:sectPr w:rsidR="00AC1207" w:rsidRPr="00E8656C" w:rsidSect="009F79FE">
          <w:headerReference w:type="default" r:id="rId99"/>
          <w:footerReference w:type="default" r:id="rId100"/>
          <w:pgSz w:w="11906" w:h="16838" w:code="9"/>
          <w:pgMar w:top="720" w:right="720" w:bottom="720" w:left="720" w:header="567" w:footer="567" w:gutter="0"/>
          <w:cols w:space="708"/>
          <w:docGrid w:linePitch="360"/>
        </w:sectPr>
      </w:pPr>
    </w:p>
    <w:p w14:paraId="509A3E2E" w14:textId="77777777" w:rsidR="00AC1207" w:rsidRPr="00E8656C" w:rsidRDefault="00AC1207" w:rsidP="00AC1207">
      <w:pPr>
        <w:pStyle w:val="Noteupdate"/>
        <w:spacing w:before="11040"/>
        <w:rPr>
          <w:color w:val="auto"/>
          <w:sz w:val="18"/>
          <w:szCs w:val="18"/>
        </w:rPr>
      </w:pPr>
    </w:p>
    <w:p w14:paraId="67ADAD29" w14:textId="3C29BF89" w:rsidR="00AC1207" w:rsidRPr="00E8656C" w:rsidRDefault="00AC1207" w:rsidP="00AC1207">
      <w:pPr>
        <w:spacing w:after="160" w:line="259" w:lineRule="auto"/>
        <w:rPr>
          <w:rFonts w:eastAsiaTheme="minorEastAsia" w:cs="Arial"/>
          <w:spacing w:val="1"/>
          <w:sz w:val="18"/>
          <w:lang w:val="en-GB"/>
        </w:rPr>
      </w:pPr>
      <w:r w:rsidRPr="00E8656C">
        <w:rPr>
          <w:rFonts w:cs="Arial"/>
          <w:sz w:val="16"/>
          <w:szCs w:val="16"/>
        </w:rPr>
        <w:t>The Social Research Centre Pty Ltd</w:t>
      </w:r>
      <w:r w:rsidRPr="00E8656C">
        <w:rPr>
          <w:rFonts w:cs="Arial"/>
          <w:sz w:val="16"/>
          <w:szCs w:val="16"/>
        </w:rPr>
        <w:br/>
        <w:t>Level 5, 350 Queen Street, Melbourne VIC 3000</w:t>
      </w:r>
      <w:r w:rsidRPr="00E8656C">
        <w:rPr>
          <w:rFonts w:cs="Arial"/>
          <w:sz w:val="16"/>
          <w:szCs w:val="16"/>
        </w:rPr>
        <w:br/>
        <w:t>PO Box 13328, Law Courts VIC 8010</w:t>
      </w:r>
    </w:p>
    <w:p w14:paraId="0CD8F602" w14:textId="77777777" w:rsidR="00AC1207" w:rsidRPr="00E8656C" w:rsidRDefault="00AC1207" w:rsidP="00AC1207">
      <w:pPr>
        <w:spacing w:after="80"/>
        <w:rPr>
          <w:rFonts w:cs="Arial"/>
          <w:sz w:val="16"/>
          <w:szCs w:val="16"/>
        </w:rPr>
      </w:pPr>
      <w:r w:rsidRPr="00E8656C">
        <w:rPr>
          <w:rFonts w:cs="Arial"/>
          <w:sz w:val="16"/>
          <w:szCs w:val="16"/>
        </w:rPr>
        <w:t xml:space="preserve">03 9236 8500 | </w:t>
      </w:r>
      <w:hyperlink r:id="rId101" w:history="1">
        <w:r w:rsidRPr="00E8656C">
          <w:rPr>
            <w:rStyle w:val="Hyperlink"/>
            <w:rFonts w:cs="Arial"/>
            <w:color w:val="auto"/>
            <w:sz w:val="16"/>
            <w:szCs w:val="16"/>
          </w:rPr>
          <w:t>info@srcentre.com.au</w:t>
        </w:r>
      </w:hyperlink>
    </w:p>
    <w:p w14:paraId="7A6264B8" w14:textId="77777777" w:rsidR="00AC1207" w:rsidRPr="00E8656C" w:rsidRDefault="00AC1207" w:rsidP="00AC1207">
      <w:pPr>
        <w:spacing w:after="80"/>
        <w:rPr>
          <w:rFonts w:cs="Arial"/>
          <w:sz w:val="16"/>
          <w:szCs w:val="16"/>
        </w:rPr>
      </w:pPr>
      <w:hyperlink r:id="rId102" w:history="1">
        <w:r w:rsidRPr="00E8656C">
          <w:rPr>
            <w:rStyle w:val="Hyperlink"/>
            <w:rFonts w:cs="Arial"/>
            <w:b/>
            <w:bCs/>
            <w:color w:val="auto"/>
            <w:sz w:val="16"/>
            <w:szCs w:val="16"/>
          </w:rPr>
          <w:t>srcentre.com.au</w:t>
        </w:r>
      </w:hyperlink>
    </w:p>
    <w:p w14:paraId="2BBED750" w14:textId="77777777" w:rsidR="00AC1207" w:rsidRPr="00E8656C" w:rsidRDefault="00AC1207" w:rsidP="00AC1207">
      <w:pPr>
        <w:spacing w:before="120"/>
        <w:rPr>
          <w:rFonts w:asciiTheme="minorBidi" w:hAnsiTheme="minorBidi"/>
          <w:sz w:val="12"/>
          <w:szCs w:val="12"/>
        </w:rPr>
      </w:pPr>
      <w:r w:rsidRPr="00E8656C">
        <w:rPr>
          <w:rFonts w:cs="Arial"/>
          <w:sz w:val="12"/>
          <w:szCs w:val="12"/>
        </w:rPr>
        <w:br/>
        <w:t xml:space="preserve">The version of this publication is aimed to assist those with various </w:t>
      </w:r>
      <w:r w:rsidRPr="00E8656C">
        <w:rPr>
          <w:rFonts w:cs="Arial"/>
          <w:sz w:val="12"/>
          <w:szCs w:val="12"/>
        </w:rPr>
        <w:br/>
        <w:t xml:space="preserve">vision impairments; however, The Social Research Centre and its </w:t>
      </w:r>
      <w:r w:rsidRPr="00E8656C">
        <w:rPr>
          <w:rFonts w:cs="Arial"/>
          <w:sz w:val="12"/>
          <w:szCs w:val="12"/>
        </w:rPr>
        <w:br/>
        <w:t xml:space="preserve">employees do not guarantee that the publication meets all broad </w:t>
      </w:r>
      <w:r w:rsidRPr="00E8656C">
        <w:rPr>
          <w:rFonts w:cs="Arial"/>
          <w:sz w:val="12"/>
          <w:szCs w:val="12"/>
        </w:rPr>
        <w:br/>
        <w:t xml:space="preserve">accessibility standards and therefore disclaim all liability for any </w:t>
      </w:r>
      <w:r w:rsidRPr="00E8656C">
        <w:rPr>
          <w:rFonts w:cs="Arial"/>
          <w:sz w:val="12"/>
          <w:szCs w:val="12"/>
        </w:rPr>
        <w:br/>
        <w:t xml:space="preserve">inconvenience or other consequence that may arise from readers </w:t>
      </w:r>
      <w:r w:rsidRPr="00E8656C">
        <w:rPr>
          <w:rFonts w:cs="Arial"/>
          <w:sz w:val="12"/>
          <w:szCs w:val="12"/>
        </w:rPr>
        <w:br/>
        <w:t xml:space="preserve">relying on this publication. Please contact The Social Research </w:t>
      </w:r>
      <w:r w:rsidRPr="00E8656C">
        <w:rPr>
          <w:rFonts w:cs="Arial"/>
          <w:sz w:val="12"/>
          <w:szCs w:val="12"/>
        </w:rPr>
        <w:br/>
        <w:t>Centre if you require further assistance.</w:t>
      </w:r>
      <w:r w:rsidRPr="00E8656C">
        <w:rPr>
          <w:rFonts w:asciiTheme="minorBidi" w:hAnsiTheme="minorBidi"/>
          <w:sz w:val="12"/>
          <w:szCs w:val="12"/>
        </w:rPr>
        <w:br/>
      </w:r>
      <w:r w:rsidRPr="00E8656C">
        <w:rPr>
          <w:rFonts w:asciiTheme="minorBidi" w:hAnsiTheme="minorBidi"/>
          <w:sz w:val="12"/>
          <w:szCs w:val="12"/>
        </w:rPr>
        <w:br/>
      </w:r>
      <w:r w:rsidRPr="00E8656C">
        <w:rPr>
          <w:rFonts w:asciiTheme="minorBidi" w:hAnsiTheme="minorBidi"/>
          <w:sz w:val="12"/>
          <w:szCs w:val="12"/>
        </w:rPr>
        <w:br/>
      </w:r>
    </w:p>
    <w:p w14:paraId="6165FC3A" w14:textId="5356E444" w:rsidR="00AC1207" w:rsidRPr="00182A31" w:rsidRDefault="00AC1207" w:rsidP="00AC1207">
      <w:pPr>
        <w:pStyle w:val="Noteupdate"/>
        <w:rPr>
          <w:color w:val="auto"/>
          <w:sz w:val="18"/>
          <w:szCs w:val="18"/>
        </w:rPr>
      </w:pPr>
      <w:r w:rsidRPr="00E8656C">
        <w:rPr>
          <w:rFonts w:asciiTheme="minorBidi" w:hAnsiTheme="minorBidi"/>
          <w:noProof/>
          <w:color w:val="auto"/>
        </w:rPr>
        <w:drawing>
          <wp:inline distT="0" distB="0" distL="0" distR="0" wp14:anchorId="477FD421" wp14:editId="432CC1F8">
            <wp:extent cx="1806799" cy="609033"/>
            <wp:effectExtent l="0" t="0" r="3175" b="635"/>
            <wp:docPr id="4" name="Picture 4" descr="The Social Research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Social Research Centre logo"/>
                    <pic:cNvPicPr/>
                  </pic:nvPicPr>
                  <pic:blipFill>
                    <a:blip r:embed="rId103">
                      <a:extLst>
                        <a:ext uri="{96DAC541-7B7A-43D3-8B79-37D633B846F1}">
                          <asvg:svgBlip xmlns:asvg="http://schemas.microsoft.com/office/drawing/2016/SVG/main" r:embed="rId104"/>
                        </a:ext>
                      </a:extLst>
                    </a:blip>
                    <a:stretch>
                      <a:fillRect/>
                    </a:stretch>
                  </pic:blipFill>
                  <pic:spPr>
                    <a:xfrm>
                      <a:off x="0" y="0"/>
                      <a:ext cx="1806799" cy="609033"/>
                    </a:xfrm>
                    <a:prstGeom prst="rect">
                      <a:avLst/>
                    </a:prstGeom>
                  </pic:spPr>
                </pic:pic>
              </a:graphicData>
            </a:graphic>
          </wp:inline>
        </w:drawing>
      </w:r>
    </w:p>
    <w:p w14:paraId="3B1D10B5" w14:textId="273F74F6" w:rsidR="00235B23" w:rsidRPr="0066499D" w:rsidRDefault="00235B23" w:rsidP="00380C04">
      <w:pPr>
        <w:pStyle w:val="Noteupdate"/>
        <w:rPr>
          <w:color w:val="auto"/>
        </w:rPr>
      </w:pPr>
    </w:p>
    <w:sectPr w:rsidR="00235B23" w:rsidRPr="0066499D" w:rsidSect="009F79FE">
      <w:footerReference w:type="default" r:id="rId105"/>
      <w:pgSz w:w="11906" w:h="16838" w:code="9"/>
      <w:pgMar w:top="720" w:right="720" w:bottom="720" w:left="720"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127F46" w14:textId="77777777" w:rsidR="008A262C" w:rsidRDefault="008A262C" w:rsidP="00BE7643">
      <w:r>
        <w:separator/>
      </w:r>
    </w:p>
  </w:endnote>
  <w:endnote w:type="continuationSeparator" w:id="0">
    <w:p w14:paraId="56BDE172" w14:textId="77777777" w:rsidR="008A262C" w:rsidRDefault="008A262C" w:rsidP="00BE7643">
      <w:r>
        <w:continuationSeparator/>
      </w:r>
    </w:p>
  </w:endnote>
  <w:endnote w:type="continuationNotice" w:id="1">
    <w:p w14:paraId="11F050C7" w14:textId="77777777" w:rsidR="008A262C" w:rsidRDefault="008A26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Quicksand Light">
    <w:panose1 w:val="00000000000000000000"/>
    <w:charset w:val="00"/>
    <w:family w:val="auto"/>
    <w:pitch w:val="variable"/>
    <w:sig w:usb0="A00000FF" w:usb1="4000205B" w:usb2="00000000" w:usb3="00000000" w:csb0="0000019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Quicksand Medium">
    <w:panose1 w:val="00000000000000000000"/>
    <w:charset w:val="00"/>
    <w:family w:val="auto"/>
    <w:pitch w:val="variable"/>
    <w:sig w:usb0="A00000FF" w:usb1="4000205B" w:usb2="00000000" w:usb3="00000000" w:csb0="00000193" w:csb1="00000000"/>
  </w:font>
  <w:font w:name="Arial Nova">
    <w:charset w:val="00"/>
    <w:family w:val="swiss"/>
    <w:pitch w:val="variable"/>
    <w:sig w:usb0="0000028F" w:usb1="00000002" w:usb2="00000000"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DINOT-Light">
    <w:altName w:val="Calibri"/>
    <w:charset w:val="00"/>
    <w:family w:val="auto"/>
    <w:pitch w:val="variable"/>
    <w:sig w:usb0="800000AF" w:usb1="4000207B" w:usb2="00000000" w:usb3="00000000" w:csb0="00000001" w:csb1="00000000"/>
  </w:font>
  <w:font w:name="DINOT-Medium">
    <w:altName w:val="Calibri"/>
    <w:charset w:val="00"/>
    <w:family w:val="auto"/>
    <w:pitch w:val="variable"/>
    <w:sig w:usb0="800000AF" w:usb1="4000207B" w:usb2="00000000" w:usb3="00000000" w:csb0="00000001" w:csb1="00000000"/>
  </w:font>
  <w:font w:name="Arial-BoldMT">
    <w:altName w:val="Arial"/>
    <w:panose1 w:val="00000000000000000000"/>
    <w:charset w:val="4D"/>
    <w:family w:val="auto"/>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Gotham-Light">
    <w:altName w:val="Calibri"/>
    <w:charset w:val="00"/>
    <w:family w:val="auto"/>
    <w:pitch w:val="variable"/>
    <w:sig w:usb0="A100007F" w:usb1="4000005B" w:usb2="00000000" w:usb3="00000000" w:csb0="0000009B" w:csb1="00000000"/>
  </w:font>
  <w:font w:name="CaeciliaLTStd-Heavy">
    <w:altName w:val="Calibri"/>
    <w:charset w:val="00"/>
    <w:family w:val="auto"/>
    <w:pitch w:val="variable"/>
    <w:sig w:usb0="800000AF" w:usb1="5000204A" w:usb2="00000000" w:usb3="00000000" w:csb0="00000001" w:csb1="00000000"/>
  </w:font>
  <w:font w:name="Gotham-Medium">
    <w:altName w:val="Calibri"/>
    <w:charset w:val="00"/>
    <w:family w:val="auto"/>
    <w:pitch w:val="variable"/>
    <w:sig w:usb0="A100007F" w:usb1="4000005B" w:usb2="00000000" w:usb3="00000000" w:csb0="0000009B" w:csb1="00000000"/>
  </w:font>
  <w:font w:name="Gotham-Book">
    <w:altName w:val="Calibri"/>
    <w:charset w:val="00"/>
    <w:family w:val="auto"/>
    <w:pitch w:val="variable"/>
    <w:sig w:usb0="A100007F" w:usb1="4000005B" w:usb2="00000000" w:usb3="00000000" w:csb0="0000009B" w:csb1="00000000"/>
  </w:font>
  <w:font w:name="VIC-Regular">
    <w:altName w:val="Calibri"/>
    <w:charset w:val="00"/>
    <w:family w:val="auto"/>
    <w:pitch w:val="variable"/>
    <w:sig w:usb0="00000007" w:usb1="00000000" w:usb2="00000000" w:usb3="00000000" w:csb0="00000093" w:csb1="00000000"/>
  </w:font>
  <w:font w:name="Arial-Black">
    <w:altName w:val="Arial Black"/>
    <w:panose1 w:val="00000000000000000000"/>
    <w:charset w:val="4D"/>
    <w:family w:val="auto"/>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Grande">
    <w:altName w:val="Segoe UI"/>
    <w:charset w:val="00"/>
    <w:family w:val="swiss"/>
    <w:pitch w:val="variable"/>
    <w:sig w:usb0="E1000AEF" w:usb1="5000A1FF" w:usb2="00000000" w:usb3="00000000" w:csb0="000001BF" w:csb1="00000000"/>
  </w:font>
  <w:font w:name="Klavika">
    <w:altName w:val="Calibri"/>
    <w:charset w:val="00"/>
    <w:family w:val="auto"/>
    <w:pitch w:val="variable"/>
    <w:sig w:usb0="A00000AF" w:usb1="5000204A" w:usb2="00000000" w:usb3="00000000" w:csb0="0000009F" w:csb1="00000000"/>
  </w:font>
  <w:font w:name="Atletico">
    <w:charset w:val="00"/>
    <w:family w:val="auto"/>
    <w:pitch w:val="variable"/>
    <w:sig w:usb0="00000007" w:usb1="00000001" w:usb2="00000000" w:usb3="00000000" w:csb0="00000093" w:csb1="00000000"/>
  </w:font>
  <w:font w:name="Segoe UI">
    <w:panose1 w:val="020B0502040204020203"/>
    <w:charset w:val="00"/>
    <w:family w:val="swiss"/>
    <w:pitch w:val="variable"/>
    <w:sig w:usb0="E4002EFF" w:usb1="C000E47F" w:usb2="00000009" w:usb3="00000000" w:csb0="000001FF" w:csb1="00000000"/>
  </w:font>
  <w:font w:name="Calibri-Bold">
    <w:altName w:val="Calibri"/>
    <w:charset w:val="4D"/>
    <w:family w:val="auto"/>
    <w:pitch w:val="default"/>
    <w:sig w:usb0="00000003" w:usb1="00000000" w:usb2="00000000" w:usb3="00000000" w:csb0="00000001" w:csb1="00000000"/>
  </w:font>
  <w:font w:name="Calibri-Light">
    <w:altName w:val="Calibri"/>
    <w:charset w:val="4D"/>
    <w:family w:val="auto"/>
    <w:pitch w:val="default"/>
    <w:sig w:usb0="00000003" w:usb1="00000000" w:usb2="00000000" w:usb3="00000000" w:csb0="00000001" w:csb1="00000000"/>
  </w:font>
  <w:font w:name="Lato">
    <w:charset w:val="00"/>
    <w:family w:val="swiss"/>
    <w:pitch w:val="variable"/>
    <w:sig w:usb0="800000AF" w:usb1="4000604A" w:usb2="00000000" w:usb3="00000000" w:csb0="00000093" w:csb1="00000000"/>
  </w:font>
  <w:font w:name="Quicksand SemiBold">
    <w:panose1 w:val="00000000000000000000"/>
    <w:charset w:val="00"/>
    <w:family w:val="auto"/>
    <w:pitch w:val="variable"/>
    <w:sig w:usb0="A00000FF" w:usb1="4000205B" w:usb2="00000000" w:usb3="00000000" w:csb0="00000193" w:csb1="00000000"/>
  </w:font>
  <w:font w:name="Quicksand">
    <w:panose1 w:val="00000000000000000000"/>
    <w:charset w:val="00"/>
    <w:family w:val="auto"/>
    <w:pitch w:val="variable"/>
    <w:sig w:usb0="A00000FF" w:usb1="4000205B" w:usb2="00000000" w:usb3="00000000" w:csb0="00000193" w:csb1="00000000"/>
  </w:font>
  <w:font w:name="Public Sans Medium">
    <w:panose1 w:val="00000000000000000000"/>
    <w:charset w:val="00"/>
    <w:family w:val="auto"/>
    <w:pitch w:val="variable"/>
    <w:sig w:usb0="A00000FF" w:usb1="4000205B" w:usb2="00000000" w:usb3="00000000" w:csb0="00000193"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889FA" w14:textId="75D3BE34" w:rsidR="005A5905" w:rsidRPr="00FF67F6" w:rsidRDefault="005A5905" w:rsidP="00695177">
    <w:pPr>
      <w:pStyle w:val="Footerrunning"/>
      <w:tabs>
        <w:tab w:val="right" w:pos="9923"/>
      </w:tabs>
      <w:rPr>
        <w:rFonts w:ascii="Arial" w:hAnsi="Arial" w:cs="Arial"/>
        <w:sz w:val="16"/>
        <w:szCs w:val="16"/>
      </w:rPr>
    </w:pPr>
    <w:r w:rsidRPr="00FF67F6">
      <w:rPr>
        <w:rFonts w:ascii="Arial" w:hAnsi="Arial" w:cs="Arial"/>
        <w:sz w:val="16"/>
        <w:szCs w:val="16"/>
      </w:rPr>
      <w:t>20</w:t>
    </w:r>
    <w:r>
      <w:rPr>
        <w:rFonts w:ascii="Arial" w:hAnsi="Arial" w:cs="Arial"/>
        <w:sz w:val="16"/>
        <w:szCs w:val="16"/>
      </w:rPr>
      <w:t>2</w:t>
    </w:r>
    <w:r w:rsidR="005F15C0">
      <w:rPr>
        <w:rFonts w:ascii="Arial" w:hAnsi="Arial" w:cs="Arial"/>
        <w:sz w:val="16"/>
        <w:szCs w:val="16"/>
      </w:rPr>
      <w:t>4</w:t>
    </w:r>
    <w:r w:rsidRPr="00FF67F6">
      <w:rPr>
        <w:rFonts w:ascii="Arial" w:hAnsi="Arial" w:cs="Arial"/>
        <w:sz w:val="16"/>
        <w:szCs w:val="16"/>
      </w:rPr>
      <w:t xml:space="preserve"> </w:t>
    </w:r>
    <w:r>
      <w:rPr>
        <w:rFonts w:ascii="Arial" w:hAnsi="Arial" w:cs="Arial"/>
        <w:sz w:val="16"/>
        <w:szCs w:val="16"/>
      </w:rPr>
      <w:t>S</w:t>
    </w:r>
    <w:r w:rsidR="005F15C0">
      <w:rPr>
        <w:rFonts w:ascii="Arial" w:hAnsi="Arial" w:cs="Arial"/>
        <w:sz w:val="16"/>
        <w:szCs w:val="16"/>
      </w:rPr>
      <w:t>tudent Experience Survey</w:t>
    </w:r>
    <w:r>
      <w:rPr>
        <w:rFonts w:ascii="Arial" w:hAnsi="Arial" w:cs="Arial"/>
        <w:sz w:val="16"/>
        <w:szCs w:val="16"/>
      </w:rPr>
      <w:t xml:space="preserve"> </w:t>
    </w:r>
    <w:r w:rsidRPr="00FF67F6">
      <w:rPr>
        <w:rFonts w:ascii="Arial" w:hAnsi="Arial" w:cs="Arial"/>
        <w:sz w:val="16"/>
        <w:szCs w:val="16"/>
      </w:rPr>
      <w:t>National Report</w:t>
    </w:r>
    <w:r w:rsidR="00695177">
      <w:rPr>
        <w:rFonts w:ascii="Arial" w:hAnsi="Arial" w:cs="Arial"/>
        <w:sz w:val="16"/>
        <w:szCs w:val="16"/>
      </w:rPr>
      <w:t xml:space="preserve"> </w:t>
    </w:r>
    <w:r w:rsidR="004D7A82">
      <w:rPr>
        <w:rFonts w:ascii="Arial" w:hAnsi="Arial" w:cs="Arial"/>
        <w:sz w:val="16"/>
        <w:szCs w:val="16"/>
      </w:rPr>
      <w:t>– Accessible</w:t>
    </w:r>
    <w:r w:rsidR="00286CA2">
      <w:rPr>
        <w:rFonts w:ascii="Arial" w:hAnsi="Arial" w:cs="Arial"/>
        <w:sz w:val="16"/>
        <w:szCs w:val="16"/>
      </w:rPr>
      <w:tab/>
    </w:r>
    <w:r w:rsidRPr="00FF67F6">
      <w:rPr>
        <w:rFonts w:ascii="Arial" w:hAnsi="Arial" w:cs="Arial"/>
        <w:sz w:val="16"/>
        <w:szCs w:val="16"/>
      </w:rPr>
      <w:fldChar w:fldCharType="begin"/>
    </w:r>
    <w:r w:rsidRPr="00FF67F6">
      <w:rPr>
        <w:rFonts w:ascii="Arial" w:hAnsi="Arial" w:cs="Arial"/>
        <w:sz w:val="16"/>
        <w:szCs w:val="16"/>
      </w:rPr>
      <w:instrText xml:space="preserve"> PAGE </w:instrText>
    </w:r>
    <w:r w:rsidRPr="00FF67F6">
      <w:rPr>
        <w:rFonts w:ascii="Arial" w:hAnsi="Arial" w:cs="Arial"/>
        <w:sz w:val="16"/>
        <w:szCs w:val="16"/>
      </w:rPr>
      <w:fldChar w:fldCharType="separate"/>
    </w:r>
    <w:r>
      <w:rPr>
        <w:rFonts w:ascii="Arial" w:hAnsi="Arial" w:cs="Arial"/>
        <w:noProof/>
        <w:sz w:val="16"/>
        <w:szCs w:val="16"/>
      </w:rPr>
      <w:t>26</w:t>
    </w:r>
    <w:r w:rsidRPr="00FF67F6">
      <w:rPr>
        <w:rFonts w:ascii="Arial" w:hAnsi="Arial" w:cs="Arial"/>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9386BD" w14:textId="43190A44" w:rsidR="0017622C" w:rsidRPr="00FF67F6" w:rsidRDefault="00C358E5" w:rsidP="00695177">
    <w:pPr>
      <w:pStyle w:val="Footerrunning"/>
      <w:tabs>
        <w:tab w:val="right" w:pos="9498"/>
      </w:tabs>
      <w:rPr>
        <w:rFonts w:ascii="Arial" w:hAnsi="Arial" w:cs="Arial"/>
        <w:sz w:val="16"/>
        <w:szCs w:val="16"/>
      </w:rPr>
    </w:pPr>
    <w:r w:rsidRPr="00FF67F6">
      <w:rPr>
        <w:rFonts w:ascii="Arial" w:hAnsi="Arial" w:cs="Arial"/>
        <w:sz w:val="16"/>
        <w:szCs w:val="16"/>
      </w:rPr>
      <w:t>20</w:t>
    </w:r>
    <w:r>
      <w:rPr>
        <w:rFonts w:ascii="Arial" w:hAnsi="Arial" w:cs="Arial"/>
        <w:sz w:val="16"/>
        <w:szCs w:val="16"/>
      </w:rPr>
      <w:t>24</w:t>
    </w:r>
    <w:r w:rsidRPr="00FF67F6">
      <w:rPr>
        <w:rFonts w:ascii="Arial" w:hAnsi="Arial" w:cs="Arial"/>
        <w:sz w:val="16"/>
        <w:szCs w:val="16"/>
      </w:rPr>
      <w:t xml:space="preserve"> </w:t>
    </w:r>
    <w:r w:rsidR="0017622C">
      <w:rPr>
        <w:rFonts w:ascii="Arial" w:hAnsi="Arial" w:cs="Arial"/>
        <w:sz w:val="16"/>
        <w:szCs w:val="16"/>
      </w:rPr>
      <w:t>S</w:t>
    </w:r>
    <w:r w:rsidR="00E645CA">
      <w:rPr>
        <w:rFonts w:ascii="Arial" w:hAnsi="Arial" w:cs="Arial"/>
        <w:sz w:val="16"/>
        <w:szCs w:val="16"/>
      </w:rPr>
      <w:t>tudent Experience Survey</w:t>
    </w:r>
    <w:r w:rsidR="0017622C">
      <w:rPr>
        <w:rFonts w:ascii="Arial" w:hAnsi="Arial" w:cs="Arial"/>
        <w:sz w:val="16"/>
        <w:szCs w:val="16"/>
      </w:rPr>
      <w:t xml:space="preserve"> </w:t>
    </w:r>
    <w:r w:rsidR="0017622C" w:rsidRPr="00FF67F6">
      <w:rPr>
        <w:rFonts w:ascii="Arial" w:hAnsi="Arial" w:cs="Arial"/>
        <w:sz w:val="16"/>
        <w:szCs w:val="16"/>
      </w:rPr>
      <w:t>National Report</w:t>
    </w:r>
    <w:r w:rsidR="00695177">
      <w:rPr>
        <w:rFonts w:ascii="Arial" w:hAnsi="Arial" w:cs="Arial"/>
        <w:sz w:val="16"/>
        <w:szCs w:val="16"/>
      </w:rPr>
      <w:t xml:space="preserve"> </w:t>
    </w:r>
    <w:r w:rsidR="004D7A82">
      <w:rPr>
        <w:rFonts w:ascii="Arial" w:hAnsi="Arial" w:cs="Arial"/>
        <w:sz w:val="16"/>
        <w:szCs w:val="16"/>
      </w:rPr>
      <w:t xml:space="preserve">– Accessible </w:t>
    </w:r>
    <w:r w:rsidR="00695177">
      <w:rPr>
        <w:rFonts w:ascii="Arial" w:hAnsi="Arial" w:cs="Arial"/>
        <w:sz w:val="16"/>
        <w:szCs w:val="16"/>
      </w:rPr>
      <w:tab/>
    </w:r>
    <w:r w:rsidR="0017622C" w:rsidRPr="00FF67F6">
      <w:rPr>
        <w:rFonts w:ascii="Arial" w:hAnsi="Arial" w:cs="Arial"/>
        <w:sz w:val="16"/>
        <w:szCs w:val="16"/>
      </w:rPr>
      <w:fldChar w:fldCharType="begin"/>
    </w:r>
    <w:r w:rsidR="0017622C" w:rsidRPr="00FF67F6">
      <w:rPr>
        <w:rFonts w:ascii="Arial" w:hAnsi="Arial" w:cs="Arial"/>
        <w:sz w:val="16"/>
        <w:szCs w:val="16"/>
      </w:rPr>
      <w:instrText xml:space="preserve"> PAGE </w:instrText>
    </w:r>
    <w:r w:rsidR="0017622C" w:rsidRPr="00FF67F6">
      <w:rPr>
        <w:rFonts w:ascii="Arial" w:hAnsi="Arial" w:cs="Arial"/>
        <w:sz w:val="16"/>
        <w:szCs w:val="16"/>
      </w:rPr>
      <w:fldChar w:fldCharType="separate"/>
    </w:r>
    <w:r w:rsidR="0017622C">
      <w:rPr>
        <w:rFonts w:ascii="Arial" w:hAnsi="Arial" w:cs="Arial"/>
        <w:noProof/>
        <w:sz w:val="16"/>
        <w:szCs w:val="16"/>
      </w:rPr>
      <w:t>26</w:t>
    </w:r>
    <w:r w:rsidR="0017622C" w:rsidRPr="00FF67F6">
      <w:rPr>
        <w:rFonts w:ascii="Arial" w:hAnsi="Arial" w:cs="Arial"/>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3E8F8B" w14:textId="69283E30" w:rsidR="000B11BE" w:rsidRPr="00FF67F6" w:rsidRDefault="000B11BE" w:rsidP="000B11BE">
    <w:pPr>
      <w:pStyle w:val="Footerrunning"/>
      <w:tabs>
        <w:tab w:val="right" w:pos="15168"/>
      </w:tabs>
      <w:rPr>
        <w:rFonts w:ascii="Arial" w:hAnsi="Arial" w:cs="Arial"/>
        <w:sz w:val="16"/>
        <w:szCs w:val="16"/>
      </w:rPr>
    </w:pPr>
    <w:r w:rsidRPr="00FF67F6">
      <w:rPr>
        <w:rFonts w:ascii="Arial" w:hAnsi="Arial" w:cs="Arial"/>
        <w:sz w:val="16"/>
        <w:szCs w:val="16"/>
      </w:rPr>
      <w:t>20</w:t>
    </w:r>
    <w:r>
      <w:rPr>
        <w:rFonts w:ascii="Arial" w:hAnsi="Arial" w:cs="Arial"/>
        <w:sz w:val="16"/>
        <w:szCs w:val="16"/>
      </w:rPr>
      <w:t>24</w:t>
    </w:r>
    <w:r w:rsidRPr="00FF67F6">
      <w:rPr>
        <w:rFonts w:ascii="Arial" w:hAnsi="Arial" w:cs="Arial"/>
        <w:sz w:val="16"/>
        <w:szCs w:val="16"/>
      </w:rPr>
      <w:t xml:space="preserve"> </w:t>
    </w:r>
    <w:r>
      <w:rPr>
        <w:rFonts w:ascii="Arial" w:hAnsi="Arial" w:cs="Arial"/>
        <w:sz w:val="16"/>
        <w:szCs w:val="16"/>
      </w:rPr>
      <w:t xml:space="preserve">Student Experience Survey </w:t>
    </w:r>
    <w:r w:rsidRPr="00FF67F6">
      <w:rPr>
        <w:rFonts w:ascii="Arial" w:hAnsi="Arial" w:cs="Arial"/>
        <w:sz w:val="16"/>
        <w:szCs w:val="16"/>
      </w:rPr>
      <w:t>National Report</w:t>
    </w:r>
    <w:r>
      <w:rPr>
        <w:rFonts w:ascii="Arial" w:hAnsi="Arial" w:cs="Arial"/>
        <w:sz w:val="16"/>
        <w:szCs w:val="16"/>
      </w:rPr>
      <w:t xml:space="preserve"> – Accessible </w:t>
    </w:r>
    <w:r>
      <w:rPr>
        <w:rFonts w:ascii="Arial" w:hAnsi="Arial" w:cs="Arial"/>
        <w:sz w:val="16"/>
        <w:szCs w:val="16"/>
      </w:rPr>
      <w:tab/>
    </w:r>
    <w:r w:rsidRPr="00FF67F6">
      <w:rPr>
        <w:rFonts w:ascii="Arial" w:hAnsi="Arial" w:cs="Arial"/>
        <w:sz w:val="16"/>
        <w:szCs w:val="16"/>
      </w:rPr>
      <w:fldChar w:fldCharType="begin"/>
    </w:r>
    <w:r w:rsidRPr="00FF67F6">
      <w:rPr>
        <w:rFonts w:ascii="Arial" w:hAnsi="Arial" w:cs="Arial"/>
        <w:sz w:val="16"/>
        <w:szCs w:val="16"/>
      </w:rPr>
      <w:instrText xml:space="preserve"> PAGE </w:instrText>
    </w:r>
    <w:r w:rsidRPr="00FF67F6">
      <w:rPr>
        <w:rFonts w:ascii="Arial" w:hAnsi="Arial" w:cs="Arial"/>
        <w:sz w:val="16"/>
        <w:szCs w:val="16"/>
      </w:rPr>
      <w:fldChar w:fldCharType="separate"/>
    </w:r>
    <w:r>
      <w:rPr>
        <w:rFonts w:ascii="Arial" w:hAnsi="Arial" w:cs="Arial"/>
        <w:noProof/>
        <w:sz w:val="16"/>
        <w:szCs w:val="16"/>
      </w:rPr>
      <w:t>26</w:t>
    </w:r>
    <w:r w:rsidRPr="00FF67F6">
      <w:rPr>
        <w:rFonts w:ascii="Arial" w:hAnsi="Arial" w:cs="Arial"/>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D9E972" w14:textId="578090F4" w:rsidR="000B11BE" w:rsidRPr="00FF67F6" w:rsidRDefault="000B11BE" w:rsidP="000B11BE">
    <w:pPr>
      <w:pStyle w:val="Footerrunning"/>
      <w:tabs>
        <w:tab w:val="right" w:pos="10065"/>
      </w:tabs>
      <w:rPr>
        <w:rFonts w:ascii="Arial" w:hAnsi="Arial" w:cs="Arial"/>
        <w:sz w:val="16"/>
        <w:szCs w:val="16"/>
      </w:rPr>
    </w:pPr>
    <w:r w:rsidRPr="00FF67F6">
      <w:rPr>
        <w:rFonts w:ascii="Arial" w:hAnsi="Arial" w:cs="Arial"/>
        <w:sz w:val="16"/>
        <w:szCs w:val="16"/>
      </w:rPr>
      <w:t>20</w:t>
    </w:r>
    <w:r>
      <w:rPr>
        <w:rFonts w:ascii="Arial" w:hAnsi="Arial" w:cs="Arial"/>
        <w:sz w:val="16"/>
        <w:szCs w:val="16"/>
      </w:rPr>
      <w:t>24</w:t>
    </w:r>
    <w:r w:rsidRPr="00FF67F6">
      <w:rPr>
        <w:rFonts w:ascii="Arial" w:hAnsi="Arial" w:cs="Arial"/>
        <w:sz w:val="16"/>
        <w:szCs w:val="16"/>
      </w:rPr>
      <w:t xml:space="preserve"> </w:t>
    </w:r>
    <w:r>
      <w:rPr>
        <w:rFonts w:ascii="Arial" w:hAnsi="Arial" w:cs="Arial"/>
        <w:sz w:val="16"/>
        <w:szCs w:val="16"/>
      </w:rPr>
      <w:t xml:space="preserve">Student Experience Survey </w:t>
    </w:r>
    <w:r w:rsidRPr="00FF67F6">
      <w:rPr>
        <w:rFonts w:ascii="Arial" w:hAnsi="Arial" w:cs="Arial"/>
        <w:sz w:val="16"/>
        <w:szCs w:val="16"/>
      </w:rPr>
      <w:t>National Report</w:t>
    </w:r>
    <w:r>
      <w:rPr>
        <w:rFonts w:ascii="Arial" w:hAnsi="Arial" w:cs="Arial"/>
        <w:sz w:val="16"/>
        <w:szCs w:val="16"/>
      </w:rPr>
      <w:t xml:space="preserve"> – Accessible </w:t>
    </w:r>
    <w:r>
      <w:rPr>
        <w:rFonts w:ascii="Arial" w:hAnsi="Arial" w:cs="Arial"/>
        <w:sz w:val="16"/>
        <w:szCs w:val="16"/>
      </w:rPr>
      <w:tab/>
    </w:r>
    <w:r>
      <w:rPr>
        <w:rFonts w:ascii="Arial" w:hAnsi="Arial" w:cs="Arial"/>
        <w:sz w:val="16"/>
        <w:szCs w:val="16"/>
      </w:rPr>
      <w:tab/>
    </w:r>
    <w:r w:rsidRPr="00FF67F6">
      <w:rPr>
        <w:rFonts w:ascii="Arial" w:hAnsi="Arial" w:cs="Arial"/>
        <w:sz w:val="16"/>
        <w:szCs w:val="16"/>
      </w:rPr>
      <w:fldChar w:fldCharType="begin"/>
    </w:r>
    <w:r w:rsidRPr="00FF67F6">
      <w:rPr>
        <w:rFonts w:ascii="Arial" w:hAnsi="Arial" w:cs="Arial"/>
        <w:sz w:val="16"/>
        <w:szCs w:val="16"/>
      </w:rPr>
      <w:instrText xml:space="preserve"> PAGE </w:instrText>
    </w:r>
    <w:r w:rsidRPr="00FF67F6">
      <w:rPr>
        <w:rFonts w:ascii="Arial" w:hAnsi="Arial" w:cs="Arial"/>
        <w:sz w:val="16"/>
        <w:szCs w:val="16"/>
      </w:rPr>
      <w:fldChar w:fldCharType="separate"/>
    </w:r>
    <w:r>
      <w:rPr>
        <w:rFonts w:ascii="Arial" w:hAnsi="Arial" w:cs="Arial"/>
        <w:noProof/>
        <w:sz w:val="16"/>
        <w:szCs w:val="16"/>
      </w:rPr>
      <w:t>26</w:t>
    </w:r>
    <w:r w:rsidRPr="00FF67F6">
      <w:rPr>
        <w:rFonts w:ascii="Arial" w:hAnsi="Arial" w:cs="Arial"/>
        <w:sz w:val="16"/>
        <w:szCs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6C865" w14:textId="093547E6" w:rsidR="000B11BE" w:rsidRPr="00FF67F6" w:rsidRDefault="000B11BE" w:rsidP="000B11BE">
    <w:pPr>
      <w:pStyle w:val="Footerrunning"/>
      <w:tabs>
        <w:tab w:val="right" w:pos="15309"/>
      </w:tabs>
      <w:rPr>
        <w:rFonts w:ascii="Arial" w:hAnsi="Arial" w:cs="Arial"/>
        <w:sz w:val="16"/>
        <w:szCs w:val="16"/>
      </w:rPr>
    </w:pPr>
    <w:r w:rsidRPr="00FF67F6">
      <w:rPr>
        <w:rFonts w:ascii="Arial" w:hAnsi="Arial" w:cs="Arial"/>
        <w:sz w:val="16"/>
        <w:szCs w:val="16"/>
      </w:rPr>
      <w:t>20</w:t>
    </w:r>
    <w:r>
      <w:rPr>
        <w:rFonts w:ascii="Arial" w:hAnsi="Arial" w:cs="Arial"/>
        <w:sz w:val="16"/>
        <w:szCs w:val="16"/>
      </w:rPr>
      <w:t>24</w:t>
    </w:r>
    <w:r w:rsidRPr="00FF67F6">
      <w:rPr>
        <w:rFonts w:ascii="Arial" w:hAnsi="Arial" w:cs="Arial"/>
        <w:sz w:val="16"/>
        <w:szCs w:val="16"/>
      </w:rPr>
      <w:t xml:space="preserve"> </w:t>
    </w:r>
    <w:r>
      <w:rPr>
        <w:rFonts w:ascii="Arial" w:hAnsi="Arial" w:cs="Arial"/>
        <w:sz w:val="16"/>
        <w:szCs w:val="16"/>
      </w:rPr>
      <w:t xml:space="preserve">Student Experience Survey </w:t>
    </w:r>
    <w:r w:rsidRPr="00FF67F6">
      <w:rPr>
        <w:rFonts w:ascii="Arial" w:hAnsi="Arial" w:cs="Arial"/>
        <w:sz w:val="16"/>
        <w:szCs w:val="16"/>
      </w:rPr>
      <w:t>National Report</w:t>
    </w:r>
    <w:r>
      <w:rPr>
        <w:rFonts w:ascii="Arial" w:hAnsi="Arial" w:cs="Arial"/>
        <w:sz w:val="16"/>
        <w:szCs w:val="16"/>
      </w:rPr>
      <w:t xml:space="preserve"> – Accessible </w:t>
    </w:r>
    <w:r>
      <w:rPr>
        <w:rFonts w:ascii="Arial" w:hAnsi="Arial" w:cs="Arial"/>
        <w:sz w:val="16"/>
        <w:szCs w:val="16"/>
      </w:rPr>
      <w:tab/>
    </w:r>
    <w:r w:rsidRPr="00FF67F6">
      <w:rPr>
        <w:rFonts w:ascii="Arial" w:hAnsi="Arial" w:cs="Arial"/>
        <w:sz w:val="16"/>
        <w:szCs w:val="16"/>
      </w:rPr>
      <w:fldChar w:fldCharType="begin"/>
    </w:r>
    <w:r w:rsidRPr="00FF67F6">
      <w:rPr>
        <w:rFonts w:ascii="Arial" w:hAnsi="Arial" w:cs="Arial"/>
        <w:sz w:val="16"/>
        <w:szCs w:val="16"/>
      </w:rPr>
      <w:instrText xml:space="preserve"> PAGE </w:instrText>
    </w:r>
    <w:r w:rsidRPr="00FF67F6">
      <w:rPr>
        <w:rFonts w:ascii="Arial" w:hAnsi="Arial" w:cs="Arial"/>
        <w:sz w:val="16"/>
        <w:szCs w:val="16"/>
      </w:rPr>
      <w:fldChar w:fldCharType="separate"/>
    </w:r>
    <w:r>
      <w:rPr>
        <w:rFonts w:ascii="Arial" w:hAnsi="Arial" w:cs="Arial"/>
        <w:noProof/>
        <w:sz w:val="16"/>
        <w:szCs w:val="16"/>
      </w:rPr>
      <w:t>26</w:t>
    </w:r>
    <w:r w:rsidRPr="00FF67F6">
      <w:rPr>
        <w:rFonts w:ascii="Arial" w:hAnsi="Arial" w:cs="Arial"/>
        <w:sz w:val="16"/>
        <w:szCs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306FF0" w14:textId="0A6DC92F" w:rsidR="004F5DBB" w:rsidRPr="004F5DBB" w:rsidRDefault="004F5DBB" w:rsidP="004F5DB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250DC" w14:textId="77777777" w:rsidR="00AC1207" w:rsidRPr="00FF67F6" w:rsidRDefault="00AC1207" w:rsidP="000B11BE">
    <w:pPr>
      <w:pStyle w:val="Footerrunning"/>
      <w:tabs>
        <w:tab w:val="right" w:pos="15309"/>
      </w:tabs>
      <w:rPr>
        <w:rFonts w:ascii="Arial" w:hAnsi="Arial" w:cs="Arial"/>
        <w:sz w:val="16"/>
        <w:szCs w:val="16"/>
      </w:rPr>
    </w:pPr>
    <w:r w:rsidRPr="00FF67F6">
      <w:rPr>
        <w:rFonts w:ascii="Arial" w:hAnsi="Arial" w:cs="Arial"/>
        <w:sz w:val="16"/>
        <w:szCs w:val="16"/>
      </w:rPr>
      <w:t>20</w:t>
    </w:r>
    <w:r>
      <w:rPr>
        <w:rFonts w:ascii="Arial" w:hAnsi="Arial" w:cs="Arial"/>
        <w:sz w:val="16"/>
        <w:szCs w:val="16"/>
      </w:rPr>
      <w:t>24</w:t>
    </w:r>
    <w:r w:rsidRPr="00FF67F6">
      <w:rPr>
        <w:rFonts w:ascii="Arial" w:hAnsi="Arial" w:cs="Arial"/>
        <w:sz w:val="16"/>
        <w:szCs w:val="16"/>
      </w:rPr>
      <w:t xml:space="preserve"> </w:t>
    </w:r>
    <w:r>
      <w:rPr>
        <w:rFonts w:ascii="Arial" w:hAnsi="Arial" w:cs="Arial"/>
        <w:sz w:val="16"/>
        <w:szCs w:val="16"/>
      </w:rPr>
      <w:t xml:space="preserve">Student Experience Survey </w:t>
    </w:r>
    <w:r w:rsidRPr="00FF67F6">
      <w:rPr>
        <w:rFonts w:ascii="Arial" w:hAnsi="Arial" w:cs="Arial"/>
        <w:sz w:val="16"/>
        <w:szCs w:val="16"/>
      </w:rPr>
      <w:t>National Report</w:t>
    </w:r>
    <w:r>
      <w:rPr>
        <w:rFonts w:ascii="Arial" w:hAnsi="Arial" w:cs="Arial"/>
        <w:sz w:val="16"/>
        <w:szCs w:val="16"/>
      </w:rPr>
      <w:t xml:space="preserve"> – Accessible </w:t>
    </w:r>
    <w:r>
      <w:rPr>
        <w:rFonts w:ascii="Arial" w:hAnsi="Arial" w:cs="Arial"/>
        <w:sz w:val="16"/>
        <w:szCs w:val="16"/>
      </w:rPr>
      <w:tab/>
    </w:r>
    <w:r w:rsidRPr="00FF67F6">
      <w:rPr>
        <w:rFonts w:ascii="Arial" w:hAnsi="Arial" w:cs="Arial"/>
        <w:sz w:val="16"/>
        <w:szCs w:val="16"/>
      </w:rPr>
      <w:fldChar w:fldCharType="begin"/>
    </w:r>
    <w:r w:rsidRPr="00FF67F6">
      <w:rPr>
        <w:rFonts w:ascii="Arial" w:hAnsi="Arial" w:cs="Arial"/>
        <w:sz w:val="16"/>
        <w:szCs w:val="16"/>
      </w:rPr>
      <w:instrText xml:space="preserve"> PAGE </w:instrText>
    </w:r>
    <w:r w:rsidRPr="00FF67F6">
      <w:rPr>
        <w:rFonts w:ascii="Arial" w:hAnsi="Arial" w:cs="Arial"/>
        <w:sz w:val="16"/>
        <w:szCs w:val="16"/>
      </w:rPr>
      <w:fldChar w:fldCharType="separate"/>
    </w:r>
    <w:r>
      <w:rPr>
        <w:rFonts w:ascii="Arial" w:hAnsi="Arial" w:cs="Arial"/>
        <w:noProof/>
        <w:sz w:val="16"/>
        <w:szCs w:val="16"/>
      </w:rPr>
      <w:t>26</w:t>
    </w:r>
    <w:r w:rsidRPr="00FF67F6">
      <w:rPr>
        <w:rFonts w:ascii="Arial" w:hAnsi="Arial" w:cs="Arial"/>
        <w:sz w:val="16"/>
        <w:szCs w:val="1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BC60E2" w14:textId="07DDB4CB" w:rsidR="00AC1207" w:rsidRPr="00AC1207" w:rsidRDefault="00AC1207" w:rsidP="00AC12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41D4D5" w14:textId="77777777" w:rsidR="008A262C" w:rsidRDefault="008A262C" w:rsidP="00BE7643">
      <w:r>
        <w:separator/>
      </w:r>
    </w:p>
  </w:footnote>
  <w:footnote w:type="continuationSeparator" w:id="0">
    <w:p w14:paraId="69BCE0B8" w14:textId="77777777" w:rsidR="008A262C" w:rsidRDefault="008A262C" w:rsidP="00BE7643">
      <w:r>
        <w:continuationSeparator/>
      </w:r>
    </w:p>
  </w:footnote>
  <w:footnote w:type="continuationNotice" w:id="1">
    <w:p w14:paraId="14A60C68" w14:textId="77777777" w:rsidR="008A262C" w:rsidRDefault="008A262C"/>
  </w:footnote>
  <w:footnote w:id="2">
    <w:p w14:paraId="121DD50A" w14:textId="0FF2AD19" w:rsidR="00276E88" w:rsidRDefault="00276E88">
      <w:pPr>
        <w:pStyle w:val="FootnoteText"/>
      </w:pPr>
      <w:r>
        <w:rPr>
          <w:rStyle w:val="FootnoteReference"/>
        </w:rPr>
        <w:footnoteRef/>
      </w:r>
      <w:r>
        <w:t xml:space="preserve"> Study Mode is derived from </w:t>
      </w:r>
      <w:r w:rsidR="00CF262D">
        <w:t>TCSI element E329 Mode of Attendance Code</w:t>
      </w:r>
    </w:p>
  </w:footnote>
  <w:footnote w:id="3">
    <w:p w14:paraId="224572F2" w14:textId="597B7D75" w:rsidR="000C5C43" w:rsidRDefault="000C5C43">
      <w:pPr>
        <w:pStyle w:val="FootnoteText"/>
      </w:pPr>
      <w:r>
        <w:rPr>
          <w:rStyle w:val="FootnoteReference"/>
        </w:rPr>
        <w:footnoteRef/>
      </w:r>
      <w:r>
        <w:t xml:space="preserve"> </w:t>
      </w:r>
      <w:r w:rsidRPr="000C5C43">
        <w:t xml:space="preserve">Internal mode of attendance is where (i) the study is undertaken through attendance at the higher education provider on a regular basis, or (ii) for higher degree unit enrolments, where regular attendance is not required but the student attends the higher education provider on an agreed schedule for the purposes of supervision and/or instruction. External mode of attendance is where lesson materials, assignments, etc. are delivered to the student, and any associated attendance at the institution is of an incidental, irregular, special or voluntary nature. </w:t>
      </w:r>
      <w:r>
        <w:t>Multi-</w:t>
      </w:r>
      <w:r w:rsidRPr="000C5C43">
        <w:t>mode of attendance is where study is undertaken partially on an internal mode of attendance and partially on an external mode of attendance.</w:t>
      </w:r>
    </w:p>
  </w:footnote>
  <w:footnote w:id="4">
    <w:p w14:paraId="4DE8381B" w14:textId="77777777" w:rsidR="003974BB" w:rsidRPr="006C0171" w:rsidRDefault="003974BB" w:rsidP="003974BB">
      <w:pPr>
        <w:pStyle w:val="FootnoteText"/>
        <w:rPr>
          <w:rFonts w:cs="Arial"/>
          <w:szCs w:val="16"/>
          <w:lang w:val="en-AU"/>
        </w:rPr>
      </w:pPr>
      <w:r w:rsidRPr="006C0171">
        <w:rPr>
          <w:rStyle w:val="FootnoteReference"/>
          <w:rFonts w:cs="Arial"/>
          <w:szCs w:val="16"/>
        </w:rPr>
        <w:footnoteRef/>
      </w:r>
      <w:r w:rsidRPr="006C0171">
        <w:rPr>
          <w:rFonts w:cs="Arial"/>
          <w:szCs w:val="16"/>
        </w:rPr>
        <w:t xml:space="preserve"> </w:t>
      </w:r>
      <w:r w:rsidRPr="006C0171">
        <w:rPr>
          <w:rFonts w:cs="Arial"/>
          <w:szCs w:val="16"/>
          <w:lang w:val="en-AU"/>
        </w:rPr>
        <w:t>Later-year students include students in the final year of study from universities and all middle year and final year students from non-university higher education institutions (NUHEIs). A student’s stage of studies is an approximation only based on the ratio of a student’s accumulated equivalent full-time study load (EFTSL) to the total EFTSL of the course they are currently enrolled in.</w:t>
      </w:r>
    </w:p>
  </w:footnote>
  <w:footnote w:id="5">
    <w:p w14:paraId="4D91928C" w14:textId="77777777" w:rsidR="00E210B4" w:rsidRPr="0031075D" w:rsidRDefault="00E210B4" w:rsidP="00E210B4">
      <w:pPr>
        <w:pStyle w:val="FootnoteText"/>
        <w:rPr>
          <w:lang w:val="en-AU"/>
        </w:rPr>
      </w:pPr>
      <w:r>
        <w:rPr>
          <w:rStyle w:val="FootnoteReference"/>
        </w:rPr>
        <w:footnoteRef/>
      </w:r>
      <w:r>
        <w:t xml:space="preserve"> </w:t>
      </w:r>
      <w:bookmarkStart w:id="53" w:name="_Hlk147828398"/>
      <w:r w:rsidRPr="00420ACE">
        <w:rPr>
          <w:rStyle w:val="FigureNoteChar"/>
        </w:rPr>
        <w:t xml:space="preserve">Refer to the </w:t>
      </w:r>
      <w:r w:rsidRPr="00723039">
        <w:rPr>
          <w:rStyle w:val="FigureNoteChar"/>
        </w:rPr>
        <w:t>FOCUS_</w:t>
      </w:r>
      <w:r>
        <w:rPr>
          <w:rStyle w:val="FigureNoteChar"/>
        </w:rPr>
        <w:t>UG</w:t>
      </w:r>
      <w:r w:rsidRPr="00723039">
        <w:rPr>
          <w:rStyle w:val="FigureNoteChar"/>
        </w:rPr>
        <w:t>_ALL_17-YY_SG</w:t>
      </w:r>
      <w:r w:rsidRPr="00420ACE">
        <w:rPr>
          <w:rStyle w:val="FigureNoteChar"/>
        </w:rPr>
        <w:t xml:space="preserve"> and </w:t>
      </w:r>
      <w:r w:rsidRPr="00723039">
        <w:rPr>
          <w:rStyle w:val="FigureNoteChar"/>
        </w:rPr>
        <w:t>FOCUS_PGC_ALL_17-YY_SG</w:t>
      </w:r>
      <w:r w:rsidRPr="00420ACE">
        <w:rPr>
          <w:rStyle w:val="FigureNoteChar"/>
        </w:rPr>
        <w:t xml:space="preserve"> worksheets in the 202</w:t>
      </w:r>
      <w:r>
        <w:rPr>
          <w:rStyle w:val="FigureNoteChar"/>
        </w:rPr>
        <w:t>4</w:t>
      </w:r>
      <w:r w:rsidRPr="00420ACE">
        <w:rPr>
          <w:rStyle w:val="FigureNoteChar"/>
        </w:rPr>
        <w:t xml:space="preserve"> </w:t>
      </w:r>
      <w:r>
        <w:rPr>
          <w:rStyle w:val="FigureNoteChar"/>
        </w:rPr>
        <w:t>SES</w:t>
      </w:r>
      <w:r w:rsidRPr="00420ACE">
        <w:rPr>
          <w:rStyle w:val="FigureNoteChar"/>
        </w:rPr>
        <w:t xml:space="preserve"> National Report Tables available on the QILT website</w:t>
      </w:r>
      <w:bookmarkEnd w:id="53"/>
      <w:r w:rsidRPr="00420ACE">
        <w:rPr>
          <w:rStyle w:val="FigureNoteChar"/>
        </w:rPr>
        <w:t>.</w:t>
      </w:r>
    </w:p>
  </w:footnote>
  <w:footnote w:id="6">
    <w:p w14:paraId="25DCFD47" w14:textId="3AAFE6F6" w:rsidR="00041B06" w:rsidRDefault="00041B06">
      <w:pPr>
        <w:pStyle w:val="FootnoteText"/>
      </w:pPr>
      <w:r>
        <w:rPr>
          <w:rStyle w:val="FootnoteReference"/>
        </w:rPr>
        <w:footnoteRef/>
      </w:r>
      <w:r w:rsidR="006F7F90">
        <w:t xml:space="preserve"> </w:t>
      </w:r>
      <w:r w:rsidRPr="00041B06">
        <w:t xml:space="preserve">Home language other than English refers to </w:t>
      </w:r>
      <w:r w:rsidR="00FC2F2F">
        <w:t>students</w:t>
      </w:r>
      <w:r w:rsidRPr="00041B06">
        <w:t xml:space="preserve"> who arrived in Australia less than 10 years prior to the year in which the data was collected, and comes from a home where a language other than English is spoken. This information is reported by institutions through the TCSI system.</w:t>
      </w:r>
      <w:r w:rsidR="006F7F90">
        <w:t xml:space="preserve"> </w:t>
      </w:r>
      <w:r w:rsidR="00FC2F2F">
        <w:t>In this instance these data include both domestic and international students.</w:t>
      </w:r>
    </w:p>
  </w:footnote>
  <w:footnote w:id="7">
    <w:p w14:paraId="0140554A" w14:textId="7ECEA5BB" w:rsidR="009F07D2" w:rsidRPr="009F07D2" w:rsidRDefault="009F07D2">
      <w:pPr>
        <w:pStyle w:val="FootnoteText"/>
        <w:rPr>
          <w:lang w:val="en-AU"/>
        </w:rPr>
      </w:pPr>
      <w:r>
        <w:rPr>
          <w:rStyle w:val="FootnoteReference"/>
        </w:rPr>
        <w:footnoteRef/>
      </w:r>
      <w:r>
        <w:t xml:space="preserve"> </w:t>
      </w:r>
      <w:r w:rsidR="00943FFD" w:rsidRPr="00420ACE">
        <w:rPr>
          <w:rStyle w:val="FigureNoteChar"/>
        </w:rPr>
        <w:t xml:space="preserve">Refer to the </w:t>
      </w:r>
      <w:r w:rsidR="00943FFD" w:rsidRPr="00723039">
        <w:rPr>
          <w:rStyle w:val="FigureNoteChar"/>
        </w:rPr>
        <w:t>FOCUS_</w:t>
      </w:r>
      <w:r w:rsidR="00943FFD">
        <w:rPr>
          <w:rStyle w:val="FigureNoteChar"/>
        </w:rPr>
        <w:t>UG</w:t>
      </w:r>
      <w:r w:rsidR="00943FFD" w:rsidRPr="00723039">
        <w:rPr>
          <w:rStyle w:val="FigureNoteChar"/>
        </w:rPr>
        <w:t>_ALL_17-YY_SG</w:t>
      </w:r>
      <w:r w:rsidR="00943FFD" w:rsidRPr="00420ACE">
        <w:rPr>
          <w:rStyle w:val="FigureNoteChar"/>
        </w:rPr>
        <w:t xml:space="preserve"> and </w:t>
      </w:r>
      <w:r w:rsidR="00943FFD" w:rsidRPr="00723039">
        <w:rPr>
          <w:rStyle w:val="FigureNoteChar"/>
        </w:rPr>
        <w:t>FOCUS_PGC_ALL_17-YY_SG</w:t>
      </w:r>
      <w:r w:rsidR="00943FFD" w:rsidRPr="00420ACE">
        <w:rPr>
          <w:rStyle w:val="FigureNoteChar"/>
        </w:rPr>
        <w:t xml:space="preserve"> worksheets in the 202</w:t>
      </w:r>
      <w:r w:rsidR="00943FFD">
        <w:rPr>
          <w:rStyle w:val="FigureNoteChar"/>
        </w:rPr>
        <w:t>4</w:t>
      </w:r>
      <w:r w:rsidR="00943FFD" w:rsidRPr="00420ACE">
        <w:rPr>
          <w:rStyle w:val="FigureNoteChar"/>
        </w:rPr>
        <w:t xml:space="preserve"> </w:t>
      </w:r>
      <w:r w:rsidR="00943FFD">
        <w:rPr>
          <w:rStyle w:val="FigureNoteChar"/>
        </w:rPr>
        <w:t>SES</w:t>
      </w:r>
      <w:r w:rsidR="00943FFD" w:rsidRPr="00420ACE">
        <w:rPr>
          <w:rStyle w:val="FigureNoteChar"/>
        </w:rPr>
        <w:t xml:space="preserve"> National Report Tables available on the QILT website.</w:t>
      </w:r>
    </w:p>
  </w:footnote>
  <w:footnote w:id="8">
    <w:p w14:paraId="704F5F41" w14:textId="01841C84" w:rsidR="007B1063" w:rsidRPr="00956AE3" w:rsidRDefault="007B1063">
      <w:pPr>
        <w:pStyle w:val="FootnoteText"/>
        <w:rPr>
          <w:lang w:val="en-AU"/>
        </w:rPr>
      </w:pPr>
      <w:r>
        <w:rPr>
          <w:rStyle w:val="FootnoteReference"/>
        </w:rPr>
        <w:footnoteRef/>
      </w:r>
      <w:r>
        <w:rPr>
          <w:rFonts w:eastAsiaTheme="minorEastAsia" w:cs="Arial"/>
          <w:lang w:eastAsia="en-GB"/>
        </w:rPr>
        <w:t>Refer to t</w:t>
      </w:r>
      <w:r w:rsidRPr="746D9933">
        <w:rPr>
          <w:rFonts w:eastAsiaTheme="minorEastAsia" w:cs="Arial"/>
          <w:lang w:eastAsia="en-GB"/>
        </w:rPr>
        <w:t>he PowerBI report</w:t>
      </w:r>
      <w:r>
        <w:rPr>
          <w:rFonts w:eastAsiaTheme="minorEastAsia" w:cs="Arial"/>
          <w:lang w:eastAsia="en-GB"/>
        </w:rPr>
        <w:t xml:space="preserve">, as well as </w:t>
      </w:r>
      <w:r w:rsidRPr="00420ACE">
        <w:rPr>
          <w:rStyle w:val="FigureNoteChar"/>
        </w:rPr>
        <w:t xml:space="preserve">the </w:t>
      </w:r>
      <w:r w:rsidRPr="00723039">
        <w:rPr>
          <w:rStyle w:val="FigureNoteChar"/>
        </w:rPr>
        <w:t>FOCUS_</w:t>
      </w:r>
      <w:r>
        <w:rPr>
          <w:rStyle w:val="FigureNoteChar"/>
        </w:rPr>
        <w:t>UG</w:t>
      </w:r>
      <w:r w:rsidRPr="00723039">
        <w:rPr>
          <w:rStyle w:val="FigureNoteChar"/>
        </w:rPr>
        <w:t>_ALL_</w:t>
      </w:r>
      <w:r w:rsidRPr="00253BBC">
        <w:rPr>
          <w:rStyle w:val="FigureNoteChar"/>
        </w:rPr>
        <w:t>1Y_AREA</w:t>
      </w:r>
      <w:r w:rsidRPr="00420ACE">
        <w:rPr>
          <w:rStyle w:val="FigureNoteChar"/>
        </w:rPr>
        <w:t xml:space="preserve"> and </w:t>
      </w:r>
      <w:r w:rsidRPr="00723039">
        <w:rPr>
          <w:rStyle w:val="FigureNoteChar"/>
        </w:rPr>
        <w:t>FOCUS_PGC_ALL_</w:t>
      </w:r>
      <w:r w:rsidRPr="00253BBC">
        <w:rPr>
          <w:rStyle w:val="FigureNoteChar"/>
        </w:rPr>
        <w:t>1Y_AREA</w:t>
      </w:r>
      <w:r w:rsidRPr="00420ACE">
        <w:rPr>
          <w:rStyle w:val="FigureNoteChar"/>
        </w:rPr>
        <w:t xml:space="preserve"> worksheets in the 202</w:t>
      </w:r>
      <w:r>
        <w:rPr>
          <w:rStyle w:val="FigureNoteChar"/>
        </w:rPr>
        <w:t>4</w:t>
      </w:r>
      <w:r w:rsidRPr="00420ACE">
        <w:rPr>
          <w:rStyle w:val="FigureNoteChar"/>
        </w:rPr>
        <w:t xml:space="preserve"> </w:t>
      </w:r>
      <w:r>
        <w:rPr>
          <w:rStyle w:val="FigureNoteChar"/>
        </w:rPr>
        <w:t>SES</w:t>
      </w:r>
      <w:r w:rsidRPr="00420ACE">
        <w:rPr>
          <w:rStyle w:val="FigureNoteChar"/>
        </w:rPr>
        <w:t xml:space="preserve"> National Report Tables available on the QILT website.</w:t>
      </w:r>
    </w:p>
  </w:footnote>
  <w:footnote w:id="9">
    <w:p w14:paraId="435E5947" w14:textId="47E15FF6" w:rsidR="000947B0" w:rsidRPr="000947B0" w:rsidRDefault="000947B0">
      <w:pPr>
        <w:pStyle w:val="FootnoteText"/>
        <w:rPr>
          <w:lang w:val="en-AU"/>
        </w:rPr>
      </w:pPr>
      <w:r>
        <w:rPr>
          <w:rStyle w:val="FootnoteReference"/>
        </w:rPr>
        <w:footnoteRef/>
      </w:r>
      <w:r>
        <w:t xml:space="preserve"> </w:t>
      </w:r>
      <w:r w:rsidR="00A21F57">
        <w:rPr>
          <w:rFonts w:eastAsiaTheme="minorEastAsia" w:cs="Arial"/>
          <w:lang w:eastAsia="en-GB"/>
        </w:rPr>
        <w:t xml:space="preserve">Refer to </w:t>
      </w:r>
      <w:r w:rsidR="00A21F57" w:rsidRPr="00A21F57">
        <w:rPr>
          <w:rFonts w:eastAsiaTheme="minorEastAsia" w:cs="Arial"/>
          <w:lang w:eastAsia="en-GB"/>
        </w:rPr>
        <w:t>FOCUS_UG_ALL_1Y_AREA45</w:t>
      </w:r>
      <w:r w:rsidR="00053EDF">
        <w:rPr>
          <w:rFonts w:eastAsiaTheme="minorEastAsia" w:cs="Arial"/>
          <w:lang w:eastAsia="en-GB"/>
        </w:rPr>
        <w:t xml:space="preserve"> and </w:t>
      </w:r>
      <w:r w:rsidR="00A21F57" w:rsidRPr="00A21F57">
        <w:rPr>
          <w:rFonts w:eastAsiaTheme="minorEastAsia" w:cs="Arial"/>
          <w:lang w:eastAsia="en-GB"/>
        </w:rPr>
        <w:t>FOCUS_PGC_ALL_1Y_AREA45</w:t>
      </w:r>
      <w:r w:rsidR="00A21F57" w:rsidRPr="00420ACE">
        <w:rPr>
          <w:rStyle w:val="FigureNoteChar"/>
        </w:rPr>
        <w:t xml:space="preserve"> worksheets in the 202</w:t>
      </w:r>
      <w:r w:rsidR="00A21F57">
        <w:rPr>
          <w:rStyle w:val="FigureNoteChar"/>
        </w:rPr>
        <w:t>4</w:t>
      </w:r>
      <w:r w:rsidR="00A21F57" w:rsidRPr="00420ACE">
        <w:rPr>
          <w:rStyle w:val="FigureNoteChar"/>
        </w:rPr>
        <w:t xml:space="preserve"> </w:t>
      </w:r>
      <w:r w:rsidR="00A21F57">
        <w:rPr>
          <w:rStyle w:val="FigureNoteChar"/>
        </w:rPr>
        <w:t>SES</w:t>
      </w:r>
      <w:r w:rsidR="00A21F57" w:rsidRPr="00420ACE">
        <w:rPr>
          <w:rStyle w:val="FigureNoteChar"/>
        </w:rPr>
        <w:t xml:space="preserve"> National Report Tables available on the QILT website.</w:t>
      </w:r>
    </w:p>
  </w:footnote>
  <w:footnote w:id="10">
    <w:p w14:paraId="66695E80" w14:textId="77777777" w:rsidR="00284016" w:rsidRPr="00EB4AD4" w:rsidRDefault="00284016" w:rsidP="00284016">
      <w:pPr>
        <w:pStyle w:val="FootnoteText"/>
        <w:rPr>
          <w:lang w:val="en-AU"/>
        </w:rPr>
      </w:pPr>
      <w:r>
        <w:rPr>
          <w:rStyle w:val="FootnoteReference"/>
        </w:rPr>
        <w:footnoteRef/>
      </w:r>
      <w:r>
        <w:t xml:space="preserve"> </w:t>
      </w:r>
      <w:r>
        <w:rPr>
          <w:rFonts w:ascii="Open Sans" w:hAnsi="Open Sans" w:cs="Open Sans"/>
          <w:color w:val="333333"/>
          <w:shd w:val="clear" w:color="auto" w:fill="FFFFFF"/>
        </w:rPr>
        <w:t>Allen, K. A., Kern, M. L., Rozek, C. S., McInerney, D. M., &amp; Slavich, G. M. (2021). Belonging: a review of conceptual issues, an integrative framework, and directions for future research. </w:t>
      </w:r>
      <w:r>
        <w:rPr>
          <w:rFonts w:ascii="Open Sans" w:hAnsi="Open Sans" w:cs="Open Sans"/>
          <w:i/>
          <w:iCs/>
          <w:color w:val="333333"/>
          <w:shd w:val="clear" w:color="auto" w:fill="FFFFFF"/>
        </w:rPr>
        <w:t>Australian Journal of Psychology</w:t>
      </w:r>
      <w:r>
        <w:rPr>
          <w:rFonts w:ascii="Open Sans" w:hAnsi="Open Sans" w:cs="Open Sans"/>
          <w:color w:val="333333"/>
          <w:shd w:val="clear" w:color="auto" w:fill="FFFFFF"/>
        </w:rPr>
        <w:t>, </w:t>
      </w:r>
      <w:r>
        <w:rPr>
          <w:rFonts w:ascii="Open Sans" w:hAnsi="Open Sans" w:cs="Open Sans"/>
          <w:i/>
          <w:iCs/>
          <w:color w:val="333333"/>
          <w:shd w:val="clear" w:color="auto" w:fill="FFFFFF"/>
        </w:rPr>
        <w:t>73</w:t>
      </w:r>
      <w:r>
        <w:rPr>
          <w:rFonts w:ascii="Open Sans" w:hAnsi="Open Sans" w:cs="Open Sans"/>
          <w:color w:val="333333"/>
          <w:shd w:val="clear" w:color="auto" w:fill="FFFFFF"/>
        </w:rPr>
        <w:t>(1), 87–102. https://doi.org/10.1080/00049530.2021.1883409</w:t>
      </w:r>
    </w:p>
  </w:footnote>
  <w:footnote w:id="11">
    <w:p w14:paraId="735B44D1" w14:textId="77777777" w:rsidR="00284016" w:rsidRPr="00EB4AD4" w:rsidRDefault="00284016" w:rsidP="00284016">
      <w:pPr>
        <w:pStyle w:val="FootnoteText"/>
        <w:rPr>
          <w:lang w:val="en-AU"/>
        </w:rPr>
      </w:pPr>
      <w:r>
        <w:rPr>
          <w:rStyle w:val="FootnoteReference"/>
        </w:rPr>
        <w:footnoteRef/>
      </w:r>
      <w:r>
        <w:t xml:space="preserve"> </w:t>
      </w:r>
      <w:r>
        <w:rPr>
          <w:rFonts w:ascii="Open Sans" w:hAnsi="Open Sans" w:cs="Open Sans"/>
          <w:color w:val="333333"/>
          <w:shd w:val="clear" w:color="auto" w:fill="FFFFFF"/>
        </w:rPr>
        <w:t>Crawford, J., Allen, K. A., Sanders, T., Baumeister, R., Parker, P., Saunders, C., &amp; Tice, D. (2024). Sense of belonging in higher education students: an Australian longitudinal study from 2013 to 2019. </w:t>
      </w:r>
      <w:r>
        <w:rPr>
          <w:rFonts w:ascii="Open Sans" w:hAnsi="Open Sans" w:cs="Open Sans"/>
          <w:i/>
          <w:iCs/>
          <w:color w:val="333333"/>
          <w:shd w:val="clear" w:color="auto" w:fill="FFFFFF"/>
        </w:rPr>
        <w:t>Studies in Higher Education</w:t>
      </w:r>
      <w:r>
        <w:rPr>
          <w:rFonts w:ascii="Open Sans" w:hAnsi="Open Sans" w:cs="Open Sans"/>
          <w:color w:val="333333"/>
          <w:shd w:val="clear" w:color="auto" w:fill="FFFFFF"/>
        </w:rPr>
        <w:t>, </w:t>
      </w:r>
      <w:r>
        <w:rPr>
          <w:rFonts w:ascii="Open Sans" w:hAnsi="Open Sans" w:cs="Open Sans"/>
          <w:i/>
          <w:iCs/>
          <w:color w:val="333333"/>
          <w:shd w:val="clear" w:color="auto" w:fill="FFFFFF"/>
        </w:rPr>
        <w:t>49</w:t>
      </w:r>
      <w:r>
        <w:rPr>
          <w:rFonts w:ascii="Open Sans" w:hAnsi="Open Sans" w:cs="Open Sans"/>
          <w:color w:val="333333"/>
          <w:shd w:val="clear" w:color="auto" w:fill="FFFFFF"/>
        </w:rPr>
        <w:t>(3), 395–409. https://doi.org/10.1080/03075079.2023.2238006</w:t>
      </w:r>
    </w:p>
  </w:footnote>
  <w:footnote w:id="12">
    <w:p w14:paraId="774BF01B" w14:textId="7B022661" w:rsidR="008A1273" w:rsidRDefault="008A1273">
      <w:pPr>
        <w:pStyle w:val="FootnoteText"/>
      </w:pPr>
      <w:r>
        <w:rPr>
          <w:rStyle w:val="FootnoteReference"/>
        </w:rPr>
        <w:footnoteRef/>
      </w:r>
      <w:r>
        <w:t xml:space="preserve"> Detailed breakdowns of equity and demographic group results are available </w:t>
      </w:r>
      <w:r w:rsidR="00852710">
        <w:t xml:space="preserve">in Table </w:t>
      </w:r>
      <w:r w:rsidR="008E2F3B">
        <w:t>A</w:t>
      </w:r>
      <w:r w:rsidR="00960CCF">
        <w:t>6</w:t>
      </w:r>
      <w:r w:rsidR="00BD22E4">
        <w:t xml:space="preserve"> and Table A</w:t>
      </w:r>
      <w:r w:rsidR="00960CCF">
        <w:t>7</w:t>
      </w:r>
      <w:r w:rsidR="008E2F3B">
        <w:t xml:space="preserve"> </w:t>
      </w:r>
      <w:r w:rsidR="00C27E37">
        <w:t xml:space="preserve">in section </w:t>
      </w:r>
      <w:r w:rsidR="00C27E37">
        <w:fldChar w:fldCharType="begin"/>
      </w:r>
      <w:r w:rsidR="00C27E37">
        <w:instrText xml:space="preserve"> REF _Ref197098150 \w \h </w:instrText>
      </w:r>
      <w:r w:rsidR="00C27E37">
        <w:fldChar w:fldCharType="separate"/>
      </w:r>
      <w:r w:rsidR="00C27E37">
        <w:t>A2.2.3</w:t>
      </w:r>
      <w:r w:rsidR="00C27E37">
        <w:fldChar w:fldCharType="end"/>
      </w:r>
    </w:p>
  </w:footnote>
  <w:footnote w:id="13">
    <w:p w14:paraId="16B74323" w14:textId="6AB1B5D1" w:rsidR="00D22135" w:rsidRDefault="00D22135">
      <w:pPr>
        <w:pStyle w:val="FootnoteText"/>
      </w:pPr>
      <w:r>
        <w:rPr>
          <w:rStyle w:val="FootnoteReference"/>
        </w:rPr>
        <w:footnoteRef/>
      </w:r>
      <w:r>
        <w:t xml:space="preserve"> </w:t>
      </w:r>
      <w:r w:rsidRPr="00D22135">
        <w:t xml:space="preserve">* </w:t>
      </w:r>
      <w:r w:rsidR="008E05A2">
        <w:t>First Nations</w:t>
      </w:r>
      <w:r w:rsidRPr="00D22135">
        <w:t>, socio-economic, and locality data reflect values for domestic students only, excluding international students. The remaining</w:t>
      </w:r>
      <w:r w:rsidR="00823C4D">
        <w:t xml:space="preserve"> demographic and</w:t>
      </w:r>
      <w:r w:rsidRPr="00D22135">
        <w:t xml:space="preserve"> equity groups include all students, both domestic and international.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84C1F" w14:textId="77A3D66E" w:rsidR="00832CDF" w:rsidRDefault="00832CD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DCBCA2" w14:textId="70F278FD" w:rsidR="00832CDF" w:rsidRDefault="00832CDF">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3EE12A" w14:textId="16A5E1BB" w:rsidR="00832CDF" w:rsidRDefault="00832CDF">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2F1EF" w14:textId="51427687" w:rsidR="00832CDF" w:rsidRDefault="00832CDF">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89404" w14:textId="6994830D" w:rsidR="00832CDF" w:rsidRDefault="00832CDF">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96FAC" w14:textId="653A57FB" w:rsidR="00E93CDC" w:rsidRDefault="00E93CDC">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B17001" w14:textId="2EBEA624" w:rsidR="00832CDF" w:rsidRDefault="00832CDF">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F88C4" w14:textId="77777777" w:rsidR="00AC1207" w:rsidRDefault="00AC120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170B13" w14:textId="77777777" w:rsidR="00127838" w:rsidRDefault="0012783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469666" w14:textId="615B514C" w:rsidR="00832CDF" w:rsidRDefault="00832CD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072F6D" w14:textId="088C2293" w:rsidR="00832CDF" w:rsidRDefault="00832CD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58AEB3" w14:textId="77777777" w:rsidR="00400300" w:rsidRDefault="0040030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4020BF" w14:textId="77777777" w:rsidR="000B11BE" w:rsidRDefault="000B11B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BEEAA" w14:textId="6B2F8F6C" w:rsidR="00E93CDC" w:rsidRDefault="00E93CD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9B3FF4" w14:textId="5078F1A5" w:rsidR="00832CDF" w:rsidRDefault="00832CDF">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30DCC" w14:textId="6B251D70" w:rsidR="00832CDF" w:rsidRDefault="00832CD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F83753"/>
    <w:multiLevelType w:val="multilevel"/>
    <w:tmpl w:val="1F7E83DC"/>
    <w:lvl w:ilvl="0">
      <w:start w:val="1"/>
      <w:numFmt w:val="lowerRoman"/>
      <w:pStyle w:val="ListBullet3"/>
      <w:lvlText w:val="%1."/>
      <w:lvlJc w:val="right"/>
      <w:pPr>
        <w:ind w:left="2126" w:hanging="425"/>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BDA6250"/>
    <w:multiLevelType w:val="hybridMultilevel"/>
    <w:tmpl w:val="AD06755C"/>
    <w:lvl w:ilvl="0" w:tplc="86BA266E">
      <w:start w:val="2024"/>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29192A"/>
    <w:multiLevelType w:val="hybridMultilevel"/>
    <w:tmpl w:val="0AB650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F723D41"/>
    <w:multiLevelType w:val="hybridMultilevel"/>
    <w:tmpl w:val="47AAA5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FBC5627"/>
    <w:multiLevelType w:val="multilevel"/>
    <w:tmpl w:val="DE982604"/>
    <w:lvl w:ilvl="0">
      <w:start w:val="1"/>
      <w:numFmt w:val="decimal"/>
      <w:lvlText w:val="%1."/>
      <w:lvlJc w:val="left"/>
      <w:pPr>
        <w:ind w:left="425" w:firstLine="0"/>
      </w:pPr>
      <w:rPr>
        <w:rFonts w:ascii="Arial" w:eastAsia="Calibri" w:hAnsi="Arial" w:cs="Arial" w:hint="default"/>
      </w:rPr>
    </w:lvl>
    <w:lvl w:ilvl="1">
      <w:start w:val="1"/>
      <w:numFmt w:val="bullet"/>
      <w:lvlText w:val="o"/>
      <w:lvlJc w:val="left"/>
      <w:pPr>
        <w:ind w:left="425" w:firstLine="0"/>
      </w:pPr>
      <w:rPr>
        <w:rFonts w:ascii="Courier New" w:hAnsi="Courier New" w:cs="Courier New" w:hint="default"/>
      </w:rPr>
    </w:lvl>
    <w:lvl w:ilvl="2">
      <w:start w:val="1"/>
      <w:numFmt w:val="bullet"/>
      <w:lvlText w:val=""/>
      <w:lvlJc w:val="left"/>
      <w:pPr>
        <w:ind w:left="425" w:firstLine="0"/>
      </w:pPr>
      <w:rPr>
        <w:rFonts w:ascii="Wingdings" w:hAnsi="Wingdings" w:hint="default"/>
      </w:rPr>
    </w:lvl>
    <w:lvl w:ilvl="3">
      <w:start w:val="1"/>
      <w:numFmt w:val="bullet"/>
      <w:lvlText w:val=""/>
      <w:lvlJc w:val="left"/>
      <w:pPr>
        <w:ind w:left="425" w:firstLine="0"/>
      </w:pPr>
      <w:rPr>
        <w:rFonts w:ascii="Symbol" w:hAnsi="Symbol" w:hint="default"/>
      </w:rPr>
    </w:lvl>
    <w:lvl w:ilvl="4">
      <w:start w:val="1"/>
      <w:numFmt w:val="bullet"/>
      <w:lvlText w:val="o"/>
      <w:lvlJc w:val="left"/>
      <w:pPr>
        <w:ind w:left="425" w:firstLine="0"/>
      </w:pPr>
      <w:rPr>
        <w:rFonts w:ascii="Courier New" w:hAnsi="Courier New" w:cs="Courier New" w:hint="default"/>
      </w:rPr>
    </w:lvl>
    <w:lvl w:ilvl="5">
      <w:start w:val="1"/>
      <w:numFmt w:val="bullet"/>
      <w:lvlText w:val=""/>
      <w:lvlJc w:val="left"/>
      <w:pPr>
        <w:ind w:left="425" w:firstLine="0"/>
      </w:pPr>
      <w:rPr>
        <w:rFonts w:ascii="Wingdings" w:hAnsi="Wingdings" w:hint="default"/>
      </w:rPr>
    </w:lvl>
    <w:lvl w:ilvl="6">
      <w:start w:val="1"/>
      <w:numFmt w:val="bullet"/>
      <w:lvlText w:val=""/>
      <w:lvlJc w:val="left"/>
      <w:pPr>
        <w:ind w:left="425" w:firstLine="0"/>
      </w:pPr>
      <w:rPr>
        <w:rFonts w:ascii="Symbol" w:hAnsi="Symbol" w:hint="default"/>
      </w:rPr>
    </w:lvl>
    <w:lvl w:ilvl="7">
      <w:start w:val="1"/>
      <w:numFmt w:val="bullet"/>
      <w:lvlText w:val="o"/>
      <w:lvlJc w:val="left"/>
      <w:pPr>
        <w:ind w:left="425" w:firstLine="0"/>
      </w:pPr>
      <w:rPr>
        <w:rFonts w:ascii="Courier New" w:hAnsi="Courier New" w:cs="Courier New" w:hint="default"/>
      </w:rPr>
    </w:lvl>
    <w:lvl w:ilvl="8">
      <w:start w:val="1"/>
      <w:numFmt w:val="bullet"/>
      <w:lvlText w:val=""/>
      <w:lvlJc w:val="left"/>
      <w:pPr>
        <w:ind w:left="425" w:firstLine="0"/>
      </w:pPr>
      <w:rPr>
        <w:rFonts w:ascii="Wingdings" w:hAnsi="Wingdings" w:hint="default"/>
      </w:rPr>
    </w:lvl>
  </w:abstractNum>
  <w:abstractNum w:abstractNumId="5" w15:restartNumberingAfterBreak="0">
    <w:nsid w:val="11743095"/>
    <w:multiLevelType w:val="multilevel"/>
    <w:tmpl w:val="BCDA7D62"/>
    <w:lvl w:ilvl="0">
      <w:start w:val="1"/>
      <w:numFmt w:val="decimal"/>
      <w:pStyle w:val="ListBullet"/>
      <w:lvlText w:val="%1."/>
      <w:lvlJc w:val="left"/>
      <w:pPr>
        <w:ind w:left="1134" w:hanging="425"/>
      </w:pPr>
      <w:rPr>
        <w:rFonts w:ascii="Arial" w:eastAsia="Calibri" w:hAnsi="Arial" w:cs="Arial" w:hint="default"/>
      </w:rPr>
    </w:lvl>
    <w:lvl w:ilvl="1">
      <w:start w:val="1"/>
      <w:numFmt w:val="lowerLetter"/>
      <w:lvlText w:val="%2."/>
      <w:lvlJc w:val="left"/>
      <w:pPr>
        <w:ind w:left="1865" w:hanging="360"/>
      </w:pPr>
      <w:rPr>
        <w:rFonts w:hint="default"/>
      </w:rPr>
    </w:lvl>
    <w:lvl w:ilvl="2">
      <w:start w:val="1"/>
      <w:numFmt w:val="lowerRoman"/>
      <w:lvlText w:val="%3."/>
      <w:lvlJc w:val="right"/>
      <w:pPr>
        <w:ind w:left="2585" w:hanging="180"/>
      </w:pPr>
      <w:rPr>
        <w:rFonts w:hint="default"/>
      </w:rPr>
    </w:lvl>
    <w:lvl w:ilvl="3">
      <w:start w:val="1"/>
      <w:numFmt w:val="decimal"/>
      <w:lvlText w:val="%4."/>
      <w:lvlJc w:val="left"/>
      <w:pPr>
        <w:ind w:left="3305" w:hanging="360"/>
      </w:pPr>
      <w:rPr>
        <w:rFonts w:hint="default"/>
      </w:rPr>
    </w:lvl>
    <w:lvl w:ilvl="4">
      <w:start w:val="1"/>
      <w:numFmt w:val="lowerLetter"/>
      <w:lvlText w:val="%5."/>
      <w:lvlJc w:val="left"/>
      <w:pPr>
        <w:ind w:left="4025" w:hanging="360"/>
      </w:pPr>
      <w:rPr>
        <w:rFonts w:hint="default"/>
      </w:rPr>
    </w:lvl>
    <w:lvl w:ilvl="5">
      <w:start w:val="1"/>
      <w:numFmt w:val="lowerRoman"/>
      <w:lvlText w:val="%6."/>
      <w:lvlJc w:val="right"/>
      <w:pPr>
        <w:ind w:left="4745" w:hanging="180"/>
      </w:pPr>
      <w:rPr>
        <w:rFonts w:hint="default"/>
      </w:rPr>
    </w:lvl>
    <w:lvl w:ilvl="6">
      <w:start w:val="1"/>
      <w:numFmt w:val="decimal"/>
      <w:lvlText w:val="%7."/>
      <w:lvlJc w:val="left"/>
      <w:pPr>
        <w:ind w:left="5465" w:hanging="360"/>
      </w:pPr>
      <w:rPr>
        <w:rFonts w:hint="default"/>
      </w:rPr>
    </w:lvl>
    <w:lvl w:ilvl="7">
      <w:start w:val="1"/>
      <w:numFmt w:val="lowerLetter"/>
      <w:lvlText w:val="%8."/>
      <w:lvlJc w:val="left"/>
      <w:pPr>
        <w:ind w:left="6185" w:hanging="360"/>
      </w:pPr>
      <w:rPr>
        <w:rFonts w:hint="default"/>
      </w:rPr>
    </w:lvl>
    <w:lvl w:ilvl="8">
      <w:start w:val="1"/>
      <w:numFmt w:val="lowerRoman"/>
      <w:lvlText w:val="%9."/>
      <w:lvlJc w:val="right"/>
      <w:pPr>
        <w:ind w:left="6905" w:hanging="180"/>
      </w:pPr>
      <w:rPr>
        <w:rFonts w:hint="default"/>
      </w:rPr>
    </w:lvl>
  </w:abstractNum>
  <w:abstractNum w:abstractNumId="6" w15:restartNumberingAfterBreak="0">
    <w:nsid w:val="1C5A59E2"/>
    <w:multiLevelType w:val="hybridMultilevel"/>
    <w:tmpl w:val="D278FC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1E950498"/>
    <w:multiLevelType w:val="hybridMultilevel"/>
    <w:tmpl w:val="DB1EBB96"/>
    <w:lvl w:ilvl="0" w:tplc="EF5090D2">
      <w:start w:val="1"/>
      <w:numFmt w:val="lowerLetter"/>
      <w:pStyle w:val="TableAPPXbulletALPHA"/>
      <w:lvlText w:val="%1)"/>
      <w:lvlJc w:val="left"/>
      <w:pPr>
        <w:ind w:left="720" w:hanging="493"/>
      </w:pPr>
      <w:rPr>
        <w:rFonts w:ascii="Arial" w:hAnsi="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4AE5898"/>
    <w:multiLevelType w:val="multilevel"/>
    <w:tmpl w:val="FAE6D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6AD7362"/>
    <w:multiLevelType w:val="multilevel"/>
    <w:tmpl w:val="30BE3450"/>
    <w:lvl w:ilvl="0">
      <w:start w:val="1"/>
      <w:numFmt w:val="lowerLetter"/>
      <w:pStyle w:val="ListBullet2"/>
      <w:lvlText w:val="%1."/>
      <w:lvlJc w:val="left"/>
      <w:pPr>
        <w:ind w:left="1559" w:hanging="425"/>
      </w:pPr>
      <w:rPr>
        <w:rFonts w:ascii="Arial" w:eastAsia="Arial" w:hAnsi="Arial" w:hint="default"/>
        <w:w w:val="99"/>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B341E8F"/>
    <w:multiLevelType w:val="multilevel"/>
    <w:tmpl w:val="4F340CCC"/>
    <w:lvl w:ilvl="0">
      <w:start w:val="1"/>
      <w:numFmt w:val="decimal"/>
      <w:pStyle w:val="Appendix1"/>
      <w:lvlText w:val="Appendix %1"/>
      <w:lvlJc w:val="left"/>
      <w:pPr>
        <w:ind w:left="360" w:hanging="360"/>
      </w:pPr>
      <w:rPr>
        <w:color w:val="auto"/>
      </w:rPr>
    </w:lvl>
    <w:lvl w:ilvl="1">
      <w:start w:val="1"/>
      <w:numFmt w:val="decimal"/>
      <w:pStyle w:val="Appendix2"/>
      <w:lvlText w:val="A%1.%2"/>
      <w:lvlJc w:val="left"/>
      <w:pPr>
        <w:ind w:left="928" w:hanging="360"/>
      </w:pPr>
    </w:lvl>
    <w:lvl w:ilvl="2">
      <w:start w:val="1"/>
      <w:numFmt w:val="decimal"/>
      <w:pStyle w:val="Appendix3"/>
      <w:lvlText w:val="A%1.%2.%3"/>
      <w:lvlJc w:val="right"/>
      <w:pPr>
        <w:ind w:left="3016" w:hanging="180"/>
      </w:p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 w15:restartNumberingAfterBreak="0">
    <w:nsid w:val="30C53D23"/>
    <w:multiLevelType w:val="hybridMultilevel"/>
    <w:tmpl w:val="6BCE38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29B2EA2"/>
    <w:multiLevelType w:val="hybridMultilevel"/>
    <w:tmpl w:val="7B9228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90A00F3"/>
    <w:multiLevelType w:val="hybridMultilevel"/>
    <w:tmpl w:val="289C5C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CBF35D4"/>
    <w:multiLevelType w:val="multilevel"/>
    <w:tmpl w:val="A3CC4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D8841FF"/>
    <w:multiLevelType w:val="multilevel"/>
    <w:tmpl w:val="251C30E8"/>
    <w:lvl w:ilvl="0">
      <w:start w:val="1"/>
      <w:numFmt w:val="bullet"/>
      <w:pStyle w:val="Bullets1"/>
      <w:lvlText w:val=""/>
      <w:lvlJc w:val="left"/>
      <w:pPr>
        <w:tabs>
          <w:tab w:val="num" w:pos="425"/>
        </w:tabs>
        <w:ind w:left="851" w:hanging="426"/>
      </w:pPr>
      <w:rPr>
        <w:rFonts w:ascii="Symbol" w:hAnsi="Symbol" w:hint="default"/>
        <w:u w:color="1C365F"/>
      </w:rPr>
    </w:lvl>
    <w:lvl w:ilvl="1">
      <w:start w:val="1"/>
      <w:numFmt w:val="bullet"/>
      <w:pStyle w:val="Bullets2"/>
      <w:lvlText w:val="o"/>
      <w:lvlJc w:val="left"/>
      <w:pPr>
        <w:ind w:left="1418" w:hanging="426"/>
      </w:pPr>
      <w:rPr>
        <w:rFonts w:ascii="Courier New" w:hAnsi="Courier New" w:hint="default"/>
      </w:rPr>
    </w:lvl>
    <w:lvl w:ilvl="2">
      <w:start w:val="1"/>
      <w:numFmt w:val="bullet"/>
      <w:pStyle w:val="Bullets3"/>
      <w:lvlText w:val=""/>
      <w:lvlJc w:val="left"/>
      <w:pPr>
        <w:ind w:left="1985" w:hanging="426"/>
      </w:pPr>
      <w:rPr>
        <w:rFonts w:ascii="Symbol" w:hAnsi="Symbol"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412C76EF"/>
    <w:multiLevelType w:val="multilevel"/>
    <w:tmpl w:val="EB328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15E70D5"/>
    <w:multiLevelType w:val="hybridMultilevel"/>
    <w:tmpl w:val="EEC4579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419B2375"/>
    <w:multiLevelType w:val="multilevel"/>
    <w:tmpl w:val="EBD87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3A0DD5"/>
    <w:multiLevelType w:val="multilevel"/>
    <w:tmpl w:val="A266A4D8"/>
    <w:lvl w:ilvl="0">
      <w:start w:val="1"/>
      <w:numFmt w:val="bullet"/>
      <w:pStyle w:val="Bullets-noindent"/>
      <w:lvlText w:val=""/>
      <w:lvlJc w:val="left"/>
      <w:pPr>
        <w:ind w:left="425" w:hanging="425"/>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509D66FB"/>
    <w:multiLevelType w:val="hybridMultilevel"/>
    <w:tmpl w:val="CBB46A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26C346D"/>
    <w:multiLevelType w:val="hybridMultilevel"/>
    <w:tmpl w:val="11EE43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5E87936"/>
    <w:multiLevelType w:val="multilevel"/>
    <w:tmpl w:val="DEB0C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8E75769"/>
    <w:multiLevelType w:val="multilevel"/>
    <w:tmpl w:val="1E3AF708"/>
    <w:lvl w:ilvl="0">
      <w:start w:val="1"/>
      <w:numFmt w:val="decimal"/>
      <w:pStyle w:val="Heading1"/>
      <w:lvlText w:val="%1."/>
      <w:lvlJc w:val="left"/>
      <w:pPr>
        <w:ind w:left="1134" w:hanging="851"/>
      </w:pPr>
      <w:rPr>
        <w:rFonts w:hint="default"/>
        <w:b w:val="0"/>
        <w:bCs w:val="0"/>
      </w:rPr>
    </w:lvl>
    <w:lvl w:ilvl="1">
      <w:start w:val="1"/>
      <w:numFmt w:val="decimal"/>
      <w:pStyle w:val="Heading2"/>
      <w:lvlText w:val="%1.%2"/>
      <w:lvlJc w:val="left"/>
      <w:pPr>
        <w:ind w:left="851" w:hanging="851"/>
      </w:pPr>
      <w:rPr>
        <w:rFonts w:hint="default"/>
        <w:b w:val="0"/>
        <w:bCs w:val="0"/>
      </w:rPr>
    </w:lvl>
    <w:lvl w:ilvl="2">
      <w:start w:val="1"/>
      <w:numFmt w:val="decimal"/>
      <w:pStyle w:val="Heading3"/>
      <w:lvlText w:val="%1.%2.%3"/>
      <w:lvlJc w:val="left"/>
      <w:pPr>
        <w:ind w:left="9782" w:hanging="851"/>
      </w:pPr>
      <w:rPr>
        <w:rFonts w:hint="default"/>
        <w:b w:val="0"/>
        <w:bCs w:val="0"/>
      </w:rPr>
    </w:lvl>
    <w:lvl w:ilvl="3">
      <w:start w:val="1"/>
      <w:numFmt w:val="decimal"/>
      <w:lvlText w:val="%4."/>
      <w:lvlJc w:val="left"/>
      <w:pPr>
        <w:ind w:left="567" w:hanging="283"/>
      </w:pPr>
      <w:rPr>
        <w:rFonts w:hint="default"/>
      </w:rPr>
    </w:lvl>
    <w:lvl w:ilvl="4">
      <w:start w:val="1"/>
      <w:numFmt w:val="lowerLetter"/>
      <w:lvlText w:val="(%5)"/>
      <w:lvlJc w:val="left"/>
      <w:pPr>
        <w:ind w:left="425" w:hanging="425"/>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61293388"/>
    <w:multiLevelType w:val="hybridMultilevel"/>
    <w:tmpl w:val="3B6C0DBA"/>
    <w:lvl w:ilvl="0" w:tplc="EDE8A31C">
      <w:start w:val="1"/>
      <w:numFmt w:val="bullet"/>
      <w:lvlText w:val=""/>
      <w:lvlJc w:val="left"/>
      <w:pPr>
        <w:ind w:left="720" w:hanging="360"/>
      </w:pPr>
      <w:rPr>
        <w:rFonts w:ascii="Symbol" w:hAnsi="Symbol"/>
      </w:rPr>
    </w:lvl>
    <w:lvl w:ilvl="1" w:tplc="F3AEFFCA">
      <w:start w:val="1"/>
      <w:numFmt w:val="bullet"/>
      <w:lvlText w:val=""/>
      <w:lvlJc w:val="left"/>
      <w:pPr>
        <w:ind w:left="720" w:hanging="360"/>
      </w:pPr>
      <w:rPr>
        <w:rFonts w:ascii="Symbol" w:hAnsi="Symbol"/>
      </w:rPr>
    </w:lvl>
    <w:lvl w:ilvl="2" w:tplc="8DD8411C">
      <w:start w:val="1"/>
      <w:numFmt w:val="bullet"/>
      <w:lvlText w:val=""/>
      <w:lvlJc w:val="left"/>
      <w:pPr>
        <w:ind w:left="720" w:hanging="360"/>
      </w:pPr>
      <w:rPr>
        <w:rFonts w:ascii="Symbol" w:hAnsi="Symbol"/>
      </w:rPr>
    </w:lvl>
    <w:lvl w:ilvl="3" w:tplc="5F8CF430">
      <w:start w:val="1"/>
      <w:numFmt w:val="bullet"/>
      <w:lvlText w:val=""/>
      <w:lvlJc w:val="left"/>
      <w:pPr>
        <w:ind w:left="720" w:hanging="360"/>
      </w:pPr>
      <w:rPr>
        <w:rFonts w:ascii="Symbol" w:hAnsi="Symbol"/>
      </w:rPr>
    </w:lvl>
    <w:lvl w:ilvl="4" w:tplc="9E9C2E66">
      <w:start w:val="1"/>
      <w:numFmt w:val="bullet"/>
      <w:lvlText w:val=""/>
      <w:lvlJc w:val="left"/>
      <w:pPr>
        <w:ind w:left="720" w:hanging="360"/>
      </w:pPr>
      <w:rPr>
        <w:rFonts w:ascii="Symbol" w:hAnsi="Symbol"/>
      </w:rPr>
    </w:lvl>
    <w:lvl w:ilvl="5" w:tplc="829C11D8">
      <w:start w:val="1"/>
      <w:numFmt w:val="bullet"/>
      <w:lvlText w:val=""/>
      <w:lvlJc w:val="left"/>
      <w:pPr>
        <w:ind w:left="720" w:hanging="360"/>
      </w:pPr>
      <w:rPr>
        <w:rFonts w:ascii="Symbol" w:hAnsi="Symbol"/>
      </w:rPr>
    </w:lvl>
    <w:lvl w:ilvl="6" w:tplc="FB98B1FE">
      <w:start w:val="1"/>
      <w:numFmt w:val="bullet"/>
      <w:lvlText w:val=""/>
      <w:lvlJc w:val="left"/>
      <w:pPr>
        <w:ind w:left="720" w:hanging="360"/>
      </w:pPr>
      <w:rPr>
        <w:rFonts w:ascii="Symbol" w:hAnsi="Symbol"/>
      </w:rPr>
    </w:lvl>
    <w:lvl w:ilvl="7" w:tplc="077EB3D6">
      <w:start w:val="1"/>
      <w:numFmt w:val="bullet"/>
      <w:lvlText w:val=""/>
      <w:lvlJc w:val="left"/>
      <w:pPr>
        <w:ind w:left="720" w:hanging="360"/>
      </w:pPr>
      <w:rPr>
        <w:rFonts w:ascii="Symbol" w:hAnsi="Symbol"/>
      </w:rPr>
    </w:lvl>
    <w:lvl w:ilvl="8" w:tplc="AFB8C916">
      <w:start w:val="1"/>
      <w:numFmt w:val="bullet"/>
      <w:lvlText w:val=""/>
      <w:lvlJc w:val="left"/>
      <w:pPr>
        <w:ind w:left="720" w:hanging="360"/>
      </w:pPr>
      <w:rPr>
        <w:rFonts w:ascii="Symbol" w:hAnsi="Symbol"/>
      </w:rPr>
    </w:lvl>
  </w:abstractNum>
  <w:abstractNum w:abstractNumId="25" w15:restartNumberingAfterBreak="0">
    <w:nsid w:val="726B3EF2"/>
    <w:multiLevelType w:val="multilevel"/>
    <w:tmpl w:val="03728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A8351DD"/>
    <w:multiLevelType w:val="hybridMultilevel"/>
    <w:tmpl w:val="A242317E"/>
    <w:lvl w:ilvl="0" w:tplc="2896620E">
      <w:start w:val="1"/>
      <w:numFmt w:val="decimal"/>
      <w:lvlText w:val="Appendix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7BD159B8"/>
    <w:multiLevelType w:val="multilevel"/>
    <w:tmpl w:val="5BB8FC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58852492">
    <w:abstractNumId w:val="19"/>
  </w:num>
  <w:num w:numId="2" w16cid:durableId="703870629">
    <w:abstractNumId w:val="15"/>
  </w:num>
  <w:num w:numId="3" w16cid:durableId="788595793">
    <w:abstractNumId w:val="23"/>
  </w:num>
  <w:num w:numId="4" w16cid:durableId="934358896">
    <w:abstractNumId w:val="5"/>
  </w:num>
  <w:num w:numId="5" w16cid:durableId="600995162">
    <w:abstractNumId w:val="9"/>
  </w:num>
  <w:num w:numId="6" w16cid:durableId="1277980723">
    <w:abstractNumId w:val="0"/>
  </w:num>
  <w:num w:numId="7" w16cid:durableId="1483934344">
    <w:abstractNumId w:val="7"/>
  </w:num>
  <w:num w:numId="8" w16cid:durableId="370613934">
    <w:abstractNumId w:val="12"/>
  </w:num>
  <w:num w:numId="9" w16cid:durableId="2069109771">
    <w:abstractNumId w:val="26"/>
  </w:num>
  <w:num w:numId="10" w16cid:durableId="633485956">
    <w:abstractNumId w:val="10"/>
  </w:num>
  <w:num w:numId="11" w16cid:durableId="1764255801">
    <w:abstractNumId w:val="2"/>
  </w:num>
  <w:num w:numId="12" w16cid:durableId="21826031">
    <w:abstractNumId w:val="21"/>
  </w:num>
  <w:num w:numId="13" w16cid:durableId="309403559">
    <w:abstractNumId w:val="3"/>
  </w:num>
  <w:num w:numId="14" w16cid:durableId="648872911">
    <w:abstractNumId w:val="13"/>
  </w:num>
  <w:num w:numId="15" w16cid:durableId="1834952084">
    <w:abstractNumId w:val="20"/>
  </w:num>
  <w:num w:numId="16" w16cid:durableId="611058919">
    <w:abstractNumId w:val="25"/>
  </w:num>
  <w:num w:numId="17" w16cid:durableId="1605261811">
    <w:abstractNumId w:val="16"/>
  </w:num>
  <w:num w:numId="18" w16cid:durableId="199128469">
    <w:abstractNumId w:val="4"/>
  </w:num>
  <w:num w:numId="19" w16cid:durableId="32528599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77442955">
    <w:abstractNumId w:val="1"/>
  </w:num>
  <w:num w:numId="21" w16cid:durableId="692145904">
    <w:abstractNumId w:val="27"/>
  </w:num>
  <w:num w:numId="22" w16cid:durableId="1060904705">
    <w:abstractNumId w:val="27"/>
    <w:lvlOverride w:ilvl="1">
      <w:lvl w:ilvl="1">
        <w:numFmt w:val="bullet"/>
        <w:lvlText w:val=""/>
        <w:lvlJc w:val="left"/>
        <w:pPr>
          <w:tabs>
            <w:tab w:val="num" w:pos="1440"/>
          </w:tabs>
          <w:ind w:left="1440" w:hanging="360"/>
        </w:pPr>
        <w:rPr>
          <w:rFonts w:ascii="Symbol" w:hAnsi="Symbol" w:hint="default"/>
          <w:sz w:val="20"/>
        </w:rPr>
      </w:lvl>
    </w:lvlOverride>
  </w:num>
  <w:num w:numId="23" w16cid:durableId="1966423876">
    <w:abstractNumId w:val="27"/>
    <w:lvlOverride w:ilvl="1">
      <w:lvl w:ilvl="1">
        <w:numFmt w:val="bullet"/>
        <w:lvlText w:val=""/>
        <w:lvlJc w:val="left"/>
        <w:pPr>
          <w:tabs>
            <w:tab w:val="num" w:pos="1440"/>
          </w:tabs>
          <w:ind w:left="1440" w:hanging="360"/>
        </w:pPr>
        <w:rPr>
          <w:rFonts w:ascii="Symbol" w:hAnsi="Symbol" w:hint="default"/>
          <w:sz w:val="20"/>
        </w:rPr>
      </w:lvl>
    </w:lvlOverride>
  </w:num>
  <w:num w:numId="24" w16cid:durableId="1729526790">
    <w:abstractNumId w:val="27"/>
    <w:lvlOverride w:ilvl="1">
      <w:lvl w:ilvl="1">
        <w:numFmt w:val="bullet"/>
        <w:lvlText w:val=""/>
        <w:lvlJc w:val="left"/>
        <w:pPr>
          <w:tabs>
            <w:tab w:val="num" w:pos="1440"/>
          </w:tabs>
          <w:ind w:left="1440" w:hanging="360"/>
        </w:pPr>
        <w:rPr>
          <w:rFonts w:ascii="Symbol" w:hAnsi="Symbol" w:hint="default"/>
          <w:sz w:val="20"/>
        </w:rPr>
      </w:lvl>
    </w:lvlOverride>
  </w:num>
  <w:num w:numId="25" w16cid:durableId="758209761">
    <w:abstractNumId w:val="27"/>
    <w:lvlOverride w:ilvl="1">
      <w:lvl w:ilvl="1">
        <w:numFmt w:val="bullet"/>
        <w:lvlText w:val=""/>
        <w:lvlJc w:val="left"/>
        <w:pPr>
          <w:tabs>
            <w:tab w:val="num" w:pos="1440"/>
          </w:tabs>
          <w:ind w:left="1440" w:hanging="360"/>
        </w:pPr>
        <w:rPr>
          <w:rFonts w:ascii="Symbol" w:hAnsi="Symbol" w:hint="default"/>
          <w:sz w:val="20"/>
        </w:rPr>
      </w:lvl>
    </w:lvlOverride>
  </w:num>
  <w:num w:numId="26" w16cid:durableId="894126950">
    <w:abstractNumId w:val="27"/>
    <w:lvlOverride w:ilvl="1">
      <w:lvl w:ilvl="1">
        <w:numFmt w:val="bullet"/>
        <w:lvlText w:val=""/>
        <w:lvlJc w:val="left"/>
        <w:pPr>
          <w:tabs>
            <w:tab w:val="num" w:pos="1440"/>
          </w:tabs>
          <w:ind w:left="1440" w:hanging="360"/>
        </w:pPr>
        <w:rPr>
          <w:rFonts w:ascii="Symbol" w:hAnsi="Symbol" w:hint="default"/>
          <w:sz w:val="20"/>
        </w:rPr>
      </w:lvl>
    </w:lvlOverride>
  </w:num>
  <w:num w:numId="27" w16cid:durableId="492572891">
    <w:abstractNumId w:val="27"/>
    <w:lvlOverride w:ilvl="1">
      <w:lvl w:ilvl="1">
        <w:numFmt w:val="bullet"/>
        <w:lvlText w:val=""/>
        <w:lvlJc w:val="left"/>
        <w:pPr>
          <w:tabs>
            <w:tab w:val="num" w:pos="1440"/>
          </w:tabs>
          <w:ind w:left="1440" w:hanging="360"/>
        </w:pPr>
        <w:rPr>
          <w:rFonts w:ascii="Symbol" w:hAnsi="Symbol" w:hint="default"/>
          <w:sz w:val="20"/>
        </w:rPr>
      </w:lvl>
    </w:lvlOverride>
  </w:num>
  <w:num w:numId="28" w16cid:durableId="1188911386">
    <w:abstractNumId w:val="27"/>
    <w:lvlOverride w:ilvl="1">
      <w:lvl w:ilvl="1">
        <w:numFmt w:val="bullet"/>
        <w:lvlText w:val=""/>
        <w:lvlJc w:val="left"/>
        <w:pPr>
          <w:tabs>
            <w:tab w:val="num" w:pos="1440"/>
          </w:tabs>
          <w:ind w:left="1440" w:hanging="360"/>
        </w:pPr>
        <w:rPr>
          <w:rFonts w:ascii="Symbol" w:hAnsi="Symbol" w:hint="default"/>
          <w:sz w:val="20"/>
        </w:rPr>
      </w:lvl>
    </w:lvlOverride>
  </w:num>
  <w:num w:numId="29" w16cid:durableId="516890916">
    <w:abstractNumId w:val="27"/>
    <w:lvlOverride w:ilvl="1">
      <w:lvl w:ilvl="1">
        <w:numFmt w:val="bullet"/>
        <w:lvlText w:val=""/>
        <w:lvlJc w:val="left"/>
        <w:pPr>
          <w:tabs>
            <w:tab w:val="num" w:pos="1440"/>
          </w:tabs>
          <w:ind w:left="1440" w:hanging="360"/>
        </w:pPr>
        <w:rPr>
          <w:rFonts w:ascii="Symbol" w:hAnsi="Symbol" w:hint="default"/>
          <w:sz w:val="20"/>
        </w:rPr>
      </w:lvl>
    </w:lvlOverride>
  </w:num>
  <w:num w:numId="30" w16cid:durableId="1247038930">
    <w:abstractNumId w:val="27"/>
    <w:lvlOverride w:ilvl="1">
      <w:lvl w:ilvl="1">
        <w:numFmt w:val="bullet"/>
        <w:lvlText w:val=""/>
        <w:lvlJc w:val="left"/>
        <w:pPr>
          <w:tabs>
            <w:tab w:val="num" w:pos="1440"/>
          </w:tabs>
          <w:ind w:left="1440" w:hanging="360"/>
        </w:pPr>
        <w:rPr>
          <w:rFonts w:ascii="Symbol" w:hAnsi="Symbol" w:hint="default"/>
          <w:sz w:val="20"/>
        </w:rPr>
      </w:lvl>
    </w:lvlOverride>
  </w:num>
  <w:num w:numId="31" w16cid:durableId="487016374">
    <w:abstractNumId w:val="27"/>
    <w:lvlOverride w:ilvl="1">
      <w:lvl w:ilvl="1">
        <w:numFmt w:val="bullet"/>
        <w:lvlText w:val=""/>
        <w:lvlJc w:val="left"/>
        <w:pPr>
          <w:tabs>
            <w:tab w:val="num" w:pos="1440"/>
          </w:tabs>
          <w:ind w:left="1440" w:hanging="360"/>
        </w:pPr>
        <w:rPr>
          <w:rFonts w:ascii="Symbol" w:hAnsi="Symbol" w:hint="default"/>
          <w:sz w:val="20"/>
        </w:rPr>
      </w:lvl>
    </w:lvlOverride>
  </w:num>
  <w:num w:numId="32" w16cid:durableId="1258369915">
    <w:abstractNumId w:val="27"/>
    <w:lvlOverride w:ilvl="1">
      <w:lvl w:ilvl="1">
        <w:numFmt w:val="bullet"/>
        <w:lvlText w:val=""/>
        <w:lvlJc w:val="left"/>
        <w:pPr>
          <w:tabs>
            <w:tab w:val="num" w:pos="1440"/>
          </w:tabs>
          <w:ind w:left="1440" w:hanging="360"/>
        </w:pPr>
        <w:rPr>
          <w:rFonts w:ascii="Symbol" w:hAnsi="Symbol" w:hint="default"/>
          <w:sz w:val="20"/>
        </w:rPr>
      </w:lvl>
    </w:lvlOverride>
  </w:num>
  <w:num w:numId="33" w16cid:durableId="1572960719">
    <w:abstractNumId w:val="27"/>
    <w:lvlOverride w:ilvl="1">
      <w:lvl w:ilvl="1">
        <w:numFmt w:val="bullet"/>
        <w:lvlText w:val=""/>
        <w:lvlJc w:val="left"/>
        <w:pPr>
          <w:tabs>
            <w:tab w:val="num" w:pos="1440"/>
          </w:tabs>
          <w:ind w:left="1440" w:hanging="360"/>
        </w:pPr>
        <w:rPr>
          <w:rFonts w:ascii="Symbol" w:hAnsi="Symbol" w:hint="default"/>
          <w:sz w:val="20"/>
        </w:rPr>
      </w:lvl>
    </w:lvlOverride>
  </w:num>
  <w:num w:numId="34" w16cid:durableId="707024999">
    <w:abstractNumId w:val="27"/>
    <w:lvlOverride w:ilvl="1">
      <w:lvl w:ilvl="1">
        <w:numFmt w:val="bullet"/>
        <w:lvlText w:val=""/>
        <w:lvlJc w:val="left"/>
        <w:pPr>
          <w:tabs>
            <w:tab w:val="num" w:pos="1440"/>
          </w:tabs>
          <w:ind w:left="1440" w:hanging="360"/>
        </w:pPr>
        <w:rPr>
          <w:rFonts w:ascii="Symbol" w:hAnsi="Symbol" w:hint="default"/>
          <w:sz w:val="20"/>
        </w:rPr>
      </w:lvl>
    </w:lvlOverride>
  </w:num>
  <w:num w:numId="35" w16cid:durableId="1375544257">
    <w:abstractNumId w:val="27"/>
    <w:lvlOverride w:ilvl="1">
      <w:lvl w:ilvl="1">
        <w:numFmt w:val="bullet"/>
        <w:lvlText w:val=""/>
        <w:lvlJc w:val="left"/>
        <w:pPr>
          <w:tabs>
            <w:tab w:val="num" w:pos="1440"/>
          </w:tabs>
          <w:ind w:left="1440" w:hanging="360"/>
        </w:pPr>
        <w:rPr>
          <w:rFonts w:ascii="Symbol" w:hAnsi="Symbol" w:hint="default"/>
          <w:sz w:val="20"/>
        </w:rPr>
      </w:lvl>
    </w:lvlOverride>
  </w:num>
  <w:num w:numId="36" w16cid:durableId="599488112">
    <w:abstractNumId w:val="27"/>
    <w:lvlOverride w:ilvl="1">
      <w:lvl w:ilvl="1">
        <w:numFmt w:val="bullet"/>
        <w:lvlText w:val=""/>
        <w:lvlJc w:val="left"/>
        <w:pPr>
          <w:tabs>
            <w:tab w:val="num" w:pos="1440"/>
          </w:tabs>
          <w:ind w:left="1440" w:hanging="360"/>
        </w:pPr>
        <w:rPr>
          <w:rFonts w:ascii="Symbol" w:hAnsi="Symbol" w:hint="default"/>
          <w:sz w:val="20"/>
        </w:rPr>
      </w:lvl>
    </w:lvlOverride>
  </w:num>
  <w:num w:numId="37" w16cid:durableId="679235050">
    <w:abstractNumId w:val="14"/>
  </w:num>
  <w:num w:numId="38" w16cid:durableId="1426532425">
    <w:abstractNumId w:val="18"/>
  </w:num>
  <w:num w:numId="39" w16cid:durableId="1819033497">
    <w:abstractNumId w:val="24"/>
  </w:num>
  <w:num w:numId="40" w16cid:durableId="1585802578">
    <w:abstractNumId w:val="11"/>
  </w:num>
  <w:num w:numId="41" w16cid:durableId="510263684">
    <w:abstractNumId w:val="8"/>
  </w:num>
  <w:num w:numId="42" w16cid:durableId="306471544">
    <w:abstractNumId w:val="22"/>
  </w:num>
  <w:num w:numId="43" w16cid:durableId="1976593180">
    <w:abstractNumId w:val="6"/>
  </w:num>
  <w:num w:numId="44" w16cid:durableId="815878705">
    <w:abstractNumId w:val="1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7958"/>
    <w:rsid w:val="000000A6"/>
    <w:rsid w:val="00000210"/>
    <w:rsid w:val="00000225"/>
    <w:rsid w:val="00000346"/>
    <w:rsid w:val="000006FA"/>
    <w:rsid w:val="00000724"/>
    <w:rsid w:val="00000786"/>
    <w:rsid w:val="00000A88"/>
    <w:rsid w:val="00000BCE"/>
    <w:rsid w:val="00000E23"/>
    <w:rsid w:val="00001091"/>
    <w:rsid w:val="00001112"/>
    <w:rsid w:val="000013F7"/>
    <w:rsid w:val="0000159C"/>
    <w:rsid w:val="000016D3"/>
    <w:rsid w:val="00001A6A"/>
    <w:rsid w:val="00001FEF"/>
    <w:rsid w:val="00001FF2"/>
    <w:rsid w:val="0000226D"/>
    <w:rsid w:val="00002330"/>
    <w:rsid w:val="00002555"/>
    <w:rsid w:val="00002576"/>
    <w:rsid w:val="000025FD"/>
    <w:rsid w:val="00002894"/>
    <w:rsid w:val="0000289D"/>
    <w:rsid w:val="00002931"/>
    <w:rsid w:val="00002A20"/>
    <w:rsid w:val="00002BDB"/>
    <w:rsid w:val="00002CDC"/>
    <w:rsid w:val="00002D6E"/>
    <w:rsid w:val="00002DB3"/>
    <w:rsid w:val="00002F69"/>
    <w:rsid w:val="000030E7"/>
    <w:rsid w:val="000030FB"/>
    <w:rsid w:val="00003145"/>
    <w:rsid w:val="00003179"/>
    <w:rsid w:val="000034EA"/>
    <w:rsid w:val="000035AD"/>
    <w:rsid w:val="00003638"/>
    <w:rsid w:val="00003662"/>
    <w:rsid w:val="0000388D"/>
    <w:rsid w:val="00003982"/>
    <w:rsid w:val="00003A88"/>
    <w:rsid w:val="000041C0"/>
    <w:rsid w:val="0000422A"/>
    <w:rsid w:val="0000432F"/>
    <w:rsid w:val="00004591"/>
    <w:rsid w:val="00004871"/>
    <w:rsid w:val="00004919"/>
    <w:rsid w:val="00004BB6"/>
    <w:rsid w:val="00004C1D"/>
    <w:rsid w:val="00005A00"/>
    <w:rsid w:val="00005A60"/>
    <w:rsid w:val="00005A88"/>
    <w:rsid w:val="00005FFF"/>
    <w:rsid w:val="00006006"/>
    <w:rsid w:val="00006071"/>
    <w:rsid w:val="000060B9"/>
    <w:rsid w:val="00006567"/>
    <w:rsid w:val="000067D1"/>
    <w:rsid w:val="00006CE1"/>
    <w:rsid w:val="00006D0A"/>
    <w:rsid w:val="00007296"/>
    <w:rsid w:val="0000797F"/>
    <w:rsid w:val="00007ABC"/>
    <w:rsid w:val="00007C22"/>
    <w:rsid w:val="00007D05"/>
    <w:rsid w:val="00007DC7"/>
    <w:rsid w:val="00007E60"/>
    <w:rsid w:val="000102E4"/>
    <w:rsid w:val="000103B2"/>
    <w:rsid w:val="000104B0"/>
    <w:rsid w:val="000104EE"/>
    <w:rsid w:val="00010679"/>
    <w:rsid w:val="0001081C"/>
    <w:rsid w:val="00010858"/>
    <w:rsid w:val="00010908"/>
    <w:rsid w:val="00010991"/>
    <w:rsid w:val="00010AA3"/>
    <w:rsid w:val="00010C1D"/>
    <w:rsid w:val="00010DB7"/>
    <w:rsid w:val="00011063"/>
    <w:rsid w:val="00011320"/>
    <w:rsid w:val="00011D1A"/>
    <w:rsid w:val="00011D1E"/>
    <w:rsid w:val="0001204E"/>
    <w:rsid w:val="00012432"/>
    <w:rsid w:val="000125D8"/>
    <w:rsid w:val="00012622"/>
    <w:rsid w:val="0001267D"/>
    <w:rsid w:val="000128F1"/>
    <w:rsid w:val="00012EF7"/>
    <w:rsid w:val="00013212"/>
    <w:rsid w:val="000134D3"/>
    <w:rsid w:val="000134EE"/>
    <w:rsid w:val="00013599"/>
    <w:rsid w:val="000135BA"/>
    <w:rsid w:val="00014079"/>
    <w:rsid w:val="000141A2"/>
    <w:rsid w:val="000143FF"/>
    <w:rsid w:val="0001442F"/>
    <w:rsid w:val="0001466B"/>
    <w:rsid w:val="000148EE"/>
    <w:rsid w:val="00014916"/>
    <w:rsid w:val="00014B93"/>
    <w:rsid w:val="00014C32"/>
    <w:rsid w:val="00014E93"/>
    <w:rsid w:val="00014F03"/>
    <w:rsid w:val="00015348"/>
    <w:rsid w:val="000158EB"/>
    <w:rsid w:val="00015C0D"/>
    <w:rsid w:val="00015CDF"/>
    <w:rsid w:val="0001603A"/>
    <w:rsid w:val="0001606B"/>
    <w:rsid w:val="0001640E"/>
    <w:rsid w:val="00016ADB"/>
    <w:rsid w:val="00016F97"/>
    <w:rsid w:val="000170CA"/>
    <w:rsid w:val="000171AF"/>
    <w:rsid w:val="000171E8"/>
    <w:rsid w:val="0001752C"/>
    <w:rsid w:val="00017564"/>
    <w:rsid w:val="0001782D"/>
    <w:rsid w:val="0001784A"/>
    <w:rsid w:val="00017BD1"/>
    <w:rsid w:val="00017C2A"/>
    <w:rsid w:val="00017E3A"/>
    <w:rsid w:val="00020052"/>
    <w:rsid w:val="00020176"/>
    <w:rsid w:val="0002027A"/>
    <w:rsid w:val="000204AA"/>
    <w:rsid w:val="000204B3"/>
    <w:rsid w:val="000205CD"/>
    <w:rsid w:val="00020798"/>
    <w:rsid w:val="00020EB0"/>
    <w:rsid w:val="00021128"/>
    <w:rsid w:val="0002129B"/>
    <w:rsid w:val="00021766"/>
    <w:rsid w:val="000217EE"/>
    <w:rsid w:val="00021A08"/>
    <w:rsid w:val="00021A35"/>
    <w:rsid w:val="00021A9D"/>
    <w:rsid w:val="00021CF7"/>
    <w:rsid w:val="00022199"/>
    <w:rsid w:val="0002245A"/>
    <w:rsid w:val="000224DE"/>
    <w:rsid w:val="0002278F"/>
    <w:rsid w:val="00022932"/>
    <w:rsid w:val="00022A91"/>
    <w:rsid w:val="00022AD6"/>
    <w:rsid w:val="00022B70"/>
    <w:rsid w:val="00022E91"/>
    <w:rsid w:val="00022F0E"/>
    <w:rsid w:val="000231FA"/>
    <w:rsid w:val="00023931"/>
    <w:rsid w:val="000239BB"/>
    <w:rsid w:val="00023C86"/>
    <w:rsid w:val="00023D2E"/>
    <w:rsid w:val="00023EDC"/>
    <w:rsid w:val="00023F33"/>
    <w:rsid w:val="00023F54"/>
    <w:rsid w:val="000245E3"/>
    <w:rsid w:val="00024ADE"/>
    <w:rsid w:val="000255E0"/>
    <w:rsid w:val="0002560E"/>
    <w:rsid w:val="0002598F"/>
    <w:rsid w:val="000259B4"/>
    <w:rsid w:val="00025BB1"/>
    <w:rsid w:val="00025F0D"/>
    <w:rsid w:val="00026417"/>
    <w:rsid w:val="0002653F"/>
    <w:rsid w:val="00026731"/>
    <w:rsid w:val="000269C9"/>
    <w:rsid w:val="00026B11"/>
    <w:rsid w:val="00026CF8"/>
    <w:rsid w:val="000279D1"/>
    <w:rsid w:val="00027B10"/>
    <w:rsid w:val="00027EAF"/>
    <w:rsid w:val="00027EBB"/>
    <w:rsid w:val="000300F1"/>
    <w:rsid w:val="00030130"/>
    <w:rsid w:val="000303C1"/>
    <w:rsid w:val="00030433"/>
    <w:rsid w:val="0003044B"/>
    <w:rsid w:val="0003060D"/>
    <w:rsid w:val="00030809"/>
    <w:rsid w:val="00030920"/>
    <w:rsid w:val="0003094C"/>
    <w:rsid w:val="00030B70"/>
    <w:rsid w:val="00030D5B"/>
    <w:rsid w:val="00030E65"/>
    <w:rsid w:val="00030F93"/>
    <w:rsid w:val="00031028"/>
    <w:rsid w:val="00031097"/>
    <w:rsid w:val="00031236"/>
    <w:rsid w:val="00031380"/>
    <w:rsid w:val="00031527"/>
    <w:rsid w:val="000316BB"/>
    <w:rsid w:val="00031879"/>
    <w:rsid w:val="000319B3"/>
    <w:rsid w:val="00031A50"/>
    <w:rsid w:val="00031C02"/>
    <w:rsid w:val="00031D95"/>
    <w:rsid w:val="00032221"/>
    <w:rsid w:val="000326EF"/>
    <w:rsid w:val="00032B2C"/>
    <w:rsid w:val="00032B97"/>
    <w:rsid w:val="00032C11"/>
    <w:rsid w:val="00032C98"/>
    <w:rsid w:val="00032E25"/>
    <w:rsid w:val="00032F50"/>
    <w:rsid w:val="000331EB"/>
    <w:rsid w:val="000332D2"/>
    <w:rsid w:val="000332F3"/>
    <w:rsid w:val="000333EC"/>
    <w:rsid w:val="00033795"/>
    <w:rsid w:val="00033845"/>
    <w:rsid w:val="000338DF"/>
    <w:rsid w:val="000339B8"/>
    <w:rsid w:val="000339EA"/>
    <w:rsid w:val="00033EA7"/>
    <w:rsid w:val="00033F0B"/>
    <w:rsid w:val="000340C6"/>
    <w:rsid w:val="000345CC"/>
    <w:rsid w:val="000346BC"/>
    <w:rsid w:val="0003474E"/>
    <w:rsid w:val="00034922"/>
    <w:rsid w:val="00034997"/>
    <w:rsid w:val="00034A52"/>
    <w:rsid w:val="00034ADA"/>
    <w:rsid w:val="00034B62"/>
    <w:rsid w:val="00034C2F"/>
    <w:rsid w:val="00035174"/>
    <w:rsid w:val="000351E4"/>
    <w:rsid w:val="000353F3"/>
    <w:rsid w:val="000355B0"/>
    <w:rsid w:val="0003580C"/>
    <w:rsid w:val="00035881"/>
    <w:rsid w:val="00035DA2"/>
    <w:rsid w:val="00035E5E"/>
    <w:rsid w:val="0003603D"/>
    <w:rsid w:val="00036185"/>
    <w:rsid w:val="00036292"/>
    <w:rsid w:val="000363DF"/>
    <w:rsid w:val="00036548"/>
    <w:rsid w:val="000365C9"/>
    <w:rsid w:val="0003687C"/>
    <w:rsid w:val="00036A39"/>
    <w:rsid w:val="00036F2B"/>
    <w:rsid w:val="0003761F"/>
    <w:rsid w:val="00037696"/>
    <w:rsid w:val="00037917"/>
    <w:rsid w:val="000379B0"/>
    <w:rsid w:val="00037C0F"/>
    <w:rsid w:val="00040119"/>
    <w:rsid w:val="00040224"/>
    <w:rsid w:val="000403B8"/>
    <w:rsid w:val="000407D4"/>
    <w:rsid w:val="000407FA"/>
    <w:rsid w:val="00040F6D"/>
    <w:rsid w:val="0004100C"/>
    <w:rsid w:val="0004103F"/>
    <w:rsid w:val="00041553"/>
    <w:rsid w:val="000416E2"/>
    <w:rsid w:val="0004184D"/>
    <w:rsid w:val="00041B06"/>
    <w:rsid w:val="00041D67"/>
    <w:rsid w:val="00041E80"/>
    <w:rsid w:val="00041ED4"/>
    <w:rsid w:val="00041F17"/>
    <w:rsid w:val="0004205F"/>
    <w:rsid w:val="00042073"/>
    <w:rsid w:val="000422E8"/>
    <w:rsid w:val="0004246B"/>
    <w:rsid w:val="0004279C"/>
    <w:rsid w:val="00042848"/>
    <w:rsid w:val="00042ED8"/>
    <w:rsid w:val="00042EE8"/>
    <w:rsid w:val="00042F37"/>
    <w:rsid w:val="00042FAB"/>
    <w:rsid w:val="000430D0"/>
    <w:rsid w:val="000430F9"/>
    <w:rsid w:val="00043594"/>
    <w:rsid w:val="00043875"/>
    <w:rsid w:val="00043C73"/>
    <w:rsid w:val="00043CBF"/>
    <w:rsid w:val="00043E27"/>
    <w:rsid w:val="00043F7C"/>
    <w:rsid w:val="00044037"/>
    <w:rsid w:val="00044321"/>
    <w:rsid w:val="000445FA"/>
    <w:rsid w:val="00044603"/>
    <w:rsid w:val="000446CC"/>
    <w:rsid w:val="000446F7"/>
    <w:rsid w:val="0004491A"/>
    <w:rsid w:val="000449B8"/>
    <w:rsid w:val="00044A09"/>
    <w:rsid w:val="00044C29"/>
    <w:rsid w:val="00044C59"/>
    <w:rsid w:val="00044C82"/>
    <w:rsid w:val="00044E90"/>
    <w:rsid w:val="00044F13"/>
    <w:rsid w:val="000454D9"/>
    <w:rsid w:val="000455D8"/>
    <w:rsid w:val="000458C8"/>
    <w:rsid w:val="000458F2"/>
    <w:rsid w:val="00045A32"/>
    <w:rsid w:val="00045A78"/>
    <w:rsid w:val="00045B63"/>
    <w:rsid w:val="00045D20"/>
    <w:rsid w:val="00045E36"/>
    <w:rsid w:val="00045F6D"/>
    <w:rsid w:val="0004663B"/>
    <w:rsid w:val="000468CC"/>
    <w:rsid w:val="000469BB"/>
    <w:rsid w:val="00046B8E"/>
    <w:rsid w:val="00046BF5"/>
    <w:rsid w:val="00046C46"/>
    <w:rsid w:val="00046F4D"/>
    <w:rsid w:val="0004705A"/>
    <w:rsid w:val="00047091"/>
    <w:rsid w:val="0004715C"/>
    <w:rsid w:val="0004730C"/>
    <w:rsid w:val="0004735A"/>
    <w:rsid w:val="00047599"/>
    <w:rsid w:val="000475C0"/>
    <w:rsid w:val="00047840"/>
    <w:rsid w:val="00047E9D"/>
    <w:rsid w:val="00047FD9"/>
    <w:rsid w:val="00050048"/>
    <w:rsid w:val="00050151"/>
    <w:rsid w:val="0005015D"/>
    <w:rsid w:val="000502E0"/>
    <w:rsid w:val="00050326"/>
    <w:rsid w:val="0005040F"/>
    <w:rsid w:val="000509FB"/>
    <w:rsid w:val="00050BB3"/>
    <w:rsid w:val="00050BDD"/>
    <w:rsid w:val="00050BF0"/>
    <w:rsid w:val="00050C08"/>
    <w:rsid w:val="00050FA7"/>
    <w:rsid w:val="0005135D"/>
    <w:rsid w:val="00051539"/>
    <w:rsid w:val="00051BD1"/>
    <w:rsid w:val="00051F78"/>
    <w:rsid w:val="00051FEC"/>
    <w:rsid w:val="00051FFB"/>
    <w:rsid w:val="0005264F"/>
    <w:rsid w:val="00052766"/>
    <w:rsid w:val="00052918"/>
    <w:rsid w:val="00052B0B"/>
    <w:rsid w:val="0005330D"/>
    <w:rsid w:val="0005335C"/>
    <w:rsid w:val="000533A1"/>
    <w:rsid w:val="00053AEF"/>
    <w:rsid w:val="00053C37"/>
    <w:rsid w:val="00053EDF"/>
    <w:rsid w:val="00053F3C"/>
    <w:rsid w:val="00054034"/>
    <w:rsid w:val="0005405F"/>
    <w:rsid w:val="00054606"/>
    <w:rsid w:val="0005473B"/>
    <w:rsid w:val="00054794"/>
    <w:rsid w:val="00054A30"/>
    <w:rsid w:val="00054B8B"/>
    <w:rsid w:val="00054D62"/>
    <w:rsid w:val="00054DAA"/>
    <w:rsid w:val="00054E16"/>
    <w:rsid w:val="00055121"/>
    <w:rsid w:val="00055587"/>
    <w:rsid w:val="0005576C"/>
    <w:rsid w:val="00055945"/>
    <w:rsid w:val="00055E47"/>
    <w:rsid w:val="0005651B"/>
    <w:rsid w:val="00056542"/>
    <w:rsid w:val="0005658B"/>
    <w:rsid w:val="00056969"/>
    <w:rsid w:val="00056F27"/>
    <w:rsid w:val="00057495"/>
    <w:rsid w:val="0005757F"/>
    <w:rsid w:val="0005780F"/>
    <w:rsid w:val="00057DFC"/>
    <w:rsid w:val="00057E1F"/>
    <w:rsid w:val="000600A6"/>
    <w:rsid w:val="0006039A"/>
    <w:rsid w:val="00060865"/>
    <w:rsid w:val="00060ABD"/>
    <w:rsid w:val="00060B94"/>
    <w:rsid w:val="00060F59"/>
    <w:rsid w:val="00061A87"/>
    <w:rsid w:val="00061E8F"/>
    <w:rsid w:val="00061F3D"/>
    <w:rsid w:val="000622A7"/>
    <w:rsid w:val="000623CB"/>
    <w:rsid w:val="000623F9"/>
    <w:rsid w:val="000628B3"/>
    <w:rsid w:val="0006294F"/>
    <w:rsid w:val="00062EA3"/>
    <w:rsid w:val="00062EE0"/>
    <w:rsid w:val="0006307C"/>
    <w:rsid w:val="00063338"/>
    <w:rsid w:val="000638C8"/>
    <w:rsid w:val="00063AAC"/>
    <w:rsid w:val="00063ABF"/>
    <w:rsid w:val="00063B8A"/>
    <w:rsid w:val="00063DA6"/>
    <w:rsid w:val="00063DC1"/>
    <w:rsid w:val="00063EDB"/>
    <w:rsid w:val="00063EDF"/>
    <w:rsid w:val="00064327"/>
    <w:rsid w:val="00064375"/>
    <w:rsid w:val="000643CA"/>
    <w:rsid w:val="00064683"/>
    <w:rsid w:val="0006468D"/>
    <w:rsid w:val="00064973"/>
    <w:rsid w:val="00064B32"/>
    <w:rsid w:val="00064BBC"/>
    <w:rsid w:val="00064DD7"/>
    <w:rsid w:val="0006530B"/>
    <w:rsid w:val="000653EB"/>
    <w:rsid w:val="000654B8"/>
    <w:rsid w:val="000655A2"/>
    <w:rsid w:val="00065634"/>
    <w:rsid w:val="00065988"/>
    <w:rsid w:val="00065B21"/>
    <w:rsid w:val="00065D20"/>
    <w:rsid w:val="00065F4E"/>
    <w:rsid w:val="00065F9C"/>
    <w:rsid w:val="0006647E"/>
    <w:rsid w:val="000665F2"/>
    <w:rsid w:val="00066A39"/>
    <w:rsid w:val="00066CD0"/>
    <w:rsid w:val="00066D11"/>
    <w:rsid w:val="00066D3C"/>
    <w:rsid w:val="00066DBD"/>
    <w:rsid w:val="00066DF4"/>
    <w:rsid w:val="00066F4B"/>
    <w:rsid w:val="00067401"/>
    <w:rsid w:val="000679C1"/>
    <w:rsid w:val="00070044"/>
    <w:rsid w:val="000700CC"/>
    <w:rsid w:val="000701FC"/>
    <w:rsid w:val="00070237"/>
    <w:rsid w:val="0007026C"/>
    <w:rsid w:val="0007042B"/>
    <w:rsid w:val="000704FD"/>
    <w:rsid w:val="000705DC"/>
    <w:rsid w:val="00070825"/>
    <w:rsid w:val="00070E04"/>
    <w:rsid w:val="00071004"/>
    <w:rsid w:val="00071314"/>
    <w:rsid w:val="0007139E"/>
    <w:rsid w:val="0007155D"/>
    <w:rsid w:val="000716F5"/>
    <w:rsid w:val="0007175B"/>
    <w:rsid w:val="000717B5"/>
    <w:rsid w:val="00071D97"/>
    <w:rsid w:val="0007224D"/>
    <w:rsid w:val="000723D2"/>
    <w:rsid w:val="00072506"/>
    <w:rsid w:val="000728FB"/>
    <w:rsid w:val="00072AA1"/>
    <w:rsid w:val="00072BE4"/>
    <w:rsid w:val="00072D48"/>
    <w:rsid w:val="00072F21"/>
    <w:rsid w:val="00072FCC"/>
    <w:rsid w:val="000733D1"/>
    <w:rsid w:val="000736F1"/>
    <w:rsid w:val="0007375F"/>
    <w:rsid w:val="00073AE9"/>
    <w:rsid w:val="00073DCE"/>
    <w:rsid w:val="00074085"/>
    <w:rsid w:val="000740B0"/>
    <w:rsid w:val="0007439E"/>
    <w:rsid w:val="00074526"/>
    <w:rsid w:val="000748F1"/>
    <w:rsid w:val="00074CE0"/>
    <w:rsid w:val="00074FE6"/>
    <w:rsid w:val="000752EF"/>
    <w:rsid w:val="0007531A"/>
    <w:rsid w:val="000753F0"/>
    <w:rsid w:val="0007547E"/>
    <w:rsid w:val="0007553E"/>
    <w:rsid w:val="000757BD"/>
    <w:rsid w:val="0007586C"/>
    <w:rsid w:val="000759BC"/>
    <w:rsid w:val="00075D42"/>
    <w:rsid w:val="00075D5F"/>
    <w:rsid w:val="00075D9A"/>
    <w:rsid w:val="0007626A"/>
    <w:rsid w:val="00076294"/>
    <w:rsid w:val="0007695F"/>
    <w:rsid w:val="000769CF"/>
    <w:rsid w:val="00076BB6"/>
    <w:rsid w:val="00076BF9"/>
    <w:rsid w:val="00076BFC"/>
    <w:rsid w:val="00076C01"/>
    <w:rsid w:val="00076DFF"/>
    <w:rsid w:val="00076E15"/>
    <w:rsid w:val="00076E2E"/>
    <w:rsid w:val="00076F9A"/>
    <w:rsid w:val="0007708D"/>
    <w:rsid w:val="0007714D"/>
    <w:rsid w:val="0007729F"/>
    <w:rsid w:val="000772B6"/>
    <w:rsid w:val="000774EA"/>
    <w:rsid w:val="00077560"/>
    <w:rsid w:val="00077AAC"/>
    <w:rsid w:val="0008004F"/>
    <w:rsid w:val="0008016F"/>
    <w:rsid w:val="00080243"/>
    <w:rsid w:val="00080281"/>
    <w:rsid w:val="00080439"/>
    <w:rsid w:val="00080860"/>
    <w:rsid w:val="00080D82"/>
    <w:rsid w:val="0008103D"/>
    <w:rsid w:val="0008113A"/>
    <w:rsid w:val="000811B7"/>
    <w:rsid w:val="00081520"/>
    <w:rsid w:val="000815BA"/>
    <w:rsid w:val="000818B4"/>
    <w:rsid w:val="00081996"/>
    <w:rsid w:val="00081A85"/>
    <w:rsid w:val="00081C6E"/>
    <w:rsid w:val="00081DC9"/>
    <w:rsid w:val="00081E92"/>
    <w:rsid w:val="00082181"/>
    <w:rsid w:val="000823F2"/>
    <w:rsid w:val="00082426"/>
    <w:rsid w:val="00082554"/>
    <w:rsid w:val="0008255E"/>
    <w:rsid w:val="0008265E"/>
    <w:rsid w:val="0008297F"/>
    <w:rsid w:val="00082CFE"/>
    <w:rsid w:val="00082D95"/>
    <w:rsid w:val="00082E24"/>
    <w:rsid w:val="00082E29"/>
    <w:rsid w:val="00082F31"/>
    <w:rsid w:val="0008321F"/>
    <w:rsid w:val="00083260"/>
    <w:rsid w:val="0008337D"/>
    <w:rsid w:val="00083787"/>
    <w:rsid w:val="000837BC"/>
    <w:rsid w:val="000837F9"/>
    <w:rsid w:val="00083806"/>
    <w:rsid w:val="00083AF5"/>
    <w:rsid w:val="00083B15"/>
    <w:rsid w:val="00083BC1"/>
    <w:rsid w:val="0008473E"/>
    <w:rsid w:val="00084D9D"/>
    <w:rsid w:val="00085295"/>
    <w:rsid w:val="00085B18"/>
    <w:rsid w:val="00085D21"/>
    <w:rsid w:val="00085D59"/>
    <w:rsid w:val="00085FDA"/>
    <w:rsid w:val="0008673E"/>
    <w:rsid w:val="00086808"/>
    <w:rsid w:val="00086836"/>
    <w:rsid w:val="00086A39"/>
    <w:rsid w:val="00086BF8"/>
    <w:rsid w:val="00086CB5"/>
    <w:rsid w:val="00086DD8"/>
    <w:rsid w:val="00087299"/>
    <w:rsid w:val="000873E8"/>
    <w:rsid w:val="00087802"/>
    <w:rsid w:val="0008786A"/>
    <w:rsid w:val="00087A82"/>
    <w:rsid w:val="00087C87"/>
    <w:rsid w:val="0009000B"/>
    <w:rsid w:val="000900F6"/>
    <w:rsid w:val="00090161"/>
    <w:rsid w:val="0009042A"/>
    <w:rsid w:val="0009043E"/>
    <w:rsid w:val="00090790"/>
    <w:rsid w:val="000907FF"/>
    <w:rsid w:val="0009088F"/>
    <w:rsid w:val="0009089B"/>
    <w:rsid w:val="00090CB0"/>
    <w:rsid w:val="00090FB9"/>
    <w:rsid w:val="00091021"/>
    <w:rsid w:val="00091067"/>
    <w:rsid w:val="00091390"/>
    <w:rsid w:val="000915CD"/>
    <w:rsid w:val="000918EF"/>
    <w:rsid w:val="00091926"/>
    <w:rsid w:val="00091989"/>
    <w:rsid w:val="000919F8"/>
    <w:rsid w:val="00091A4C"/>
    <w:rsid w:val="00091B4D"/>
    <w:rsid w:val="00091D83"/>
    <w:rsid w:val="000920C8"/>
    <w:rsid w:val="000921E9"/>
    <w:rsid w:val="00092688"/>
    <w:rsid w:val="000926A5"/>
    <w:rsid w:val="0009275D"/>
    <w:rsid w:val="000927DF"/>
    <w:rsid w:val="00092C6C"/>
    <w:rsid w:val="00092D2B"/>
    <w:rsid w:val="000934E3"/>
    <w:rsid w:val="000935ED"/>
    <w:rsid w:val="000939AF"/>
    <w:rsid w:val="00093C01"/>
    <w:rsid w:val="00093D27"/>
    <w:rsid w:val="00093D33"/>
    <w:rsid w:val="00093D52"/>
    <w:rsid w:val="00093FF6"/>
    <w:rsid w:val="0009403B"/>
    <w:rsid w:val="000947A9"/>
    <w:rsid w:val="000947B0"/>
    <w:rsid w:val="00094D91"/>
    <w:rsid w:val="00094FCE"/>
    <w:rsid w:val="00095212"/>
    <w:rsid w:val="000953A7"/>
    <w:rsid w:val="00095477"/>
    <w:rsid w:val="000955B1"/>
    <w:rsid w:val="00095884"/>
    <w:rsid w:val="00095BAF"/>
    <w:rsid w:val="00095C1A"/>
    <w:rsid w:val="00095C4D"/>
    <w:rsid w:val="00096010"/>
    <w:rsid w:val="0009612B"/>
    <w:rsid w:val="000962D6"/>
    <w:rsid w:val="000965A4"/>
    <w:rsid w:val="000966FB"/>
    <w:rsid w:val="0009697D"/>
    <w:rsid w:val="00096A2A"/>
    <w:rsid w:val="00096A6A"/>
    <w:rsid w:val="00096F37"/>
    <w:rsid w:val="000970C4"/>
    <w:rsid w:val="0009712F"/>
    <w:rsid w:val="0009739B"/>
    <w:rsid w:val="00097422"/>
    <w:rsid w:val="00097569"/>
    <w:rsid w:val="00097624"/>
    <w:rsid w:val="00097AB4"/>
    <w:rsid w:val="00097B96"/>
    <w:rsid w:val="00097C67"/>
    <w:rsid w:val="00097D7E"/>
    <w:rsid w:val="00097F27"/>
    <w:rsid w:val="00097FE1"/>
    <w:rsid w:val="000A0173"/>
    <w:rsid w:val="000A026F"/>
    <w:rsid w:val="000A0506"/>
    <w:rsid w:val="000A053C"/>
    <w:rsid w:val="000A08DE"/>
    <w:rsid w:val="000A0CB4"/>
    <w:rsid w:val="000A14C3"/>
    <w:rsid w:val="000A1507"/>
    <w:rsid w:val="000A1526"/>
    <w:rsid w:val="000A1545"/>
    <w:rsid w:val="000A196C"/>
    <w:rsid w:val="000A19EB"/>
    <w:rsid w:val="000A1CED"/>
    <w:rsid w:val="000A1D8B"/>
    <w:rsid w:val="000A1E89"/>
    <w:rsid w:val="000A1F7B"/>
    <w:rsid w:val="000A1FBF"/>
    <w:rsid w:val="000A1FD4"/>
    <w:rsid w:val="000A2248"/>
    <w:rsid w:val="000A22F4"/>
    <w:rsid w:val="000A2462"/>
    <w:rsid w:val="000A251C"/>
    <w:rsid w:val="000A2567"/>
    <w:rsid w:val="000A299A"/>
    <w:rsid w:val="000A2C07"/>
    <w:rsid w:val="000A2D33"/>
    <w:rsid w:val="000A2EDB"/>
    <w:rsid w:val="000A3131"/>
    <w:rsid w:val="000A31EF"/>
    <w:rsid w:val="000A3396"/>
    <w:rsid w:val="000A3476"/>
    <w:rsid w:val="000A34B5"/>
    <w:rsid w:val="000A378C"/>
    <w:rsid w:val="000A3869"/>
    <w:rsid w:val="000A39D8"/>
    <w:rsid w:val="000A3AAD"/>
    <w:rsid w:val="000A3EF9"/>
    <w:rsid w:val="000A4182"/>
    <w:rsid w:val="000A424A"/>
    <w:rsid w:val="000A433F"/>
    <w:rsid w:val="000A4A77"/>
    <w:rsid w:val="000A4C82"/>
    <w:rsid w:val="000A5003"/>
    <w:rsid w:val="000A50C9"/>
    <w:rsid w:val="000A525F"/>
    <w:rsid w:val="000A528C"/>
    <w:rsid w:val="000A532D"/>
    <w:rsid w:val="000A557D"/>
    <w:rsid w:val="000A5716"/>
    <w:rsid w:val="000A57E2"/>
    <w:rsid w:val="000A5886"/>
    <w:rsid w:val="000A5B51"/>
    <w:rsid w:val="000A5C6C"/>
    <w:rsid w:val="000A5C78"/>
    <w:rsid w:val="000A5F9D"/>
    <w:rsid w:val="000A5FFF"/>
    <w:rsid w:val="000A6078"/>
    <w:rsid w:val="000A6100"/>
    <w:rsid w:val="000A62C6"/>
    <w:rsid w:val="000A6407"/>
    <w:rsid w:val="000A64D4"/>
    <w:rsid w:val="000A676D"/>
    <w:rsid w:val="000A6A20"/>
    <w:rsid w:val="000A6C2A"/>
    <w:rsid w:val="000A6E56"/>
    <w:rsid w:val="000A7545"/>
    <w:rsid w:val="000A7728"/>
    <w:rsid w:val="000A78D3"/>
    <w:rsid w:val="000A797D"/>
    <w:rsid w:val="000A7CF0"/>
    <w:rsid w:val="000A7D0C"/>
    <w:rsid w:val="000A7EA0"/>
    <w:rsid w:val="000A7F84"/>
    <w:rsid w:val="000B0149"/>
    <w:rsid w:val="000B020D"/>
    <w:rsid w:val="000B04E9"/>
    <w:rsid w:val="000B053C"/>
    <w:rsid w:val="000B0A2C"/>
    <w:rsid w:val="000B0BB7"/>
    <w:rsid w:val="000B0EFE"/>
    <w:rsid w:val="000B0F3E"/>
    <w:rsid w:val="000B0F95"/>
    <w:rsid w:val="000B1141"/>
    <w:rsid w:val="000B119D"/>
    <w:rsid w:val="000B11BE"/>
    <w:rsid w:val="000B124B"/>
    <w:rsid w:val="000B1549"/>
    <w:rsid w:val="000B16B4"/>
    <w:rsid w:val="000B185D"/>
    <w:rsid w:val="000B1EE7"/>
    <w:rsid w:val="000B1F49"/>
    <w:rsid w:val="000B2039"/>
    <w:rsid w:val="000B228F"/>
    <w:rsid w:val="000B270B"/>
    <w:rsid w:val="000B308C"/>
    <w:rsid w:val="000B30B4"/>
    <w:rsid w:val="000B32F5"/>
    <w:rsid w:val="000B3327"/>
    <w:rsid w:val="000B35A3"/>
    <w:rsid w:val="000B370C"/>
    <w:rsid w:val="000B3801"/>
    <w:rsid w:val="000B3D22"/>
    <w:rsid w:val="000B3E7F"/>
    <w:rsid w:val="000B3F5F"/>
    <w:rsid w:val="000B40D2"/>
    <w:rsid w:val="000B4808"/>
    <w:rsid w:val="000B4982"/>
    <w:rsid w:val="000B4B36"/>
    <w:rsid w:val="000B4C62"/>
    <w:rsid w:val="000B4CDA"/>
    <w:rsid w:val="000B4D46"/>
    <w:rsid w:val="000B4EE4"/>
    <w:rsid w:val="000B52E6"/>
    <w:rsid w:val="000B557D"/>
    <w:rsid w:val="000B55AF"/>
    <w:rsid w:val="000B5789"/>
    <w:rsid w:val="000B5795"/>
    <w:rsid w:val="000B59C0"/>
    <w:rsid w:val="000B5DAE"/>
    <w:rsid w:val="000B5E20"/>
    <w:rsid w:val="000B5F53"/>
    <w:rsid w:val="000B6106"/>
    <w:rsid w:val="000B6153"/>
    <w:rsid w:val="000B6327"/>
    <w:rsid w:val="000B634F"/>
    <w:rsid w:val="000B6460"/>
    <w:rsid w:val="000B6DE9"/>
    <w:rsid w:val="000B6E8E"/>
    <w:rsid w:val="000B7326"/>
    <w:rsid w:val="000B73C3"/>
    <w:rsid w:val="000B74BC"/>
    <w:rsid w:val="000B7567"/>
    <w:rsid w:val="000B7A52"/>
    <w:rsid w:val="000B7D34"/>
    <w:rsid w:val="000B7E17"/>
    <w:rsid w:val="000B7F1B"/>
    <w:rsid w:val="000C0128"/>
    <w:rsid w:val="000C029F"/>
    <w:rsid w:val="000C0748"/>
    <w:rsid w:val="000C08E6"/>
    <w:rsid w:val="000C0A1E"/>
    <w:rsid w:val="000C0C8E"/>
    <w:rsid w:val="000C0D11"/>
    <w:rsid w:val="000C0DBA"/>
    <w:rsid w:val="000C1065"/>
    <w:rsid w:val="000C1165"/>
    <w:rsid w:val="000C12FA"/>
    <w:rsid w:val="000C158B"/>
    <w:rsid w:val="000C168B"/>
    <w:rsid w:val="000C16CA"/>
    <w:rsid w:val="000C16F0"/>
    <w:rsid w:val="000C174B"/>
    <w:rsid w:val="000C18BB"/>
    <w:rsid w:val="000C1A06"/>
    <w:rsid w:val="000C1C80"/>
    <w:rsid w:val="000C1D82"/>
    <w:rsid w:val="000C1FE2"/>
    <w:rsid w:val="000C2314"/>
    <w:rsid w:val="000C238D"/>
    <w:rsid w:val="000C23D7"/>
    <w:rsid w:val="000C253F"/>
    <w:rsid w:val="000C25FF"/>
    <w:rsid w:val="000C27B1"/>
    <w:rsid w:val="000C2A3D"/>
    <w:rsid w:val="000C311D"/>
    <w:rsid w:val="000C3516"/>
    <w:rsid w:val="000C3838"/>
    <w:rsid w:val="000C3E15"/>
    <w:rsid w:val="000C3E60"/>
    <w:rsid w:val="000C3F48"/>
    <w:rsid w:val="000C3F68"/>
    <w:rsid w:val="000C47E6"/>
    <w:rsid w:val="000C490B"/>
    <w:rsid w:val="000C4D0D"/>
    <w:rsid w:val="000C518D"/>
    <w:rsid w:val="000C5319"/>
    <w:rsid w:val="000C5503"/>
    <w:rsid w:val="000C5790"/>
    <w:rsid w:val="000C59B3"/>
    <w:rsid w:val="000C5ADE"/>
    <w:rsid w:val="000C5C43"/>
    <w:rsid w:val="000C5DAC"/>
    <w:rsid w:val="000C5E4D"/>
    <w:rsid w:val="000C606A"/>
    <w:rsid w:val="000C610B"/>
    <w:rsid w:val="000C66E9"/>
    <w:rsid w:val="000C697F"/>
    <w:rsid w:val="000C6AD0"/>
    <w:rsid w:val="000C6AD8"/>
    <w:rsid w:val="000C6BF3"/>
    <w:rsid w:val="000C6D54"/>
    <w:rsid w:val="000C6DC7"/>
    <w:rsid w:val="000C73D3"/>
    <w:rsid w:val="000C7547"/>
    <w:rsid w:val="000C76B6"/>
    <w:rsid w:val="000C76F3"/>
    <w:rsid w:val="000C78A3"/>
    <w:rsid w:val="000C7925"/>
    <w:rsid w:val="000C7A2C"/>
    <w:rsid w:val="000C7AD4"/>
    <w:rsid w:val="000C7D5A"/>
    <w:rsid w:val="000C7DCB"/>
    <w:rsid w:val="000D006B"/>
    <w:rsid w:val="000D0285"/>
    <w:rsid w:val="000D06F0"/>
    <w:rsid w:val="000D07A4"/>
    <w:rsid w:val="000D085D"/>
    <w:rsid w:val="000D095E"/>
    <w:rsid w:val="000D0A46"/>
    <w:rsid w:val="000D0F2D"/>
    <w:rsid w:val="000D0FD1"/>
    <w:rsid w:val="000D0FF5"/>
    <w:rsid w:val="000D10FE"/>
    <w:rsid w:val="000D111F"/>
    <w:rsid w:val="000D1430"/>
    <w:rsid w:val="000D157B"/>
    <w:rsid w:val="000D166E"/>
    <w:rsid w:val="000D1682"/>
    <w:rsid w:val="000D173C"/>
    <w:rsid w:val="000D1A42"/>
    <w:rsid w:val="000D1A78"/>
    <w:rsid w:val="000D1D19"/>
    <w:rsid w:val="000D204A"/>
    <w:rsid w:val="000D22F7"/>
    <w:rsid w:val="000D2BF0"/>
    <w:rsid w:val="000D2F82"/>
    <w:rsid w:val="000D327B"/>
    <w:rsid w:val="000D33F4"/>
    <w:rsid w:val="000D3570"/>
    <w:rsid w:val="000D38D9"/>
    <w:rsid w:val="000D4256"/>
    <w:rsid w:val="000D4525"/>
    <w:rsid w:val="000D4930"/>
    <w:rsid w:val="000D4B31"/>
    <w:rsid w:val="000D507E"/>
    <w:rsid w:val="000D548E"/>
    <w:rsid w:val="000D5530"/>
    <w:rsid w:val="000D574C"/>
    <w:rsid w:val="000D58A6"/>
    <w:rsid w:val="000D5972"/>
    <w:rsid w:val="000D5D12"/>
    <w:rsid w:val="000D5E85"/>
    <w:rsid w:val="000D5F35"/>
    <w:rsid w:val="000D5F4C"/>
    <w:rsid w:val="000D60FD"/>
    <w:rsid w:val="000D6201"/>
    <w:rsid w:val="000D6235"/>
    <w:rsid w:val="000D637E"/>
    <w:rsid w:val="000D67EB"/>
    <w:rsid w:val="000D6884"/>
    <w:rsid w:val="000D6909"/>
    <w:rsid w:val="000D6C34"/>
    <w:rsid w:val="000D6EAE"/>
    <w:rsid w:val="000D6F84"/>
    <w:rsid w:val="000D7129"/>
    <w:rsid w:val="000D71DE"/>
    <w:rsid w:val="000D749D"/>
    <w:rsid w:val="000D75C5"/>
    <w:rsid w:val="000D7616"/>
    <w:rsid w:val="000D7769"/>
    <w:rsid w:val="000D780A"/>
    <w:rsid w:val="000D7BE1"/>
    <w:rsid w:val="000D7E7B"/>
    <w:rsid w:val="000D7EAB"/>
    <w:rsid w:val="000D7FAC"/>
    <w:rsid w:val="000D7FCB"/>
    <w:rsid w:val="000E0069"/>
    <w:rsid w:val="000E017D"/>
    <w:rsid w:val="000E01E4"/>
    <w:rsid w:val="000E032E"/>
    <w:rsid w:val="000E04C8"/>
    <w:rsid w:val="000E077D"/>
    <w:rsid w:val="000E0791"/>
    <w:rsid w:val="000E08A0"/>
    <w:rsid w:val="000E09B7"/>
    <w:rsid w:val="000E0D5C"/>
    <w:rsid w:val="000E0DE2"/>
    <w:rsid w:val="000E1243"/>
    <w:rsid w:val="000E131D"/>
    <w:rsid w:val="000E1412"/>
    <w:rsid w:val="000E1474"/>
    <w:rsid w:val="000E14E3"/>
    <w:rsid w:val="000E158B"/>
    <w:rsid w:val="000E1595"/>
    <w:rsid w:val="000E16A9"/>
    <w:rsid w:val="000E172E"/>
    <w:rsid w:val="000E1A21"/>
    <w:rsid w:val="000E209E"/>
    <w:rsid w:val="000E20FB"/>
    <w:rsid w:val="000E2257"/>
    <w:rsid w:val="000E25BE"/>
    <w:rsid w:val="000E276E"/>
    <w:rsid w:val="000E2C48"/>
    <w:rsid w:val="000E2FF8"/>
    <w:rsid w:val="000E300E"/>
    <w:rsid w:val="000E308C"/>
    <w:rsid w:val="000E321F"/>
    <w:rsid w:val="000E339B"/>
    <w:rsid w:val="000E3423"/>
    <w:rsid w:val="000E36DD"/>
    <w:rsid w:val="000E379E"/>
    <w:rsid w:val="000E3863"/>
    <w:rsid w:val="000E3B85"/>
    <w:rsid w:val="000E3E15"/>
    <w:rsid w:val="000E3E1B"/>
    <w:rsid w:val="000E3E36"/>
    <w:rsid w:val="000E3E40"/>
    <w:rsid w:val="000E42AB"/>
    <w:rsid w:val="000E42D4"/>
    <w:rsid w:val="000E47FA"/>
    <w:rsid w:val="000E4BC3"/>
    <w:rsid w:val="000E518E"/>
    <w:rsid w:val="000E5586"/>
    <w:rsid w:val="000E575A"/>
    <w:rsid w:val="000E5765"/>
    <w:rsid w:val="000E5956"/>
    <w:rsid w:val="000E5A26"/>
    <w:rsid w:val="000E5EA2"/>
    <w:rsid w:val="000E617F"/>
    <w:rsid w:val="000E6442"/>
    <w:rsid w:val="000E663D"/>
    <w:rsid w:val="000E67C3"/>
    <w:rsid w:val="000E693D"/>
    <w:rsid w:val="000E6B57"/>
    <w:rsid w:val="000E713B"/>
    <w:rsid w:val="000E737A"/>
    <w:rsid w:val="000E7558"/>
    <w:rsid w:val="000E793A"/>
    <w:rsid w:val="000F0602"/>
    <w:rsid w:val="000F0758"/>
    <w:rsid w:val="000F0AAF"/>
    <w:rsid w:val="000F0D0B"/>
    <w:rsid w:val="000F0DAB"/>
    <w:rsid w:val="000F0E30"/>
    <w:rsid w:val="000F1177"/>
    <w:rsid w:val="000F13A8"/>
    <w:rsid w:val="000F150B"/>
    <w:rsid w:val="000F1A16"/>
    <w:rsid w:val="000F1CD9"/>
    <w:rsid w:val="000F1EE0"/>
    <w:rsid w:val="000F1EE2"/>
    <w:rsid w:val="000F1FC6"/>
    <w:rsid w:val="000F203C"/>
    <w:rsid w:val="000F210C"/>
    <w:rsid w:val="000F2392"/>
    <w:rsid w:val="000F278F"/>
    <w:rsid w:val="000F2BE6"/>
    <w:rsid w:val="000F2CC9"/>
    <w:rsid w:val="000F2F11"/>
    <w:rsid w:val="000F3243"/>
    <w:rsid w:val="000F32FC"/>
    <w:rsid w:val="000F3605"/>
    <w:rsid w:val="000F373C"/>
    <w:rsid w:val="000F3B45"/>
    <w:rsid w:val="000F3C10"/>
    <w:rsid w:val="000F3D56"/>
    <w:rsid w:val="000F41FE"/>
    <w:rsid w:val="000F4324"/>
    <w:rsid w:val="000F44B5"/>
    <w:rsid w:val="000F44FC"/>
    <w:rsid w:val="000F4681"/>
    <w:rsid w:val="000F4895"/>
    <w:rsid w:val="000F494E"/>
    <w:rsid w:val="000F4C5F"/>
    <w:rsid w:val="000F4E3E"/>
    <w:rsid w:val="000F52C3"/>
    <w:rsid w:val="000F537C"/>
    <w:rsid w:val="000F5686"/>
    <w:rsid w:val="000F57E2"/>
    <w:rsid w:val="000F5DFA"/>
    <w:rsid w:val="000F5E6B"/>
    <w:rsid w:val="000F6295"/>
    <w:rsid w:val="000F63DC"/>
    <w:rsid w:val="000F642D"/>
    <w:rsid w:val="000F696C"/>
    <w:rsid w:val="000F699A"/>
    <w:rsid w:val="000F6C41"/>
    <w:rsid w:val="000F7401"/>
    <w:rsid w:val="000F7556"/>
    <w:rsid w:val="000F7B93"/>
    <w:rsid w:val="000F7BBD"/>
    <w:rsid w:val="000F7D79"/>
    <w:rsid w:val="000F7D9F"/>
    <w:rsid w:val="000F7F1C"/>
    <w:rsid w:val="001005CF"/>
    <w:rsid w:val="00100871"/>
    <w:rsid w:val="0010098C"/>
    <w:rsid w:val="00100AF6"/>
    <w:rsid w:val="00100C79"/>
    <w:rsid w:val="00100D26"/>
    <w:rsid w:val="00100F77"/>
    <w:rsid w:val="00101154"/>
    <w:rsid w:val="00101208"/>
    <w:rsid w:val="00101BAE"/>
    <w:rsid w:val="00101C81"/>
    <w:rsid w:val="00101E8D"/>
    <w:rsid w:val="00101F06"/>
    <w:rsid w:val="00102020"/>
    <w:rsid w:val="00102044"/>
    <w:rsid w:val="001020E7"/>
    <w:rsid w:val="0010234D"/>
    <w:rsid w:val="001025CD"/>
    <w:rsid w:val="00102904"/>
    <w:rsid w:val="00102D6A"/>
    <w:rsid w:val="00102DE8"/>
    <w:rsid w:val="00103092"/>
    <w:rsid w:val="00103509"/>
    <w:rsid w:val="001036CE"/>
    <w:rsid w:val="00103B4C"/>
    <w:rsid w:val="00103E11"/>
    <w:rsid w:val="00103EC3"/>
    <w:rsid w:val="00103FDB"/>
    <w:rsid w:val="001040F5"/>
    <w:rsid w:val="00104307"/>
    <w:rsid w:val="00104475"/>
    <w:rsid w:val="00104534"/>
    <w:rsid w:val="001047BC"/>
    <w:rsid w:val="00104925"/>
    <w:rsid w:val="00104A1E"/>
    <w:rsid w:val="00104A80"/>
    <w:rsid w:val="00104B17"/>
    <w:rsid w:val="00104DCB"/>
    <w:rsid w:val="00104F92"/>
    <w:rsid w:val="00105040"/>
    <w:rsid w:val="001051DC"/>
    <w:rsid w:val="00105297"/>
    <w:rsid w:val="00105439"/>
    <w:rsid w:val="001055A1"/>
    <w:rsid w:val="00105603"/>
    <w:rsid w:val="001056C6"/>
    <w:rsid w:val="001056DC"/>
    <w:rsid w:val="001057EA"/>
    <w:rsid w:val="001058B9"/>
    <w:rsid w:val="00105D61"/>
    <w:rsid w:val="00105D93"/>
    <w:rsid w:val="0010615A"/>
    <w:rsid w:val="00106233"/>
    <w:rsid w:val="00106548"/>
    <w:rsid w:val="00106A3B"/>
    <w:rsid w:val="00106A50"/>
    <w:rsid w:val="00106BE1"/>
    <w:rsid w:val="00106BE5"/>
    <w:rsid w:val="00106E3D"/>
    <w:rsid w:val="00106E9E"/>
    <w:rsid w:val="00106F30"/>
    <w:rsid w:val="00106F41"/>
    <w:rsid w:val="0010703D"/>
    <w:rsid w:val="001071F1"/>
    <w:rsid w:val="0010767C"/>
    <w:rsid w:val="00107DC3"/>
    <w:rsid w:val="00107F26"/>
    <w:rsid w:val="00107F3C"/>
    <w:rsid w:val="00107F4E"/>
    <w:rsid w:val="00110082"/>
    <w:rsid w:val="001107D1"/>
    <w:rsid w:val="001108F3"/>
    <w:rsid w:val="00110A10"/>
    <w:rsid w:val="00110B4C"/>
    <w:rsid w:val="00110B55"/>
    <w:rsid w:val="00110D63"/>
    <w:rsid w:val="00110D68"/>
    <w:rsid w:val="00110D8F"/>
    <w:rsid w:val="00110DD0"/>
    <w:rsid w:val="0011111D"/>
    <w:rsid w:val="0011143F"/>
    <w:rsid w:val="001114C3"/>
    <w:rsid w:val="00111656"/>
    <w:rsid w:val="00111BF4"/>
    <w:rsid w:val="00111C44"/>
    <w:rsid w:val="00111D8E"/>
    <w:rsid w:val="00112027"/>
    <w:rsid w:val="001121BF"/>
    <w:rsid w:val="001122FF"/>
    <w:rsid w:val="001124AF"/>
    <w:rsid w:val="0011263C"/>
    <w:rsid w:val="0011270A"/>
    <w:rsid w:val="001129F5"/>
    <w:rsid w:val="00112B79"/>
    <w:rsid w:val="00112C39"/>
    <w:rsid w:val="0011303B"/>
    <w:rsid w:val="001130B1"/>
    <w:rsid w:val="001132F8"/>
    <w:rsid w:val="001137A4"/>
    <w:rsid w:val="001137FF"/>
    <w:rsid w:val="00113EAF"/>
    <w:rsid w:val="00114083"/>
    <w:rsid w:val="001141C7"/>
    <w:rsid w:val="001146A4"/>
    <w:rsid w:val="001146E5"/>
    <w:rsid w:val="00114A93"/>
    <w:rsid w:val="00114D0A"/>
    <w:rsid w:val="00114FF5"/>
    <w:rsid w:val="0011523E"/>
    <w:rsid w:val="001155AC"/>
    <w:rsid w:val="00115677"/>
    <w:rsid w:val="001156F2"/>
    <w:rsid w:val="00115D7E"/>
    <w:rsid w:val="00115E0E"/>
    <w:rsid w:val="00115F3F"/>
    <w:rsid w:val="001161E2"/>
    <w:rsid w:val="00116256"/>
    <w:rsid w:val="001165A3"/>
    <w:rsid w:val="00116979"/>
    <w:rsid w:val="00116C40"/>
    <w:rsid w:val="00116CEA"/>
    <w:rsid w:val="001170EE"/>
    <w:rsid w:val="001174D7"/>
    <w:rsid w:val="00117577"/>
    <w:rsid w:val="00117726"/>
    <w:rsid w:val="00117A1D"/>
    <w:rsid w:val="00117E63"/>
    <w:rsid w:val="001200F8"/>
    <w:rsid w:val="00120A41"/>
    <w:rsid w:val="00120B3C"/>
    <w:rsid w:val="00120CC8"/>
    <w:rsid w:val="00120EFF"/>
    <w:rsid w:val="001210DB"/>
    <w:rsid w:val="001212C4"/>
    <w:rsid w:val="00121499"/>
    <w:rsid w:val="001216B2"/>
    <w:rsid w:val="001219ED"/>
    <w:rsid w:val="00121AC9"/>
    <w:rsid w:val="00121D05"/>
    <w:rsid w:val="00121E1B"/>
    <w:rsid w:val="00121EBD"/>
    <w:rsid w:val="00121F0B"/>
    <w:rsid w:val="00121F8B"/>
    <w:rsid w:val="001221BA"/>
    <w:rsid w:val="001221DA"/>
    <w:rsid w:val="0012224B"/>
    <w:rsid w:val="001223BE"/>
    <w:rsid w:val="0012245C"/>
    <w:rsid w:val="0012269B"/>
    <w:rsid w:val="00122B0F"/>
    <w:rsid w:val="00122BDF"/>
    <w:rsid w:val="00122C06"/>
    <w:rsid w:val="001230D8"/>
    <w:rsid w:val="00123222"/>
    <w:rsid w:val="001233ED"/>
    <w:rsid w:val="00123516"/>
    <w:rsid w:val="001235A2"/>
    <w:rsid w:val="00123B17"/>
    <w:rsid w:val="00123FBC"/>
    <w:rsid w:val="00124567"/>
    <w:rsid w:val="00124838"/>
    <w:rsid w:val="001249EB"/>
    <w:rsid w:val="00124BD8"/>
    <w:rsid w:val="00124C61"/>
    <w:rsid w:val="00124D6B"/>
    <w:rsid w:val="001250CE"/>
    <w:rsid w:val="001250EC"/>
    <w:rsid w:val="0012518D"/>
    <w:rsid w:val="001251EC"/>
    <w:rsid w:val="001252D6"/>
    <w:rsid w:val="001252FD"/>
    <w:rsid w:val="00125666"/>
    <w:rsid w:val="001256BA"/>
    <w:rsid w:val="001257CE"/>
    <w:rsid w:val="00125805"/>
    <w:rsid w:val="00125D7B"/>
    <w:rsid w:val="00125F75"/>
    <w:rsid w:val="00125FB9"/>
    <w:rsid w:val="001260B8"/>
    <w:rsid w:val="001264C7"/>
    <w:rsid w:val="00126BC1"/>
    <w:rsid w:val="00126C58"/>
    <w:rsid w:val="00126C96"/>
    <w:rsid w:val="00127006"/>
    <w:rsid w:val="00127317"/>
    <w:rsid w:val="00127396"/>
    <w:rsid w:val="00127823"/>
    <w:rsid w:val="00127838"/>
    <w:rsid w:val="00127B99"/>
    <w:rsid w:val="00127DFF"/>
    <w:rsid w:val="00130259"/>
    <w:rsid w:val="001304C4"/>
    <w:rsid w:val="001305BC"/>
    <w:rsid w:val="00130B95"/>
    <w:rsid w:val="00131477"/>
    <w:rsid w:val="00131590"/>
    <w:rsid w:val="00131725"/>
    <w:rsid w:val="00131A65"/>
    <w:rsid w:val="00131EAD"/>
    <w:rsid w:val="00131FC6"/>
    <w:rsid w:val="001322A0"/>
    <w:rsid w:val="001323FB"/>
    <w:rsid w:val="00132408"/>
    <w:rsid w:val="00132ED6"/>
    <w:rsid w:val="0013309D"/>
    <w:rsid w:val="0013324A"/>
    <w:rsid w:val="00133390"/>
    <w:rsid w:val="001335FC"/>
    <w:rsid w:val="001336F2"/>
    <w:rsid w:val="00133B1F"/>
    <w:rsid w:val="00133CDF"/>
    <w:rsid w:val="00133D02"/>
    <w:rsid w:val="00133E17"/>
    <w:rsid w:val="00133EA4"/>
    <w:rsid w:val="00133EC3"/>
    <w:rsid w:val="001341AE"/>
    <w:rsid w:val="00134443"/>
    <w:rsid w:val="00134459"/>
    <w:rsid w:val="00134659"/>
    <w:rsid w:val="00134669"/>
    <w:rsid w:val="0013474E"/>
    <w:rsid w:val="00134B8F"/>
    <w:rsid w:val="00134E8D"/>
    <w:rsid w:val="00134EC3"/>
    <w:rsid w:val="00134ECE"/>
    <w:rsid w:val="001350BD"/>
    <w:rsid w:val="00135121"/>
    <w:rsid w:val="001353E1"/>
    <w:rsid w:val="00135862"/>
    <w:rsid w:val="00135A63"/>
    <w:rsid w:val="00136104"/>
    <w:rsid w:val="0013640E"/>
    <w:rsid w:val="001369AD"/>
    <w:rsid w:val="00136AA0"/>
    <w:rsid w:val="00136BD1"/>
    <w:rsid w:val="00136BDA"/>
    <w:rsid w:val="00136DFA"/>
    <w:rsid w:val="00136F50"/>
    <w:rsid w:val="00137425"/>
    <w:rsid w:val="001374F1"/>
    <w:rsid w:val="001376ED"/>
    <w:rsid w:val="001379F3"/>
    <w:rsid w:val="00137D46"/>
    <w:rsid w:val="00137E7B"/>
    <w:rsid w:val="00137F35"/>
    <w:rsid w:val="00137F3B"/>
    <w:rsid w:val="00140293"/>
    <w:rsid w:val="001403E7"/>
    <w:rsid w:val="00140631"/>
    <w:rsid w:val="001409FD"/>
    <w:rsid w:val="00140B88"/>
    <w:rsid w:val="00140C14"/>
    <w:rsid w:val="00140C8F"/>
    <w:rsid w:val="00140D45"/>
    <w:rsid w:val="001411B7"/>
    <w:rsid w:val="0014123A"/>
    <w:rsid w:val="00141354"/>
    <w:rsid w:val="00141449"/>
    <w:rsid w:val="001414A2"/>
    <w:rsid w:val="001417FD"/>
    <w:rsid w:val="00141A3B"/>
    <w:rsid w:val="00141E1E"/>
    <w:rsid w:val="001421B4"/>
    <w:rsid w:val="00142219"/>
    <w:rsid w:val="00142417"/>
    <w:rsid w:val="00142425"/>
    <w:rsid w:val="00142481"/>
    <w:rsid w:val="00142533"/>
    <w:rsid w:val="001425C8"/>
    <w:rsid w:val="00142B8F"/>
    <w:rsid w:val="00142CE9"/>
    <w:rsid w:val="001430D2"/>
    <w:rsid w:val="001430F0"/>
    <w:rsid w:val="00143145"/>
    <w:rsid w:val="0014355D"/>
    <w:rsid w:val="0014372A"/>
    <w:rsid w:val="001437E5"/>
    <w:rsid w:val="001439F8"/>
    <w:rsid w:val="00143B7B"/>
    <w:rsid w:val="00143B8D"/>
    <w:rsid w:val="00143BFB"/>
    <w:rsid w:val="00143CA1"/>
    <w:rsid w:val="00144043"/>
    <w:rsid w:val="001443FA"/>
    <w:rsid w:val="00144641"/>
    <w:rsid w:val="0014494D"/>
    <w:rsid w:val="00144DC4"/>
    <w:rsid w:val="001450BC"/>
    <w:rsid w:val="00145205"/>
    <w:rsid w:val="0014531E"/>
    <w:rsid w:val="00145345"/>
    <w:rsid w:val="001455F4"/>
    <w:rsid w:val="00145908"/>
    <w:rsid w:val="001459BC"/>
    <w:rsid w:val="001459D3"/>
    <w:rsid w:val="00145A3A"/>
    <w:rsid w:val="00145B7B"/>
    <w:rsid w:val="00145D83"/>
    <w:rsid w:val="00145E21"/>
    <w:rsid w:val="001462BF"/>
    <w:rsid w:val="001463A3"/>
    <w:rsid w:val="001463E8"/>
    <w:rsid w:val="00146903"/>
    <w:rsid w:val="00146D4D"/>
    <w:rsid w:val="00146DB6"/>
    <w:rsid w:val="0014720C"/>
    <w:rsid w:val="0014751C"/>
    <w:rsid w:val="00147797"/>
    <w:rsid w:val="001477A4"/>
    <w:rsid w:val="00147B79"/>
    <w:rsid w:val="00147D3F"/>
    <w:rsid w:val="00147DED"/>
    <w:rsid w:val="00147E00"/>
    <w:rsid w:val="00147E52"/>
    <w:rsid w:val="00150026"/>
    <w:rsid w:val="00150418"/>
    <w:rsid w:val="0015093E"/>
    <w:rsid w:val="001509BE"/>
    <w:rsid w:val="00150A49"/>
    <w:rsid w:val="00150BA7"/>
    <w:rsid w:val="00150BBD"/>
    <w:rsid w:val="00150C7B"/>
    <w:rsid w:val="00150E34"/>
    <w:rsid w:val="001510C0"/>
    <w:rsid w:val="001513F6"/>
    <w:rsid w:val="001514A7"/>
    <w:rsid w:val="001514CC"/>
    <w:rsid w:val="001516FE"/>
    <w:rsid w:val="00151781"/>
    <w:rsid w:val="00151785"/>
    <w:rsid w:val="001518DF"/>
    <w:rsid w:val="001518F2"/>
    <w:rsid w:val="00151DA1"/>
    <w:rsid w:val="00151E3E"/>
    <w:rsid w:val="00151EFF"/>
    <w:rsid w:val="00151F60"/>
    <w:rsid w:val="0015202F"/>
    <w:rsid w:val="00152120"/>
    <w:rsid w:val="001521D5"/>
    <w:rsid w:val="001522F2"/>
    <w:rsid w:val="00152306"/>
    <w:rsid w:val="00152578"/>
    <w:rsid w:val="001526AD"/>
    <w:rsid w:val="00152A12"/>
    <w:rsid w:val="00152C0E"/>
    <w:rsid w:val="00152F0A"/>
    <w:rsid w:val="001531DB"/>
    <w:rsid w:val="0015327E"/>
    <w:rsid w:val="0015339C"/>
    <w:rsid w:val="0015352C"/>
    <w:rsid w:val="00153710"/>
    <w:rsid w:val="001538BD"/>
    <w:rsid w:val="00153A6C"/>
    <w:rsid w:val="00153B3D"/>
    <w:rsid w:val="00153D8F"/>
    <w:rsid w:val="001540ED"/>
    <w:rsid w:val="001541C5"/>
    <w:rsid w:val="00154285"/>
    <w:rsid w:val="0015436A"/>
    <w:rsid w:val="00154746"/>
    <w:rsid w:val="00154BD4"/>
    <w:rsid w:val="00154C28"/>
    <w:rsid w:val="0015512C"/>
    <w:rsid w:val="00155292"/>
    <w:rsid w:val="001552AE"/>
    <w:rsid w:val="001553B4"/>
    <w:rsid w:val="00155848"/>
    <w:rsid w:val="00155D6A"/>
    <w:rsid w:val="00155E95"/>
    <w:rsid w:val="00155F52"/>
    <w:rsid w:val="001565BE"/>
    <w:rsid w:val="00156608"/>
    <w:rsid w:val="0015670C"/>
    <w:rsid w:val="001567C2"/>
    <w:rsid w:val="00156B23"/>
    <w:rsid w:val="00156FA1"/>
    <w:rsid w:val="00156FD7"/>
    <w:rsid w:val="00157016"/>
    <w:rsid w:val="0015726F"/>
    <w:rsid w:val="00157486"/>
    <w:rsid w:val="001575A3"/>
    <w:rsid w:val="001576E5"/>
    <w:rsid w:val="00157B16"/>
    <w:rsid w:val="00157B75"/>
    <w:rsid w:val="001601E1"/>
    <w:rsid w:val="00160290"/>
    <w:rsid w:val="001602F7"/>
    <w:rsid w:val="001603D1"/>
    <w:rsid w:val="00160588"/>
    <w:rsid w:val="00160855"/>
    <w:rsid w:val="00160876"/>
    <w:rsid w:val="00160A31"/>
    <w:rsid w:val="00160B0D"/>
    <w:rsid w:val="00160FBA"/>
    <w:rsid w:val="00161123"/>
    <w:rsid w:val="0016134F"/>
    <w:rsid w:val="0016167A"/>
    <w:rsid w:val="001616E7"/>
    <w:rsid w:val="00161703"/>
    <w:rsid w:val="001617DE"/>
    <w:rsid w:val="001618B0"/>
    <w:rsid w:val="0016190E"/>
    <w:rsid w:val="00161B82"/>
    <w:rsid w:val="00161B8F"/>
    <w:rsid w:val="001620E1"/>
    <w:rsid w:val="00162215"/>
    <w:rsid w:val="001622E1"/>
    <w:rsid w:val="001623FB"/>
    <w:rsid w:val="0016265A"/>
    <w:rsid w:val="0016290A"/>
    <w:rsid w:val="00162F67"/>
    <w:rsid w:val="0016338B"/>
    <w:rsid w:val="00163455"/>
    <w:rsid w:val="001634CB"/>
    <w:rsid w:val="00163710"/>
    <w:rsid w:val="00163757"/>
    <w:rsid w:val="00163FAD"/>
    <w:rsid w:val="00164120"/>
    <w:rsid w:val="001645C7"/>
    <w:rsid w:val="00164861"/>
    <w:rsid w:val="001648E5"/>
    <w:rsid w:val="001648ED"/>
    <w:rsid w:val="00164A44"/>
    <w:rsid w:val="00164A59"/>
    <w:rsid w:val="00164AA6"/>
    <w:rsid w:val="00164D35"/>
    <w:rsid w:val="00164DED"/>
    <w:rsid w:val="00165095"/>
    <w:rsid w:val="00165283"/>
    <w:rsid w:val="00165892"/>
    <w:rsid w:val="00165913"/>
    <w:rsid w:val="00165E0A"/>
    <w:rsid w:val="00165E87"/>
    <w:rsid w:val="0016624E"/>
    <w:rsid w:val="00166267"/>
    <w:rsid w:val="001662C7"/>
    <w:rsid w:val="00166392"/>
    <w:rsid w:val="001664F5"/>
    <w:rsid w:val="00166831"/>
    <w:rsid w:val="00166919"/>
    <w:rsid w:val="001669EF"/>
    <w:rsid w:val="00166CE0"/>
    <w:rsid w:val="00166D19"/>
    <w:rsid w:val="0016743C"/>
    <w:rsid w:val="001674D9"/>
    <w:rsid w:val="0016752E"/>
    <w:rsid w:val="00167832"/>
    <w:rsid w:val="001678F2"/>
    <w:rsid w:val="001679BF"/>
    <w:rsid w:val="00167ADD"/>
    <w:rsid w:val="00167C7A"/>
    <w:rsid w:val="00167FE9"/>
    <w:rsid w:val="001700EC"/>
    <w:rsid w:val="00170433"/>
    <w:rsid w:val="001705E8"/>
    <w:rsid w:val="0017060B"/>
    <w:rsid w:val="00170B88"/>
    <w:rsid w:val="00170CE3"/>
    <w:rsid w:val="00170E19"/>
    <w:rsid w:val="00170EDE"/>
    <w:rsid w:val="00170F06"/>
    <w:rsid w:val="00170FFC"/>
    <w:rsid w:val="00171071"/>
    <w:rsid w:val="00171100"/>
    <w:rsid w:val="001711EB"/>
    <w:rsid w:val="00171214"/>
    <w:rsid w:val="00171B93"/>
    <w:rsid w:val="00171C99"/>
    <w:rsid w:val="00171E37"/>
    <w:rsid w:val="0017201D"/>
    <w:rsid w:val="001720DA"/>
    <w:rsid w:val="00172194"/>
    <w:rsid w:val="00172411"/>
    <w:rsid w:val="00172724"/>
    <w:rsid w:val="001728CE"/>
    <w:rsid w:val="0017299A"/>
    <w:rsid w:val="00172BFE"/>
    <w:rsid w:val="00172CFD"/>
    <w:rsid w:val="00172D2B"/>
    <w:rsid w:val="00172F0E"/>
    <w:rsid w:val="00172FE9"/>
    <w:rsid w:val="00173519"/>
    <w:rsid w:val="00173C15"/>
    <w:rsid w:val="00173C6A"/>
    <w:rsid w:val="0017409E"/>
    <w:rsid w:val="00174544"/>
    <w:rsid w:val="0017465E"/>
    <w:rsid w:val="0017468E"/>
    <w:rsid w:val="001746E6"/>
    <w:rsid w:val="00174998"/>
    <w:rsid w:val="00174A0D"/>
    <w:rsid w:val="00174ADF"/>
    <w:rsid w:val="00174B6F"/>
    <w:rsid w:val="00174C79"/>
    <w:rsid w:val="00175113"/>
    <w:rsid w:val="00175134"/>
    <w:rsid w:val="001756F8"/>
    <w:rsid w:val="00175A0C"/>
    <w:rsid w:val="00175B00"/>
    <w:rsid w:val="00175DAB"/>
    <w:rsid w:val="00176175"/>
    <w:rsid w:val="0017622C"/>
    <w:rsid w:val="00176EEF"/>
    <w:rsid w:val="00176F16"/>
    <w:rsid w:val="0017701A"/>
    <w:rsid w:val="00177607"/>
    <w:rsid w:val="001779E9"/>
    <w:rsid w:val="00177D1C"/>
    <w:rsid w:val="00177D1F"/>
    <w:rsid w:val="00177D59"/>
    <w:rsid w:val="00177F1B"/>
    <w:rsid w:val="0018026D"/>
    <w:rsid w:val="00180414"/>
    <w:rsid w:val="0018048C"/>
    <w:rsid w:val="001804A1"/>
    <w:rsid w:val="00180674"/>
    <w:rsid w:val="00180760"/>
    <w:rsid w:val="0018082A"/>
    <w:rsid w:val="001808B2"/>
    <w:rsid w:val="00180973"/>
    <w:rsid w:val="00180BFD"/>
    <w:rsid w:val="00180ED8"/>
    <w:rsid w:val="00181164"/>
    <w:rsid w:val="0018119A"/>
    <w:rsid w:val="0018126F"/>
    <w:rsid w:val="00181598"/>
    <w:rsid w:val="001815D5"/>
    <w:rsid w:val="00181A02"/>
    <w:rsid w:val="00181A98"/>
    <w:rsid w:val="00181C90"/>
    <w:rsid w:val="00181EB3"/>
    <w:rsid w:val="001820B5"/>
    <w:rsid w:val="0018224A"/>
    <w:rsid w:val="00182488"/>
    <w:rsid w:val="0018267E"/>
    <w:rsid w:val="0018283F"/>
    <w:rsid w:val="001829C1"/>
    <w:rsid w:val="00182A31"/>
    <w:rsid w:val="00182B2D"/>
    <w:rsid w:val="00182BDC"/>
    <w:rsid w:val="00182E6E"/>
    <w:rsid w:val="00182EBA"/>
    <w:rsid w:val="00182FCF"/>
    <w:rsid w:val="0018342A"/>
    <w:rsid w:val="0018347E"/>
    <w:rsid w:val="00183639"/>
    <w:rsid w:val="00183727"/>
    <w:rsid w:val="00183B7A"/>
    <w:rsid w:val="00183C27"/>
    <w:rsid w:val="00183ED7"/>
    <w:rsid w:val="00183EE6"/>
    <w:rsid w:val="00183F91"/>
    <w:rsid w:val="0018406E"/>
    <w:rsid w:val="001840D6"/>
    <w:rsid w:val="001843D4"/>
    <w:rsid w:val="00184447"/>
    <w:rsid w:val="001844CC"/>
    <w:rsid w:val="00184514"/>
    <w:rsid w:val="0018504B"/>
    <w:rsid w:val="0018512C"/>
    <w:rsid w:val="001853C2"/>
    <w:rsid w:val="001853C3"/>
    <w:rsid w:val="00185AA0"/>
    <w:rsid w:val="00185C94"/>
    <w:rsid w:val="00185E02"/>
    <w:rsid w:val="0018622E"/>
    <w:rsid w:val="001862E7"/>
    <w:rsid w:val="001864F7"/>
    <w:rsid w:val="0018669F"/>
    <w:rsid w:val="00186E9C"/>
    <w:rsid w:val="00187044"/>
    <w:rsid w:val="001871B8"/>
    <w:rsid w:val="001872AB"/>
    <w:rsid w:val="001873C0"/>
    <w:rsid w:val="001873FF"/>
    <w:rsid w:val="001876EE"/>
    <w:rsid w:val="001878EE"/>
    <w:rsid w:val="001879E4"/>
    <w:rsid w:val="00190134"/>
    <w:rsid w:val="00190611"/>
    <w:rsid w:val="001906B4"/>
    <w:rsid w:val="001908A7"/>
    <w:rsid w:val="00190AC9"/>
    <w:rsid w:val="00190CB0"/>
    <w:rsid w:val="00190DE3"/>
    <w:rsid w:val="001910F8"/>
    <w:rsid w:val="0019131F"/>
    <w:rsid w:val="001914BB"/>
    <w:rsid w:val="00191872"/>
    <w:rsid w:val="00191B6B"/>
    <w:rsid w:val="00192157"/>
    <w:rsid w:val="001923C7"/>
    <w:rsid w:val="00192B03"/>
    <w:rsid w:val="00192D86"/>
    <w:rsid w:val="00192DFB"/>
    <w:rsid w:val="001932F2"/>
    <w:rsid w:val="0019335F"/>
    <w:rsid w:val="001934DC"/>
    <w:rsid w:val="0019358A"/>
    <w:rsid w:val="001935C9"/>
    <w:rsid w:val="00193792"/>
    <w:rsid w:val="00193A59"/>
    <w:rsid w:val="00193B91"/>
    <w:rsid w:val="00193C7F"/>
    <w:rsid w:val="00193CCA"/>
    <w:rsid w:val="00194085"/>
    <w:rsid w:val="001941FA"/>
    <w:rsid w:val="0019520C"/>
    <w:rsid w:val="001952DA"/>
    <w:rsid w:val="00195652"/>
    <w:rsid w:val="00195915"/>
    <w:rsid w:val="00195A7D"/>
    <w:rsid w:val="00195C3A"/>
    <w:rsid w:val="00195E19"/>
    <w:rsid w:val="001960B0"/>
    <w:rsid w:val="00196266"/>
    <w:rsid w:val="00196647"/>
    <w:rsid w:val="00196727"/>
    <w:rsid w:val="001968A7"/>
    <w:rsid w:val="00196A8B"/>
    <w:rsid w:val="00196DAB"/>
    <w:rsid w:val="001971AE"/>
    <w:rsid w:val="001972B3"/>
    <w:rsid w:val="001976F1"/>
    <w:rsid w:val="001978CC"/>
    <w:rsid w:val="00197E41"/>
    <w:rsid w:val="00197F65"/>
    <w:rsid w:val="001A0049"/>
    <w:rsid w:val="001A026B"/>
    <w:rsid w:val="001A0613"/>
    <w:rsid w:val="001A0904"/>
    <w:rsid w:val="001A0952"/>
    <w:rsid w:val="001A0CA5"/>
    <w:rsid w:val="001A0CC9"/>
    <w:rsid w:val="001A0D37"/>
    <w:rsid w:val="001A0DCA"/>
    <w:rsid w:val="001A0ED7"/>
    <w:rsid w:val="001A0FC0"/>
    <w:rsid w:val="001A119E"/>
    <w:rsid w:val="001A126D"/>
    <w:rsid w:val="001A152D"/>
    <w:rsid w:val="001A1620"/>
    <w:rsid w:val="001A1708"/>
    <w:rsid w:val="001A171F"/>
    <w:rsid w:val="001A1894"/>
    <w:rsid w:val="001A194A"/>
    <w:rsid w:val="001A1981"/>
    <w:rsid w:val="001A1B24"/>
    <w:rsid w:val="001A1D2C"/>
    <w:rsid w:val="001A1E34"/>
    <w:rsid w:val="001A2032"/>
    <w:rsid w:val="001A207F"/>
    <w:rsid w:val="001A20E9"/>
    <w:rsid w:val="001A2212"/>
    <w:rsid w:val="001A24E8"/>
    <w:rsid w:val="001A26C2"/>
    <w:rsid w:val="001A2991"/>
    <w:rsid w:val="001A29CF"/>
    <w:rsid w:val="001A2A20"/>
    <w:rsid w:val="001A2A9C"/>
    <w:rsid w:val="001A2EAF"/>
    <w:rsid w:val="001A31B2"/>
    <w:rsid w:val="001A323B"/>
    <w:rsid w:val="001A3575"/>
    <w:rsid w:val="001A39BB"/>
    <w:rsid w:val="001A3B6A"/>
    <w:rsid w:val="001A3D67"/>
    <w:rsid w:val="001A4256"/>
    <w:rsid w:val="001A433D"/>
    <w:rsid w:val="001A4400"/>
    <w:rsid w:val="001A442C"/>
    <w:rsid w:val="001A44B6"/>
    <w:rsid w:val="001A4F5A"/>
    <w:rsid w:val="001A546E"/>
    <w:rsid w:val="001A5669"/>
    <w:rsid w:val="001A5797"/>
    <w:rsid w:val="001A5D28"/>
    <w:rsid w:val="001A5E49"/>
    <w:rsid w:val="001A65D9"/>
    <w:rsid w:val="001A68F8"/>
    <w:rsid w:val="001A69D8"/>
    <w:rsid w:val="001A7027"/>
    <w:rsid w:val="001A70AC"/>
    <w:rsid w:val="001A72E2"/>
    <w:rsid w:val="001A7750"/>
    <w:rsid w:val="001A78AE"/>
    <w:rsid w:val="001A78E1"/>
    <w:rsid w:val="001A7A78"/>
    <w:rsid w:val="001A7B4C"/>
    <w:rsid w:val="001A7EEC"/>
    <w:rsid w:val="001A7F55"/>
    <w:rsid w:val="001B018A"/>
    <w:rsid w:val="001B02EC"/>
    <w:rsid w:val="001B06A0"/>
    <w:rsid w:val="001B0854"/>
    <w:rsid w:val="001B08A2"/>
    <w:rsid w:val="001B0961"/>
    <w:rsid w:val="001B0969"/>
    <w:rsid w:val="001B0AA7"/>
    <w:rsid w:val="001B0BEF"/>
    <w:rsid w:val="001B0CE9"/>
    <w:rsid w:val="001B0FC1"/>
    <w:rsid w:val="001B134B"/>
    <w:rsid w:val="001B13F2"/>
    <w:rsid w:val="001B1448"/>
    <w:rsid w:val="001B1605"/>
    <w:rsid w:val="001B18D2"/>
    <w:rsid w:val="001B1B94"/>
    <w:rsid w:val="001B213A"/>
    <w:rsid w:val="001B2244"/>
    <w:rsid w:val="001B2567"/>
    <w:rsid w:val="001B29D4"/>
    <w:rsid w:val="001B2D4F"/>
    <w:rsid w:val="001B2DD8"/>
    <w:rsid w:val="001B2EA4"/>
    <w:rsid w:val="001B30B9"/>
    <w:rsid w:val="001B3113"/>
    <w:rsid w:val="001B31C2"/>
    <w:rsid w:val="001B355E"/>
    <w:rsid w:val="001B3C4E"/>
    <w:rsid w:val="001B3E85"/>
    <w:rsid w:val="001B3F0A"/>
    <w:rsid w:val="001B3F21"/>
    <w:rsid w:val="001B4003"/>
    <w:rsid w:val="001B404C"/>
    <w:rsid w:val="001B4422"/>
    <w:rsid w:val="001B467D"/>
    <w:rsid w:val="001B4989"/>
    <w:rsid w:val="001B4AAA"/>
    <w:rsid w:val="001B4D67"/>
    <w:rsid w:val="001B4E0F"/>
    <w:rsid w:val="001B4F34"/>
    <w:rsid w:val="001B4F35"/>
    <w:rsid w:val="001B5181"/>
    <w:rsid w:val="001B5257"/>
    <w:rsid w:val="001B574C"/>
    <w:rsid w:val="001B5757"/>
    <w:rsid w:val="001B5DC3"/>
    <w:rsid w:val="001B604C"/>
    <w:rsid w:val="001B60B5"/>
    <w:rsid w:val="001B60F6"/>
    <w:rsid w:val="001B616C"/>
    <w:rsid w:val="001B638B"/>
    <w:rsid w:val="001B6689"/>
    <w:rsid w:val="001B685A"/>
    <w:rsid w:val="001B69FB"/>
    <w:rsid w:val="001B6B18"/>
    <w:rsid w:val="001B6B8E"/>
    <w:rsid w:val="001B6C5D"/>
    <w:rsid w:val="001B6CB3"/>
    <w:rsid w:val="001B6FFF"/>
    <w:rsid w:val="001B7203"/>
    <w:rsid w:val="001B772B"/>
    <w:rsid w:val="001B7C4A"/>
    <w:rsid w:val="001B7D3D"/>
    <w:rsid w:val="001B7FAB"/>
    <w:rsid w:val="001C00C1"/>
    <w:rsid w:val="001C05AF"/>
    <w:rsid w:val="001C066D"/>
    <w:rsid w:val="001C0699"/>
    <w:rsid w:val="001C06AD"/>
    <w:rsid w:val="001C0829"/>
    <w:rsid w:val="001C089C"/>
    <w:rsid w:val="001C0A4C"/>
    <w:rsid w:val="001C0A85"/>
    <w:rsid w:val="001C0C9E"/>
    <w:rsid w:val="001C0E53"/>
    <w:rsid w:val="001C0E7D"/>
    <w:rsid w:val="001C0F94"/>
    <w:rsid w:val="001C1184"/>
    <w:rsid w:val="001C12ED"/>
    <w:rsid w:val="001C13F1"/>
    <w:rsid w:val="001C1585"/>
    <w:rsid w:val="001C173F"/>
    <w:rsid w:val="001C1A82"/>
    <w:rsid w:val="001C1B20"/>
    <w:rsid w:val="001C1B21"/>
    <w:rsid w:val="001C20EC"/>
    <w:rsid w:val="001C21DD"/>
    <w:rsid w:val="001C22D6"/>
    <w:rsid w:val="001C24AF"/>
    <w:rsid w:val="001C2571"/>
    <w:rsid w:val="001C2764"/>
    <w:rsid w:val="001C2A51"/>
    <w:rsid w:val="001C2B87"/>
    <w:rsid w:val="001C2D17"/>
    <w:rsid w:val="001C2D41"/>
    <w:rsid w:val="001C2D58"/>
    <w:rsid w:val="001C326C"/>
    <w:rsid w:val="001C354E"/>
    <w:rsid w:val="001C3563"/>
    <w:rsid w:val="001C3B81"/>
    <w:rsid w:val="001C3D96"/>
    <w:rsid w:val="001C4079"/>
    <w:rsid w:val="001C4524"/>
    <w:rsid w:val="001C465B"/>
    <w:rsid w:val="001C4828"/>
    <w:rsid w:val="001C4A04"/>
    <w:rsid w:val="001C4AF9"/>
    <w:rsid w:val="001C4EB6"/>
    <w:rsid w:val="001C515F"/>
    <w:rsid w:val="001C5242"/>
    <w:rsid w:val="001C5750"/>
    <w:rsid w:val="001C59CB"/>
    <w:rsid w:val="001C5B3A"/>
    <w:rsid w:val="001C5C27"/>
    <w:rsid w:val="001C5C3D"/>
    <w:rsid w:val="001C5DEE"/>
    <w:rsid w:val="001C5ED3"/>
    <w:rsid w:val="001C67CB"/>
    <w:rsid w:val="001C684F"/>
    <w:rsid w:val="001C69B4"/>
    <w:rsid w:val="001C6E40"/>
    <w:rsid w:val="001C7075"/>
    <w:rsid w:val="001C72DD"/>
    <w:rsid w:val="001C744D"/>
    <w:rsid w:val="001C756D"/>
    <w:rsid w:val="001C7797"/>
    <w:rsid w:val="001C78B8"/>
    <w:rsid w:val="001C79BF"/>
    <w:rsid w:val="001C79EE"/>
    <w:rsid w:val="001C7E36"/>
    <w:rsid w:val="001D000B"/>
    <w:rsid w:val="001D0543"/>
    <w:rsid w:val="001D065D"/>
    <w:rsid w:val="001D0887"/>
    <w:rsid w:val="001D0A05"/>
    <w:rsid w:val="001D0EF7"/>
    <w:rsid w:val="001D0F0E"/>
    <w:rsid w:val="001D131C"/>
    <w:rsid w:val="001D1470"/>
    <w:rsid w:val="001D14E4"/>
    <w:rsid w:val="001D1D57"/>
    <w:rsid w:val="001D1E8C"/>
    <w:rsid w:val="001D1E9A"/>
    <w:rsid w:val="001D2123"/>
    <w:rsid w:val="001D24F7"/>
    <w:rsid w:val="001D2DA6"/>
    <w:rsid w:val="001D2F6F"/>
    <w:rsid w:val="001D32BD"/>
    <w:rsid w:val="001D33A7"/>
    <w:rsid w:val="001D34C0"/>
    <w:rsid w:val="001D364A"/>
    <w:rsid w:val="001D3695"/>
    <w:rsid w:val="001D3C9E"/>
    <w:rsid w:val="001D3DD4"/>
    <w:rsid w:val="001D3F95"/>
    <w:rsid w:val="001D40CB"/>
    <w:rsid w:val="001D414F"/>
    <w:rsid w:val="001D4258"/>
    <w:rsid w:val="001D454C"/>
    <w:rsid w:val="001D4718"/>
    <w:rsid w:val="001D4B4F"/>
    <w:rsid w:val="001D4C21"/>
    <w:rsid w:val="001D4CE3"/>
    <w:rsid w:val="001D4D22"/>
    <w:rsid w:val="001D4DB6"/>
    <w:rsid w:val="001D4DF8"/>
    <w:rsid w:val="001D55F9"/>
    <w:rsid w:val="001D5A42"/>
    <w:rsid w:val="001D5B34"/>
    <w:rsid w:val="001D5D76"/>
    <w:rsid w:val="001D5E65"/>
    <w:rsid w:val="001D5EFD"/>
    <w:rsid w:val="001D6151"/>
    <w:rsid w:val="001D61B7"/>
    <w:rsid w:val="001D6414"/>
    <w:rsid w:val="001D66C2"/>
    <w:rsid w:val="001D687E"/>
    <w:rsid w:val="001D6968"/>
    <w:rsid w:val="001D6F7B"/>
    <w:rsid w:val="001D7471"/>
    <w:rsid w:val="001D75DA"/>
    <w:rsid w:val="001D75E0"/>
    <w:rsid w:val="001D78D5"/>
    <w:rsid w:val="001D7906"/>
    <w:rsid w:val="001D7970"/>
    <w:rsid w:val="001D7ABA"/>
    <w:rsid w:val="001E017E"/>
    <w:rsid w:val="001E0217"/>
    <w:rsid w:val="001E04AA"/>
    <w:rsid w:val="001E0553"/>
    <w:rsid w:val="001E05CB"/>
    <w:rsid w:val="001E0A66"/>
    <w:rsid w:val="001E0AC1"/>
    <w:rsid w:val="001E0BC9"/>
    <w:rsid w:val="001E0C59"/>
    <w:rsid w:val="001E0D30"/>
    <w:rsid w:val="001E0F1E"/>
    <w:rsid w:val="001E0F81"/>
    <w:rsid w:val="001E11A4"/>
    <w:rsid w:val="001E1355"/>
    <w:rsid w:val="001E1396"/>
    <w:rsid w:val="001E187F"/>
    <w:rsid w:val="001E1A6E"/>
    <w:rsid w:val="001E217C"/>
    <w:rsid w:val="001E26A7"/>
    <w:rsid w:val="001E2835"/>
    <w:rsid w:val="001E29DE"/>
    <w:rsid w:val="001E2BF1"/>
    <w:rsid w:val="001E2F6A"/>
    <w:rsid w:val="001E31FF"/>
    <w:rsid w:val="001E3297"/>
    <w:rsid w:val="001E342D"/>
    <w:rsid w:val="001E38A3"/>
    <w:rsid w:val="001E39DE"/>
    <w:rsid w:val="001E3AF1"/>
    <w:rsid w:val="001E3B4A"/>
    <w:rsid w:val="001E3B6C"/>
    <w:rsid w:val="001E3C0E"/>
    <w:rsid w:val="001E3D1B"/>
    <w:rsid w:val="001E3D55"/>
    <w:rsid w:val="001E3E96"/>
    <w:rsid w:val="001E40B1"/>
    <w:rsid w:val="001E438D"/>
    <w:rsid w:val="001E4839"/>
    <w:rsid w:val="001E4851"/>
    <w:rsid w:val="001E4943"/>
    <w:rsid w:val="001E4A4D"/>
    <w:rsid w:val="001E4BB7"/>
    <w:rsid w:val="001E4C74"/>
    <w:rsid w:val="001E4D69"/>
    <w:rsid w:val="001E4E1E"/>
    <w:rsid w:val="001E50B4"/>
    <w:rsid w:val="001E577B"/>
    <w:rsid w:val="001E5813"/>
    <w:rsid w:val="001E5B60"/>
    <w:rsid w:val="001E5C36"/>
    <w:rsid w:val="001E5EDF"/>
    <w:rsid w:val="001E5EF8"/>
    <w:rsid w:val="001E5F69"/>
    <w:rsid w:val="001E60AE"/>
    <w:rsid w:val="001E6161"/>
    <w:rsid w:val="001E61D2"/>
    <w:rsid w:val="001E6223"/>
    <w:rsid w:val="001E63A0"/>
    <w:rsid w:val="001E659F"/>
    <w:rsid w:val="001E672B"/>
    <w:rsid w:val="001E6840"/>
    <w:rsid w:val="001E6DE3"/>
    <w:rsid w:val="001E6E05"/>
    <w:rsid w:val="001E70F6"/>
    <w:rsid w:val="001E7218"/>
    <w:rsid w:val="001E74E4"/>
    <w:rsid w:val="001E760B"/>
    <w:rsid w:val="001E772D"/>
    <w:rsid w:val="001E7A3A"/>
    <w:rsid w:val="001E7BD6"/>
    <w:rsid w:val="001E7C40"/>
    <w:rsid w:val="001E7C84"/>
    <w:rsid w:val="001E7D42"/>
    <w:rsid w:val="001F016D"/>
    <w:rsid w:val="001F0224"/>
    <w:rsid w:val="001F039E"/>
    <w:rsid w:val="001F06A7"/>
    <w:rsid w:val="001F06BA"/>
    <w:rsid w:val="001F08B2"/>
    <w:rsid w:val="001F0BCF"/>
    <w:rsid w:val="001F0C44"/>
    <w:rsid w:val="001F0D25"/>
    <w:rsid w:val="001F0DFA"/>
    <w:rsid w:val="001F117D"/>
    <w:rsid w:val="001F1506"/>
    <w:rsid w:val="001F16FE"/>
    <w:rsid w:val="001F1838"/>
    <w:rsid w:val="001F1986"/>
    <w:rsid w:val="001F1A91"/>
    <w:rsid w:val="001F1AC3"/>
    <w:rsid w:val="001F1AD0"/>
    <w:rsid w:val="001F1B46"/>
    <w:rsid w:val="001F2002"/>
    <w:rsid w:val="001F21C2"/>
    <w:rsid w:val="001F2280"/>
    <w:rsid w:val="001F2427"/>
    <w:rsid w:val="001F24B7"/>
    <w:rsid w:val="001F27F7"/>
    <w:rsid w:val="001F2AB9"/>
    <w:rsid w:val="001F2BCC"/>
    <w:rsid w:val="001F2C7F"/>
    <w:rsid w:val="001F3856"/>
    <w:rsid w:val="001F3A7C"/>
    <w:rsid w:val="001F3AAE"/>
    <w:rsid w:val="001F3EC6"/>
    <w:rsid w:val="001F3F14"/>
    <w:rsid w:val="001F403F"/>
    <w:rsid w:val="001F4043"/>
    <w:rsid w:val="001F40EB"/>
    <w:rsid w:val="001F41D9"/>
    <w:rsid w:val="001F4569"/>
    <w:rsid w:val="001F4BDA"/>
    <w:rsid w:val="001F4E7D"/>
    <w:rsid w:val="001F500A"/>
    <w:rsid w:val="001F522F"/>
    <w:rsid w:val="001F5454"/>
    <w:rsid w:val="001F5751"/>
    <w:rsid w:val="001F5777"/>
    <w:rsid w:val="001F598F"/>
    <w:rsid w:val="001F5C7C"/>
    <w:rsid w:val="001F5CCF"/>
    <w:rsid w:val="001F5CDA"/>
    <w:rsid w:val="001F5D1B"/>
    <w:rsid w:val="001F61DB"/>
    <w:rsid w:val="001F63E8"/>
    <w:rsid w:val="001F642C"/>
    <w:rsid w:val="001F64C6"/>
    <w:rsid w:val="001F658D"/>
    <w:rsid w:val="001F659C"/>
    <w:rsid w:val="001F676D"/>
    <w:rsid w:val="001F6957"/>
    <w:rsid w:val="001F69E7"/>
    <w:rsid w:val="001F6C50"/>
    <w:rsid w:val="001F6EB6"/>
    <w:rsid w:val="001F72DB"/>
    <w:rsid w:val="001F7614"/>
    <w:rsid w:val="001F7D51"/>
    <w:rsid w:val="002002FB"/>
    <w:rsid w:val="0020048E"/>
    <w:rsid w:val="00200AD5"/>
    <w:rsid w:val="00200CA2"/>
    <w:rsid w:val="00200DEF"/>
    <w:rsid w:val="00200E0B"/>
    <w:rsid w:val="00201352"/>
    <w:rsid w:val="00201479"/>
    <w:rsid w:val="00201603"/>
    <w:rsid w:val="00201D1D"/>
    <w:rsid w:val="00201F2B"/>
    <w:rsid w:val="002022C8"/>
    <w:rsid w:val="002026C8"/>
    <w:rsid w:val="0020276A"/>
    <w:rsid w:val="00202A8E"/>
    <w:rsid w:val="00202CE1"/>
    <w:rsid w:val="00202D2E"/>
    <w:rsid w:val="00202D8C"/>
    <w:rsid w:val="0020305C"/>
    <w:rsid w:val="002030D8"/>
    <w:rsid w:val="00203175"/>
    <w:rsid w:val="002031D6"/>
    <w:rsid w:val="00203287"/>
    <w:rsid w:val="00203499"/>
    <w:rsid w:val="002037F7"/>
    <w:rsid w:val="002038DE"/>
    <w:rsid w:val="00203CC8"/>
    <w:rsid w:val="00203FCC"/>
    <w:rsid w:val="0020407B"/>
    <w:rsid w:val="00204099"/>
    <w:rsid w:val="00204333"/>
    <w:rsid w:val="0020451E"/>
    <w:rsid w:val="002045A3"/>
    <w:rsid w:val="002046CA"/>
    <w:rsid w:val="00204A85"/>
    <w:rsid w:val="00204C64"/>
    <w:rsid w:val="0020509C"/>
    <w:rsid w:val="002052D1"/>
    <w:rsid w:val="00205522"/>
    <w:rsid w:val="00205570"/>
    <w:rsid w:val="00205618"/>
    <w:rsid w:val="0020561E"/>
    <w:rsid w:val="0020564C"/>
    <w:rsid w:val="00205855"/>
    <w:rsid w:val="00205BA3"/>
    <w:rsid w:val="00205C13"/>
    <w:rsid w:val="0020602F"/>
    <w:rsid w:val="0020633B"/>
    <w:rsid w:val="0020646C"/>
    <w:rsid w:val="00206BD1"/>
    <w:rsid w:val="00206E79"/>
    <w:rsid w:val="002072D0"/>
    <w:rsid w:val="00207701"/>
    <w:rsid w:val="0020798F"/>
    <w:rsid w:val="00207D71"/>
    <w:rsid w:val="00207DBA"/>
    <w:rsid w:val="00207E15"/>
    <w:rsid w:val="0021002A"/>
    <w:rsid w:val="0021029F"/>
    <w:rsid w:val="0021032C"/>
    <w:rsid w:val="00210345"/>
    <w:rsid w:val="002103B4"/>
    <w:rsid w:val="002104B0"/>
    <w:rsid w:val="00210508"/>
    <w:rsid w:val="00210528"/>
    <w:rsid w:val="00210736"/>
    <w:rsid w:val="00210A35"/>
    <w:rsid w:val="00210AF3"/>
    <w:rsid w:val="00210CC2"/>
    <w:rsid w:val="00210ED9"/>
    <w:rsid w:val="00210FA5"/>
    <w:rsid w:val="0021100E"/>
    <w:rsid w:val="0021111D"/>
    <w:rsid w:val="00211334"/>
    <w:rsid w:val="0021144D"/>
    <w:rsid w:val="002115BB"/>
    <w:rsid w:val="002116C6"/>
    <w:rsid w:val="002117A2"/>
    <w:rsid w:val="00211BF6"/>
    <w:rsid w:val="00211ED8"/>
    <w:rsid w:val="00212164"/>
    <w:rsid w:val="002123CC"/>
    <w:rsid w:val="0021253C"/>
    <w:rsid w:val="00212591"/>
    <w:rsid w:val="00212593"/>
    <w:rsid w:val="0021268D"/>
    <w:rsid w:val="002126FE"/>
    <w:rsid w:val="00212796"/>
    <w:rsid w:val="002128B8"/>
    <w:rsid w:val="00212BF8"/>
    <w:rsid w:val="00212C88"/>
    <w:rsid w:val="00212EDF"/>
    <w:rsid w:val="002136F6"/>
    <w:rsid w:val="00213B50"/>
    <w:rsid w:val="00213F4C"/>
    <w:rsid w:val="0021416D"/>
    <w:rsid w:val="0021438A"/>
    <w:rsid w:val="00214544"/>
    <w:rsid w:val="0021480E"/>
    <w:rsid w:val="00214A38"/>
    <w:rsid w:val="00214ADF"/>
    <w:rsid w:val="00214B80"/>
    <w:rsid w:val="00214BAC"/>
    <w:rsid w:val="00214BE3"/>
    <w:rsid w:val="00214CF4"/>
    <w:rsid w:val="00214E6F"/>
    <w:rsid w:val="00214E92"/>
    <w:rsid w:val="00214F5C"/>
    <w:rsid w:val="00215653"/>
    <w:rsid w:val="00215903"/>
    <w:rsid w:val="00215A76"/>
    <w:rsid w:val="00215B2C"/>
    <w:rsid w:val="00215C67"/>
    <w:rsid w:val="00215F43"/>
    <w:rsid w:val="002160D1"/>
    <w:rsid w:val="00216100"/>
    <w:rsid w:val="00216235"/>
    <w:rsid w:val="0021634B"/>
    <w:rsid w:val="00216354"/>
    <w:rsid w:val="0021638B"/>
    <w:rsid w:val="00216693"/>
    <w:rsid w:val="002168CC"/>
    <w:rsid w:val="0021697A"/>
    <w:rsid w:val="00216988"/>
    <w:rsid w:val="002169C8"/>
    <w:rsid w:val="00216A7E"/>
    <w:rsid w:val="00216C6E"/>
    <w:rsid w:val="00216C72"/>
    <w:rsid w:val="00216F40"/>
    <w:rsid w:val="00216FD2"/>
    <w:rsid w:val="002176F3"/>
    <w:rsid w:val="0021787A"/>
    <w:rsid w:val="00217B4F"/>
    <w:rsid w:val="00217D94"/>
    <w:rsid w:val="00217DC5"/>
    <w:rsid w:val="00217F13"/>
    <w:rsid w:val="00220176"/>
    <w:rsid w:val="002202C1"/>
    <w:rsid w:val="00220B84"/>
    <w:rsid w:val="00220D78"/>
    <w:rsid w:val="00220D90"/>
    <w:rsid w:val="00220DE1"/>
    <w:rsid w:val="0022112F"/>
    <w:rsid w:val="0022140E"/>
    <w:rsid w:val="00221A88"/>
    <w:rsid w:val="00221AEE"/>
    <w:rsid w:val="0022225E"/>
    <w:rsid w:val="00222849"/>
    <w:rsid w:val="00222A28"/>
    <w:rsid w:val="00222B58"/>
    <w:rsid w:val="00222C59"/>
    <w:rsid w:val="00223145"/>
    <w:rsid w:val="00223438"/>
    <w:rsid w:val="002235FA"/>
    <w:rsid w:val="0022390C"/>
    <w:rsid w:val="0022392D"/>
    <w:rsid w:val="00223AFB"/>
    <w:rsid w:val="00223D30"/>
    <w:rsid w:val="00223EC1"/>
    <w:rsid w:val="00224154"/>
    <w:rsid w:val="0022437B"/>
    <w:rsid w:val="002243BC"/>
    <w:rsid w:val="0022470F"/>
    <w:rsid w:val="00224933"/>
    <w:rsid w:val="00224D16"/>
    <w:rsid w:val="00224E0A"/>
    <w:rsid w:val="00224E6D"/>
    <w:rsid w:val="00225009"/>
    <w:rsid w:val="00225146"/>
    <w:rsid w:val="0022516C"/>
    <w:rsid w:val="0022595E"/>
    <w:rsid w:val="00225E74"/>
    <w:rsid w:val="0022614F"/>
    <w:rsid w:val="00226255"/>
    <w:rsid w:val="002262DA"/>
    <w:rsid w:val="00226812"/>
    <w:rsid w:val="002270CC"/>
    <w:rsid w:val="00227933"/>
    <w:rsid w:val="00227C85"/>
    <w:rsid w:val="00227DD4"/>
    <w:rsid w:val="002300F2"/>
    <w:rsid w:val="0023032B"/>
    <w:rsid w:val="00230B13"/>
    <w:rsid w:val="00230B48"/>
    <w:rsid w:val="00230D00"/>
    <w:rsid w:val="002311A5"/>
    <w:rsid w:val="002314D9"/>
    <w:rsid w:val="002318DC"/>
    <w:rsid w:val="00231B01"/>
    <w:rsid w:val="00231B4A"/>
    <w:rsid w:val="00231B59"/>
    <w:rsid w:val="00231D74"/>
    <w:rsid w:val="00232059"/>
    <w:rsid w:val="00232200"/>
    <w:rsid w:val="002323E2"/>
    <w:rsid w:val="00232403"/>
    <w:rsid w:val="0023252C"/>
    <w:rsid w:val="0023269D"/>
    <w:rsid w:val="00232722"/>
    <w:rsid w:val="00232858"/>
    <w:rsid w:val="002329D5"/>
    <w:rsid w:val="00232A65"/>
    <w:rsid w:val="00232B96"/>
    <w:rsid w:val="00232CB1"/>
    <w:rsid w:val="00232E80"/>
    <w:rsid w:val="00232F83"/>
    <w:rsid w:val="002332C6"/>
    <w:rsid w:val="00233349"/>
    <w:rsid w:val="00233505"/>
    <w:rsid w:val="0023393D"/>
    <w:rsid w:val="00233B2F"/>
    <w:rsid w:val="00233B6E"/>
    <w:rsid w:val="00233BF6"/>
    <w:rsid w:val="00233D5E"/>
    <w:rsid w:val="00233D9E"/>
    <w:rsid w:val="0023400A"/>
    <w:rsid w:val="00234109"/>
    <w:rsid w:val="00234144"/>
    <w:rsid w:val="00234437"/>
    <w:rsid w:val="00234550"/>
    <w:rsid w:val="00234834"/>
    <w:rsid w:val="00234848"/>
    <w:rsid w:val="00234925"/>
    <w:rsid w:val="00234975"/>
    <w:rsid w:val="00234A50"/>
    <w:rsid w:val="00234A5C"/>
    <w:rsid w:val="00234CA4"/>
    <w:rsid w:val="00234E14"/>
    <w:rsid w:val="00234EB4"/>
    <w:rsid w:val="002351E7"/>
    <w:rsid w:val="00235208"/>
    <w:rsid w:val="0023551E"/>
    <w:rsid w:val="00235628"/>
    <w:rsid w:val="0023569B"/>
    <w:rsid w:val="00235955"/>
    <w:rsid w:val="00235B23"/>
    <w:rsid w:val="00235D48"/>
    <w:rsid w:val="00235E76"/>
    <w:rsid w:val="00235F76"/>
    <w:rsid w:val="002361E1"/>
    <w:rsid w:val="00236331"/>
    <w:rsid w:val="00236610"/>
    <w:rsid w:val="00236984"/>
    <w:rsid w:val="00236D7D"/>
    <w:rsid w:val="0023716E"/>
    <w:rsid w:val="002372D1"/>
    <w:rsid w:val="0023744A"/>
    <w:rsid w:val="002376F8"/>
    <w:rsid w:val="00237B2E"/>
    <w:rsid w:val="00237BE3"/>
    <w:rsid w:val="0024005C"/>
    <w:rsid w:val="00240166"/>
    <w:rsid w:val="00240241"/>
    <w:rsid w:val="002403B0"/>
    <w:rsid w:val="0024044A"/>
    <w:rsid w:val="0024052B"/>
    <w:rsid w:val="002405A2"/>
    <w:rsid w:val="002406FF"/>
    <w:rsid w:val="00240B1F"/>
    <w:rsid w:val="00240CAA"/>
    <w:rsid w:val="0024100A"/>
    <w:rsid w:val="00241033"/>
    <w:rsid w:val="002410AC"/>
    <w:rsid w:val="002410FE"/>
    <w:rsid w:val="00241110"/>
    <w:rsid w:val="00241244"/>
    <w:rsid w:val="00241538"/>
    <w:rsid w:val="002415CE"/>
    <w:rsid w:val="00241941"/>
    <w:rsid w:val="00241967"/>
    <w:rsid w:val="00241A78"/>
    <w:rsid w:val="00241B75"/>
    <w:rsid w:val="00241CF5"/>
    <w:rsid w:val="00241E92"/>
    <w:rsid w:val="00241FE2"/>
    <w:rsid w:val="0024217B"/>
    <w:rsid w:val="0024294A"/>
    <w:rsid w:val="002429ED"/>
    <w:rsid w:val="00242A10"/>
    <w:rsid w:val="00242D6E"/>
    <w:rsid w:val="00242E85"/>
    <w:rsid w:val="00242F99"/>
    <w:rsid w:val="00242FCC"/>
    <w:rsid w:val="00242FDB"/>
    <w:rsid w:val="002430F7"/>
    <w:rsid w:val="0024311F"/>
    <w:rsid w:val="0024384B"/>
    <w:rsid w:val="00243D1C"/>
    <w:rsid w:val="00243DED"/>
    <w:rsid w:val="00243E7E"/>
    <w:rsid w:val="00243FCE"/>
    <w:rsid w:val="00244890"/>
    <w:rsid w:val="00244C14"/>
    <w:rsid w:val="00244CA0"/>
    <w:rsid w:val="00244DF7"/>
    <w:rsid w:val="0024559C"/>
    <w:rsid w:val="002457E6"/>
    <w:rsid w:val="00245A5B"/>
    <w:rsid w:val="00245B1B"/>
    <w:rsid w:val="00245B86"/>
    <w:rsid w:val="00245CA3"/>
    <w:rsid w:val="00245E23"/>
    <w:rsid w:val="00245EA1"/>
    <w:rsid w:val="00245F1B"/>
    <w:rsid w:val="002465C1"/>
    <w:rsid w:val="002465E9"/>
    <w:rsid w:val="0024676D"/>
    <w:rsid w:val="002468A2"/>
    <w:rsid w:val="00246911"/>
    <w:rsid w:val="00246979"/>
    <w:rsid w:val="00246CDF"/>
    <w:rsid w:val="00246D1F"/>
    <w:rsid w:val="00246EE3"/>
    <w:rsid w:val="00246F6C"/>
    <w:rsid w:val="002472BB"/>
    <w:rsid w:val="0024734E"/>
    <w:rsid w:val="00247461"/>
    <w:rsid w:val="00247589"/>
    <w:rsid w:val="0024774E"/>
    <w:rsid w:val="0024780F"/>
    <w:rsid w:val="00247A28"/>
    <w:rsid w:val="00247CC2"/>
    <w:rsid w:val="00247D26"/>
    <w:rsid w:val="00247E86"/>
    <w:rsid w:val="00247F3D"/>
    <w:rsid w:val="0025000A"/>
    <w:rsid w:val="002504F4"/>
    <w:rsid w:val="002506B8"/>
    <w:rsid w:val="00250757"/>
    <w:rsid w:val="0025091C"/>
    <w:rsid w:val="00250B9A"/>
    <w:rsid w:val="00250EC6"/>
    <w:rsid w:val="00250F4F"/>
    <w:rsid w:val="00250FCE"/>
    <w:rsid w:val="002510DA"/>
    <w:rsid w:val="002512FE"/>
    <w:rsid w:val="00251389"/>
    <w:rsid w:val="00251471"/>
    <w:rsid w:val="00251B1E"/>
    <w:rsid w:val="00251B9B"/>
    <w:rsid w:val="00251F8C"/>
    <w:rsid w:val="002529CE"/>
    <w:rsid w:val="00252EC8"/>
    <w:rsid w:val="00252F4A"/>
    <w:rsid w:val="002530CE"/>
    <w:rsid w:val="0025365D"/>
    <w:rsid w:val="002536E1"/>
    <w:rsid w:val="00253755"/>
    <w:rsid w:val="00253BA4"/>
    <w:rsid w:val="00253BBC"/>
    <w:rsid w:val="00253CD1"/>
    <w:rsid w:val="00253F4A"/>
    <w:rsid w:val="00254183"/>
    <w:rsid w:val="002542E3"/>
    <w:rsid w:val="0025444D"/>
    <w:rsid w:val="00254A47"/>
    <w:rsid w:val="00254B19"/>
    <w:rsid w:val="00254C17"/>
    <w:rsid w:val="00254E69"/>
    <w:rsid w:val="00254FD0"/>
    <w:rsid w:val="0025544C"/>
    <w:rsid w:val="002557F6"/>
    <w:rsid w:val="002559AC"/>
    <w:rsid w:val="00255BE5"/>
    <w:rsid w:val="00255E0D"/>
    <w:rsid w:val="00255F8B"/>
    <w:rsid w:val="0025639C"/>
    <w:rsid w:val="0025658E"/>
    <w:rsid w:val="002567C9"/>
    <w:rsid w:val="002568B5"/>
    <w:rsid w:val="002569CF"/>
    <w:rsid w:val="00256A58"/>
    <w:rsid w:val="00256E05"/>
    <w:rsid w:val="00256F8B"/>
    <w:rsid w:val="002570F8"/>
    <w:rsid w:val="002571E6"/>
    <w:rsid w:val="002571FC"/>
    <w:rsid w:val="00257315"/>
    <w:rsid w:val="00257319"/>
    <w:rsid w:val="002577F7"/>
    <w:rsid w:val="00257A56"/>
    <w:rsid w:val="00257E99"/>
    <w:rsid w:val="00257F50"/>
    <w:rsid w:val="0026002F"/>
    <w:rsid w:val="00260566"/>
    <w:rsid w:val="002605F8"/>
    <w:rsid w:val="00260777"/>
    <w:rsid w:val="00260801"/>
    <w:rsid w:val="00260862"/>
    <w:rsid w:val="00260932"/>
    <w:rsid w:val="00260A93"/>
    <w:rsid w:val="00260DAB"/>
    <w:rsid w:val="00260E26"/>
    <w:rsid w:val="0026127F"/>
    <w:rsid w:val="002612BD"/>
    <w:rsid w:val="0026156E"/>
    <w:rsid w:val="002617A0"/>
    <w:rsid w:val="0026180A"/>
    <w:rsid w:val="00261852"/>
    <w:rsid w:val="002619EB"/>
    <w:rsid w:val="00261A37"/>
    <w:rsid w:val="00261C53"/>
    <w:rsid w:val="00262084"/>
    <w:rsid w:val="0026234D"/>
    <w:rsid w:val="002625D9"/>
    <w:rsid w:val="00262707"/>
    <w:rsid w:val="002627B3"/>
    <w:rsid w:val="00262830"/>
    <w:rsid w:val="00262F42"/>
    <w:rsid w:val="002634D3"/>
    <w:rsid w:val="002634EC"/>
    <w:rsid w:val="002635EB"/>
    <w:rsid w:val="00263688"/>
    <w:rsid w:val="00263711"/>
    <w:rsid w:val="00263803"/>
    <w:rsid w:val="0026398F"/>
    <w:rsid w:val="00263B5D"/>
    <w:rsid w:val="00263E30"/>
    <w:rsid w:val="0026419E"/>
    <w:rsid w:val="00264203"/>
    <w:rsid w:val="0026428C"/>
    <w:rsid w:val="002645E5"/>
    <w:rsid w:val="00264A81"/>
    <w:rsid w:val="00264A9E"/>
    <w:rsid w:val="00264B04"/>
    <w:rsid w:val="00264BDF"/>
    <w:rsid w:val="00264DE2"/>
    <w:rsid w:val="00264E8E"/>
    <w:rsid w:val="002651D4"/>
    <w:rsid w:val="00265487"/>
    <w:rsid w:val="00265B68"/>
    <w:rsid w:val="00265D16"/>
    <w:rsid w:val="00265DBC"/>
    <w:rsid w:val="00266068"/>
    <w:rsid w:val="00266070"/>
    <w:rsid w:val="00266644"/>
    <w:rsid w:val="0026669B"/>
    <w:rsid w:val="0026687A"/>
    <w:rsid w:val="002668AA"/>
    <w:rsid w:val="0026696D"/>
    <w:rsid w:val="00266B74"/>
    <w:rsid w:val="00266E52"/>
    <w:rsid w:val="00267062"/>
    <w:rsid w:val="00267145"/>
    <w:rsid w:val="00267210"/>
    <w:rsid w:val="00267241"/>
    <w:rsid w:val="00267525"/>
    <w:rsid w:val="0026764E"/>
    <w:rsid w:val="0026780A"/>
    <w:rsid w:val="00267A8A"/>
    <w:rsid w:val="0027001A"/>
    <w:rsid w:val="00270281"/>
    <w:rsid w:val="002705CF"/>
    <w:rsid w:val="002708F2"/>
    <w:rsid w:val="00270C3E"/>
    <w:rsid w:val="00271007"/>
    <w:rsid w:val="00271165"/>
    <w:rsid w:val="0027135A"/>
    <w:rsid w:val="002714E1"/>
    <w:rsid w:val="00271E37"/>
    <w:rsid w:val="00271FD0"/>
    <w:rsid w:val="0027233D"/>
    <w:rsid w:val="00272431"/>
    <w:rsid w:val="00272498"/>
    <w:rsid w:val="0027259F"/>
    <w:rsid w:val="002725DF"/>
    <w:rsid w:val="002726BC"/>
    <w:rsid w:val="0027283B"/>
    <w:rsid w:val="00272D7C"/>
    <w:rsid w:val="00272FF6"/>
    <w:rsid w:val="0027365A"/>
    <w:rsid w:val="00273A67"/>
    <w:rsid w:val="00273A76"/>
    <w:rsid w:val="00273F77"/>
    <w:rsid w:val="0027427C"/>
    <w:rsid w:val="00274443"/>
    <w:rsid w:val="002744ED"/>
    <w:rsid w:val="0027452C"/>
    <w:rsid w:val="002749E5"/>
    <w:rsid w:val="00274C33"/>
    <w:rsid w:val="00274C9E"/>
    <w:rsid w:val="00274CFD"/>
    <w:rsid w:val="002751F2"/>
    <w:rsid w:val="002752C6"/>
    <w:rsid w:val="0027542F"/>
    <w:rsid w:val="002755E5"/>
    <w:rsid w:val="00275646"/>
    <w:rsid w:val="00275D8E"/>
    <w:rsid w:val="00275DB6"/>
    <w:rsid w:val="002762C2"/>
    <w:rsid w:val="002763A8"/>
    <w:rsid w:val="0027691E"/>
    <w:rsid w:val="00276949"/>
    <w:rsid w:val="00276E5C"/>
    <w:rsid w:val="00276E88"/>
    <w:rsid w:val="002772F0"/>
    <w:rsid w:val="00277439"/>
    <w:rsid w:val="00277495"/>
    <w:rsid w:val="0027777E"/>
    <w:rsid w:val="00277983"/>
    <w:rsid w:val="00277A7C"/>
    <w:rsid w:val="00277D6E"/>
    <w:rsid w:val="00277E02"/>
    <w:rsid w:val="00277FB2"/>
    <w:rsid w:val="0028004B"/>
    <w:rsid w:val="00280593"/>
    <w:rsid w:val="00280E9C"/>
    <w:rsid w:val="00280F8C"/>
    <w:rsid w:val="00281498"/>
    <w:rsid w:val="002815A2"/>
    <w:rsid w:val="0028169A"/>
    <w:rsid w:val="00281749"/>
    <w:rsid w:val="00281B55"/>
    <w:rsid w:val="00281BB6"/>
    <w:rsid w:val="00281F15"/>
    <w:rsid w:val="00282288"/>
    <w:rsid w:val="00282479"/>
    <w:rsid w:val="002824AF"/>
    <w:rsid w:val="00282535"/>
    <w:rsid w:val="002826F2"/>
    <w:rsid w:val="002827A9"/>
    <w:rsid w:val="00282B17"/>
    <w:rsid w:val="00282F68"/>
    <w:rsid w:val="0028334A"/>
    <w:rsid w:val="00283474"/>
    <w:rsid w:val="002835EF"/>
    <w:rsid w:val="00283B1F"/>
    <w:rsid w:val="00283E04"/>
    <w:rsid w:val="00283FAC"/>
    <w:rsid w:val="00284016"/>
    <w:rsid w:val="002841A3"/>
    <w:rsid w:val="0028421E"/>
    <w:rsid w:val="002844AA"/>
    <w:rsid w:val="002847C7"/>
    <w:rsid w:val="0028496D"/>
    <w:rsid w:val="00284EFB"/>
    <w:rsid w:val="00284F1B"/>
    <w:rsid w:val="00285274"/>
    <w:rsid w:val="002853C1"/>
    <w:rsid w:val="00285414"/>
    <w:rsid w:val="002855E1"/>
    <w:rsid w:val="002857A2"/>
    <w:rsid w:val="00285E98"/>
    <w:rsid w:val="00285F29"/>
    <w:rsid w:val="00285FAB"/>
    <w:rsid w:val="002860BB"/>
    <w:rsid w:val="00286364"/>
    <w:rsid w:val="0028639F"/>
    <w:rsid w:val="00286430"/>
    <w:rsid w:val="00286597"/>
    <w:rsid w:val="002867A4"/>
    <w:rsid w:val="002867E8"/>
    <w:rsid w:val="002867FC"/>
    <w:rsid w:val="00286CA2"/>
    <w:rsid w:val="00286D97"/>
    <w:rsid w:val="00286EB5"/>
    <w:rsid w:val="00286EC4"/>
    <w:rsid w:val="002876F6"/>
    <w:rsid w:val="00287711"/>
    <w:rsid w:val="002877D7"/>
    <w:rsid w:val="0028783D"/>
    <w:rsid w:val="00287BDB"/>
    <w:rsid w:val="00290164"/>
    <w:rsid w:val="0029064D"/>
    <w:rsid w:val="002906C4"/>
    <w:rsid w:val="00290749"/>
    <w:rsid w:val="00290AAF"/>
    <w:rsid w:val="00290C71"/>
    <w:rsid w:val="00290CDA"/>
    <w:rsid w:val="00290D89"/>
    <w:rsid w:val="002910DC"/>
    <w:rsid w:val="002913A7"/>
    <w:rsid w:val="002914E1"/>
    <w:rsid w:val="002916FD"/>
    <w:rsid w:val="002918C2"/>
    <w:rsid w:val="00291912"/>
    <w:rsid w:val="00291B08"/>
    <w:rsid w:val="00292070"/>
    <w:rsid w:val="002920CC"/>
    <w:rsid w:val="002920DD"/>
    <w:rsid w:val="00292162"/>
    <w:rsid w:val="002921ED"/>
    <w:rsid w:val="00292329"/>
    <w:rsid w:val="0029268C"/>
    <w:rsid w:val="00292C71"/>
    <w:rsid w:val="00292C72"/>
    <w:rsid w:val="00292D05"/>
    <w:rsid w:val="00292DD3"/>
    <w:rsid w:val="00293192"/>
    <w:rsid w:val="00293549"/>
    <w:rsid w:val="002936EB"/>
    <w:rsid w:val="00293B9A"/>
    <w:rsid w:val="00293CD6"/>
    <w:rsid w:val="00293EB5"/>
    <w:rsid w:val="00293EC7"/>
    <w:rsid w:val="00293EF5"/>
    <w:rsid w:val="002940BB"/>
    <w:rsid w:val="00294377"/>
    <w:rsid w:val="00294412"/>
    <w:rsid w:val="00294461"/>
    <w:rsid w:val="002947A5"/>
    <w:rsid w:val="002949BD"/>
    <w:rsid w:val="00294CEE"/>
    <w:rsid w:val="00295066"/>
    <w:rsid w:val="0029511A"/>
    <w:rsid w:val="002957A6"/>
    <w:rsid w:val="00295979"/>
    <w:rsid w:val="00295CB1"/>
    <w:rsid w:val="002962C1"/>
    <w:rsid w:val="0029682E"/>
    <w:rsid w:val="00296CC9"/>
    <w:rsid w:val="00296CF0"/>
    <w:rsid w:val="002973BC"/>
    <w:rsid w:val="002974D2"/>
    <w:rsid w:val="0029772F"/>
    <w:rsid w:val="00297866"/>
    <w:rsid w:val="002978D0"/>
    <w:rsid w:val="00297A5A"/>
    <w:rsid w:val="00297ABC"/>
    <w:rsid w:val="002A01E2"/>
    <w:rsid w:val="002A02F6"/>
    <w:rsid w:val="002A0401"/>
    <w:rsid w:val="002A0890"/>
    <w:rsid w:val="002A0C14"/>
    <w:rsid w:val="002A0DCA"/>
    <w:rsid w:val="002A0FF7"/>
    <w:rsid w:val="002A1318"/>
    <w:rsid w:val="002A1618"/>
    <w:rsid w:val="002A1626"/>
    <w:rsid w:val="002A19F3"/>
    <w:rsid w:val="002A23A2"/>
    <w:rsid w:val="002A2478"/>
    <w:rsid w:val="002A2E1A"/>
    <w:rsid w:val="002A2FC0"/>
    <w:rsid w:val="002A31DD"/>
    <w:rsid w:val="002A3257"/>
    <w:rsid w:val="002A3569"/>
    <w:rsid w:val="002A35DF"/>
    <w:rsid w:val="002A38BF"/>
    <w:rsid w:val="002A3AB6"/>
    <w:rsid w:val="002A3AF2"/>
    <w:rsid w:val="002A3B4E"/>
    <w:rsid w:val="002A3EDC"/>
    <w:rsid w:val="002A41C3"/>
    <w:rsid w:val="002A45CC"/>
    <w:rsid w:val="002A4BB6"/>
    <w:rsid w:val="002A4C98"/>
    <w:rsid w:val="002A53AC"/>
    <w:rsid w:val="002A54C4"/>
    <w:rsid w:val="002A5520"/>
    <w:rsid w:val="002A56F9"/>
    <w:rsid w:val="002A57CC"/>
    <w:rsid w:val="002A5BF4"/>
    <w:rsid w:val="002A5D23"/>
    <w:rsid w:val="002A5D83"/>
    <w:rsid w:val="002A5DE8"/>
    <w:rsid w:val="002A6008"/>
    <w:rsid w:val="002A612E"/>
    <w:rsid w:val="002A65BA"/>
    <w:rsid w:val="002A6678"/>
    <w:rsid w:val="002A6B4E"/>
    <w:rsid w:val="002A6CD5"/>
    <w:rsid w:val="002A6CF6"/>
    <w:rsid w:val="002A6D81"/>
    <w:rsid w:val="002A73C4"/>
    <w:rsid w:val="002A75B4"/>
    <w:rsid w:val="002A7684"/>
    <w:rsid w:val="002A77B9"/>
    <w:rsid w:val="002A7D3C"/>
    <w:rsid w:val="002A7D5A"/>
    <w:rsid w:val="002A7E6E"/>
    <w:rsid w:val="002B03BA"/>
    <w:rsid w:val="002B0A61"/>
    <w:rsid w:val="002B0AEC"/>
    <w:rsid w:val="002B0CBF"/>
    <w:rsid w:val="002B0D04"/>
    <w:rsid w:val="002B109F"/>
    <w:rsid w:val="002B10A5"/>
    <w:rsid w:val="002B130B"/>
    <w:rsid w:val="002B1477"/>
    <w:rsid w:val="002B14B5"/>
    <w:rsid w:val="002B1766"/>
    <w:rsid w:val="002B1A20"/>
    <w:rsid w:val="002B1FC1"/>
    <w:rsid w:val="002B214F"/>
    <w:rsid w:val="002B23C2"/>
    <w:rsid w:val="002B268B"/>
    <w:rsid w:val="002B28D0"/>
    <w:rsid w:val="002B2CAF"/>
    <w:rsid w:val="002B2F75"/>
    <w:rsid w:val="002B2F9C"/>
    <w:rsid w:val="002B31A3"/>
    <w:rsid w:val="002B334E"/>
    <w:rsid w:val="002B3434"/>
    <w:rsid w:val="002B3CA9"/>
    <w:rsid w:val="002B42CE"/>
    <w:rsid w:val="002B42D7"/>
    <w:rsid w:val="002B4997"/>
    <w:rsid w:val="002B4A57"/>
    <w:rsid w:val="002B4AF0"/>
    <w:rsid w:val="002B4B7F"/>
    <w:rsid w:val="002B4BA7"/>
    <w:rsid w:val="002B5046"/>
    <w:rsid w:val="002B57ED"/>
    <w:rsid w:val="002B5955"/>
    <w:rsid w:val="002B5D1D"/>
    <w:rsid w:val="002B660F"/>
    <w:rsid w:val="002B6891"/>
    <w:rsid w:val="002B6B59"/>
    <w:rsid w:val="002B6EB5"/>
    <w:rsid w:val="002B6FA3"/>
    <w:rsid w:val="002B6FD4"/>
    <w:rsid w:val="002B7287"/>
    <w:rsid w:val="002B730E"/>
    <w:rsid w:val="002B74CC"/>
    <w:rsid w:val="002B7622"/>
    <w:rsid w:val="002B78E0"/>
    <w:rsid w:val="002B7AB8"/>
    <w:rsid w:val="002B7C35"/>
    <w:rsid w:val="002B7C96"/>
    <w:rsid w:val="002B7EAF"/>
    <w:rsid w:val="002B7ECD"/>
    <w:rsid w:val="002C02E7"/>
    <w:rsid w:val="002C0335"/>
    <w:rsid w:val="002C0491"/>
    <w:rsid w:val="002C07C4"/>
    <w:rsid w:val="002C084D"/>
    <w:rsid w:val="002C089F"/>
    <w:rsid w:val="002C0B2A"/>
    <w:rsid w:val="002C0B70"/>
    <w:rsid w:val="002C0C43"/>
    <w:rsid w:val="002C0CF9"/>
    <w:rsid w:val="002C14FE"/>
    <w:rsid w:val="002C1746"/>
    <w:rsid w:val="002C17DB"/>
    <w:rsid w:val="002C19DC"/>
    <w:rsid w:val="002C1C54"/>
    <w:rsid w:val="002C1C6B"/>
    <w:rsid w:val="002C1D8A"/>
    <w:rsid w:val="002C2071"/>
    <w:rsid w:val="002C219C"/>
    <w:rsid w:val="002C2346"/>
    <w:rsid w:val="002C24F4"/>
    <w:rsid w:val="002C260F"/>
    <w:rsid w:val="002C2884"/>
    <w:rsid w:val="002C2B94"/>
    <w:rsid w:val="002C2D1D"/>
    <w:rsid w:val="002C2ED7"/>
    <w:rsid w:val="002C2F19"/>
    <w:rsid w:val="002C3227"/>
    <w:rsid w:val="002C32D2"/>
    <w:rsid w:val="002C3386"/>
    <w:rsid w:val="002C34E8"/>
    <w:rsid w:val="002C38F9"/>
    <w:rsid w:val="002C3A1E"/>
    <w:rsid w:val="002C3AA3"/>
    <w:rsid w:val="002C3BE0"/>
    <w:rsid w:val="002C3D73"/>
    <w:rsid w:val="002C3FD2"/>
    <w:rsid w:val="002C4155"/>
    <w:rsid w:val="002C4163"/>
    <w:rsid w:val="002C4315"/>
    <w:rsid w:val="002C434C"/>
    <w:rsid w:val="002C479A"/>
    <w:rsid w:val="002C4821"/>
    <w:rsid w:val="002C48D4"/>
    <w:rsid w:val="002C4EAE"/>
    <w:rsid w:val="002C4F6F"/>
    <w:rsid w:val="002C51E5"/>
    <w:rsid w:val="002C527D"/>
    <w:rsid w:val="002C536E"/>
    <w:rsid w:val="002C54AF"/>
    <w:rsid w:val="002C54D6"/>
    <w:rsid w:val="002C5599"/>
    <w:rsid w:val="002C56AE"/>
    <w:rsid w:val="002C56D3"/>
    <w:rsid w:val="002C58FF"/>
    <w:rsid w:val="002C5CF1"/>
    <w:rsid w:val="002C5F3F"/>
    <w:rsid w:val="002C604A"/>
    <w:rsid w:val="002C6189"/>
    <w:rsid w:val="002C619A"/>
    <w:rsid w:val="002C654F"/>
    <w:rsid w:val="002C660F"/>
    <w:rsid w:val="002C6AB6"/>
    <w:rsid w:val="002C6BB2"/>
    <w:rsid w:val="002C6C8D"/>
    <w:rsid w:val="002C6E36"/>
    <w:rsid w:val="002C6F50"/>
    <w:rsid w:val="002C6FD4"/>
    <w:rsid w:val="002C7185"/>
    <w:rsid w:val="002C7189"/>
    <w:rsid w:val="002C7274"/>
    <w:rsid w:val="002C7285"/>
    <w:rsid w:val="002C7654"/>
    <w:rsid w:val="002C7A79"/>
    <w:rsid w:val="002C7BFE"/>
    <w:rsid w:val="002D0191"/>
    <w:rsid w:val="002D03BF"/>
    <w:rsid w:val="002D05C5"/>
    <w:rsid w:val="002D05F5"/>
    <w:rsid w:val="002D089B"/>
    <w:rsid w:val="002D0BAA"/>
    <w:rsid w:val="002D1018"/>
    <w:rsid w:val="002D101A"/>
    <w:rsid w:val="002D11D1"/>
    <w:rsid w:val="002D1373"/>
    <w:rsid w:val="002D1526"/>
    <w:rsid w:val="002D1529"/>
    <w:rsid w:val="002D1755"/>
    <w:rsid w:val="002D181C"/>
    <w:rsid w:val="002D18FA"/>
    <w:rsid w:val="002D1D9F"/>
    <w:rsid w:val="002D1E3E"/>
    <w:rsid w:val="002D1EF3"/>
    <w:rsid w:val="002D1F7B"/>
    <w:rsid w:val="002D213D"/>
    <w:rsid w:val="002D217D"/>
    <w:rsid w:val="002D22B4"/>
    <w:rsid w:val="002D251B"/>
    <w:rsid w:val="002D2964"/>
    <w:rsid w:val="002D29D3"/>
    <w:rsid w:val="002D2B25"/>
    <w:rsid w:val="002D3402"/>
    <w:rsid w:val="002D3595"/>
    <w:rsid w:val="002D365C"/>
    <w:rsid w:val="002D36F8"/>
    <w:rsid w:val="002D37FD"/>
    <w:rsid w:val="002D38C6"/>
    <w:rsid w:val="002D38D4"/>
    <w:rsid w:val="002D3A38"/>
    <w:rsid w:val="002D3AB0"/>
    <w:rsid w:val="002D3B83"/>
    <w:rsid w:val="002D3D9B"/>
    <w:rsid w:val="002D4452"/>
    <w:rsid w:val="002D4798"/>
    <w:rsid w:val="002D4DCB"/>
    <w:rsid w:val="002D527B"/>
    <w:rsid w:val="002D5302"/>
    <w:rsid w:val="002D530F"/>
    <w:rsid w:val="002D53B4"/>
    <w:rsid w:val="002D5496"/>
    <w:rsid w:val="002D54F4"/>
    <w:rsid w:val="002D54F9"/>
    <w:rsid w:val="002D5713"/>
    <w:rsid w:val="002D5AB2"/>
    <w:rsid w:val="002D5E27"/>
    <w:rsid w:val="002D5E31"/>
    <w:rsid w:val="002D5F64"/>
    <w:rsid w:val="002D61CD"/>
    <w:rsid w:val="002D6B29"/>
    <w:rsid w:val="002D6CD0"/>
    <w:rsid w:val="002D6FCB"/>
    <w:rsid w:val="002D7384"/>
    <w:rsid w:val="002D7487"/>
    <w:rsid w:val="002D7603"/>
    <w:rsid w:val="002D7648"/>
    <w:rsid w:val="002D77E8"/>
    <w:rsid w:val="002D79F5"/>
    <w:rsid w:val="002D7C34"/>
    <w:rsid w:val="002D7C55"/>
    <w:rsid w:val="002D7D54"/>
    <w:rsid w:val="002E0139"/>
    <w:rsid w:val="002E0160"/>
    <w:rsid w:val="002E0259"/>
    <w:rsid w:val="002E0A0A"/>
    <w:rsid w:val="002E0BA9"/>
    <w:rsid w:val="002E0C38"/>
    <w:rsid w:val="002E0CAF"/>
    <w:rsid w:val="002E0FB2"/>
    <w:rsid w:val="002E106F"/>
    <w:rsid w:val="002E13A2"/>
    <w:rsid w:val="002E142F"/>
    <w:rsid w:val="002E15DC"/>
    <w:rsid w:val="002E1699"/>
    <w:rsid w:val="002E1D19"/>
    <w:rsid w:val="002E1E02"/>
    <w:rsid w:val="002E1FE3"/>
    <w:rsid w:val="002E2125"/>
    <w:rsid w:val="002E217D"/>
    <w:rsid w:val="002E2321"/>
    <w:rsid w:val="002E25A3"/>
    <w:rsid w:val="002E28D6"/>
    <w:rsid w:val="002E2A03"/>
    <w:rsid w:val="002E2D3B"/>
    <w:rsid w:val="002E2EB4"/>
    <w:rsid w:val="002E30FE"/>
    <w:rsid w:val="002E3712"/>
    <w:rsid w:val="002E39D1"/>
    <w:rsid w:val="002E3CC8"/>
    <w:rsid w:val="002E3D2B"/>
    <w:rsid w:val="002E3F36"/>
    <w:rsid w:val="002E3FFA"/>
    <w:rsid w:val="002E4021"/>
    <w:rsid w:val="002E43D4"/>
    <w:rsid w:val="002E43E1"/>
    <w:rsid w:val="002E475C"/>
    <w:rsid w:val="002E47EC"/>
    <w:rsid w:val="002E4E63"/>
    <w:rsid w:val="002E4F4B"/>
    <w:rsid w:val="002E5086"/>
    <w:rsid w:val="002E50EB"/>
    <w:rsid w:val="002E5453"/>
    <w:rsid w:val="002E55B3"/>
    <w:rsid w:val="002E5819"/>
    <w:rsid w:val="002E5870"/>
    <w:rsid w:val="002E59F4"/>
    <w:rsid w:val="002E5AD5"/>
    <w:rsid w:val="002E5C06"/>
    <w:rsid w:val="002E5DF7"/>
    <w:rsid w:val="002E60EF"/>
    <w:rsid w:val="002E61A1"/>
    <w:rsid w:val="002E61BA"/>
    <w:rsid w:val="002E61CE"/>
    <w:rsid w:val="002E63E8"/>
    <w:rsid w:val="002E64DD"/>
    <w:rsid w:val="002E653E"/>
    <w:rsid w:val="002E66BF"/>
    <w:rsid w:val="002E6A26"/>
    <w:rsid w:val="002E6E02"/>
    <w:rsid w:val="002E7234"/>
    <w:rsid w:val="002E74AB"/>
    <w:rsid w:val="002E7516"/>
    <w:rsid w:val="002E774B"/>
    <w:rsid w:val="002E7CAD"/>
    <w:rsid w:val="002E7D0F"/>
    <w:rsid w:val="002E7D62"/>
    <w:rsid w:val="002E7E86"/>
    <w:rsid w:val="002F0157"/>
    <w:rsid w:val="002F01D2"/>
    <w:rsid w:val="002F0217"/>
    <w:rsid w:val="002F02DC"/>
    <w:rsid w:val="002F04F3"/>
    <w:rsid w:val="002F053C"/>
    <w:rsid w:val="002F0545"/>
    <w:rsid w:val="002F0674"/>
    <w:rsid w:val="002F0B39"/>
    <w:rsid w:val="002F1058"/>
    <w:rsid w:val="002F10B7"/>
    <w:rsid w:val="002F1106"/>
    <w:rsid w:val="002F1189"/>
    <w:rsid w:val="002F1215"/>
    <w:rsid w:val="002F1664"/>
    <w:rsid w:val="002F17F8"/>
    <w:rsid w:val="002F192C"/>
    <w:rsid w:val="002F19C5"/>
    <w:rsid w:val="002F1A44"/>
    <w:rsid w:val="002F1A95"/>
    <w:rsid w:val="002F1CAF"/>
    <w:rsid w:val="002F1FA1"/>
    <w:rsid w:val="002F2028"/>
    <w:rsid w:val="002F214C"/>
    <w:rsid w:val="002F21E7"/>
    <w:rsid w:val="002F222C"/>
    <w:rsid w:val="002F225A"/>
    <w:rsid w:val="002F254A"/>
    <w:rsid w:val="002F260A"/>
    <w:rsid w:val="002F2632"/>
    <w:rsid w:val="002F275A"/>
    <w:rsid w:val="002F27EC"/>
    <w:rsid w:val="002F29A8"/>
    <w:rsid w:val="002F2AF9"/>
    <w:rsid w:val="002F2B60"/>
    <w:rsid w:val="002F2C71"/>
    <w:rsid w:val="002F2D92"/>
    <w:rsid w:val="002F2E9C"/>
    <w:rsid w:val="002F2F75"/>
    <w:rsid w:val="002F318B"/>
    <w:rsid w:val="002F31CB"/>
    <w:rsid w:val="002F343E"/>
    <w:rsid w:val="002F361D"/>
    <w:rsid w:val="002F385B"/>
    <w:rsid w:val="002F3E39"/>
    <w:rsid w:val="002F3EB8"/>
    <w:rsid w:val="002F3F0B"/>
    <w:rsid w:val="002F4087"/>
    <w:rsid w:val="002F417B"/>
    <w:rsid w:val="002F4286"/>
    <w:rsid w:val="002F42B6"/>
    <w:rsid w:val="002F47BF"/>
    <w:rsid w:val="002F4807"/>
    <w:rsid w:val="002F490F"/>
    <w:rsid w:val="002F4936"/>
    <w:rsid w:val="002F49D4"/>
    <w:rsid w:val="002F4A08"/>
    <w:rsid w:val="002F4A12"/>
    <w:rsid w:val="002F506D"/>
    <w:rsid w:val="002F541D"/>
    <w:rsid w:val="002F54D0"/>
    <w:rsid w:val="002F56AB"/>
    <w:rsid w:val="002F587F"/>
    <w:rsid w:val="002F5AA2"/>
    <w:rsid w:val="002F5ADD"/>
    <w:rsid w:val="002F5BBE"/>
    <w:rsid w:val="002F5C5F"/>
    <w:rsid w:val="002F606D"/>
    <w:rsid w:val="002F61DC"/>
    <w:rsid w:val="002F66DC"/>
    <w:rsid w:val="002F6981"/>
    <w:rsid w:val="002F6AE0"/>
    <w:rsid w:val="002F6BFD"/>
    <w:rsid w:val="002F6E10"/>
    <w:rsid w:val="002F719C"/>
    <w:rsid w:val="002F77D6"/>
    <w:rsid w:val="002F7975"/>
    <w:rsid w:val="002F7A0B"/>
    <w:rsid w:val="002F7AAF"/>
    <w:rsid w:val="002F7B21"/>
    <w:rsid w:val="002F7B8A"/>
    <w:rsid w:val="002F7CCA"/>
    <w:rsid w:val="00300592"/>
    <w:rsid w:val="00300596"/>
    <w:rsid w:val="0030090E"/>
    <w:rsid w:val="0030093E"/>
    <w:rsid w:val="00300C4B"/>
    <w:rsid w:val="00300E36"/>
    <w:rsid w:val="0030112B"/>
    <w:rsid w:val="00301223"/>
    <w:rsid w:val="00301610"/>
    <w:rsid w:val="003016BE"/>
    <w:rsid w:val="003016F4"/>
    <w:rsid w:val="00301730"/>
    <w:rsid w:val="003017AA"/>
    <w:rsid w:val="003018E8"/>
    <w:rsid w:val="00301BBD"/>
    <w:rsid w:val="00301FBA"/>
    <w:rsid w:val="0030204A"/>
    <w:rsid w:val="00302086"/>
    <w:rsid w:val="00302655"/>
    <w:rsid w:val="0030265D"/>
    <w:rsid w:val="003026C7"/>
    <w:rsid w:val="00302779"/>
    <w:rsid w:val="00302D91"/>
    <w:rsid w:val="00302DB3"/>
    <w:rsid w:val="0030303F"/>
    <w:rsid w:val="003030E1"/>
    <w:rsid w:val="00303298"/>
    <w:rsid w:val="00303334"/>
    <w:rsid w:val="0030343B"/>
    <w:rsid w:val="0030398F"/>
    <w:rsid w:val="00303B81"/>
    <w:rsid w:val="00303BA6"/>
    <w:rsid w:val="00303D1F"/>
    <w:rsid w:val="00303DFB"/>
    <w:rsid w:val="00303DFC"/>
    <w:rsid w:val="0030430A"/>
    <w:rsid w:val="003046F3"/>
    <w:rsid w:val="0030476D"/>
    <w:rsid w:val="00304881"/>
    <w:rsid w:val="00304A8C"/>
    <w:rsid w:val="00304A98"/>
    <w:rsid w:val="00304AE7"/>
    <w:rsid w:val="00304CC3"/>
    <w:rsid w:val="00304CD2"/>
    <w:rsid w:val="00304D3E"/>
    <w:rsid w:val="00304F19"/>
    <w:rsid w:val="00304F8B"/>
    <w:rsid w:val="003050EE"/>
    <w:rsid w:val="0030539F"/>
    <w:rsid w:val="00305945"/>
    <w:rsid w:val="00305A23"/>
    <w:rsid w:val="00305CEF"/>
    <w:rsid w:val="00305D33"/>
    <w:rsid w:val="00305DBF"/>
    <w:rsid w:val="00306099"/>
    <w:rsid w:val="003060D2"/>
    <w:rsid w:val="0030610C"/>
    <w:rsid w:val="0030622B"/>
    <w:rsid w:val="0030685C"/>
    <w:rsid w:val="00306B7C"/>
    <w:rsid w:val="00306DFC"/>
    <w:rsid w:val="003071C9"/>
    <w:rsid w:val="003075E7"/>
    <w:rsid w:val="00307A1F"/>
    <w:rsid w:val="00307B00"/>
    <w:rsid w:val="00307B5D"/>
    <w:rsid w:val="00307CAC"/>
    <w:rsid w:val="00307CCA"/>
    <w:rsid w:val="003102BA"/>
    <w:rsid w:val="0031034B"/>
    <w:rsid w:val="00310485"/>
    <w:rsid w:val="00310647"/>
    <w:rsid w:val="0031064C"/>
    <w:rsid w:val="0031075D"/>
    <w:rsid w:val="00310A3D"/>
    <w:rsid w:val="00310A84"/>
    <w:rsid w:val="0031111A"/>
    <w:rsid w:val="00311336"/>
    <w:rsid w:val="00311373"/>
    <w:rsid w:val="0031155A"/>
    <w:rsid w:val="00311608"/>
    <w:rsid w:val="00311A42"/>
    <w:rsid w:val="00311A99"/>
    <w:rsid w:val="00311BE5"/>
    <w:rsid w:val="00311C17"/>
    <w:rsid w:val="00312084"/>
    <w:rsid w:val="00312162"/>
    <w:rsid w:val="00312302"/>
    <w:rsid w:val="003124A2"/>
    <w:rsid w:val="00312557"/>
    <w:rsid w:val="0031266E"/>
    <w:rsid w:val="0031275F"/>
    <w:rsid w:val="00312FC0"/>
    <w:rsid w:val="003131CD"/>
    <w:rsid w:val="0031334B"/>
    <w:rsid w:val="003136E9"/>
    <w:rsid w:val="003137A6"/>
    <w:rsid w:val="0031384A"/>
    <w:rsid w:val="00313859"/>
    <w:rsid w:val="0031394D"/>
    <w:rsid w:val="00313984"/>
    <w:rsid w:val="00313A53"/>
    <w:rsid w:val="00313DB9"/>
    <w:rsid w:val="00313DE3"/>
    <w:rsid w:val="00314456"/>
    <w:rsid w:val="0031450E"/>
    <w:rsid w:val="00314586"/>
    <w:rsid w:val="00314863"/>
    <w:rsid w:val="00314A49"/>
    <w:rsid w:val="00314BA7"/>
    <w:rsid w:val="00314E6C"/>
    <w:rsid w:val="00314EE9"/>
    <w:rsid w:val="00314FF0"/>
    <w:rsid w:val="00315378"/>
    <w:rsid w:val="003157C0"/>
    <w:rsid w:val="00316549"/>
    <w:rsid w:val="00316557"/>
    <w:rsid w:val="00316687"/>
    <w:rsid w:val="00316752"/>
    <w:rsid w:val="003169ED"/>
    <w:rsid w:val="00316B4F"/>
    <w:rsid w:val="00316BFE"/>
    <w:rsid w:val="00316D90"/>
    <w:rsid w:val="00316E54"/>
    <w:rsid w:val="003170DA"/>
    <w:rsid w:val="003170E5"/>
    <w:rsid w:val="00317340"/>
    <w:rsid w:val="00317477"/>
    <w:rsid w:val="00317599"/>
    <w:rsid w:val="003175D0"/>
    <w:rsid w:val="0031762E"/>
    <w:rsid w:val="0031769E"/>
    <w:rsid w:val="003178CA"/>
    <w:rsid w:val="00317E56"/>
    <w:rsid w:val="00317F8E"/>
    <w:rsid w:val="00320046"/>
    <w:rsid w:val="00320883"/>
    <w:rsid w:val="00320A5B"/>
    <w:rsid w:val="00320B06"/>
    <w:rsid w:val="00320DA7"/>
    <w:rsid w:val="00320E71"/>
    <w:rsid w:val="00320F7B"/>
    <w:rsid w:val="00320FFF"/>
    <w:rsid w:val="003212C7"/>
    <w:rsid w:val="003213C4"/>
    <w:rsid w:val="00321533"/>
    <w:rsid w:val="00321560"/>
    <w:rsid w:val="003215CE"/>
    <w:rsid w:val="00321854"/>
    <w:rsid w:val="0032191A"/>
    <w:rsid w:val="003220C9"/>
    <w:rsid w:val="0032226C"/>
    <w:rsid w:val="00322438"/>
    <w:rsid w:val="003224BE"/>
    <w:rsid w:val="003224C5"/>
    <w:rsid w:val="0032279D"/>
    <w:rsid w:val="0032289A"/>
    <w:rsid w:val="003228B1"/>
    <w:rsid w:val="00322A43"/>
    <w:rsid w:val="00322A4E"/>
    <w:rsid w:val="00322BCD"/>
    <w:rsid w:val="00322C18"/>
    <w:rsid w:val="00322C29"/>
    <w:rsid w:val="00322C8E"/>
    <w:rsid w:val="00322F9E"/>
    <w:rsid w:val="00323060"/>
    <w:rsid w:val="003234DD"/>
    <w:rsid w:val="003235CD"/>
    <w:rsid w:val="0032371A"/>
    <w:rsid w:val="003238CA"/>
    <w:rsid w:val="0032394C"/>
    <w:rsid w:val="00323A5E"/>
    <w:rsid w:val="00323B3C"/>
    <w:rsid w:val="00323B5E"/>
    <w:rsid w:val="00323C45"/>
    <w:rsid w:val="00323C71"/>
    <w:rsid w:val="00323C92"/>
    <w:rsid w:val="00323D08"/>
    <w:rsid w:val="00323DBE"/>
    <w:rsid w:val="00323E50"/>
    <w:rsid w:val="003242FF"/>
    <w:rsid w:val="003243BB"/>
    <w:rsid w:val="0032470E"/>
    <w:rsid w:val="003248C0"/>
    <w:rsid w:val="00324A38"/>
    <w:rsid w:val="00324B2D"/>
    <w:rsid w:val="00324C6D"/>
    <w:rsid w:val="00324F06"/>
    <w:rsid w:val="00324F31"/>
    <w:rsid w:val="00324FEE"/>
    <w:rsid w:val="00325218"/>
    <w:rsid w:val="0032545C"/>
    <w:rsid w:val="00325707"/>
    <w:rsid w:val="00325708"/>
    <w:rsid w:val="00325B88"/>
    <w:rsid w:val="00325C93"/>
    <w:rsid w:val="00325CF9"/>
    <w:rsid w:val="00325F71"/>
    <w:rsid w:val="00325F8E"/>
    <w:rsid w:val="00326181"/>
    <w:rsid w:val="003263D9"/>
    <w:rsid w:val="00326548"/>
    <w:rsid w:val="0032657B"/>
    <w:rsid w:val="003266E7"/>
    <w:rsid w:val="0032674D"/>
    <w:rsid w:val="003267D2"/>
    <w:rsid w:val="00326B9F"/>
    <w:rsid w:val="00326C82"/>
    <w:rsid w:val="0032732A"/>
    <w:rsid w:val="00327351"/>
    <w:rsid w:val="00327674"/>
    <w:rsid w:val="003278DF"/>
    <w:rsid w:val="00327B39"/>
    <w:rsid w:val="00327EA6"/>
    <w:rsid w:val="00327EA8"/>
    <w:rsid w:val="003300E9"/>
    <w:rsid w:val="00330268"/>
    <w:rsid w:val="003304EA"/>
    <w:rsid w:val="0033070D"/>
    <w:rsid w:val="0033093A"/>
    <w:rsid w:val="00330B76"/>
    <w:rsid w:val="00330EFA"/>
    <w:rsid w:val="0033108B"/>
    <w:rsid w:val="003314AD"/>
    <w:rsid w:val="00331963"/>
    <w:rsid w:val="00331AA7"/>
    <w:rsid w:val="003320D9"/>
    <w:rsid w:val="0033213F"/>
    <w:rsid w:val="00332272"/>
    <w:rsid w:val="003324EA"/>
    <w:rsid w:val="0033256C"/>
    <w:rsid w:val="0033285D"/>
    <w:rsid w:val="00332881"/>
    <w:rsid w:val="00332985"/>
    <w:rsid w:val="00332A8B"/>
    <w:rsid w:val="00332B12"/>
    <w:rsid w:val="00332B43"/>
    <w:rsid w:val="00332D1D"/>
    <w:rsid w:val="00332E7F"/>
    <w:rsid w:val="00332ED0"/>
    <w:rsid w:val="00332F27"/>
    <w:rsid w:val="003330CB"/>
    <w:rsid w:val="0033323A"/>
    <w:rsid w:val="00333BCE"/>
    <w:rsid w:val="00333BE1"/>
    <w:rsid w:val="00333ECC"/>
    <w:rsid w:val="00334406"/>
    <w:rsid w:val="0033471D"/>
    <w:rsid w:val="00334855"/>
    <w:rsid w:val="00334C32"/>
    <w:rsid w:val="00334E75"/>
    <w:rsid w:val="0033531C"/>
    <w:rsid w:val="00335418"/>
    <w:rsid w:val="00335CE1"/>
    <w:rsid w:val="00335D1F"/>
    <w:rsid w:val="00335D9F"/>
    <w:rsid w:val="00335DFC"/>
    <w:rsid w:val="00335E14"/>
    <w:rsid w:val="00335F61"/>
    <w:rsid w:val="00336013"/>
    <w:rsid w:val="00336084"/>
    <w:rsid w:val="003360E7"/>
    <w:rsid w:val="00336173"/>
    <w:rsid w:val="003361B9"/>
    <w:rsid w:val="00336560"/>
    <w:rsid w:val="0033667A"/>
    <w:rsid w:val="00336903"/>
    <w:rsid w:val="00336D95"/>
    <w:rsid w:val="00336E98"/>
    <w:rsid w:val="00336F06"/>
    <w:rsid w:val="00337341"/>
    <w:rsid w:val="00337530"/>
    <w:rsid w:val="003375B3"/>
    <w:rsid w:val="00337A5C"/>
    <w:rsid w:val="00337A7F"/>
    <w:rsid w:val="00337B74"/>
    <w:rsid w:val="00337D74"/>
    <w:rsid w:val="00337D88"/>
    <w:rsid w:val="0034016E"/>
    <w:rsid w:val="003403AE"/>
    <w:rsid w:val="003404F1"/>
    <w:rsid w:val="00340697"/>
    <w:rsid w:val="00340AD3"/>
    <w:rsid w:val="00340B97"/>
    <w:rsid w:val="00340C74"/>
    <w:rsid w:val="00340D8A"/>
    <w:rsid w:val="00341115"/>
    <w:rsid w:val="0034124C"/>
    <w:rsid w:val="003412E9"/>
    <w:rsid w:val="0034135B"/>
    <w:rsid w:val="0034173D"/>
    <w:rsid w:val="003419F3"/>
    <w:rsid w:val="00341C86"/>
    <w:rsid w:val="00341CAC"/>
    <w:rsid w:val="00341ED8"/>
    <w:rsid w:val="003420E1"/>
    <w:rsid w:val="003422AB"/>
    <w:rsid w:val="0034242C"/>
    <w:rsid w:val="00342443"/>
    <w:rsid w:val="003426D6"/>
    <w:rsid w:val="00342A0C"/>
    <w:rsid w:val="00342A48"/>
    <w:rsid w:val="00342C1A"/>
    <w:rsid w:val="00342D36"/>
    <w:rsid w:val="003431C9"/>
    <w:rsid w:val="0034332C"/>
    <w:rsid w:val="00343475"/>
    <w:rsid w:val="003434EF"/>
    <w:rsid w:val="003435E0"/>
    <w:rsid w:val="0034370D"/>
    <w:rsid w:val="0034386D"/>
    <w:rsid w:val="00343898"/>
    <w:rsid w:val="00343B35"/>
    <w:rsid w:val="00343DB1"/>
    <w:rsid w:val="00343DBA"/>
    <w:rsid w:val="00343DD7"/>
    <w:rsid w:val="00343FC5"/>
    <w:rsid w:val="00344056"/>
    <w:rsid w:val="003441DA"/>
    <w:rsid w:val="0034456C"/>
    <w:rsid w:val="003446BD"/>
    <w:rsid w:val="00344794"/>
    <w:rsid w:val="00344810"/>
    <w:rsid w:val="003449B4"/>
    <w:rsid w:val="00344B59"/>
    <w:rsid w:val="00344DCE"/>
    <w:rsid w:val="0034512B"/>
    <w:rsid w:val="0034512D"/>
    <w:rsid w:val="00345388"/>
    <w:rsid w:val="003453E2"/>
    <w:rsid w:val="003454DB"/>
    <w:rsid w:val="00345863"/>
    <w:rsid w:val="00345890"/>
    <w:rsid w:val="00345983"/>
    <w:rsid w:val="00345A50"/>
    <w:rsid w:val="00345CD7"/>
    <w:rsid w:val="00346031"/>
    <w:rsid w:val="00346387"/>
    <w:rsid w:val="003463FE"/>
    <w:rsid w:val="00346524"/>
    <w:rsid w:val="003466AE"/>
    <w:rsid w:val="00346CB6"/>
    <w:rsid w:val="00346E8D"/>
    <w:rsid w:val="00346F51"/>
    <w:rsid w:val="0034709B"/>
    <w:rsid w:val="003472E9"/>
    <w:rsid w:val="00347510"/>
    <w:rsid w:val="0034780E"/>
    <w:rsid w:val="00347DC1"/>
    <w:rsid w:val="00347E3A"/>
    <w:rsid w:val="003506CD"/>
    <w:rsid w:val="00350720"/>
    <w:rsid w:val="00350986"/>
    <w:rsid w:val="00350B45"/>
    <w:rsid w:val="00350E08"/>
    <w:rsid w:val="00350EF8"/>
    <w:rsid w:val="003511AF"/>
    <w:rsid w:val="0035139E"/>
    <w:rsid w:val="003516DC"/>
    <w:rsid w:val="00351A92"/>
    <w:rsid w:val="00351B3B"/>
    <w:rsid w:val="00351CFC"/>
    <w:rsid w:val="00351F23"/>
    <w:rsid w:val="00351F70"/>
    <w:rsid w:val="00351FDE"/>
    <w:rsid w:val="00352250"/>
    <w:rsid w:val="0035235A"/>
    <w:rsid w:val="003527D8"/>
    <w:rsid w:val="003528BC"/>
    <w:rsid w:val="003529C7"/>
    <w:rsid w:val="003529F8"/>
    <w:rsid w:val="00352A56"/>
    <w:rsid w:val="00352DCD"/>
    <w:rsid w:val="00352E63"/>
    <w:rsid w:val="003534D4"/>
    <w:rsid w:val="00353520"/>
    <w:rsid w:val="003537CC"/>
    <w:rsid w:val="003538C6"/>
    <w:rsid w:val="003539D8"/>
    <w:rsid w:val="00353E5D"/>
    <w:rsid w:val="00354010"/>
    <w:rsid w:val="00354168"/>
    <w:rsid w:val="00354541"/>
    <w:rsid w:val="0035458F"/>
    <w:rsid w:val="00354811"/>
    <w:rsid w:val="00354B30"/>
    <w:rsid w:val="00354DAD"/>
    <w:rsid w:val="00354DCB"/>
    <w:rsid w:val="003551DB"/>
    <w:rsid w:val="0035526D"/>
    <w:rsid w:val="003553B6"/>
    <w:rsid w:val="00355408"/>
    <w:rsid w:val="00355534"/>
    <w:rsid w:val="00355576"/>
    <w:rsid w:val="00355799"/>
    <w:rsid w:val="00355991"/>
    <w:rsid w:val="00355CDF"/>
    <w:rsid w:val="00356056"/>
    <w:rsid w:val="00356142"/>
    <w:rsid w:val="003565E0"/>
    <w:rsid w:val="00356862"/>
    <w:rsid w:val="00356B8A"/>
    <w:rsid w:val="00356BD0"/>
    <w:rsid w:val="00356BDC"/>
    <w:rsid w:val="00356C57"/>
    <w:rsid w:val="00356D68"/>
    <w:rsid w:val="00356D91"/>
    <w:rsid w:val="00356E7F"/>
    <w:rsid w:val="0035731C"/>
    <w:rsid w:val="0035796D"/>
    <w:rsid w:val="0036017D"/>
    <w:rsid w:val="003603E8"/>
    <w:rsid w:val="00360432"/>
    <w:rsid w:val="00360667"/>
    <w:rsid w:val="003606BD"/>
    <w:rsid w:val="00360A89"/>
    <w:rsid w:val="00360B2C"/>
    <w:rsid w:val="00360E84"/>
    <w:rsid w:val="00361A3A"/>
    <w:rsid w:val="00361F16"/>
    <w:rsid w:val="00361F9A"/>
    <w:rsid w:val="00362032"/>
    <w:rsid w:val="003622EE"/>
    <w:rsid w:val="0036235B"/>
    <w:rsid w:val="0036249A"/>
    <w:rsid w:val="003628D8"/>
    <w:rsid w:val="00362A59"/>
    <w:rsid w:val="00362AC2"/>
    <w:rsid w:val="00362B17"/>
    <w:rsid w:val="00362BF4"/>
    <w:rsid w:val="00362EE5"/>
    <w:rsid w:val="00363312"/>
    <w:rsid w:val="00363661"/>
    <w:rsid w:val="003637D9"/>
    <w:rsid w:val="00363920"/>
    <w:rsid w:val="00363D32"/>
    <w:rsid w:val="00363F0F"/>
    <w:rsid w:val="00363F6D"/>
    <w:rsid w:val="0036414C"/>
    <w:rsid w:val="0036487A"/>
    <w:rsid w:val="00364C0A"/>
    <w:rsid w:val="0036517F"/>
    <w:rsid w:val="003653D4"/>
    <w:rsid w:val="003654FE"/>
    <w:rsid w:val="00365505"/>
    <w:rsid w:val="00365BF0"/>
    <w:rsid w:val="00365E06"/>
    <w:rsid w:val="00365F15"/>
    <w:rsid w:val="00365FA4"/>
    <w:rsid w:val="00365FF8"/>
    <w:rsid w:val="00366008"/>
    <w:rsid w:val="00366140"/>
    <w:rsid w:val="0036620B"/>
    <w:rsid w:val="00366450"/>
    <w:rsid w:val="0036645E"/>
    <w:rsid w:val="003664F8"/>
    <w:rsid w:val="003665FC"/>
    <w:rsid w:val="0036667B"/>
    <w:rsid w:val="003669D2"/>
    <w:rsid w:val="003669E8"/>
    <w:rsid w:val="00366BE0"/>
    <w:rsid w:val="00366CDB"/>
    <w:rsid w:val="00366F36"/>
    <w:rsid w:val="00366FA3"/>
    <w:rsid w:val="00367238"/>
    <w:rsid w:val="00367305"/>
    <w:rsid w:val="00367580"/>
    <w:rsid w:val="0036762A"/>
    <w:rsid w:val="00367673"/>
    <w:rsid w:val="00367786"/>
    <w:rsid w:val="00367926"/>
    <w:rsid w:val="00367EB2"/>
    <w:rsid w:val="0037014D"/>
    <w:rsid w:val="0037025C"/>
    <w:rsid w:val="003702EF"/>
    <w:rsid w:val="003705CF"/>
    <w:rsid w:val="00370651"/>
    <w:rsid w:val="00370681"/>
    <w:rsid w:val="0037076D"/>
    <w:rsid w:val="003707F3"/>
    <w:rsid w:val="00370B3A"/>
    <w:rsid w:val="00370C6B"/>
    <w:rsid w:val="00370DFC"/>
    <w:rsid w:val="00370E68"/>
    <w:rsid w:val="003711BD"/>
    <w:rsid w:val="003714FC"/>
    <w:rsid w:val="00371869"/>
    <w:rsid w:val="003718F9"/>
    <w:rsid w:val="00371936"/>
    <w:rsid w:val="003719F0"/>
    <w:rsid w:val="00371B2A"/>
    <w:rsid w:val="00371B5C"/>
    <w:rsid w:val="00371EE9"/>
    <w:rsid w:val="003720A8"/>
    <w:rsid w:val="003722A1"/>
    <w:rsid w:val="0037251A"/>
    <w:rsid w:val="003726B2"/>
    <w:rsid w:val="003727A5"/>
    <w:rsid w:val="00372868"/>
    <w:rsid w:val="00372CE1"/>
    <w:rsid w:val="00372E4E"/>
    <w:rsid w:val="00372E91"/>
    <w:rsid w:val="00372E95"/>
    <w:rsid w:val="00372EB0"/>
    <w:rsid w:val="00373188"/>
    <w:rsid w:val="00373249"/>
    <w:rsid w:val="003733CB"/>
    <w:rsid w:val="0037391C"/>
    <w:rsid w:val="00373995"/>
    <w:rsid w:val="00373A62"/>
    <w:rsid w:val="00373C37"/>
    <w:rsid w:val="00373E1F"/>
    <w:rsid w:val="003741AC"/>
    <w:rsid w:val="003744B6"/>
    <w:rsid w:val="003745F5"/>
    <w:rsid w:val="00374A99"/>
    <w:rsid w:val="00374BCE"/>
    <w:rsid w:val="003751ED"/>
    <w:rsid w:val="00375517"/>
    <w:rsid w:val="00375D06"/>
    <w:rsid w:val="00375D14"/>
    <w:rsid w:val="00375F52"/>
    <w:rsid w:val="00375F70"/>
    <w:rsid w:val="003760D4"/>
    <w:rsid w:val="00376101"/>
    <w:rsid w:val="00376523"/>
    <w:rsid w:val="00376583"/>
    <w:rsid w:val="00376751"/>
    <w:rsid w:val="003767A0"/>
    <w:rsid w:val="003767CA"/>
    <w:rsid w:val="003767F0"/>
    <w:rsid w:val="00376B12"/>
    <w:rsid w:val="00376B30"/>
    <w:rsid w:val="00376C26"/>
    <w:rsid w:val="00376C89"/>
    <w:rsid w:val="0037726A"/>
    <w:rsid w:val="003773FB"/>
    <w:rsid w:val="00377450"/>
    <w:rsid w:val="00377705"/>
    <w:rsid w:val="0037782C"/>
    <w:rsid w:val="00377853"/>
    <w:rsid w:val="0037785D"/>
    <w:rsid w:val="0037797F"/>
    <w:rsid w:val="00377AC0"/>
    <w:rsid w:val="00377ACF"/>
    <w:rsid w:val="0038010E"/>
    <w:rsid w:val="00380727"/>
    <w:rsid w:val="00380967"/>
    <w:rsid w:val="00380C04"/>
    <w:rsid w:val="00380C6F"/>
    <w:rsid w:val="00380C79"/>
    <w:rsid w:val="00380EDD"/>
    <w:rsid w:val="0038110F"/>
    <w:rsid w:val="003811EF"/>
    <w:rsid w:val="0038121F"/>
    <w:rsid w:val="00381283"/>
    <w:rsid w:val="00381424"/>
    <w:rsid w:val="003815FC"/>
    <w:rsid w:val="00381601"/>
    <w:rsid w:val="00381E22"/>
    <w:rsid w:val="003820C4"/>
    <w:rsid w:val="003823B0"/>
    <w:rsid w:val="00382653"/>
    <w:rsid w:val="003826D5"/>
    <w:rsid w:val="00382711"/>
    <w:rsid w:val="00382C19"/>
    <w:rsid w:val="00382D45"/>
    <w:rsid w:val="00383177"/>
    <w:rsid w:val="003831AA"/>
    <w:rsid w:val="003831BD"/>
    <w:rsid w:val="003839DD"/>
    <w:rsid w:val="00383AB9"/>
    <w:rsid w:val="00383BBC"/>
    <w:rsid w:val="00383DD1"/>
    <w:rsid w:val="0038445E"/>
    <w:rsid w:val="00384549"/>
    <w:rsid w:val="003846F4"/>
    <w:rsid w:val="00384E62"/>
    <w:rsid w:val="00384F14"/>
    <w:rsid w:val="00384F3F"/>
    <w:rsid w:val="00385506"/>
    <w:rsid w:val="0038553D"/>
    <w:rsid w:val="0038567B"/>
    <w:rsid w:val="0038574A"/>
    <w:rsid w:val="003858B4"/>
    <w:rsid w:val="00385C8C"/>
    <w:rsid w:val="00385E61"/>
    <w:rsid w:val="00385FB2"/>
    <w:rsid w:val="00386131"/>
    <w:rsid w:val="00386182"/>
    <w:rsid w:val="003864FB"/>
    <w:rsid w:val="00386631"/>
    <w:rsid w:val="0038685C"/>
    <w:rsid w:val="00386A02"/>
    <w:rsid w:val="00386A97"/>
    <w:rsid w:val="00386B63"/>
    <w:rsid w:val="00386EBD"/>
    <w:rsid w:val="00386F5A"/>
    <w:rsid w:val="0038703F"/>
    <w:rsid w:val="0038726B"/>
    <w:rsid w:val="003872E8"/>
    <w:rsid w:val="0038744E"/>
    <w:rsid w:val="0038764B"/>
    <w:rsid w:val="00387D7A"/>
    <w:rsid w:val="00387F19"/>
    <w:rsid w:val="0039003E"/>
    <w:rsid w:val="0039034C"/>
    <w:rsid w:val="0039044C"/>
    <w:rsid w:val="00390848"/>
    <w:rsid w:val="0039087A"/>
    <w:rsid w:val="00390AC0"/>
    <w:rsid w:val="00390B67"/>
    <w:rsid w:val="00390D37"/>
    <w:rsid w:val="00390D43"/>
    <w:rsid w:val="00391202"/>
    <w:rsid w:val="00391203"/>
    <w:rsid w:val="0039130B"/>
    <w:rsid w:val="00391372"/>
    <w:rsid w:val="00391652"/>
    <w:rsid w:val="003918E5"/>
    <w:rsid w:val="00391E09"/>
    <w:rsid w:val="00391E14"/>
    <w:rsid w:val="00391EE5"/>
    <w:rsid w:val="00391F24"/>
    <w:rsid w:val="00392247"/>
    <w:rsid w:val="0039252B"/>
    <w:rsid w:val="0039259A"/>
    <w:rsid w:val="0039281D"/>
    <w:rsid w:val="003928CD"/>
    <w:rsid w:val="00392A1C"/>
    <w:rsid w:val="00392C49"/>
    <w:rsid w:val="00392D3F"/>
    <w:rsid w:val="0039312B"/>
    <w:rsid w:val="00393316"/>
    <w:rsid w:val="0039337A"/>
    <w:rsid w:val="00393701"/>
    <w:rsid w:val="0039379B"/>
    <w:rsid w:val="00393BE8"/>
    <w:rsid w:val="00393D23"/>
    <w:rsid w:val="00393FA5"/>
    <w:rsid w:val="00393FED"/>
    <w:rsid w:val="00394113"/>
    <w:rsid w:val="0039431F"/>
    <w:rsid w:val="00394534"/>
    <w:rsid w:val="0039461B"/>
    <w:rsid w:val="00394677"/>
    <w:rsid w:val="0039480D"/>
    <w:rsid w:val="00394C01"/>
    <w:rsid w:val="00394CEE"/>
    <w:rsid w:val="00394EB3"/>
    <w:rsid w:val="00394FAE"/>
    <w:rsid w:val="00394FF0"/>
    <w:rsid w:val="00395070"/>
    <w:rsid w:val="0039520F"/>
    <w:rsid w:val="003952B8"/>
    <w:rsid w:val="00395396"/>
    <w:rsid w:val="00395440"/>
    <w:rsid w:val="00395496"/>
    <w:rsid w:val="0039590C"/>
    <w:rsid w:val="00395919"/>
    <w:rsid w:val="0039637E"/>
    <w:rsid w:val="00396750"/>
    <w:rsid w:val="003968AA"/>
    <w:rsid w:val="003969F6"/>
    <w:rsid w:val="00396C99"/>
    <w:rsid w:val="00396D6C"/>
    <w:rsid w:val="00396D8B"/>
    <w:rsid w:val="00396DD2"/>
    <w:rsid w:val="0039717A"/>
    <w:rsid w:val="003972D7"/>
    <w:rsid w:val="003973C4"/>
    <w:rsid w:val="003974BB"/>
    <w:rsid w:val="0039776D"/>
    <w:rsid w:val="00397779"/>
    <w:rsid w:val="003977A1"/>
    <w:rsid w:val="00397C12"/>
    <w:rsid w:val="00397C5C"/>
    <w:rsid w:val="00397D65"/>
    <w:rsid w:val="00397DF5"/>
    <w:rsid w:val="003A0257"/>
    <w:rsid w:val="003A03D0"/>
    <w:rsid w:val="003A05D4"/>
    <w:rsid w:val="003A07AD"/>
    <w:rsid w:val="003A1079"/>
    <w:rsid w:val="003A17EC"/>
    <w:rsid w:val="003A2017"/>
    <w:rsid w:val="003A224D"/>
    <w:rsid w:val="003A230D"/>
    <w:rsid w:val="003A23AF"/>
    <w:rsid w:val="003A23C0"/>
    <w:rsid w:val="003A23F3"/>
    <w:rsid w:val="003A2442"/>
    <w:rsid w:val="003A2568"/>
    <w:rsid w:val="003A25B2"/>
    <w:rsid w:val="003A27C8"/>
    <w:rsid w:val="003A27F0"/>
    <w:rsid w:val="003A2968"/>
    <w:rsid w:val="003A2AA8"/>
    <w:rsid w:val="003A2C05"/>
    <w:rsid w:val="003A2CB1"/>
    <w:rsid w:val="003A2D46"/>
    <w:rsid w:val="003A2D58"/>
    <w:rsid w:val="003A3381"/>
    <w:rsid w:val="003A3405"/>
    <w:rsid w:val="003A37DD"/>
    <w:rsid w:val="003A3C8D"/>
    <w:rsid w:val="003A3CC3"/>
    <w:rsid w:val="003A3D0D"/>
    <w:rsid w:val="003A3D50"/>
    <w:rsid w:val="003A3F38"/>
    <w:rsid w:val="003A41D1"/>
    <w:rsid w:val="003A4263"/>
    <w:rsid w:val="003A43FF"/>
    <w:rsid w:val="003A45A0"/>
    <w:rsid w:val="003A45BC"/>
    <w:rsid w:val="003A4786"/>
    <w:rsid w:val="003A4CED"/>
    <w:rsid w:val="003A4F4F"/>
    <w:rsid w:val="003A4F53"/>
    <w:rsid w:val="003A4FE8"/>
    <w:rsid w:val="003A50ED"/>
    <w:rsid w:val="003A5428"/>
    <w:rsid w:val="003A560E"/>
    <w:rsid w:val="003A56C2"/>
    <w:rsid w:val="003A589F"/>
    <w:rsid w:val="003A5B5C"/>
    <w:rsid w:val="003A5BAE"/>
    <w:rsid w:val="003A5BEC"/>
    <w:rsid w:val="003A6011"/>
    <w:rsid w:val="003A6060"/>
    <w:rsid w:val="003A619F"/>
    <w:rsid w:val="003A6741"/>
    <w:rsid w:val="003A6787"/>
    <w:rsid w:val="003A68A0"/>
    <w:rsid w:val="003A7244"/>
    <w:rsid w:val="003A7256"/>
    <w:rsid w:val="003A7398"/>
    <w:rsid w:val="003A74DB"/>
    <w:rsid w:val="003A7605"/>
    <w:rsid w:val="003A7F4B"/>
    <w:rsid w:val="003B0198"/>
    <w:rsid w:val="003B0260"/>
    <w:rsid w:val="003B02D0"/>
    <w:rsid w:val="003B02E6"/>
    <w:rsid w:val="003B032D"/>
    <w:rsid w:val="003B035D"/>
    <w:rsid w:val="003B0433"/>
    <w:rsid w:val="003B088C"/>
    <w:rsid w:val="003B0C9D"/>
    <w:rsid w:val="003B0DB2"/>
    <w:rsid w:val="003B11E2"/>
    <w:rsid w:val="003B140F"/>
    <w:rsid w:val="003B14F9"/>
    <w:rsid w:val="003B15F6"/>
    <w:rsid w:val="003B1752"/>
    <w:rsid w:val="003B1756"/>
    <w:rsid w:val="003B1DB9"/>
    <w:rsid w:val="003B2173"/>
    <w:rsid w:val="003B2491"/>
    <w:rsid w:val="003B2650"/>
    <w:rsid w:val="003B2AAC"/>
    <w:rsid w:val="003B2E54"/>
    <w:rsid w:val="003B2F9C"/>
    <w:rsid w:val="003B3742"/>
    <w:rsid w:val="003B3B2B"/>
    <w:rsid w:val="003B3D19"/>
    <w:rsid w:val="003B3EAB"/>
    <w:rsid w:val="003B4115"/>
    <w:rsid w:val="003B444B"/>
    <w:rsid w:val="003B46F2"/>
    <w:rsid w:val="003B4891"/>
    <w:rsid w:val="003B5059"/>
    <w:rsid w:val="003B54E7"/>
    <w:rsid w:val="003B55C0"/>
    <w:rsid w:val="003B56A6"/>
    <w:rsid w:val="003B56AC"/>
    <w:rsid w:val="003B570F"/>
    <w:rsid w:val="003B595E"/>
    <w:rsid w:val="003B5990"/>
    <w:rsid w:val="003B5AB4"/>
    <w:rsid w:val="003B5BEF"/>
    <w:rsid w:val="003B5FC4"/>
    <w:rsid w:val="003B6198"/>
    <w:rsid w:val="003B6199"/>
    <w:rsid w:val="003B64D9"/>
    <w:rsid w:val="003B684F"/>
    <w:rsid w:val="003B6B4C"/>
    <w:rsid w:val="003B6DA8"/>
    <w:rsid w:val="003B6F1A"/>
    <w:rsid w:val="003B70E0"/>
    <w:rsid w:val="003B7426"/>
    <w:rsid w:val="003B769A"/>
    <w:rsid w:val="003B77F7"/>
    <w:rsid w:val="003B7892"/>
    <w:rsid w:val="003B78AF"/>
    <w:rsid w:val="003B78FD"/>
    <w:rsid w:val="003B7B0C"/>
    <w:rsid w:val="003B7C7A"/>
    <w:rsid w:val="003B7CAF"/>
    <w:rsid w:val="003B7E07"/>
    <w:rsid w:val="003B7F4E"/>
    <w:rsid w:val="003C005A"/>
    <w:rsid w:val="003C01D2"/>
    <w:rsid w:val="003C05FA"/>
    <w:rsid w:val="003C0CB1"/>
    <w:rsid w:val="003C0D82"/>
    <w:rsid w:val="003C0DB1"/>
    <w:rsid w:val="003C0DD6"/>
    <w:rsid w:val="003C1050"/>
    <w:rsid w:val="003C1102"/>
    <w:rsid w:val="003C13AA"/>
    <w:rsid w:val="003C166F"/>
    <w:rsid w:val="003C1A00"/>
    <w:rsid w:val="003C2148"/>
    <w:rsid w:val="003C220C"/>
    <w:rsid w:val="003C2222"/>
    <w:rsid w:val="003C24B7"/>
    <w:rsid w:val="003C25F9"/>
    <w:rsid w:val="003C27FF"/>
    <w:rsid w:val="003C2849"/>
    <w:rsid w:val="003C29E2"/>
    <w:rsid w:val="003C2B68"/>
    <w:rsid w:val="003C2BB2"/>
    <w:rsid w:val="003C2F18"/>
    <w:rsid w:val="003C2FD7"/>
    <w:rsid w:val="003C3009"/>
    <w:rsid w:val="003C302A"/>
    <w:rsid w:val="003C306F"/>
    <w:rsid w:val="003C326C"/>
    <w:rsid w:val="003C3480"/>
    <w:rsid w:val="003C34D0"/>
    <w:rsid w:val="003C35D5"/>
    <w:rsid w:val="003C3603"/>
    <w:rsid w:val="003C3B13"/>
    <w:rsid w:val="003C3B3F"/>
    <w:rsid w:val="003C3CD9"/>
    <w:rsid w:val="003C3DD8"/>
    <w:rsid w:val="003C3ED6"/>
    <w:rsid w:val="003C3F91"/>
    <w:rsid w:val="003C413B"/>
    <w:rsid w:val="003C45FF"/>
    <w:rsid w:val="003C469F"/>
    <w:rsid w:val="003C4845"/>
    <w:rsid w:val="003C4C19"/>
    <w:rsid w:val="003C4E9B"/>
    <w:rsid w:val="003C4FF1"/>
    <w:rsid w:val="003C5218"/>
    <w:rsid w:val="003C52B3"/>
    <w:rsid w:val="003C5508"/>
    <w:rsid w:val="003C5871"/>
    <w:rsid w:val="003C587B"/>
    <w:rsid w:val="003C58BA"/>
    <w:rsid w:val="003C5B57"/>
    <w:rsid w:val="003C5D06"/>
    <w:rsid w:val="003C5D8A"/>
    <w:rsid w:val="003C5DDE"/>
    <w:rsid w:val="003C60B5"/>
    <w:rsid w:val="003C61AF"/>
    <w:rsid w:val="003C627E"/>
    <w:rsid w:val="003C634E"/>
    <w:rsid w:val="003C6753"/>
    <w:rsid w:val="003C68A7"/>
    <w:rsid w:val="003C6937"/>
    <w:rsid w:val="003C7138"/>
    <w:rsid w:val="003C736D"/>
    <w:rsid w:val="003C7380"/>
    <w:rsid w:val="003C776D"/>
    <w:rsid w:val="003C7A16"/>
    <w:rsid w:val="003C7A94"/>
    <w:rsid w:val="003C7AEE"/>
    <w:rsid w:val="003C7C42"/>
    <w:rsid w:val="003C7FB6"/>
    <w:rsid w:val="003C7FE5"/>
    <w:rsid w:val="003D02EC"/>
    <w:rsid w:val="003D0373"/>
    <w:rsid w:val="003D09D8"/>
    <w:rsid w:val="003D0B87"/>
    <w:rsid w:val="003D0C78"/>
    <w:rsid w:val="003D0CFA"/>
    <w:rsid w:val="003D0D68"/>
    <w:rsid w:val="003D0E09"/>
    <w:rsid w:val="003D0E62"/>
    <w:rsid w:val="003D10D1"/>
    <w:rsid w:val="003D1102"/>
    <w:rsid w:val="003D158E"/>
    <w:rsid w:val="003D17C7"/>
    <w:rsid w:val="003D1992"/>
    <w:rsid w:val="003D1A97"/>
    <w:rsid w:val="003D1CDC"/>
    <w:rsid w:val="003D1FDC"/>
    <w:rsid w:val="003D2266"/>
    <w:rsid w:val="003D23FB"/>
    <w:rsid w:val="003D2642"/>
    <w:rsid w:val="003D294E"/>
    <w:rsid w:val="003D2AFD"/>
    <w:rsid w:val="003D2C9A"/>
    <w:rsid w:val="003D2F72"/>
    <w:rsid w:val="003D33A5"/>
    <w:rsid w:val="003D33C8"/>
    <w:rsid w:val="003D3453"/>
    <w:rsid w:val="003D350F"/>
    <w:rsid w:val="003D3595"/>
    <w:rsid w:val="003D3864"/>
    <w:rsid w:val="003D3E55"/>
    <w:rsid w:val="003D4158"/>
    <w:rsid w:val="003D4338"/>
    <w:rsid w:val="003D4529"/>
    <w:rsid w:val="003D45E6"/>
    <w:rsid w:val="003D46F6"/>
    <w:rsid w:val="003D47E0"/>
    <w:rsid w:val="003D4826"/>
    <w:rsid w:val="003D48CF"/>
    <w:rsid w:val="003D4BFD"/>
    <w:rsid w:val="003D4D11"/>
    <w:rsid w:val="003D533D"/>
    <w:rsid w:val="003D5373"/>
    <w:rsid w:val="003D551F"/>
    <w:rsid w:val="003D5526"/>
    <w:rsid w:val="003D5607"/>
    <w:rsid w:val="003D5736"/>
    <w:rsid w:val="003D5744"/>
    <w:rsid w:val="003D576F"/>
    <w:rsid w:val="003D59AE"/>
    <w:rsid w:val="003D59C3"/>
    <w:rsid w:val="003D5EE3"/>
    <w:rsid w:val="003D6176"/>
    <w:rsid w:val="003D626B"/>
    <w:rsid w:val="003D6573"/>
    <w:rsid w:val="003D65D5"/>
    <w:rsid w:val="003D680C"/>
    <w:rsid w:val="003D690F"/>
    <w:rsid w:val="003D69B6"/>
    <w:rsid w:val="003D6F1E"/>
    <w:rsid w:val="003D70B1"/>
    <w:rsid w:val="003D70B4"/>
    <w:rsid w:val="003D760E"/>
    <w:rsid w:val="003D78C0"/>
    <w:rsid w:val="003D7B2C"/>
    <w:rsid w:val="003D7E19"/>
    <w:rsid w:val="003E00D2"/>
    <w:rsid w:val="003E0145"/>
    <w:rsid w:val="003E05D8"/>
    <w:rsid w:val="003E0A8C"/>
    <w:rsid w:val="003E0D51"/>
    <w:rsid w:val="003E0F67"/>
    <w:rsid w:val="003E14F7"/>
    <w:rsid w:val="003E15AA"/>
    <w:rsid w:val="003E1731"/>
    <w:rsid w:val="003E18C1"/>
    <w:rsid w:val="003E1BAC"/>
    <w:rsid w:val="003E1D14"/>
    <w:rsid w:val="003E20E0"/>
    <w:rsid w:val="003E2175"/>
    <w:rsid w:val="003E2358"/>
    <w:rsid w:val="003E2378"/>
    <w:rsid w:val="003E27BC"/>
    <w:rsid w:val="003E27D3"/>
    <w:rsid w:val="003E2977"/>
    <w:rsid w:val="003E2BE7"/>
    <w:rsid w:val="003E2C44"/>
    <w:rsid w:val="003E305C"/>
    <w:rsid w:val="003E31BA"/>
    <w:rsid w:val="003E3384"/>
    <w:rsid w:val="003E35F7"/>
    <w:rsid w:val="003E3625"/>
    <w:rsid w:val="003E39E8"/>
    <w:rsid w:val="003E3B1F"/>
    <w:rsid w:val="003E4266"/>
    <w:rsid w:val="003E4350"/>
    <w:rsid w:val="003E43AB"/>
    <w:rsid w:val="003E4422"/>
    <w:rsid w:val="003E463B"/>
    <w:rsid w:val="003E46C2"/>
    <w:rsid w:val="003E49B3"/>
    <w:rsid w:val="003E4B70"/>
    <w:rsid w:val="003E4D19"/>
    <w:rsid w:val="003E4F5A"/>
    <w:rsid w:val="003E5071"/>
    <w:rsid w:val="003E55C7"/>
    <w:rsid w:val="003E57F5"/>
    <w:rsid w:val="003E5B62"/>
    <w:rsid w:val="003E5B8C"/>
    <w:rsid w:val="003E5ED7"/>
    <w:rsid w:val="003E5FD4"/>
    <w:rsid w:val="003E6456"/>
    <w:rsid w:val="003E6462"/>
    <w:rsid w:val="003E6613"/>
    <w:rsid w:val="003E67D2"/>
    <w:rsid w:val="003E694C"/>
    <w:rsid w:val="003E6999"/>
    <w:rsid w:val="003E6BB7"/>
    <w:rsid w:val="003E6BC7"/>
    <w:rsid w:val="003E6D58"/>
    <w:rsid w:val="003E6E28"/>
    <w:rsid w:val="003E6E7B"/>
    <w:rsid w:val="003E7294"/>
    <w:rsid w:val="003E7547"/>
    <w:rsid w:val="003E756C"/>
    <w:rsid w:val="003E76CA"/>
    <w:rsid w:val="003E77DF"/>
    <w:rsid w:val="003E78E7"/>
    <w:rsid w:val="003E7A7D"/>
    <w:rsid w:val="003E7C30"/>
    <w:rsid w:val="003E7D73"/>
    <w:rsid w:val="003F0036"/>
    <w:rsid w:val="003F05F4"/>
    <w:rsid w:val="003F0627"/>
    <w:rsid w:val="003F088D"/>
    <w:rsid w:val="003F0895"/>
    <w:rsid w:val="003F090B"/>
    <w:rsid w:val="003F096A"/>
    <w:rsid w:val="003F0B5C"/>
    <w:rsid w:val="003F0BB8"/>
    <w:rsid w:val="003F11BF"/>
    <w:rsid w:val="003F1492"/>
    <w:rsid w:val="003F15D7"/>
    <w:rsid w:val="003F1744"/>
    <w:rsid w:val="003F1BB9"/>
    <w:rsid w:val="003F1BEA"/>
    <w:rsid w:val="003F1CCE"/>
    <w:rsid w:val="003F1D90"/>
    <w:rsid w:val="003F2130"/>
    <w:rsid w:val="003F228A"/>
    <w:rsid w:val="003F22CF"/>
    <w:rsid w:val="003F26E3"/>
    <w:rsid w:val="003F27DE"/>
    <w:rsid w:val="003F2E6C"/>
    <w:rsid w:val="003F2F72"/>
    <w:rsid w:val="003F30A2"/>
    <w:rsid w:val="003F3190"/>
    <w:rsid w:val="003F33F7"/>
    <w:rsid w:val="003F3418"/>
    <w:rsid w:val="003F3490"/>
    <w:rsid w:val="003F35BD"/>
    <w:rsid w:val="003F3881"/>
    <w:rsid w:val="003F3A29"/>
    <w:rsid w:val="003F4096"/>
    <w:rsid w:val="003F4241"/>
    <w:rsid w:val="003F437B"/>
    <w:rsid w:val="003F4591"/>
    <w:rsid w:val="003F483F"/>
    <w:rsid w:val="003F4877"/>
    <w:rsid w:val="003F492C"/>
    <w:rsid w:val="003F4D6F"/>
    <w:rsid w:val="003F4EBA"/>
    <w:rsid w:val="003F50E9"/>
    <w:rsid w:val="003F5123"/>
    <w:rsid w:val="003F55A9"/>
    <w:rsid w:val="003F56A8"/>
    <w:rsid w:val="003F5B7B"/>
    <w:rsid w:val="003F5E47"/>
    <w:rsid w:val="003F5ED3"/>
    <w:rsid w:val="003F687D"/>
    <w:rsid w:val="003F68E2"/>
    <w:rsid w:val="003F69B1"/>
    <w:rsid w:val="003F6CBC"/>
    <w:rsid w:val="003F6E2E"/>
    <w:rsid w:val="003F6FB5"/>
    <w:rsid w:val="003F7032"/>
    <w:rsid w:val="003F70A7"/>
    <w:rsid w:val="003F70AD"/>
    <w:rsid w:val="003F72A9"/>
    <w:rsid w:val="003F73EB"/>
    <w:rsid w:val="003F7489"/>
    <w:rsid w:val="003F74FF"/>
    <w:rsid w:val="003F7548"/>
    <w:rsid w:val="003F7575"/>
    <w:rsid w:val="003F7B34"/>
    <w:rsid w:val="003F7E83"/>
    <w:rsid w:val="004000D8"/>
    <w:rsid w:val="00400140"/>
    <w:rsid w:val="0040023E"/>
    <w:rsid w:val="0040029E"/>
    <w:rsid w:val="00400300"/>
    <w:rsid w:val="004003B4"/>
    <w:rsid w:val="00400662"/>
    <w:rsid w:val="0040079F"/>
    <w:rsid w:val="004007A4"/>
    <w:rsid w:val="00400EEB"/>
    <w:rsid w:val="004010C5"/>
    <w:rsid w:val="004012C4"/>
    <w:rsid w:val="004012D9"/>
    <w:rsid w:val="0040137F"/>
    <w:rsid w:val="00401475"/>
    <w:rsid w:val="0040150F"/>
    <w:rsid w:val="00401812"/>
    <w:rsid w:val="00401850"/>
    <w:rsid w:val="00401935"/>
    <w:rsid w:val="00401BA7"/>
    <w:rsid w:val="00401D53"/>
    <w:rsid w:val="00401E80"/>
    <w:rsid w:val="004022A0"/>
    <w:rsid w:val="0040294D"/>
    <w:rsid w:val="0040309C"/>
    <w:rsid w:val="00403154"/>
    <w:rsid w:val="004033AA"/>
    <w:rsid w:val="004038D4"/>
    <w:rsid w:val="00403A71"/>
    <w:rsid w:val="00403C73"/>
    <w:rsid w:val="00403ECD"/>
    <w:rsid w:val="00403F98"/>
    <w:rsid w:val="00404030"/>
    <w:rsid w:val="004041E5"/>
    <w:rsid w:val="004045F2"/>
    <w:rsid w:val="0040487C"/>
    <w:rsid w:val="0040498A"/>
    <w:rsid w:val="00404A70"/>
    <w:rsid w:val="00404A8B"/>
    <w:rsid w:val="00404B9A"/>
    <w:rsid w:val="00404C71"/>
    <w:rsid w:val="00405004"/>
    <w:rsid w:val="0040503F"/>
    <w:rsid w:val="00405042"/>
    <w:rsid w:val="0040515B"/>
    <w:rsid w:val="00405360"/>
    <w:rsid w:val="00405401"/>
    <w:rsid w:val="004055D0"/>
    <w:rsid w:val="00405601"/>
    <w:rsid w:val="00405694"/>
    <w:rsid w:val="00405720"/>
    <w:rsid w:val="00405767"/>
    <w:rsid w:val="00405E47"/>
    <w:rsid w:val="0040613C"/>
    <w:rsid w:val="00406676"/>
    <w:rsid w:val="00406874"/>
    <w:rsid w:val="0040699D"/>
    <w:rsid w:val="00406DD0"/>
    <w:rsid w:val="00407384"/>
    <w:rsid w:val="00407455"/>
    <w:rsid w:val="0040759F"/>
    <w:rsid w:val="004075DE"/>
    <w:rsid w:val="00407BFA"/>
    <w:rsid w:val="00410165"/>
    <w:rsid w:val="004104EE"/>
    <w:rsid w:val="0041062A"/>
    <w:rsid w:val="00410840"/>
    <w:rsid w:val="00410989"/>
    <w:rsid w:val="00410A13"/>
    <w:rsid w:val="00410B58"/>
    <w:rsid w:val="00410B8C"/>
    <w:rsid w:val="00410C6F"/>
    <w:rsid w:val="004112AC"/>
    <w:rsid w:val="00411584"/>
    <w:rsid w:val="00411D60"/>
    <w:rsid w:val="0041211A"/>
    <w:rsid w:val="00412324"/>
    <w:rsid w:val="004123ED"/>
    <w:rsid w:val="00412436"/>
    <w:rsid w:val="00412C00"/>
    <w:rsid w:val="00412D0D"/>
    <w:rsid w:val="0041349B"/>
    <w:rsid w:val="004137AA"/>
    <w:rsid w:val="00413878"/>
    <w:rsid w:val="004138AA"/>
    <w:rsid w:val="0041413A"/>
    <w:rsid w:val="00414305"/>
    <w:rsid w:val="004144AF"/>
    <w:rsid w:val="00414582"/>
    <w:rsid w:val="004145F0"/>
    <w:rsid w:val="00414623"/>
    <w:rsid w:val="00414EC7"/>
    <w:rsid w:val="0041509F"/>
    <w:rsid w:val="004154EE"/>
    <w:rsid w:val="004158C8"/>
    <w:rsid w:val="00415A2D"/>
    <w:rsid w:val="00415B87"/>
    <w:rsid w:val="00415C12"/>
    <w:rsid w:val="0041602C"/>
    <w:rsid w:val="00416196"/>
    <w:rsid w:val="00416203"/>
    <w:rsid w:val="004162AE"/>
    <w:rsid w:val="0041632A"/>
    <w:rsid w:val="00416397"/>
    <w:rsid w:val="004167D3"/>
    <w:rsid w:val="004168FF"/>
    <w:rsid w:val="00416937"/>
    <w:rsid w:val="00416BC0"/>
    <w:rsid w:val="00416D71"/>
    <w:rsid w:val="00417027"/>
    <w:rsid w:val="0041736B"/>
    <w:rsid w:val="00417405"/>
    <w:rsid w:val="00417A47"/>
    <w:rsid w:val="00417ACD"/>
    <w:rsid w:val="00417C04"/>
    <w:rsid w:val="00420225"/>
    <w:rsid w:val="004202C0"/>
    <w:rsid w:val="00420318"/>
    <w:rsid w:val="00420347"/>
    <w:rsid w:val="0042067E"/>
    <w:rsid w:val="0042076B"/>
    <w:rsid w:val="004209D3"/>
    <w:rsid w:val="00420ADC"/>
    <w:rsid w:val="00420B56"/>
    <w:rsid w:val="00420B8D"/>
    <w:rsid w:val="00420C2B"/>
    <w:rsid w:val="00420D51"/>
    <w:rsid w:val="00420D57"/>
    <w:rsid w:val="00420F68"/>
    <w:rsid w:val="0042107C"/>
    <w:rsid w:val="00421B02"/>
    <w:rsid w:val="00421B79"/>
    <w:rsid w:val="00421BD6"/>
    <w:rsid w:val="00422022"/>
    <w:rsid w:val="00422134"/>
    <w:rsid w:val="004221BF"/>
    <w:rsid w:val="004225BA"/>
    <w:rsid w:val="004227C0"/>
    <w:rsid w:val="004227EC"/>
    <w:rsid w:val="0042282A"/>
    <w:rsid w:val="00422C1B"/>
    <w:rsid w:val="00422D2C"/>
    <w:rsid w:val="00423078"/>
    <w:rsid w:val="0042313E"/>
    <w:rsid w:val="004231E4"/>
    <w:rsid w:val="00423718"/>
    <w:rsid w:val="00423B73"/>
    <w:rsid w:val="004240BF"/>
    <w:rsid w:val="004240CE"/>
    <w:rsid w:val="0042415F"/>
    <w:rsid w:val="004241E1"/>
    <w:rsid w:val="004241E6"/>
    <w:rsid w:val="0042434D"/>
    <w:rsid w:val="004248FE"/>
    <w:rsid w:val="00424E7E"/>
    <w:rsid w:val="00424F4D"/>
    <w:rsid w:val="004251DD"/>
    <w:rsid w:val="004255B0"/>
    <w:rsid w:val="0042567D"/>
    <w:rsid w:val="004256D6"/>
    <w:rsid w:val="004256EF"/>
    <w:rsid w:val="0042595B"/>
    <w:rsid w:val="0042599D"/>
    <w:rsid w:val="00425B23"/>
    <w:rsid w:val="00425CAF"/>
    <w:rsid w:val="00426080"/>
    <w:rsid w:val="004260D7"/>
    <w:rsid w:val="00426113"/>
    <w:rsid w:val="00426131"/>
    <w:rsid w:val="0042614E"/>
    <w:rsid w:val="00426190"/>
    <w:rsid w:val="00426526"/>
    <w:rsid w:val="00426531"/>
    <w:rsid w:val="004267A5"/>
    <w:rsid w:val="00426908"/>
    <w:rsid w:val="004269FD"/>
    <w:rsid w:val="00426A52"/>
    <w:rsid w:val="00426B5C"/>
    <w:rsid w:val="00426C70"/>
    <w:rsid w:val="00426CE6"/>
    <w:rsid w:val="00426D71"/>
    <w:rsid w:val="00426FD6"/>
    <w:rsid w:val="00427022"/>
    <w:rsid w:val="004270CD"/>
    <w:rsid w:val="0042754A"/>
    <w:rsid w:val="00427B72"/>
    <w:rsid w:val="00427C95"/>
    <w:rsid w:val="0043031E"/>
    <w:rsid w:val="0043045E"/>
    <w:rsid w:val="004304C7"/>
    <w:rsid w:val="00430B72"/>
    <w:rsid w:val="00430B8C"/>
    <w:rsid w:val="00430DDE"/>
    <w:rsid w:val="00430F1E"/>
    <w:rsid w:val="00430FDD"/>
    <w:rsid w:val="00431103"/>
    <w:rsid w:val="00431138"/>
    <w:rsid w:val="004312D5"/>
    <w:rsid w:val="00431476"/>
    <w:rsid w:val="004319BF"/>
    <w:rsid w:val="00431B17"/>
    <w:rsid w:val="00431CB6"/>
    <w:rsid w:val="00431DCA"/>
    <w:rsid w:val="004322E9"/>
    <w:rsid w:val="00432358"/>
    <w:rsid w:val="004323BC"/>
    <w:rsid w:val="0043280B"/>
    <w:rsid w:val="00432877"/>
    <w:rsid w:val="00432C4E"/>
    <w:rsid w:val="00433108"/>
    <w:rsid w:val="004331F4"/>
    <w:rsid w:val="0043331D"/>
    <w:rsid w:val="00433370"/>
    <w:rsid w:val="00433487"/>
    <w:rsid w:val="004337C9"/>
    <w:rsid w:val="004337DC"/>
    <w:rsid w:val="004337E1"/>
    <w:rsid w:val="00433914"/>
    <w:rsid w:val="00433A21"/>
    <w:rsid w:val="00433A8F"/>
    <w:rsid w:val="00433CDD"/>
    <w:rsid w:val="00433EEA"/>
    <w:rsid w:val="00434353"/>
    <w:rsid w:val="00434872"/>
    <w:rsid w:val="00434D5C"/>
    <w:rsid w:val="00434E8D"/>
    <w:rsid w:val="00434FC4"/>
    <w:rsid w:val="004353B3"/>
    <w:rsid w:val="0043547C"/>
    <w:rsid w:val="004356FF"/>
    <w:rsid w:val="004358A5"/>
    <w:rsid w:val="00435A4A"/>
    <w:rsid w:val="00435DAB"/>
    <w:rsid w:val="00435DE5"/>
    <w:rsid w:val="004362A6"/>
    <w:rsid w:val="0043659F"/>
    <w:rsid w:val="004367A9"/>
    <w:rsid w:val="0043695E"/>
    <w:rsid w:val="00436A2A"/>
    <w:rsid w:val="00436CD6"/>
    <w:rsid w:val="00436E2B"/>
    <w:rsid w:val="00436EF4"/>
    <w:rsid w:val="0043701E"/>
    <w:rsid w:val="0043718A"/>
    <w:rsid w:val="00437346"/>
    <w:rsid w:val="004375EC"/>
    <w:rsid w:val="004376AA"/>
    <w:rsid w:val="0043773D"/>
    <w:rsid w:val="004378A0"/>
    <w:rsid w:val="00437A64"/>
    <w:rsid w:val="00437C6B"/>
    <w:rsid w:val="00437D49"/>
    <w:rsid w:val="00440187"/>
    <w:rsid w:val="00440312"/>
    <w:rsid w:val="004405FB"/>
    <w:rsid w:val="004409AA"/>
    <w:rsid w:val="00440C71"/>
    <w:rsid w:val="00440D42"/>
    <w:rsid w:val="00440DFF"/>
    <w:rsid w:val="00440E29"/>
    <w:rsid w:val="00441088"/>
    <w:rsid w:val="00441125"/>
    <w:rsid w:val="004411E9"/>
    <w:rsid w:val="00441234"/>
    <w:rsid w:val="00441247"/>
    <w:rsid w:val="00441326"/>
    <w:rsid w:val="0044186E"/>
    <w:rsid w:val="004418A3"/>
    <w:rsid w:val="00441915"/>
    <w:rsid w:val="004419D8"/>
    <w:rsid w:val="00441B42"/>
    <w:rsid w:val="0044228D"/>
    <w:rsid w:val="004422AB"/>
    <w:rsid w:val="00442471"/>
    <w:rsid w:val="004424E3"/>
    <w:rsid w:val="00442726"/>
    <w:rsid w:val="00442BCA"/>
    <w:rsid w:val="00442CDF"/>
    <w:rsid w:val="00442E48"/>
    <w:rsid w:val="00442F4D"/>
    <w:rsid w:val="00443503"/>
    <w:rsid w:val="00443958"/>
    <w:rsid w:val="0044397E"/>
    <w:rsid w:val="00443AA6"/>
    <w:rsid w:val="00443B51"/>
    <w:rsid w:val="00443C07"/>
    <w:rsid w:val="00443F06"/>
    <w:rsid w:val="00443F61"/>
    <w:rsid w:val="00444029"/>
    <w:rsid w:val="004441D6"/>
    <w:rsid w:val="00444755"/>
    <w:rsid w:val="0044478B"/>
    <w:rsid w:val="00444E4D"/>
    <w:rsid w:val="00444F0C"/>
    <w:rsid w:val="00444F40"/>
    <w:rsid w:val="0044508E"/>
    <w:rsid w:val="00445370"/>
    <w:rsid w:val="00445516"/>
    <w:rsid w:val="0044555A"/>
    <w:rsid w:val="004456BB"/>
    <w:rsid w:val="0044574F"/>
    <w:rsid w:val="004459CA"/>
    <w:rsid w:val="00445A7B"/>
    <w:rsid w:val="00445BAA"/>
    <w:rsid w:val="00445CF6"/>
    <w:rsid w:val="004462E4"/>
    <w:rsid w:val="004463DA"/>
    <w:rsid w:val="004465FE"/>
    <w:rsid w:val="00446B0A"/>
    <w:rsid w:val="00446BAC"/>
    <w:rsid w:val="00446C85"/>
    <w:rsid w:val="00447077"/>
    <w:rsid w:val="004471B9"/>
    <w:rsid w:val="004471C8"/>
    <w:rsid w:val="00447504"/>
    <w:rsid w:val="0044756F"/>
    <w:rsid w:val="004476B1"/>
    <w:rsid w:val="00447AC1"/>
    <w:rsid w:val="00447D61"/>
    <w:rsid w:val="00447D7C"/>
    <w:rsid w:val="00450504"/>
    <w:rsid w:val="004505D6"/>
    <w:rsid w:val="00450760"/>
    <w:rsid w:val="00450996"/>
    <w:rsid w:val="004509DF"/>
    <w:rsid w:val="00450FB0"/>
    <w:rsid w:val="00451384"/>
    <w:rsid w:val="004515BA"/>
    <w:rsid w:val="0045163F"/>
    <w:rsid w:val="004516DB"/>
    <w:rsid w:val="00451859"/>
    <w:rsid w:val="004518F5"/>
    <w:rsid w:val="00451A6D"/>
    <w:rsid w:val="00451C88"/>
    <w:rsid w:val="00451CB4"/>
    <w:rsid w:val="00451ED4"/>
    <w:rsid w:val="00452078"/>
    <w:rsid w:val="00452097"/>
    <w:rsid w:val="0045213C"/>
    <w:rsid w:val="0045218C"/>
    <w:rsid w:val="00452439"/>
    <w:rsid w:val="00452775"/>
    <w:rsid w:val="004527AD"/>
    <w:rsid w:val="004529B0"/>
    <w:rsid w:val="00452D8B"/>
    <w:rsid w:val="00452E0D"/>
    <w:rsid w:val="00452E29"/>
    <w:rsid w:val="00452F78"/>
    <w:rsid w:val="00453044"/>
    <w:rsid w:val="0045315D"/>
    <w:rsid w:val="00453418"/>
    <w:rsid w:val="0045341E"/>
    <w:rsid w:val="004534B4"/>
    <w:rsid w:val="00453AB1"/>
    <w:rsid w:val="00453B0D"/>
    <w:rsid w:val="00453F04"/>
    <w:rsid w:val="00453F99"/>
    <w:rsid w:val="00453FDB"/>
    <w:rsid w:val="00454256"/>
    <w:rsid w:val="00454390"/>
    <w:rsid w:val="004546F0"/>
    <w:rsid w:val="004547B5"/>
    <w:rsid w:val="00454912"/>
    <w:rsid w:val="00454B4A"/>
    <w:rsid w:val="00454CB6"/>
    <w:rsid w:val="00454D08"/>
    <w:rsid w:val="00454E62"/>
    <w:rsid w:val="0045513F"/>
    <w:rsid w:val="00455746"/>
    <w:rsid w:val="00455777"/>
    <w:rsid w:val="00455868"/>
    <w:rsid w:val="00455DD8"/>
    <w:rsid w:val="00455F40"/>
    <w:rsid w:val="00456104"/>
    <w:rsid w:val="00456553"/>
    <w:rsid w:val="00456576"/>
    <w:rsid w:val="004566B1"/>
    <w:rsid w:val="00456A02"/>
    <w:rsid w:val="00456B4E"/>
    <w:rsid w:val="00456C00"/>
    <w:rsid w:val="00456D7B"/>
    <w:rsid w:val="00456E4F"/>
    <w:rsid w:val="00456EF9"/>
    <w:rsid w:val="00457219"/>
    <w:rsid w:val="004579DF"/>
    <w:rsid w:val="00457BCF"/>
    <w:rsid w:val="00457D43"/>
    <w:rsid w:val="00460118"/>
    <w:rsid w:val="004602BE"/>
    <w:rsid w:val="00460496"/>
    <w:rsid w:val="004604ED"/>
    <w:rsid w:val="00460513"/>
    <w:rsid w:val="0046074C"/>
    <w:rsid w:val="00460872"/>
    <w:rsid w:val="00460C08"/>
    <w:rsid w:val="00460D2A"/>
    <w:rsid w:val="00460FB5"/>
    <w:rsid w:val="00461112"/>
    <w:rsid w:val="00461320"/>
    <w:rsid w:val="00461424"/>
    <w:rsid w:val="0046156E"/>
    <w:rsid w:val="00461A06"/>
    <w:rsid w:val="00461ADE"/>
    <w:rsid w:val="00461CD9"/>
    <w:rsid w:val="0046210D"/>
    <w:rsid w:val="004621BD"/>
    <w:rsid w:val="004622CD"/>
    <w:rsid w:val="0046243F"/>
    <w:rsid w:val="004627F6"/>
    <w:rsid w:val="004629E8"/>
    <w:rsid w:val="00462C63"/>
    <w:rsid w:val="00462D76"/>
    <w:rsid w:val="00462DCE"/>
    <w:rsid w:val="00463131"/>
    <w:rsid w:val="004631CE"/>
    <w:rsid w:val="004632E3"/>
    <w:rsid w:val="004636D2"/>
    <w:rsid w:val="00463905"/>
    <w:rsid w:val="00463C20"/>
    <w:rsid w:val="00463C51"/>
    <w:rsid w:val="00463EEE"/>
    <w:rsid w:val="004640C8"/>
    <w:rsid w:val="00464309"/>
    <w:rsid w:val="00464486"/>
    <w:rsid w:val="00464A37"/>
    <w:rsid w:val="00464C00"/>
    <w:rsid w:val="00464C71"/>
    <w:rsid w:val="00465596"/>
    <w:rsid w:val="004655E4"/>
    <w:rsid w:val="004659B1"/>
    <w:rsid w:val="0046600E"/>
    <w:rsid w:val="00466020"/>
    <w:rsid w:val="00466029"/>
    <w:rsid w:val="00466561"/>
    <w:rsid w:val="00466A4F"/>
    <w:rsid w:val="00466CD4"/>
    <w:rsid w:val="0046713E"/>
    <w:rsid w:val="00467452"/>
    <w:rsid w:val="00467DFD"/>
    <w:rsid w:val="0047014F"/>
    <w:rsid w:val="004703EA"/>
    <w:rsid w:val="0047061D"/>
    <w:rsid w:val="00470A03"/>
    <w:rsid w:val="00470BB0"/>
    <w:rsid w:val="00470E0B"/>
    <w:rsid w:val="00471302"/>
    <w:rsid w:val="00471BC5"/>
    <w:rsid w:val="00471C60"/>
    <w:rsid w:val="00471C6C"/>
    <w:rsid w:val="00471DDA"/>
    <w:rsid w:val="00471E71"/>
    <w:rsid w:val="00471EFB"/>
    <w:rsid w:val="004722DB"/>
    <w:rsid w:val="004723A2"/>
    <w:rsid w:val="004723AB"/>
    <w:rsid w:val="004723F8"/>
    <w:rsid w:val="00472403"/>
    <w:rsid w:val="00472411"/>
    <w:rsid w:val="0047243A"/>
    <w:rsid w:val="004728ED"/>
    <w:rsid w:val="00472956"/>
    <w:rsid w:val="00472B14"/>
    <w:rsid w:val="00472B4A"/>
    <w:rsid w:val="00472E38"/>
    <w:rsid w:val="00472EED"/>
    <w:rsid w:val="0047324B"/>
    <w:rsid w:val="0047351F"/>
    <w:rsid w:val="004735AB"/>
    <w:rsid w:val="00473A32"/>
    <w:rsid w:val="00473C2B"/>
    <w:rsid w:val="00473C4A"/>
    <w:rsid w:val="00473F7C"/>
    <w:rsid w:val="004741C3"/>
    <w:rsid w:val="004741CA"/>
    <w:rsid w:val="00474408"/>
    <w:rsid w:val="00474700"/>
    <w:rsid w:val="00474887"/>
    <w:rsid w:val="004748EA"/>
    <w:rsid w:val="00474943"/>
    <w:rsid w:val="004749FB"/>
    <w:rsid w:val="00474AB1"/>
    <w:rsid w:val="00474F6F"/>
    <w:rsid w:val="004753B7"/>
    <w:rsid w:val="004754A6"/>
    <w:rsid w:val="004755A2"/>
    <w:rsid w:val="004757C5"/>
    <w:rsid w:val="00475882"/>
    <w:rsid w:val="00475BB5"/>
    <w:rsid w:val="00475BDA"/>
    <w:rsid w:val="00475C84"/>
    <w:rsid w:val="00475D81"/>
    <w:rsid w:val="00476070"/>
    <w:rsid w:val="004763E3"/>
    <w:rsid w:val="004764B4"/>
    <w:rsid w:val="0047737F"/>
    <w:rsid w:val="00477453"/>
    <w:rsid w:val="00477483"/>
    <w:rsid w:val="0047752A"/>
    <w:rsid w:val="0047765D"/>
    <w:rsid w:val="004779FC"/>
    <w:rsid w:val="00477DC8"/>
    <w:rsid w:val="00477DF1"/>
    <w:rsid w:val="00477F83"/>
    <w:rsid w:val="004800B0"/>
    <w:rsid w:val="0048019A"/>
    <w:rsid w:val="00480C41"/>
    <w:rsid w:val="00480D4C"/>
    <w:rsid w:val="00480DEE"/>
    <w:rsid w:val="00480F41"/>
    <w:rsid w:val="00481039"/>
    <w:rsid w:val="00481544"/>
    <w:rsid w:val="00481A9A"/>
    <w:rsid w:val="00481B8C"/>
    <w:rsid w:val="00481DDF"/>
    <w:rsid w:val="00481E93"/>
    <w:rsid w:val="004820B7"/>
    <w:rsid w:val="004826A2"/>
    <w:rsid w:val="004828D3"/>
    <w:rsid w:val="0048309E"/>
    <w:rsid w:val="00483215"/>
    <w:rsid w:val="00483420"/>
    <w:rsid w:val="004839AB"/>
    <w:rsid w:val="00483C34"/>
    <w:rsid w:val="00483D2B"/>
    <w:rsid w:val="00483D4E"/>
    <w:rsid w:val="00484013"/>
    <w:rsid w:val="00484451"/>
    <w:rsid w:val="0048482E"/>
    <w:rsid w:val="0048482F"/>
    <w:rsid w:val="00484878"/>
    <w:rsid w:val="00484896"/>
    <w:rsid w:val="00484A4D"/>
    <w:rsid w:val="00484CBD"/>
    <w:rsid w:val="00485370"/>
    <w:rsid w:val="004855C1"/>
    <w:rsid w:val="004857A4"/>
    <w:rsid w:val="004858DB"/>
    <w:rsid w:val="00485AA8"/>
    <w:rsid w:val="00486022"/>
    <w:rsid w:val="00486287"/>
    <w:rsid w:val="004864B7"/>
    <w:rsid w:val="00486509"/>
    <w:rsid w:val="00486AA8"/>
    <w:rsid w:val="00486E06"/>
    <w:rsid w:val="00486FF9"/>
    <w:rsid w:val="00486FFC"/>
    <w:rsid w:val="00487183"/>
    <w:rsid w:val="0048728F"/>
    <w:rsid w:val="00487EA8"/>
    <w:rsid w:val="00487F1D"/>
    <w:rsid w:val="00487F27"/>
    <w:rsid w:val="00487FDC"/>
    <w:rsid w:val="004900FD"/>
    <w:rsid w:val="0049019F"/>
    <w:rsid w:val="004901E0"/>
    <w:rsid w:val="004903F6"/>
    <w:rsid w:val="00490B6D"/>
    <w:rsid w:val="00490CAF"/>
    <w:rsid w:val="00490E5B"/>
    <w:rsid w:val="0049103F"/>
    <w:rsid w:val="004911B3"/>
    <w:rsid w:val="00491292"/>
    <w:rsid w:val="004914B6"/>
    <w:rsid w:val="00491928"/>
    <w:rsid w:val="00491944"/>
    <w:rsid w:val="00491B37"/>
    <w:rsid w:val="00491D38"/>
    <w:rsid w:val="0049256A"/>
    <w:rsid w:val="00492594"/>
    <w:rsid w:val="0049263C"/>
    <w:rsid w:val="004926A0"/>
    <w:rsid w:val="00492712"/>
    <w:rsid w:val="0049288E"/>
    <w:rsid w:val="00492971"/>
    <w:rsid w:val="00492AE8"/>
    <w:rsid w:val="00492BDE"/>
    <w:rsid w:val="00492BE1"/>
    <w:rsid w:val="00492BED"/>
    <w:rsid w:val="00492C92"/>
    <w:rsid w:val="00492F08"/>
    <w:rsid w:val="004931E5"/>
    <w:rsid w:val="0049322F"/>
    <w:rsid w:val="00493248"/>
    <w:rsid w:val="00493299"/>
    <w:rsid w:val="0049383F"/>
    <w:rsid w:val="00493CF9"/>
    <w:rsid w:val="00493D6B"/>
    <w:rsid w:val="00493EE4"/>
    <w:rsid w:val="004940FF"/>
    <w:rsid w:val="0049430C"/>
    <w:rsid w:val="00494335"/>
    <w:rsid w:val="0049471C"/>
    <w:rsid w:val="00494776"/>
    <w:rsid w:val="00494930"/>
    <w:rsid w:val="0049496E"/>
    <w:rsid w:val="00494BD7"/>
    <w:rsid w:val="00494F77"/>
    <w:rsid w:val="00495026"/>
    <w:rsid w:val="0049507D"/>
    <w:rsid w:val="004950B6"/>
    <w:rsid w:val="004951D6"/>
    <w:rsid w:val="004954CC"/>
    <w:rsid w:val="00495677"/>
    <w:rsid w:val="00495957"/>
    <w:rsid w:val="00495D54"/>
    <w:rsid w:val="00495DE4"/>
    <w:rsid w:val="00495ED7"/>
    <w:rsid w:val="004960CA"/>
    <w:rsid w:val="00496102"/>
    <w:rsid w:val="0049618F"/>
    <w:rsid w:val="004961CE"/>
    <w:rsid w:val="004963AE"/>
    <w:rsid w:val="00496565"/>
    <w:rsid w:val="00496771"/>
    <w:rsid w:val="004967E2"/>
    <w:rsid w:val="00496896"/>
    <w:rsid w:val="004968A3"/>
    <w:rsid w:val="00496AA7"/>
    <w:rsid w:val="00497049"/>
    <w:rsid w:val="004970DF"/>
    <w:rsid w:val="004975F7"/>
    <w:rsid w:val="004977D9"/>
    <w:rsid w:val="004978E3"/>
    <w:rsid w:val="00497E2E"/>
    <w:rsid w:val="004A00EF"/>
    <w:rsid w:val="004A0212"/>
    <w:rsid w:val="004A0366"/>
    <w:rsid w:val="004A0441"/>
    <w:rsid w:val="004A0685"/>
    <w:rsid w:val="004A07B1"/>
    <w:rsid w:val="004A081F"/>
    <w:rsid w:val="004A0922"/>
    <w:rsid w:val="004A0B21"/>
    <w:rsid w:val="004A0B27"/>
    <w:rsid w:val="004A0C38"/>
    <w:rsid w:val="004A0F9B"/>
    <w:rsid w:val="004A10D5"/>
    <w:rsid w:val="004A12D0"/>
    <w:rsid w:val="004A1385"/>
    <w:rsid w:val="004A1497"/>
    <w:rsid w:val="004A14AC"/>
    <w:rsid w:val="004A1565"/>
    <w:rsid w:val="004A16D1"/>
    <w:rsid w:val="004A1901"/>
    <w:rsid w:val="004A1906"/>
    <w:rsid w:val="004A19A0"/>
    <w:rsid w:val="004A1D6A"/>
    <w:rsid w:val="004A1DC7"/>
    <w:rsid w:val="004A211B"/>
    <w:rsid w:val="004A215D"/>
    <w:rsid w:val="004A231A"/>
    <w:rsid w:val="004A2345"/>
    <w:rsid w:val="004A2B6B"/>
    <w:rsid w:val="004A2D64"/>
    <w:rsid w:val="004A2E45"/>
    <w:rsid w:val="004A30E4"/>
    <w:rsid w:val="004A313B"/>
    <w:rsid w:val="004A323C"/>
    <w:rsid w:val="004A384C"/>
    <w:rsid w:val="004A3A25"/>
    <w:rsid w:val="004A3A66"/>
    <w:rsid w:val="004A3D32"/>
    <w:rsid w:val="004A3F47"/>
    <w:rsid w:val="004A4355"/>
    <w:rsid w:val="004A4358"/>
    <w:rsid w:val="004A43E0"/>
    <w:rsid w:val="004A479A"/>
    <w:rsid w:val="004A4C91"/>
    <w:rsid w:val="004A4D4C"/>
    <w:rsid w:val="004A4E72"/>
    <w:rsid w:val="004A4EF1"/>
    <w:rsid w:val="004A4FD6"/>
    <w:rsid w:val="004A5067"/>
    <w:rsid w:val="004A50F7"/>
    <w:rsid w:val="004A545C"/>
    <w:rsid w:val="004A5999"/>
    <w:rsid w:val="004A5B9F"/>
    <w:rsid w:val="004A5BA3"/>
    <w:rsid w:val="004A5EA0"/>
    <w:rsid w:val="004A5ED5"/>
    <w:rsid w:val="004A612E"/>
    <w:rsid w:val="004A62C9"/>
    <w:rsid w:val="004A6314"/>
    <w:rsid w:val="004A66D9"/>
    <w:rsid w:val="004A6C4C"/>
    <w:rsid w:val="004A6C7D"/>
    <w:rsid w:val="004A6FAC"/>
    <w:rsid w:val="004A7236"/>
    <w:rsid w:val="004A731C"/>
    <w:rsid w:val="004A7753"/>
    <w:rsid w:val="004A7767"/>
    <w:rsid w:val="004A7C2A"/>
    <w:rsid w:val="004A7C3B"/>
    <w:rsid w:val="004A7FEE"/>
    <w:rsid w:val="004B0180"/>
    <w:rsid w:val="004B029C"/>
    <w:rsid w:val="004B0417"/>
    <w:rsid w:val="004B0814"/>
    <w:rsid w:val="004B0833"/>
    <w:rsid w:val="004B096C"/>
    <w:rsid w:val="004B0BBA"/>
    <w:rsid w:val="004B0BF2"/>
    <w:rsid w:val="004B0C5B"/>
    <w:rsid w:val="004B1145"/>
    <w:rsid w:val="004B1257"/>
    <w:rsid w:val="004B125A"/>
    <w:rsid w:val="004B1296"/>
    <w:rsid w:val="004B13F5"/>
    <w:rsid w:val="004B1696"/>
    <w:rsid w:val="004B1824"/>
    <w:rsid w:val="004B1985"/>
    <w:rsid w:val="004B1C83"/>
    <w:rsid w:val="004B202E"/>
    <w:rsid w:val="004B2049"/>
    <w:rsid w:val="004B20D8"/>
    <w:rsid w:val="004B24F4"/>
    <w:rsid w:val="004B27E6"/>
    <w:rsid w:val="004B295F"/>
    <w:rsid w:val="004B2A60"/>
    <w:rsid w:val="004B2BFB"/>
    <w:rsid w:val="004B2CD4"/>
    <w:rsid w:val="004B2EEA"/>
    <w:rsid w:val="004B311B"/>
    <w:rsid w:val="004B3624"/>
    <w:rsid w:val="004B392F"/>
    <w:rsid w:val="004B39C0"/>
    <w:rsid w:val="004B3A29"/>
    <w:rsid w:val="004B3A5E"/>
    <w:rsid w:val="004B3B9E"/>
    <w:rsid w:val="004B3D69"/>
    <w:rsid w:val="004B3D7E"/>
    <w:rsid w:val="004B3F13"/>
    <w:rsid w:val="004B43E2"/>
    <w:rsid w:val="004B4646"/>
    <w:rsid w:val="004B4792"/>
    <w:rsid w:val="004B4B9A"/>
    <w:rsid w:val="004B4BC6"/>
    <w:rsid w:val="004B5335"/>
    <w:rsid w:val="004B5340"/>
    <w:rsid w:val="004B5348"/>
    <w:rsid w:val="004B5396"/>
    <w:rsid w:val="004B56BF"/>
    <w:rsid w:val="004B570F"/>
    <w:rsid w:val="004B58C7"/>
    <w:rsid w:val="004B5965"/>
    <w:rsid w:val="004B5A96"/>
    <w:rsid w:val="004B5AC5"/>
    <w:rsid w:val="004B5BA8"/>
    <w:rsid w:val="004B5CDD"/>
    <w:rsid w:val="004B607F"/>
    <w:rsid w:val="004B6204"/>
    <w:rsid w:val="004B62D7"/>
    <w:rsid w:val="004B6625"/>
    <w:rsid w:val="004B6687"/>
    <w:rsid w:val="004B67CD"/>
    <w:rsid w:val="004B68C7"/>
    <w:rsid w:val="004B6A69"/>
    <w:rsid w:val="004B6ADB"/>
    <w:rsid w:val="004B6C88"/>
    <w:rsid w:val="004B702A"/>
    <w:rsid w:val="004B7290"/>
    <w:rsid w:val="004B73FA"/>
    <w:rsid w:val="004B753D"/>
    <w:rsid w:val="004B75C1"/>
    <w:rsid w:val="004B786D"/>
    <w:rsid w:val="004B7AAC"/>
    <w:rsid w:val="004B7D1D"/>
    <w:rsid w:val="004B7D38"/>
    <w:rsid w:val="004B7EFC"/>
    <w:rsid w:val="004B7F00"/>
    <w:rsid w:val="004B7FD2"/>
    <w:rsid w:val="004C02B0"/>
    <w:rsid w:val="004C046C"/>
    <w:rsid w:val="004C06F6"/>
    <w:rsid w:val="004C08E7"/>
    <w:rsid w:val="004C0B54"/>
    <w:rsid w:val="004C0D04"/>
    <w:rsid w:val="004C0D89"/>
    <w:rsid w:val="004C12B1"/>
    <w:rsid w:val="004C161D"/>
    <w:rsid w:val="004C171F"/>
    <w:rsid w:val="004C1744"/>
    <w:rsid w:val="004C180E"/>
    <w:rsid w:val="004C1831"/>
    <w:rsid w:val="004C1840"/>
    <w:rsid w:val="004C192F"/>
    <w:rsid w:val="004C1D25"/>
    <w:rsid w:val="004C1E33"/>
    <w:rsid w:val="004C1EAE"/>
    <w:rsid w:val="004C1FEA"/>
    <w:rsid w:val="004C2290"/>
    <w:rsid w:val="004C22F8"/>
    <w:rsid w:val="004C2412"/>
    <w:rsid w:val="004C262D"/>
    <w:rsid w:val="004C279C"/>
    <w:rsid w:val="004C27E3"/>
    <w:rsid w:val="004C2892"/>
    <w:rsid w:val="004C2AB2"/>
    <w:rsid w:val="004C3173"/>
    <w:rsid w:val="004C34F5"/>
    <w:rsid w:val="004C3594"/>
    <w:rsid w:val="004C3E62"/>
    <w:rsid w:val="004C40C4"/>
    <w:rsid w:val="004C414B"/>
    <w:rsid w:val="004C4238"/>
    <w:rsid w:val="004C4B7D"/>
    <w:rsid w:val="004C4C27"/>
    <w:rsid w:val="004C4CB8"/>
    <w:rsid w:val="004C4EDB"/>
    <w:rsid w:val="004C53BA"/>
    <w:rsid w:val="004C53CF"/>
    <w:rsid w:val="004C5811"/>
    <w:rsid w:val="004C5997"/>
    <w:rsid w:val="004C5D79"/>
    <w:rsid w:val="004C5E26"/>
    <w:rsid w:val="004C5E96"/>
    <w:rsid w:val="004C6491"/>
    <w:rsid w:val="004C65FE"/>
    <w:rsid w:val="004C66B6"/>
    <w:rsid w:val="004C6766"/>
    <w:rsid w:val="004C68AD"/>
    <w:rsid w:val="004C6A51"/>
    <w:rsid w:val="004C6BCC"/>
    <w:rsid w:val="004C6C86"/>
    <w:rsid w:val="004C7117"/>
    <w:rsid w:val="004C7288"/>
    <w:rsid w:val="004C7562"/>
    <w:rsid w:val="004C798B"/>
    <w:rsid w:val="004C79A4"/>
    <w:rsid w:val="004C7BB1"/>
    <w:rsid w:val="004C7BF9"/>
    <w:rsid w:val="004D0204"/>
    <w:rsid w:val="004D0518"/>
    <w:rsid w:val="004D063E"/>
    <w:rsid w:val="004D07A9"/>
    <w:rsid w:val="004D07C1"/>
    <w:rsid w:val="004D0D1D"/>
    <w:rsid w:val="004D0EA3"/>
    <w:rsid w:val="004D0EAC"/>
    <w:rsid w:val="004D1295"/>
    <w:rsid w:val="004D13A3"/>
    <w:rsid w:val="004D15DE"/>
    <w:rsid w:val="004D189E"/>
    <w:rsid w:val="004D1964"/>
    <w:rsid w:val="004D2130"/>
    <w:rsid w:val="004D21BF"/>
    <w:rsid w:val="004D226E"/>
    <w:rsid w:val="004D22AE"/>
    <w:rsid w:val="004D2540"/>
    <w:rsid w:val="004D25C6"/>
    <w:rsid w:val="004D26F6"/>
    <w:rsid w:val="004D2737"/>
    <w:rsid w:val="004D27E3"/>
    <w:rsid w:val="004D2951"/>
    <w:rsid w:val="004D2978"/>
    <w:rsid w:val="004D2A02"/>
    <w:rsid w:val="004D2C29"/>
    <w:rsid w:val="004D2CD2"/>
    <w:rsid w:val="004D2EF1"/>
    <w:rsid w:val="004D2F86"/>
    <w:rsid w:val="004D30DF"/>
    <w:rsid w:val="004D3348"/>
    <w:rsid w:val="004D33F1"/>
    <w:rsid w:val="004D3699"/>
    <w:rsid w:val="004D37C3"/>
    <w:rsid w:val="004D3846"/>
    <w:rsid w:val="004D3B4C"/>
    <w:rsid w:val="004D4036"/>
    <w:rsid w:val="004D4074"/>
    <w:rsid w:val="004D42C3"/>
    <w:rsid w:val="004D456C"/>
    <w:rsid w:val="004D45D3"/>
    <w:rsid w:val="004D486F"/>
    <w:rsid w:val="004D4A44"/>
    <w:rsid w:val="004D4E62"/>
    <w:rsid w:val="004D4EE0"/>
    <w:rsid w:val="004D5059"/>
    <w:rsid w:val="004D5411"/>
    <w:rsid w:val="004D5431"/>
    <w:rsid w:val="004D5465"/>
    <w:rsid w:val="004D546F"/>
    <w:rsid w:val="004D54C7"/>
    <w:rsid w:val="004D5D94"/>
    <w:rsid w:val="004D5EE2"/>
    <w:rsid w:val="004D5EEB"/>
    <w:rsid w:val="004D6367"/>
    <w:rsid w:val="004D6557"/>
    <w:rsid w:val="004D6579"/>
    <w:rsid w:val="004D65AB"/>
    <w:rsid w:val="004D6CE1"/>
    <w:rsid w:val="004D7131"/>
    <w:rsid w:val="004D717B"/>
    <w:rsid w:val="004D72B4"/>
    <w:rsid w:val="004D72CB"/>
    <w:rsid w:val="004D76B9"/>
    <w:rsid w:val="004D76CC"/>
    <w:rsid w:val="004D7955"/>
    <w:rsid w:val="004D7A38"/>
    <w:rsid w:val="004D7A80"/>
    <w:rsid w:val="004D7A82"/>
    <w:rsid w:val="004E0226"/>
    <w:rsid w:val="004E058A"/>
    <w:rsid w:val="004E0AED"/>
    <w:rsid w:val="004E0F7B"/>
    <w:rsid w:val="004E10FE"/>
    <w:rsid w:val="004E1326"/>
    <w:rsid w:val="004E186C"/>
    <w:rsid w:val="004E1A2F"/>
    <w:rsid w:val="004E1ACF"/>
    <w:rsid w:val="004E1B23"/>
    <w:rsid w:val="004E1CBD"/>
    <w:rsid w:val="004E1D8E"/>
    <w:rsid w:val="004E2122"/>
    <w:rsid w:val="004E2307"/>
    <w:rsid w:val="004E269E"/>
    <w:rsid w:val="004E2956"/>
    <w:rsid w:val="004E2966"/>
    <w:rsid w:val="004E2D7A"/>
    <w:rsid w:val="004E2DC5"/>
    <w:rsid w:val="004E32DB"/>
    <w:rsid w:val="004E3430"/>
    <w:rsid w:val="004E35D3"/>
    <w:rsid w:val="004E3781"/>
    <w:rsid w:val="004E3BA2"/>
    <w:rsid w:val="004E3C65"/>
    <w:rsid w:val="004E3CEA"/>
    <w:rsid w:val="004E3D4D"/>
    <w:rsid w:val="004E4182"/>
    <w:rsid w:val="004E4535"/>
    <w:rsid w:val="004E4791"/>
    <w:rsid w:val="004E495A"/>
    <w:rsid w:val="004E49C0"/>
    <w:rsid w:val="004E4DEF"/>
    <w:rsid w:val="004E4ED9"/>
    <w:rsid w:val="004E60A3"/>
    <w:rsid w:val="004E62D2"/>
    <w:rsid w:val="004E635E"/>
    <w:rsid w:val="004E65ED"/>
    <w:rsid w:val="004E6600"/>
    <w:rsid w:val="004E69B1"/>
    <w:rsid w:val="004E6A94"/>
    <w:rsid w:val="004E7240"/>
    <w:rsid w:val="004E72E4"/>
    <w:rsid w:val="004E7578"/>
    <w:rsid w:val="004E7A0F"/>
    <w:rsid w:val="004E7C0B"/>
    <w:rsid w:val="004E7C76"/>
    <w:rsid w:val="004F0107"/>
    <w:rsid w:val="004F012C"/>
    <w:rsid w:val="004F03A6"/>
    <w:rsid w:val="004F03BB"/>
    <w:rsid w:val="004F0455"/>
    <w:rsid w:val="004F0513"/>
    <w:rsid w:val="004F0552"/>
    <w:rsid w:val="004F0586"/>
    <w:rsid w:val="004F05F1"/>
    <w:rsid w:val="004F0671"/>
    <w:rsid w:val="004F06B1"/>
    <w:rsid w:val="004F0AE5"/>
    <w:rsid w:val="004F0D68"/>
    <w:rsid w:val="004F0FC5"/>
    <w:rsid w:val="004F10A2"/>
    <w:rsid w:val="004F10A7"/>
    <w:rsid w:val="004F11AC"/>
    <w:rsid w:val="004F123E"/>
    <w:rsid w:val="004F12AB"/>
    <w:rsid w:val="004F1383"/>
    <w:rsid w:val="004F1A49"/>
    <w:rsid w:val="004F1C44"/>
    <w:rsid w:val="004F1D6C"/>
    <w:rsid w:val="004F1E30"/>
    <w:rsid w:val="004F1F2C"/>
    <w:rsid w:val="004F20AF"/>
    <w:rsid w:val="004F20CD"/>
    <w:rsid w:val="004F228D"/>
    <w:rsid w:val="004F24D0"/>
    <w:rsid w:val="004F2A48"/>
    <w:rsid w:val="004F2B84"/>
    <w:rsid w:val="004F2C5A"/>
    <w:rsid w:val="004F2CCE"/>
    <w:rsid w:val="004F2CD5"/>
    <w:rsid w:val="004F2DCC"/>
    <w:rsid w:val="004F2FAD"/>
    <w:rsid w:val="004F2FC6"/>
    <w:rsid w:val="004F3164"/>
    <w:rsid w:val="004F3741"/>
    <w:rsid w:val="004F385F"/>
    <w:rsid w:val="004F3B32"/>
    <w:rsid w:val="004F3BDA"/>
    <w:rsid w:val="004F3F00"/>
    <w:rsid w:val="004F3F5F"/>
    <w:rsid w:val="004F41B3"/>
    <w:rsid w:val="004F423F"/>
    <w:rsid w:val="004F4384"/>
    <w:rsid w:val="004F48CD"/>
    <w:rsid w:val="004F49E9"/>
    <w:rsid w:val="004F51E3"/>
    <w:rsid w:val="004F52E8"/>
    <w:rsid w:val="004F532F"/>
    <w:rsid w:val="004F557E"/>
    <w:rsid w:val="004F564B"/>
    <w:rsid w:val="004F5DBB"/>
    <w:rsid w:val="004F5E5F"/>
    <w:rsid w:val="004F5EAF"/>
    <w:rsid w:val="004F5F3A"/>
    <w:rsid w:val="004F602D"/>
    <w:rsid w:val="004F6237"/>
    <w:rsid w:val="004F632C"/>
    <w:rsid w:val="004F636D"/>
    <w:rsid w:val="004F6382"/>
    <w:rsid w:val="004F644D"/>
    <w:rsid w:val="004F6582"/>
    <w:rsid w:val="004F6740"/>
    <w:rsid w:val="004F6A99"/>
    <w:rsid w:val="004F6AB5"/>
    <w:rsid w:val="004F6ADD"/>
    <w:rsid w:val="004F6B8A"/>
    <w:rsid w:val="004F6B9D"/>
    <w:rsid w:val="004F6BDA"/>
    <w:rsid w:val="004F6C89"/>
    <w:rsid w:val="004F6D6C"/>
    <w:rsid w:val="004F6E3A"/>
    <w:rsid w:val="004F6FDD"/>
    <w:rsid w:val="004F70DC"/>
    <w:rsid w:val="004F73AA"/>
    <w:rsid w:val="004F73FE"/>
    <w:rsid w:val="004F740B"/>
    <w:rsid w:val="004F7882"/>
    <w:rsid w:val="004F7FE3"/>
    <w:rsid w:val="00500057"/>
    <w:rsid w:val="005001D8"/>
    <w:rsid w:val="0050025C"/>
    <w:rsid w:val="005002B6"/>
    <w:rsid w:val="00500344"/>
    <w:rsid w:val="00500B9C"/>
    <w:rsid w:val="00500EB7"/>
    <w:rsid w:val="00501153"/>
    <w:rsid w:val="0050119E"/>
    <w:rsid w:val="0050136D"/>
    <w:rsid w:val="005014D5"/>
    <w:rsid w:val="00501679"/>
    <w:rsid w:val="0050205C"/>
    <w:rsid w:val="005022B4"/>
    <w:rsid w:val="005023BE"/>
    <w:rsid w:val="005024FB"/>
    <w:rsid w:val="005026D9"/>
    <w:rsid w:val="0050276F"/>
    <w:rsid w:val="005028AB"/>
    <w:rsid w:val="00502AD6"/>
    <w:rsid w:val="00502BE9"/>
    <w:rsid w:val="00502CE6"/>
    <w:rsid w:val="00502E3C"/>
    <w:rsid w:val="00503004"/>
    <w:rsid w:val="0050306A"/>
    <w:rsid w:val="005034F1"/>
    <w:rsid w:val="00503623"/>
    <w:rsid w:val="0050369A"/>
    <w:rsid w:val="00503737"/>
    <w:rsid w:val="005037B4"/>
    <w:rsid w:val="00503BE9"/>
    <w:rsid w:val="00503CCB"/>
    <w:rsid w:val="00503F2C"/>
    <w:rsid w:val="00503F80"/>
    <w:rsid w:val="005041EA"/>
    <w:rsid w:val="005042AC"/>
    <w:rsid w:val="0050455A"/>
    <w:rsid w:val="005047A6"/>
    <w:rsid w:val="00504AC4"/>
    <w:rsid w:val="00504B83"/>
    <w:rsid w:val="00504C1F"/>
    <w:rsid w:val="00504ED5"/>
    <w:rsid w:val="00505329"/>
    <w:rsid w:val="00505878"/>
    <w:rsid w:val="005058B6"/>
    <w:rsid w:val="005058D1"/>
    <w:rsid w:val="0050599F"/>
    <w:rsid w:val="00505C8C"/>
    <w:rsid w:val="00505DCB"/>
    <w:rsid w:val="00505ECB"/>
    <w:rsid w:val="00505F13"/>
    <w:rsid w:val="00505FCB"/>
    <w:rsid w:val="005061F4"/>
    <w:rsid w:val="00506227"/>
    <w:rsid w:val="005064B5"/>
    <w:rsid w:val="005065F5"/>
    <w:rsid w:val="00506910"/>
    <w:rsid w:val="00506A98"/>
    <w:rsid w:val="00506F44"/>
    <w:rsid w:val="00507761"/>
    <w:rsid w:val="005078BE"/>
    <w:rsid w:val="00507924"/>
    <w:rsid w:val="00507BBF"/>
    <w:rsid w:val="00507BF7"/>
    <w:rsid w:val="00507DE7"/>
    <w:rsid w:val="00507F62"/>
    <w:rsid w:val="005100F6"/>
    <w:rsid w:val="005108C1"/>
    <w:rsid w:val="00510A14"/>
    <w:rsid w:val="00510CCE"/>
    <w:rsid w:val="00510F56"/>
    <w:rsid w:val="00511223"/>
    <w:rsid w:val="00511937"/>
    <w:rsid w:val="005119FB"/>
    <w:rsid w:val="00511AA5"/>
    <w:rsid w:val="00511AE5"/>
    <w:rsid w:val="00511BCA"/>
    <w:rsid w:val="00511D36"/>
    <w:rsid w:val="00511DCA"/>
    <w:rsid w:val="00512003"/>
    <w:rsid w:val="0051220B"/>
    <w:rsid w:val="005124C9"/>
    <w:rsid w:val="005126AE"/>
    <w:rsid w:val="005126E4"/>
    <w:rsid w:val="0051298B"/>
    <w:rsid w:val="005129B7"/>
    <w:rsid w:val="00512BAB"/>
    <w:rsid w:val="00512BB8"/>
    <w:rsid w:val="00512C07"/>
    <w:rsid w:val="00512D60"/>
    <w:rsid w:val="00513004"/>
    <w:rsid w:val="0051312F"/>
    <w:rsid w:val="0051316C"/>
    <w:rsid w:val="00513419"/>
    <w:rsid w:val="00513540"/>
    <w:rsid w:val="005135A8"/>
    <w:rsid w:val="0051393F"/>
    <w:rsid w:val="00513B74"/>
    <w:rsid w:val="00513DB8"/>
    <w:rsid w:val="00514114"/>
    <w:rsid w:val="00514397"/>
    <w:rsid w:val="00514577"/>
    <w:rsid w:val="005146EC"/>
    <w:rsid w:val="005149B0"/>
    <w:rsid w:val="00514C7F"/>
    <w:rsid w:val="00514FFE"/>
    <w:rsid w:val="005158D7"/>
    <w:rsid w:val="00515FEB"/>
    <w:rsid w:val="005160F6"/>
    <w:rsid w:val="005163DC"/>
    <w:rsid w:val="00516676"/>
    <w:rsid w:val="0051691E"/>
    <w:rsid w:val="00516C8E"/>
    <w:rsid w:val="005171FC"/>
    <w:rsid w:val="0051721F"/>
    <w:rsid w:val="00517232"/>
    <w:rsid w:val="005172F6"/>
    <w:rsid w:val="00517341"/>
    <w:rsid w:val="0051743F"/>
    <w:rsid w:val="00517988"/>
    <w:rsid w:val="00517AC9"/>
    <w:rsid w:val="00517C7B"/>
    <w:rsid w:val="00517DDD"/>
    <w:rsid w:val="00517E92"/>
    <w:rsid w:val="0052014A"/>
    <w:rsid w:val="005203EA"/>
    <w:rsid w:val="00520516"/>
    <w:rsid w:val="005206E0"/>
    <w:rsid w:val="00520788"/>
    <w:rsid w:val="005207EB"/>
    <w:rsid w:val="00520936"/>
    <w:rsid w:val="00521476"/>
    <w:rsid w:val="00521C10"/>
    <w:rsid w:val="00521C31"/>
    <w:rsid w:val="00521E83"/>
    <w:rsid w:val="00522043"/>
    <w:rsid w:val="0052227C"/>
    <w:rsid w:val="005222E9"/>
    <w:rsid w:val="00522D49"/>
    <w:rsid w:val="005230FF"/>
    <w:rsid w:val="0052336C"/>
    <w:rsid w:val="0052338D"/>
    <w:rsid w:val="005234D0"/>
    <w:rsid w:val="005235A1"/>
    <w:rsid w:val="0052363B"/>
    <w:rsid w:val="00523654"/>
    <w:rsid w:val="0052368E"/>
    <w:rsid w:val="00523A94"/>
    <w:rsid w:val="00523AFD"/>
    <w:rsid w:val="00523B82"/>
    <w:rsid w:val="00523B8F"/>
    <w:rsid w:val="00523C22"/>
    <w:rsid w:val="00523D3E"/>
    <w:rsid w:val="00523E0A"/>
    <w:rsid w:val="0052406D"/>
    <w:rsid w:val="0052420D"/>
    <w:rsid w:val="00524295"/>
    <w:rsid w:val="005244E4"/>
    <w:rsid w:val="00524572"/>
    <w:rsid w:val="0052459E"/>
    <w:rsid w:val="005245D2"/>
    <w:rsid w:val="005247B4"/>
    <w:rsid w:val="005248E8"/>
    <w:rsid w:val="00524989"/>
    <w:rsid w:val="00524B42"/>
    <w:rsid w:val="00524DB0"/>
    <w:rsid w:val="00524EF4"/>
    <w:rsid w:val="00524F34"/>
    <w:rsid w:val="0052504B"/>
    <w:rsid w:val="0052542E"/>
    <w:rsid w:val="0052583A"/>
    <w:rsid w:val="005258A4"/>
    <w:rsid w:val="00525B31"/>
    <w:rsid w:val="005261D7"/>
    <w:rsid w:val="00526231"/>
    <w:rsid w:val="005263C7"/>
    <w:rsid w:val="00526512"/>
    <w:rsid w:val="005265D4"/>
    <w:rsid w:val="0052676B"/>
    <w:rsid w:val="005268E6"/>
    <w:rsid w:val="00526B28"/>
    <w:rsid w:val="00526E48"/>
    <w:rsid w:val="00527308"/>
    <w:rsid w:val="005274E3"/>
    <w:rsid w:val="00527908"/>
    <w:rsid w:val="00527934"/>
    <w:rsid w:val="00527BCB"/>
    <w:rsid w:val="00527C80"/>
    <w:rsid w:val="00527FB8"/>
    <w:rsid w:val="00527FD6"/>
    <w:rsid w:val="005304CB"/>
    <w:rsid w:val="005304CF"/>
    <w:rsid w:val="0053052A"/>
    <w:rsid w:val="00530B3F"/>
    <w:rsid w:val="00530BEB"/>
    <w:rsid w:val="00530E13"/>
    <w:rsid w:val="00530E19"/>
    <w:rsid w:val="00530EBE"/>
    <w:rsid w:val="00530FD4"/>
    <w:rsid w:val="005311D4"/>
    <w:rsid w:val="005313EE"/>
    <w:rsid w:val="0053169F"/>
    <w:rsid w:val="00531A5C"/>
    <w:rsid w:val="00531F35"/>
    <w:rsid w:val="00532421"/>
    <w:rsid w:val="005324F2"/>
    <w:rsid w:val="0053255C"/>
    <w:rsid w:val="00532644"/>
    <w:rsid w:val="0053284F"/>
    <w:rsid w:val="005329B0"/>
    <w:rsid w:val="00532A44"/>
    <w:rsid w:val="0053304A"/>
    <w:rsid w:val="005330FB"/>
    <w:rsid w:val="005331DD"/>
    <w:rsid w:val="00533573"/>
    <w:rsid w:val="005335CC"/>
    <w:rsid w:val="005336DE"/>
    <w:rsid w:val="0053392B"/>
    <w:rsid w:val="00533FF0"/>
    <w:rsid w:val="00534135"/>
    <w:rsid w:val="00534A47"/>
    <w:rsid w:val="005350D5"/>
    <w:rsid w:val="0053521A"/>
    <w:rsid w:val="005356F7"/>
    <w:rsid w:val="00535972"/>
    <w:rsid w:val="00535AF7"/>
    <w:rsid w:val="00535CA2"/>
    <w:rsid w:val="005363E1"/>
    <w:rsid w:val="00536720"/>
    <w:rsid w:val="0053689D"/>
    <w:rsid w:val="005369F1"/>
    <w:rsid w:val="00536BBD"/>
    <w:rsid w:val="00536D9B"/>
    <w:rsid w:val="00536E51"/>
    <w:rsid w:val="005371E5"/>
    <w:rsid w:val="0053724D"/>
    <w:rsid w:val="00537351"/>
    <w:rsid w:val="005375CA"/>
    <w:rsid w:val="00537809"/>
    <w:rsid w:val="0053797B"/>
    <w:rsid w:val="005379F4"/>
    <w:rsid w:val="0054065C"/>
    <w:rsid w:val="00540792"/>
    <w:rsid w:val="00540BE3"/>
    <w:rsid w:val="00540C55"/>
    <w:rsid w:val="00540FE0"/>
    <w:rsid w:val="005410B8"/>
    <w:rsid w:val="00541435"/>
    <w:rsid w:val="0054147F"/>
    <w:rsid w:val="00541647"/>
    <w:rsid w:val="00541754"/>
    <w:rsid w:val="00541A7F"/>
    <w:rsid w:val="005421F1"/>
    <w:rsid w:val="00542837"/>
    <w:rsid w:val="00542876"/>
    <w:rsid w:val="00542CD3"/>
    <w:rsid w:val="00542CFF"/>
    <w:rsid w:val="00542E6F"/>
    <w:rsid w:val="00542EB5"/>
    <w:rsid w:val="00543202"/>
    <w:rsid w:val="00543286"/>
    <w:rsid w:val="00543816"/>
    <w:rsid w:val="005438FF"/>
    <w:rsid w:val="00543A75"/>
    <w:rsid w:val="00543B1A"/>
    <w:rsid w:val="00543BAF"/>
    <w:rsid w:val="00543D8A"/>
    <w:rsid w:val="00544118"/>
    <w:rsid w:val="0054418E"/>
    <w:rsid w:val="0054465A"/>
    <w:rsid w:val="005446EC"/>
    <w:rsid w:val="0054474F"/>
    <w:rsid w:val="005448C6"/>
    <w:rsid w:val="005449E9"/>
    <w:rsid w:val="00544CDF"/>
    <w:rsid w:val="00544D21"/>
    <w:rsid w:val="005450C3"/>
    <w:rsid w:val="00545291"/>
    <w:rsid w:val="00545309"/>
    <w:rsid w:val="00545625"/>
    <w:rsid w:val="0054583C"/>
    <w:rsid w:val="00545B19"/>
    <w:rsid w:val="00545B2F"/>
    <w:rsid w:val="00545B68"/>
    <w:rsid w:val="005460C3"/>
    <w:rsid w:val="005461A4"/>
    <w:rsid w:val="00546334"/>
    <w:rsid w:val="005465E1"/>
    <w:rsid w:val="0054665C"/>
    <w:rsid w:val="00546827"/>
    <w:rsid w:val="0054691E"/>
    <w:rsid w:val="00546945"/>
    <w:rsid w:val="00546A19"/>
    <w:rsid w:val="00546B47"/>
    <w:rsid w:val="00546B50"/>
    <w:rsid w:val="00546C1A"/>
    <w:rsid w:val="00546DCF"/>
    <w:rsid w:val="00546DF5"/>
    <w:rsid w:val="00546E6D"/>
    <w:rsid w:val="00547368"/>
    <w:rsid w:val="00547636"/>
    <w:rsid w:val="00547702"/>
    <w:rsid w:val="00547993"/>
    <w:rsid w:val="00547A30"/>
    <w:rsid w:val="00547C8B"/>
    <w:rsid w:val="00550103"/>
    <w:rsid w:val="0055027F"/>
    <w:rsid w:val="00550C6D"/>
    <w:rsid w:val="00550D06"/>
    <w:rsid w:val="00551215"/>
    <w:rsid w:val="005512A4"/>
    <w:rsid w:val="005516F4"/>
    <w:rsid w:val="00551BFB"/>
    <w:rsid w:val="00551DB5"/>
    <w:rsid w:val="00551F38"/>
    <w:rsid w:val="00551FFD"/>
    <w:rsid w:val="005524B0"/>
    <w:rsid w:val="0055279F"/>
    <w:rsid w:val="00552E9F"/>
    <w:rsid w:val="00553977"/>
    <w:rsid w:val="00553A5B"/>
    <w:rsid w:val="00553D54"/>
    <w:rsid w:val="00553D97"/>
    <w:rsid w:val="00553F03"/>
    <w:rsid w:val="00553FDE"/>
    <w:rsid w:val="00554028"/>
    <w:rsid w:val="00554113"/>
    <w:rsid w:val="00554542"/>
    <w:rsid w:val="00554558"/>
    <w:rsid w:val="005545A0"/>
    <w:rsid w:val="00554C7E"/>
    <w:rsid w:val="00554E45"/>
    <w:rsid w:val="00554E68"/>
    <w:rsid w:val="00554ED9"/>
    <w:rsid w:val="00554EE7"/>
    <w:rsid w:val="00554FB4"/>
    <w:rsid w:val="00555087"/>
    <w:rsid w:val="0055540E"/>
    <w:rsid w:val="00555B24"/>
    <w:rsid w:val="00555B4E"/>
    <w:rsid w:val="00555C8E"/>
    <w:rsid w:val="00555F50"/>
    <w:rsid w:val="00556302"/>
    <w:rsid w:val="005564F4"/>
    <w:rsid w:val="00556548"/>
    <w:rsid w:val="005565EA"/>
    <w:rsid w:val="0055667E"/>
    <w:rsid w:val="005568B6"/>
    <w:rsid w:val="005568FB"/>
    <w:rsid w:val="00556A9E"/>
    <w:rsid w:val="00556AD6"/>
    <w:rsid w:val="00556C9F"/>
    <w:rsid w:val="00556FCF"/>
    <w:rsid w:val="0055706B"/>
    <w:rsid w:val="005570BD"/>
    <w:rsid w:val="005571FD"/>
    <w:rsid w:val="0055735C"/>
    <w:rsid w:val="0055741E"/>
    <w:rsid w:val="005575D3"/>
    <w:rsid w:val="005575E5"/>
    <w:rsid w:val="00557A0A"/>
    <w:rsid w:val="00557A41"/>
    <w:rsid w:val="00557D5A"/>
    <w:rsid w:val="00557D63"/>
    <w:rsid w:val="00557DA2"/>
    <w:rsid w:val="00557DEA"/>
    <w:rsid w:val="00557E9F"/>
    <w:rsid w:val="005602AB"/>
    <w:rsid w:val="00560693"/>
    <w:rsid w:val="00560EB9"/>
    <w:rsid w:val="00560FD2"/>
    <w:rsid w:val="005612B8"/>
    <w:rsid w:val="0056150B"/>
    <w:rsid w:val="00561687"/>
    <w:rsid w:val="00561774"/>
    <w:rsid w:val="00561786"/>
    <w:rsid w:val="005622DE"/>
    <w:rsid w:val="0056230F"/>
    <w:rsid w:val="00562364"/>
    <w:rsid w:val="00562541"/>
    <w:rsid w:val="00562770"/>
    <w:rsid w:val="005627D0"/>
    <w:rsid w:val="00562836"/>
    <w:rsid w:val="0056304A"/>
    <w:rsid w:val="00563569"/>
    <w:rsid w:val="00563760"/>
    <w:rsid w:val="00563A3B"/>
    <w:rsid w:val="00563C95"/>
    <w:rsid w:val="00563CA2"/>
    <w:rsid w:val="00563F53"/>
    <w:rsid w:val="005642E9"/>
    <w:rsid w:val="005644BA"/>
    <w:rsid w:val="00564BB5"/>
    <w:rsid w:val="00564FAE"/>
    <w:rsid w:val="00565398"/>
    <w:rsid w:val="0056574B"/>
    <w:rsid w:val="0056594D"/>
    <w:rsid w:val="00566249"/>
    <w:rsid w:val="005667CF"/>
    <w:rsid w:val="005669C3"/>
    <w:rsid w:val="00566B27"/>
    <w:rsid w:val="00566F67"/>
    <w:rsid w:val="00567038"/>
    <w:rsid w:val="00567188"/>
    <w:rsid w:val="005673D4"/>
    <w:rsid w:val="00567735"/>
    <w:rsid w:val="0056778B"/>
    <w:rsid w:val="00567B63"/>
    <w:rsid w:val="00567B90"/>
    <w:rsid w:val="00567E52"/>
    <w:rsid w:val="00570099"/>
    <w:rsid w:val="005709DA"/>
    <w:rsid w:val="00570C2F"/>
    <w:rsid w:val="00570C9A"/>
    <w:rsid w:val="00570E96"/>
    <w:rsid w:val="005711E5"/>
    <w:rsid w:val="005712B1"/>
    <w:rsid w:val="005712D4"/>
    <w:rsid w:val="00571429"/>
    <w:rsid w:val="00571A8A"/>
    <w:rsid w:val="00571B96"/>
    <w:rsid w:val="00571C72"/>
    <w:rsid w:val="00572169"/>
    <w:rsid w:val="00572862"/>
    <w:rsid w:val="005728A2"/>
    <w:rsid w:val="00572A76"/>
    <w:rsid w:val="00572AF9"/>
    <w:rsid w:val="00572B08"/>
    <w:rsid w:val="00572E0F"/>
    <w:rsid w:val="00572FA6"/>
    <w:rsid w:val="005734E7"/>
    <w:rsid w:val="005736AF"/>
    <w:rsid w:val="005738DA"/>
    <w:rsid w:val="00573A7F"/>
    <w:rsid w:val="00573B64"/>
    <w:rsid w:val="00573F71"/>
    <w:rsid w:val="00573FF3"/>
    <w:rsid w:val="005740CC"/>
    <w:rsid w:val="005740F8"/>
    <w:rsid w:val="0057422B"/>
    <w:rsid w:val="005744CA"/>
    <w:rsid w:val="005746B4"/>
    <w:rsid w:val="00574B31"/>
    <w:rsid w:val="00574BA9"/>
    <w:rsid w:val="00574BC2"/>
    <w:rsid w:val="00574CDE"/>
    <w:rsid w:val="00574D58"/>
    <w:rsid w:val="00574D8B"/>
    <w:rsid w:val="00574DB3"/>
    <w:rsid w:val="00574F80"/>
    <w:rsid w:val="00574FAD"/>
    <w:rsid w:val="00575361"/>
    <w:rsid w:val="005753A7"/>
    <w:rsid w:val="0057540C"/>
    <w:rsid w:val="005754B6"/>
    <w:rsid w:val="00575C66"/>
    <w:rsid w:val="005760AD"/>
    <w:rsid w:val="00576110"/>
    <w:rsid w:val="00576247"/>
    <w:rsid w:val="00576488"/>
    <w:rsid w:val="0057692A"/>
    <w:rsid w:val="005769C5"/>
    <w:rsid w:val="00576D6C"/>
    <w:rsid w:val="00576DAD"/>
    <w:rsid w:val="00576F30"/>
    <w:rsid w:val="005773F9"/>
    <w:rsid w:val="005775E2"/>
    <w:rsid w:val="00577605"/>
    <w:rsid w:val="005778A5"/>
    <w:rsid w:val="00577CDB"/>
    <w:rsid w:val="00577E4A"/>
    <w:rsid w:val="005808C3"/>
    <w:rsid w:val="0058093E"/>
    <w:rsid w:val="005809D8"/>
    <w:rsid w:val="00580CD6"/>
    <w:rsid w:val="00580D7A"/>
    <w:rsid w:val="00580E49"/>
    <w:rsid w:val="00580E53"/>
    <w:rsid w:val="00580FC0"/>
    <w:rsid w:val="0058105A"/>
    <w:rsid w:val="005816BF"/>
    <w:rsid w:val="00581AEA"/>
    <w:rsid w:val="00581C42"/>
    <w:rsid w:val="00581C89"/>
    <w:rsid w:val="00581F83"/>
    <w:rsid w:val="00581FEC"/>
    <w:rsid w:val="0058219E"/>
    <w:rsid w:val="005825BA"/>
    <w:rsid w:val="005826D5"/>
    <w:rsid w:val="00582B4D"/>
    <w:rsid w:val="00582CB8"/>
    <w:rsid w:val="00582D51"/>
    <w:rsid w:val="00582F32"/>
    <w:rsid w:val="0058312F"/>
    <w:rsid w:val="0058346B"/>
    <w:rsid w:val="00583604"/>
    <w:rsid w:val="0058362D"/>
    <w:rsid w:val="005836D3"/>
    <w:rsid w:val="005836EC"/>
    <w:rsid w:val="005837F3"/>
    <w:rsid w:val="00583AA1"/>
    <w:rsid w:val="00583C17"/>
    <w:rsid w:val="00583D1D"/>
    <w:rsid w:val="00583D54"/>
    <w:rsid w:val="00583F3F"/>
    <w:rsid w:val="005844A6"/>
    <w:rsid w:val="005844DC"/>
    <w:rsid w:val="005845F8"/>
    <w:rsid w:val="005847C1"/>
    <w:rsid w:val="00584988"/>
    <w:rsid w:val="00584BAB"/>
    <w:rsid w:val="00584E3F"/>
    <w:rsid w:val="00585173"/>
    <w:rsid w:val="005851EC"/>
    <w:rsid w:val="0058527F"/>
    <w:rsid w:val="0058529F"/>
    <w:rsid w:val="00585477"/>
    <w:rsid w:val="00585569"/>
    <w:rsid w:val="0058573C"/>
    <w:rsid w:val="00585BB2"/>
    <w:rsid w:val="00585C2B"/>
    <w:rsid w:val="00585CDB"/>
    <w:rsid w:val="00585DB9"/>
    <w:rsid w:val="00585DF7"/>
    <w:rsid w:val="00585F20"/>
    <w:rsid w:val="005860A9"/>
    <w:rsid w:val="005860AD"/>
    <w:rsid w:val="005862E0"/>
    <w:rsid w:val="0058634C"/>
    <w:rsid w:val="0058666E"/>
    <w:rsid w:val="00586941"/>
    <w:rsid w:val="00586B55"/>
    <w:rsid w:val="00586BC6"/>
    <w:rsid w:val="00586D5C"/>
    <w:rsid w:val="00586F1E"/>
    <w:rsid w:val="0058712F"/>
    <w:rsid w:val="00587136"/>
    <w:rsid w:val="005873BA"/>
    <w:rsid w:val="005876CF"/>
    <w:rsid w:val="00587DB2"/>
    <w:rsid w:val="00590423"/>
    <w:rsid w:val="005904CB"/>
    <w:rsid w:val="00590918"/>
    <w:rsid w:val="0059096D"/>
    <w:rsid w:val="00590A4A"/>
    <w:rsid w:val="00590C3E"/>
    <w:rsid w:val="00590DC5"/>
    <w:rsid w:val="005911A9"/>
    <w:rsid w:val="0059122D"/>
    <w:rsid w:val="0059165C"/>
    <w:rsid w:val="0059167C"/>
    <w:rsid w:val="00591D92"/>
    <w:rsid w:val="00591E10"/>
    <w:rsid w:val="0059244A"/>
    <w:rsid w:val="00592575"/>
    <w:rsid w:val="005926A4"/>
    <w:rsid w:val="005926C5"/>
    <w:rsid w:val="00592857"/>
    <w:rsid w:val="00592A35"/>
    <w:rsid w:val="00592C77"/>
    <w:rsid w:val="00592D94"/>
    <w:rsid w:val="00592FE7"/>
    <w:rsid w:val="005930B7"/>
    <w:rsid w:val="00593541"/>
    <w:rsid w:val="00593C36"/>
    <w:rsid w:val="00593D50"/>
    <w:rsid w:val="00593E09"/>
    <w:rsid w:val="00593FB5"/>
    <w:rsid w:val="00594286"/>
    <w:rsid w:val="0059432F"/>
    <w:rsid w:val="005945FC"/>
    <w:rsid w:val="005947A0"/>
    <w:rsid w:val="00594A6D"/>
    <w:rsid w:val="00594F0D"/>
    <w:rsid w:val="00595060"/>
    <w:rsid w:val="00595414"/>
    <w:rsid w:val="00595602"/>
    <w:rsid w:val="005957DB"/>
    <w:rsid w:val="00595E41"/>
    <w:rsid w:val="00595FDD"/>
    <w:rsid w:val="00596129"/>
    <w:rsid w:val="0059617A"/>
    <w:rsid w:val="005965FF"/>
    <w:rsid w:val="005966B3"/>
    <w:rsid w:val="00596717"/>
    <w:rsid w:val="00596739"/>
    <w:rsid w:val="00596829"/>
    <w:rsid w:val="00596887"/>
    <w:rsid w:val="00596919"/>
    <w:rsid w:val="00596E4B"/>
    <w:rsid w:val="00596F0C"/>
    <w:rsid w:val="00597127"/>
    <w:rsid w:val="005971D0"/>
    <w:rsid w:val="00597221"/>
    <w:rsid w:val="00597291"/>
    <w:rsid w:val="0059736D"/>
    <w:rsid w:val="00597385"/>
    <w:rsid w:val="005976C8"/>
    <w:rsid w:val="0059773B"/>
    <w:rsid w:val="00597B0C"/>
    <w:rsid w:val="005A062D"/>
    <w:rsid w:val="005A071C"/>
    <w:rsid w:val="005A0880"/>
    <w:rsid w:val="005A0B6A"/>
    <w:rsid w:val="005A0CE4"/>
    <w:rsid w:val="005A154F"/>
    <w:rsid w:val="005A169E"/>
    <w:rsid w:val="005A1A58"/>
    <w:rsid w:val="005A1BCE"/>
    <w:rsid w:val="005A1C1C"/>
    <w:rsid w:val="005A1D2D"/>
    <w:rsid w:val="005A2007"/>
    <w:rsid w:val="005A2012"/>
    <w:rsid w:val="005A24EC"/>
    <w:rsid w:val="005A263A"/>
    <w:rsid w:val="005A2878"/>
    <w:rsid w:val="005A2A28"/>
    <w:rsid w:val="005A2B90"/>
    <w:rsid w:val="005A331B"/>
    <w:rsid w:val="005A3628"/>
    <w:rsid w:val="005A362D"/>
    <w:rsid w:val="005A37A2"/>
    <w:rsid w:val="005A37D4"/>
    <w:rsid w:val="005A3867"/>
    <w:rsid w:val="005A3972"/>
    <w:rsid w:val="005A3A5D"/>
    <w:rsid w:val="005A3C26"/>
    <w:rsid w:val="005A4180"/>
    <w:rsid w:val="005A4317"/>
    <w:rsid w:val="005A446A"/>
    <w:rsid w:val="005A4B2F"/>
    <w:rsid w:val="005A4B9B"/>
    <w:rsid w:val="005A4BF4"/>
    <w:rsid w:val="005A4FDE"/>
    <w:rsid w:val="005A517A"/>
    <w:rsid w:val="005A55B8"/>
    <w:rsid w:val="005A5898"/>
    <w:rsid w:val="005A5905"/>
    <w:rsid w:val="005A5C47"/>
    <w:rsid w:val="005A5F4D"/>
    <w:rsid w:val="005A6490"/>
    <w:rsid w:val="005A65FB"/>
    <w:rsid w:val="005A6612"/>
    <w:rsid w:val="005A6765"/>
    <w:rsid w:val="005A6772"/>
    <w:rsid w:val="005A67C1"/>
    <w:rsid w:val="005A6814"/>
    <w:rsid w:val="005A6841"/>
    <w:rsid w:val="005A69F3"/>
    <w:rsid w:val="005A6A15"/>
    <w:rsid w:val="005A6C88"/>
    <w:rsid w:val="005A7166"/>
    <w:rsid w:val="005A745C"/>
    <w:rsid w:val="005A78DD"/>
    <w:rsid w:val="005A79B7"/>
    <w:rsid w:val="005A7ADF"/>
    <w:rsid w:val="005A7F05"/>
    <w:rsid w:val="005A7F65"/>
    <w:rsid w:val="005B037C"/>
    <w:rsid w:val="005B05CA"/>
    <w:rsid w:val="005B064F"/>
    <w:rsid w:val="005B0732"/>
    <w:rsid w:val="005B0799"/>
    <w:rsid w:val="005B0932"/>
    <w:rsid w:val="005B0A9D"/>
    <w:rsid w:val="005B0C45"/>
    <w:rsid w:val="005B0DA4"/>
    <w:rsid w:val="005B0E7B"/>
    <w:rsid w:val="005B0F07"/>
    <w:rsid w:val="005B1107"/>
    <w:rsid w:val="005B118B"/>
    <w:rsid w:val="005B156F"/>
    <w:rsid w:val="005B1823"/>
    <w:rsid w:val="005B1A41"/>
    <w:rsid w:val="005B1A70"/>
    <w:rsid w:val="005B1E02"/>
    <w:rsid w:val="005B20E9"/>
    <w:rsid w:val="005B21E3"/>
    <w:rsid w:val="005B2602"/>
    <w:rsid w:val="005B276B"/>
    <w:rsid w:val="005B27A6"/>
    <w:rsid w:val="005B27B9"/>
    <w:rsid w:val="005B29AD"/>
    <w:rsid w:val="005B2A43"/>
    <w:rsid w:val="005B2AA9"/>
    <w:rsid w:val="005B2F29"/>
    <w:rsid w:val="005B2FB3"/>
    <w:rsid w:val="005B2FE5"/>
    <w:rsid w:val="005B3044"/>
    <w:rsid w:val="005B3185"/>
    <w:rsid w:val="005B3269"/>
    <w:rsid w:val="005B3810"/>
    <w:rsid w:val="005B3B1E"/>
    <w:rsid w:val="005B415A"/>
    <w:rsid w:val="005B426B"/>
    <w:rsid w:val="005B4719"/>
    <w:rsid w:val="005B478F"/>
    <w:rsid w:val="005B4A0C"/>
    <w:rsid w:val="005B4B6A"/>
    <w:rsid w:val="005B4D6A"/>
    <w:rsid w:val="005B4D7F"/>
    <w:rsid w:val="005B4DE9"/>
    <w:rsid w:val="005B5114"/>
    <w:rsid w:val="005B51B0"/>
    <w:rsid w:val="005B5263"/>
    <w:rsid w:val="005B52A1"/>
    <w:rsid w:val="005B54E7"/>
    <w:rsid w:val="005B54FB"/>
    <w:rsid w:val="005B5564"/>
    <w:rsid w:val="005B576A"/>
    <w:rsid w:val="005B5B16"/>
    <w:rsid w:val="005B5C4C"/>
    <w:rsid w:val="005B5CD2"/>
    <w:rsid w:val="005B5D61"/>
    <w:rsid w:val="005B607A"/>
    <w:rsid w:val="005B6127"/>
    <w:rsid w:val="005B62D2"/>
    <w:rsid w:val="005B6798"/>
    <w:rsid w:val="005B69A5"/>
    <w:rsid w:val="005B6DA5"/>
    <w:rsid w:val="005B7253"/>
    <w:rsid w:val="005B78E4"/>
    <w:rsid w:val="005B7C18"/>
    <w:rsid w:val="005B7F54"/>
    <w:rsid w:val="005C00BD"/>
    <w:rsid w:val="005C0161"/>
    <w:rsid w:val="005C01D7"/>
    <w:rsid w:val="005C032C"/>
    <w:rsid w:val="005C034D"/>
    <w:rsid w:val="005C03DF"/>
    <w:rsid w:val="005C0B62"/>
    <w:rsid w:val="005C0C16"/>
    <w:rsid w:val="005C0D3F"/>
    <w:rsid w:val="005C0F2B"/>
    <w:rsid w:val="005C10BF"/>
    <w:rsid w:val="005C15BA"/>
    <w:rsid w:val="005C1602"/>
    <w:rsid w:val="005C1EA5"/>
    <w:rsid w:val="005C21CF"/>
    <w:rsid w:val="005C2314"/>
    <w:rsid w:val="005C252F"/>
    <w:rsid w:val="005C25CF"/>
    <w:rsid w:val="005C2689"/>
    <w:rsid w:val="005C26C8"/>
    <w:rsid w:val="005C288C"/>
    <w:rsid w:val="005C2D5B"/>
    <w:rsid w:val="005C3272"/>
    <w:rsid w:val="005C342C"/>
    <w:rsid w:val="005C37B7"/>
    <w:rsid w:val="005C3823"/>
    <w:rsid w:val="005C39B7"/>
    <w:rsid w:val="005C4022"/>
    <w:rsid w:val="005C40F9"/>
    <w:rsid w:val="005C4127"/>
    <w:rsid w:val="005C4276"/>
    <w:rsid w:val="005C441A"/>
    <w:rsid w:val="005C4542"/>
    <w:rsid w:val="005C4574"/>
    <w:rsid w:val="005C4A3D"/>
    <w:rsid w:val="005C4A9E"/>
    <w:rsid w:val="005C4EF8"/>
    <w:rsid w:val="005C54B3"/>
    <w:rsid w:val="005C59BE"/>
    <w:rsid w:val="005C5A91"/>
    <w:rsid w:val="005C5D9F"/>
    <w:rsid w:val="005C6412"/>
    <w:rsid w:val="005C649A"/>
    <w:rsid w:val="005C6609"/>
    <w:rsid w:val="005C695D"/>
    <w:rsid w:val="005C6986"/>
    <w:rsid w:val="005C6A20"/>
    <w:rsid w:val="005C757A"/>
    <w:rsid w:val="005C773A"/>
    <w:rsid w:val="005C786F"/>
    <w:rsid w:val="005C79AA"/>
    <w:rsid w:val="005C7B69"/>
    <w:rsid w:val="005C7DBF"/>
    <w:rsid w:val="005C7DE8"/>
    <w:rsid w:val="005C7E62"/>
    <w:rsid w:val="005C7FE3"/>
    <w:rsid w:val="005D038C"/>
    <w:rsid w:val="005D0405"/>
    <w:rsid w:val="005D0884"/>
    <w:rsid w:val="005D098F"/>
    <w:rsid w:val="005D0F08"/>
    <w:rsid w:val="005D1161"/>
    <w:rsid w:val="005D17F4"/>
    <w:rsid w:val="005D184E"/>
    <w:rsid w:val="005D1B1D"/>
    <w:rsid w:val="005D1C5A"/>
    <w:rsid w:val="005D21D1"/>
    <w:rsid w:val="005D22B9"/>
    <w:rsid w:val="005D2420"/>
    <w:rsid w:val="005D24AA"/>
    <w:rsid w:val="005D26C7"/>
    <w:rsid w:val="005D271B"/>
    <w:rsid w:val="005D2B56"/>
    <w:rsid w:val="005D2D31"/>
    <w:rsid w:val="005D2D40"/>
    <w:rsid w:val="005D3360"/>
    <w:rsid w:val="005D3508"/>
    <w:rsid w:val="005D3775"/>
    <w:rsid w:val="005D37CE"/>
    <w:rsid w:val="005D3912"/>
    <w:rsid w:val="005D3917"/>
    <w:rsid w:val="005D3952"/>
    <w:rsid w:val="005D3A4F"/>
    <w:rsid w:val="005D3B50"/>
    <w:rsid w:val="005D3C43"/>
    <w:rsid w:val="005D3C89"/>
    <w:rsid w:val="005D459B"/>
    <w:rsid w:val="005D45D9"/>
    <w:rsid w:val="005D45F6"/>
    <w:rsid w:val="005D4904"/>
    <w:rsid w:val="005D4B2E"/>
    <w:rsid w:val="005D4D92"/>
    <w:rsid w:val="005D4DE4"/>
    <w:rsid w:val="005D516D"/>
    <w:rsid w:val="005D59A6"/>
    <w:rsid w:val="005D5A07"/>
    <w:rsid w:val="005D5A8D"/>
    <w:rsid w:val="005D5D07"/>
    <w:rsid w:val="005D6231"/>
    <w:rsid w:val="005D6320"/>
    <w:rsid w:val="005D635F"/>
    <w:rsid w:val="005D6834"/>
    <w:rsid w:val="005D68A7"/>
    <w:rsid w:val="005D6A13"/>
    <w:rsid w:val="005D6BB0"/>
    <w:rsid w:val="005D6CAD"/>
    <w:rsid w:val="005D7534"/>
    <w:rsid w:val="005D75B7"/>
    <w:rsid w:val="005D79B1"/>
    <w:rsid w:val="005D7AD7"/>
    <w:rsid w:val="005E01F3"/>
    <w:rsid w:val="005E02F5"/>
    <w:rsid w:val="005E03C2"/>
    <w:rsid w:val="005E0690"/>
    <w:rsid w:val="005E093E"/>
    <w:rsid w:val="005E0B5A"/>
    <w:rsid w:val="005E15F3"/>
    <w:rsid w:val="005E1760"/>
    <w:rsid w:val="005E1988"/>
    <w:rsid w:val="005E1FBF"/>
    <w:rsid w:val="005E2552"/>
    <w:rsid w:val="005E2BC5"/>
    <w:rsid w:val="005E2C42"/>
    <w:rsid w:val="005E2EBD"/>
    <w:rsid w:val="005E3596"/>
    <w:rsid w:val="005E3597"/>
    <w:rsid w:val="005E38D1"/>
    <w:rsid w:val="005E3951"/>
    <w:rsid w:val="005E3CEC"/>
    <w:rsid w:val="005E3DB1"/>
    <w:rsid w:val="005E3E8A"/>
    <w:rsid w:val="005E3F94"/>
    <w:rsid w:val="005E4327"/>
    <w:rsid w:val="005E4550"/>
    <w:rsid w:val="005E48FF"/>
    <w:rsid w:val="005E4B32"/>
    <w:rsid w:val="005E4B70"/>
    <w:rsid w:val="005E4EB7"/>
    <w:rsid w:val="005E4F6C"/>
    <w:rsid w:val="005E4F9C"/>
    <w:rsid w:val="005E54CB"/>
    <w:rsid w:val="005E574C"/>
    <w:rsid w:val="005E5822"/>
    <w:rsid w:val="005E5A68"/>
    <w:rsid w:val="005E5A92"/>
    <w:rsid w:val="005E5D32"/>
    <w:rsid w:val="005E5D84"/>
    <w:rsid w:val="005E5DA3"/>
    <w:rsid w:val="005E5E76"/>
    <w:rsid w:val="005E6043"/>
    <w:rsid w:val="005E6086"/>
    <w:rsid w:val="005E6166"/>
    <w:rsid w:val="005E635D"/>
    <w:rsid w:val="005E63FD"/>
    <w:rsid w:val="005E64D7"/>
    <w:rsid w:val="005E6717"/>
    <w:rsid w:val="005E6849"/>
    <w:rsid w:val="005E69D5"/>
    <w:rsid w:val="005E7284"/>
    <w:rsid w:val="005E7415"/>
    <w:rsid w:val="005E74F1"/>
    <w:rsid w:val="005E7626"/>
    <w:rsid w:val="005E7AD9"/>
    <w:rsid w:val="005E7C2B"/>
    <w:rsid w:val="005E7DA7"/>
    <w:rsid w:val="005E7EFF"/>
    <w:rsid w:val="005F0003"/>
    <w:rsid w:val="005F026A"/>
    <w:rsid w:val="005F0282"/>
    <w:rsid w:val="005F0652"/>
    <w:rsid w:val="005F08AC"/>
    <w:rsid w:val="005F0BA1"/>
    <w:rsid w:val="005F0E63"/>
    <w:rsid w:val="005F0FDC"/>
    <w:rsid w:val="005F15C0"/>
    <w:rsid w:val="005F1DFC"/>
    <w:rsid w:val="005F1EA3"/>
    <w:rsid w:val="005F2111"/>
    <w:rsid w:val="005F2281"/>
    <w:rsid w:val="005F266C"/>
    <w:rsid w:val="005F2888"/>
    <w:rsid w:val="005F295A"/>
    <w:rsid w:val="005F2C06"/>
    <w:rsid w:val="005F347B"/>
    <w:rsid w:val="005F3653"/>
    <w:rsid w:val="005F3764"/>
    <w:rsid w:val="005F391C"/>
    <w:rsid w:val="005F3964"/>
    <w:rsid w:val="005F3B62"/>
    <w:rsid w:val="005F3BC1"/>
    <w:rsid w:val="005F3BF7"/>
    <w:rsid w:val="005F3D45"/>
    <w:rsid w:val="005F3E7F"/>
    <w:rsid w:val="005F3FE8"/>
    <w:rsid w:val="005F4032"/>
    <w:rsid w:val="005F4240"/>
    <w:rsid w:val="005F448A"/>
    <w:rsid w:val="005F44E2"/>
    <w:rsid w:val="005F4678"/>
    <w:rsid w:val="005F491E"/>
    <w:rsid w:val="005F4B6F"/>
    <w:rsid w:val="005F4C17"/>
    <w:rsid w:val="005F4C49"/>
    <w:rsid w:val="005F4DA6"/>
    <w:rsid w:val="005F4DCB"/>
    <w:rsid w:val="005F4ED5"/>
    <w:rsid w:val="005F4F7E"/>
    <w:rsid w:val="005F5368"/>
    <w:rsid w:val="005F55A2"/>
    <w:rsid w:val="005F56C0"/>
    <w:rsid w:val="005F59E0"/>
    <w:rsid w:val="005F6025"/>
    <w:rsid w:val="005F602E"/>
    <w:rsid w:val="005F61B5"/>
    <w:rsid w:val="005F63EB"/>
    <w:rsid w:val="005F6463"/>
    <w:rsid w:val="005F6761"/>
    <w:rsid w:val="005F6D3F"/>
    <w:rsid w:val="005F6E22"/>
    <w:rsid w:val="005F7174"/>
    <w:rsid w:val="005F7223"/>
    <w:rsid w:val="005F745D"/>
    <w:rsid w:val="005F747E"/>
    <w:rsid w:val="005F7642"/>
    <w:rsid w:val="005F778D"/>
    <w:rsid w:val="005F7840"/>
    <w:rsid w:val="005F79E0"/>
    <w:rsid w:val="005F7B8F"/>
    <w:rsid w:val="005F7C90"/>
    <w:rsid w:val="005F7E8A"/>
    <w:rsid w:val="00600082"/>
    <w:rsid w:val="0060017F"/>
    <w:rsid w:val="006006E6"/>
    <w:rsid w:val="0060080E"/>
    <w:rsid w:val="00600A3B"/>
    <w:rsid w:val="00600ED3"/>
    <w:rsid w:val="00601083"/>
    <w:rsid w:val="006017F7"/>
    <w:rsid w:val="00601C45"/>
    <w:rsid w:val="00601DA1"/>
    <w:rsid w:val="00601F80"/>
    <w:rsid w:val="00602146"/>
    <w:rsid w:val="0060228E"/>
    <w:rsid w:val="0060272F"/>
    <w:rsid w:val="006027F9"/>
    <w:rsid w:val="00602859"/>
    <w:rsid w:val="00602B49"/>
    <w:rsid w:val="00602C54"/>
    <w:rsid w:val="006032D9"/>
    <w:rsid w:val="00603340"/>
    <w:rsid w:val="006033BB"/>
    <w:rsid w:val="00603503"/>
    <w:rsid w:val="00603510"/>
    <w:rsid w:val="006035FB"/>
    <w:rsid w:val="00603B33"/>
    <w:rsid w:val="00603E18"/>
    <w:rsid w:val="006040E6"/>
    <w:rsid w:val="006045F7"/>
    <w:rsid w:val="0060461D"/>
    <w:rsid w:val="0060468D"/>
    <w:rsid w:val="00604695"/>
    <w:rsid w:val="006047FE"/>
    <w:rsid w:val="006048C9"/>
    <w:rsid w:val="00604C76"/>
    <w:rsid w:val="00604DF4"/>
    <w:rsid w:val="0060504D"/>
    <w:rsid w:val="00605114"/>
    <w:rsid w:val="0060526F"/>
    <w:rsid w:val="006052DE"/>
    <w:rsid w:val="006053EA"/>
    <w:rsid w:val="006055AE"/>
    <w:rsid w:val="00605AD8"/>
    <w:rsid w:val="00605B9D"/>
    <w:rsid w:val="00605C52"/>
    <w:rsid w:val="00605E5D"/>
    <w:rsid w:val="00605FCE"/>
    <w:rsid w:val="006061F4"/>
    <w:rsid w:val="0060649A"/>
    <w:rsid w:val="00606543"/>
    <w:rsid w:val="00606B3C"/>
    <w:rsid w:val="00606D0C"/>
    <w:rsid w:val="00606E4A"/>
    <w:rsid w:val="00606EAD"/>
    <w:rsid w:val="00607344"/>
    <w:rsid w:val="006077C6"/>
    <w:rsid w:val="00607AA5"/>
    <w:rsid w:val="00607B5E"/>
    <w:rsid w:val="00607C0C"/>
    <w:rsid w:val="00607DFD"/>
    <w:rsid w:val="00607F10"/>
    <w:rsid w:val="006100FC"/>
    <w:rsid w:val="00610195"/>
    <w:rsid w:val="0061043B"/>
    <w:rsid w:val="00610462"/>
    <w:rsid w:val="006104F9"/>
    <w:rsid w:val="00610506"/>
    <w:rsid w:val="0061080E"/>
    <w:rsid w:val="00610AE2"/>
    <w:rsid w:val="00610B87"/>
    <w:rsid w:val="00610D15"/>
    <w:rsid w:val="00610D8F"/>
    <w:rsid w:val="00611202"/>
    <w:rsid w:val="006114EF"/>
    <w:rsid w:val="00611571"/>
    <w:rsid w:val="006116CC"/>
    <w:rsid w:val="00611704"/>
    <w:rsid w:val="0061173D"/>
    <w:rsid w:val="00611909"/>
    <w:rsid w:val="00611911"/>
    <w:rsid w:val="00611BEE"/>
    <w:rsid w:val="00611EBD"/>
    <w:rsid w:val="00611F12"/>
    <w:rsid w:val="00611FE0"/>
    <w:rsid w:val="006121E8"/>
    <w:rsid w:val="00612241"/>
    <w:rsid w:val="0061239E"/>
    <w:rsid w:val="006124F6"/>
    <w:rsid w:val="00612A58"/>
    <w:rsid w:val="00612AD2"/>
    <w:rsid w:val="00612BFE"/>
    <w:rsid w:val="00612CB2"/>
    <w:rsid w:val="00612DBE"/>
    <w:rsid w:val="00613406"/>
    <w:rsid w:val="0061398D"/>
    <w:rsid w:val="00613C8D"/>
    <w:rsid w:val="00613CB4"/>
    <w:rsid w:val="00613EE7"/>
    <w:rsid w:val="00613FA0"/>
    <w:rsid w:val="0061424E"/>
    <w:rsid w:val="006142A8"/>
    <w:rsid w:val="006143C6"/>
    <w:rsid w:val="00614674"/>
    <w:rsid w:val="00614706"/>
    <w:rsid w:val="006148C8"/>
    <w:rsid w:val="00614BA7"/>
    <w:rsid w:val="00615186"/>
    <w:rsid w:val="006151AA"/>
    <w:rsid w:val="006154A0"/>
    <w:rsid w:val="0061568B"/>
    <w:rsid w:val="00615791"/>
    <w:rsid w:val="006157DA"/>
    <w:rsid w:val="00615CB4"/>
    <w:rsid w:val="00615F0E"/>
    <w:rsid w:val="00615F10"/>
    <w:rsid w:val="00616055"/>
    <w:rsid w:val="006163E9"/>
    <w:rsid w:val="006164BC"/>
    <w:rsid w:val="006165C9"/>
    <w:rsid w:val="00616959"/>
    <w:rsid w:val="00616DA2"/>
    <w:rsid w:val="00617023"/>
    <w:rsid w:val="0061703E"/>
    <w:rsid w:val="00617791"/>
    <w:rsid w:val="0061779C"/>
    <w:rsid w:val="00617FE6"/>
    <w:rsid w:val="006200FC"/>
    <w:rsid w:val="00620466"/>
    <w:rsid w:val="00620596"/>
    <w:rsid w:val="0062070D"/>
    <w:rsid w:val="00620C2C"/>
    <w:rsid w:val="00620E03"/>
    <w:rsid w:val="00620EAE"/>
    <w:rsid w:val="00620EB3"/>
    <w:rsid w:val="00620F34"/>
    <w:rsid w:val="00620F78"/>
    <w:rsid w:val="00621A0F"/>
    <w:rsid w:val="00621B62"/>
    <w:rsid w:val="00621C72"/>
    <w:rsid w:val="0062238E"/>
    <w:rsid w:val="00622400"/>
    <w:rsid w:val="00622401"/>
    <w:rsid w:val="006224C9"/>
    <w:rsid w:val="00622603"/>
    <w:rsid w:val="00622780"/>
    <w:rsid w:val="006227EF"/>
    <w:rsid w:val="00622EE1"/>
    <w:rsid w:val="006234DE"/>
    <w:rsid w:val="00623563"/>
    <w:rsid w:val="00623884"/>
    <w:rsid w:val="0062401E"/>
    <w:rsid w:val="00624336"/>
    <w:rsid w:val="0062434C"/>
    <w:rsid w:val="006243DA"/>
    <w:rsid w:val="0062445D"/>
    <w:rsid w:val="00624490"/>
    <w:rsid w:val="006245F8"/>
    <w:rsid w:val="0062472F"/>
    <w:rsid w:val="00624B82"/>
    <w:rsid w:val="00624C14"/>
    <w:rsid w:val="00624C87"/>
    <w:rsid w:val="00625070"/>
    <w:rsid w:val="006250AF"/>
    <w:rsid w:val="00625313"/>
    <w:rsid w:val="006254E4"/>
    <w:rsid w:val="00625B78"/>
    <w:rsid w:val="00625D6D"/>
    <w:rsid w:val="00625FE8"/>
    <w:rsid w:val="00626405"/>
    <w:rsid w:val="006264FF"/>
    <w:rsid w:val="006268A9"/>
    <w:rsid w:val="006269ED"/>
    <w:rsid w:val="006270B4"/>
    <w:rsid w:val="0062724C"/>
    <w:rsid w:val="00627419"/>
    <w:rsid w:val="0062758C"/>
    <w:rsid w:val="0062766F"/>
    <w:rsid w:val="00627673"/>
    <w:rsid w:val="00627705"/>
    <w:rsid w:val="00627960"/>
    <w:rsid w:val="00627995"/>
    <w:rsid w:val="0062799F"/>
    <w:rsid w:val="00627B90"/>
    <w:rsid w:val="00627EA1"/>
    <w:rsid w:val="006302CD"/>
    <w:rsid w:val="00630307"/>
    <w:rsid w:val="0063091E"/>
    <w:rsid w:val="00630A1E"/>
    <w:rsid w:val="00630BA6"/>
    <w:rsid w:val="00630BF0"/>
    <w:rsid w:val="00630C1D"/>
    <w:rsid w:val="00630DFD"/>
    <w:rsid w:val="00630FFA"/>
    <w:rsid w:val="0063106A"/>
    <w:rsid w:val="00631222"/>
    <w:rsid w:val="00631390"/>
    <w:rsid w:val="006316B1"/>
    <w:rsid w:val="00631DFB"/>
    <w:rsid w:val="00631F91"/>
    <w:rsid w:val="00632038"/>
    <w:rsid w:val="006320E9"/>
    <w:rsid w:val="00632257"/>
    <w:rsid w:val="0063260E"/>
    <w:rsid w:val="00632896"/>
    <w:rsid w:val="00632F13"/>
    <w:rsid w:val="00632FF9"/>
    <w:rsid w:val="00633029"/>
    <w:rsid w:val="00633066"/>
    <w:rsid w:val="00633136"/>
    <w:rsid w:val="006331A7"/>
    <w:rsid w:val="00633343"/>
    <w:rsid w:val="00633663"/>
    <w:rsid w:val="00633739"/>
    <w:rsid w:val="00633B28"/>
    <w:rsid w:val="00633D39"/>
    <w:rsid w:val="00634371"/>
    <w:rsid w:val="006345C2"/>
    <w:rsid w:val="00634865"/>
    <w:rsid w:val="00634CD8"/>
    <w:rsid w:val="00634F24"/>
    <w:rsid w:val="006352B1"/>
    <w:rsid w:val="00635343"/>
    <w:rsid w:val="00635604"/>
    <w:rsid w:val="006357D8"/>
    <w:rsid w:val="006358FC"/>
    <w:rsid w:val="00635B74"/>
    <w:rsid w:val="00635D55"/>
    <w:rsid w:val="00635DAB"/>
    <w:rsid w:val="00635EDC"/>
    <w:rsid w:val="0063605F"/>
    <w:rsid w:val="00636462"/>
    <w:rsid w:val="006364CA"/>
    <w:rsid w:val="006365DC"/>
    <w:rsid w:val="006366AE"/>
    <w:rsid w:val="006366C3"/>
    <w:rsid w:val="006368B8"/>
    <w:rsid w:val="00636A67"/>
    <w:rsid w:val="00636B4C"/>
    <w:rsid w:val="0063714C"/>
    <w:rsid w:val="00637336"/>
    <w:rsid w:val="006376E8"/>
    <w:rsid w:val="006378E2"/>
    <w:rsid w:val="00637AF2"/>
    <w:rsid w:val="00637C96"/>
    <w:rsid w:val="00637D4E"/>
    <w:rsid w:val="00637ED2"/>
    <w:rsid w:val="00637F11"/>
    <w:rsid w:val="00640070"/>
    <w:rsid w:val="0064046D"/>
    <w:rsid w:val="006404B4"/>
    <w:rsid w:val="0064066E"/>
    <w:rsid w:val="006409C0"/>
    <w:rsid w:val="00640AB2"/>
    <w:rsid w:val="00640E68"/>
    <w:rsid w:val="00640EF0"/>
    <w:rsid w:val="0064116D"/>
    <w:rsid w:val="006411BA"/>
    <w:rsid w:val="0064135A"/>
    <w:rsid w:val="0064137B"/>
    <w:rsid w:val="00641925"/>
    <w:rsid w:val="00641A26"/>
    <w:rsid w:val="00641B86"/>
    <w:rsid w:val="006420D3"/>
    <w:rsid w:val="0064236A"/>
    <w:rsid w:val="00642559"/>
    <w:rsid w:val="00642579"/>
    <w:rsid w:val="006425DC"/>
    <w:rsid w:val="006425FD"/>
    <w:rsid w:val="00642AA9"/>
    <w:rsid w:val="00642B13"/>
    <w:rsid w:val="00642B14"/>
    <w:rsid w:val="00642B7B"/>
    <w:rsid w:val="00642E9B"/>
    <w:rsid w:val="00643104"/>
    <w:rsid w:val="006431BB"/>
    <w:rsid w:val="006432CC"/>
    <w:rsid w:val="00643571"/>
    <w:rsid w:val="0064379C"/>
    <w:rsid w:val="00643A54"/>
    <w:rsid w:val="00643E88"/>
    <w:rsid w:val="0064437F"/>
    <w:rsid w:val="00644412"/>
    <w:rsid w:val="006444A6"/>
    <w:rsid w:val="006444C6"/>
    <w:rsid w:val="006445C9"/>
    <w:rsid w:val="0064475F"/>
    <w:rsid w:val="006447DD"/>
    <w:rsid w:val="0064480A"/>
    <w:rsid w:val="00644BA7"/>
    <w:rsid w:val="00644C9D"/>
    <w:rsid w:val="00644E71"/>
    <w:rsid w:val="00644F5E"/>
    <w:rsid w:val="00645036"/>
    <w:rsid w:val="006451F9"/>
    <w:rsid w:val="0064532D"/>
    <w:rsid w:val="006456A8"/>
    <w:rsid w:val="00645A49"/>
    <w:rsid w:val="00645DC2"/>
    <w:rsid w:val="00645F13"/>
    <w:rsid w:val="006461C9"/>
    <w:rsid w:val="006466D7"/>
    <w:rsid w:val="006467B4"/>
    <w:rsid w:val="0064680B"/>
    <w:rsid w:val="00646888"/>
    <w:rsid w:val="00646991"/>
    <w:rsid w:val="00646CFC"/>
    <w:rsid w:val="00646DF2"/>
    <w:rsid w:val="00646E2D"/>
    <w:rsid w:val="00646E6F"/>
    <w:rsid w:val="00646F85"/>
    <w:rsid w:val="00646FD4"/>
    <w:rsid w:val="0064705A"/>
    <w:rsid w:val="00647090"/>
    <w:rsid w:val="00647102"/>
    <w:rsid w:val="00647185"/>
    <w:rsid w:val="006471AF"/>
    <w:rsid w:val="0064725B"/>
    <w:rsid w:val="006479EA"/>
    <w:rsid w:val="00647AEC"/>
    <w:rsid w:val="00647BCE"/>
    <w:rsid w:val="00647FED"/>
    <w:rsid w:val="0065000F"/>
    <w:rsid w:val="00650316"/>
    <w:rsid w:val="00650357"/>
    <w:rsid w:val="006505B7"/>
    <w:rsid w:val="00650817"/>
    <w:rsid w:val="00650898"/>
    <w:rsid w:val="006508E7"/>
    <w:rsid w:val="00650C79"/>
    <w:rsid w:val="006512A3"/>
    <w:rsid w:val="006515A4"/>
    <w:rsid w:val="00651D22"/>
    <w:rsid w:val="00651E03"/>
    <w:rsid w:val="00651E50"/>
    <w:rsid w:val="00651FAD"/>
    <w:rsid w:val="0065221E"/>
    <w:rsid w:val="006522FC"/>
    <w:rsid w:val="0065234C"/>
    <w:rsid w:val="006523B6"/>
    <w:rsid w:val="00652465"/>
    <w:rsid w:val="00652613"/>
    <w:rsid w:val="006526AF"/>
    <w:rsid w:val="0065288F"/>
    <w:rsid w:val="00652A26"/>
    <w:rsid w:val="00652C36"/>
    <w:rsid w:val="006534E5"/>
    <w:rsid w:val="006535C2"/>
    <w:rsid w:val="00653600"/>
    <w:rsid w:val="00653B52"/>
    <w:rsid w:val="00653C43"/>
    <w:rsid w:val="00653CA1"/>
    <w:rsid w:val="00653D41"/>
    <w:rsid w:val="00653EAB"/>
    <w:rsid w:val="006542DA"/>
    <w:rsid w:val="0065473A"/>
    <w:rsid w:val="00654802"/>
    <w:rsid w:val="00654E01"/>
    <w:rsid w:val="00654E06"/>
    <w:rsid w:val="00655607"/>
    <w:rsid w:val="0065564D"/>
    <w:rsid w:val="006557C4"/>
    <w:rsid w:val="00655A2E"/>
    <w:rsid w:val="00655B18"/>
    <w:rsid w:val="00655DE8"/>
    <w:rsid w:val="00655EF5"/>
    <w:rsid w:val="00655FF8"/>
    <w:rsid w:val="00656000"/>
    <w:rsid w:val="0065614C"/>
    <w:rsid w:val="006562EC"/>
    <w:rsid w:val="00656331"/>
    <w:rsid w:val="0065647F"/>
    <w:rsid w:val="00656554"/>
    <w:rsid w:val="0065674C"/>
    <w:rsid w:val="00656AE8"/>
    <w:rsid w:val="00656B51"/>
    <w:rsid w:val="00656B9C"/>
    <w:rsid w:val="00657560"/>
    <w:rsid w:val="00657731"/>
    <w:rsid w:val="00657784"/>
    <w:rsid w:val="006577C0"/>
    <w:rsid w:val="006578AE"/>
    <w:rsid w:val="00657BE6"/>
    <w:rsid w:val="00657F52"/>
    <w:rsid w:val="00660147"/>
    <w:rsid w:val="006602E6"/>
    <w:rsid w:val="00660453"/>
    <w:rsid w:val="00660695"/>
    <w:rsid w:val="006606ED"/>
    <w:rsid w:val="0066098D"/>
    <w:rsid w:val="00660BD0"/>
    <w:rsid w:val="00660D95"/>
    <w:rsid w:val="006610EF"/>
    <w:rsid w:val="0066123F"/>
    <w:rsid w:val="00661823"/>
    <w:rsid w:val="00661B9D"/>
    <w:rsid w:val="00661BD0"/>
    <w:rsid w:val="00661BFB"/>
    <w:rsid w:val="00661FF3"/>
    <w:rsid w:val="00661FFF"/>
    <w:rsid w:val="00662233"/>
    <w:rsid w:val="00662996"/>
    <w:rsid w:val="00662A6D"/>
    <w:rsid w:val="00662C7D"/>
    <w:rsid w:val="00662DF1"/>
    <w:rsid w:val="00663223"/>
    <w:rsid w:val="006633D4"/>
    <w:rsid w:val="0066340F"/>
    <w:rsid w:val="006635EB"/>
    <w:rsid w:val="00663C39"/>
    <w:rsid w:val="0066443C"/>
    <w:rsid w:val="006644AE"/>
    <w:rsid w:val="00664538"/>
    <w:rsid w:val="00664697"/>
    <w:rsid w:val="006647D1"/>
    <w:rsid w:val="00664869"/>
    <w:rsid w:val="006648FE"/>
    <w:rsid w:val="0066499D"/>
    <w:rsid w:val="00664D24"/>
    <w:rsid w:val="00664D99"/>
    <w:rsid w:val="00664F16"/>
    <w:rsid w:val="0066506F"/>
    <w:rsid w:val="0066531D"/>
    <w:rsid w:val="00665418"/>
    <w:rsid w:val="00665466"/>
    <w:rsid w:val="00665589"/>
    <w:rsid w:val="00665604"/>
    <w:rsid w:val="00665B86"/>
    <w:rsid w:val="00665BC8"/>
    <w:rsid w:val="00665D22"/>
    <w:rsid w:val="00665E55"/>
    <w:rsid w:val="00665ED2"/>
    <w:rsid w:val="00665EE5"/>
    <w:rsid w:val="006660E6"/>
    <w:rsid w:val="006661BB"/>
    <w:rsid w:val="006665B2"/>
    <w:rsid w:val="0066670B"/>
    <w:rsid w:val="00666A09"/>
    <w:rsid w:val="00666DD7"/>
    <w:rsid w:val="00666EC6"/>
    <w:rsid w:val="00667051"/>
    <w:rsid w:val="006671B7"/>
    <w:rsid w:val="00667370"/>
    <w:rsid w:val="0066743E"/>
    <w:rsid w:val="0066768A"/>
    <w:rsid w:val="006677E0"/>
    <w:rsid w:val="00667A0B"/>
    <w:rsid w:val="00667D5C"/>
    <w:rsid w:val="00667DB9"/>
    <w:rsid w:val="006702BB"/>
    <w:rsid w:val="006705C7"/>
    <w:rsid w:val="00670B3B"/>
    <w:rsid w:val="00670F64"/>
    <w:rsid w:val="00670FDE"/>
    <w:rsid w:val="0067114C"/>
    <w:rsid w:val="006714B5"/>
    <w:rsid w:val="00671639"/>
    <w:rsid w:val="00671A51"/>
    <w:rsid w:val="00671EE6"/>
    <w:rsid w:val="0067211B"/>
    <w:rsid w:val="00672128"/>
    <w:rsid w:val="006726B5"/>
    <w:rsid w:val="0067299C"/>
    <w:rsid w:val="00672C74"/>
    <w:rsid w:val="00672F0A"/>
    <w:rsid w:val="0067334B"/>
    <w:rsid w:val="00673357"/>
    <w:rsid w:val="006733BF"/>
    <w:rsid w:val="006735FC"/>
    <w:rsid w:val="00673664"/>
    <w:rsid w:val="006736C8"/>
    <w:rsid w:val="00673AB8"/>
    <w:rsid w:val="00673C89"/>
    <w:rsid w:val="00673DD1"/>
    <w:rsid w:val="00673DE7"/>
    <w:rsid w:val="00673F85"/>
    <w:rsid w:val="00673FC6"/>
    <w:rsid w:val="00673FDF"/>
    <w:rsid w:val="00674222"/>
    <w:rsid w:val="0067428B"/>
    <w:rsid w:val="006748D5"/>
    <w:rsid w:val="0067493E"/>
    <w:rsid w:val="0067519E"/>
    <w:rsid w:val="006751DB"/>
    <w:rsid w:val="006752A7"/>
    <w:rsid w:val="006752D3"/>
    <w:rsid w:val="00675423"/>
    <w:rsid w:val="0067554E"/>
    <w:rsid w:val="006755FC"/>
    <w:rsid w:val="00675686"/>
    <w:rsid w:val="006756AF"/>
    <w:rsid w:val="00675C04"/>
    <w:rsid w:val="00675C7B"/>
    <w:rsid w:val="00675FAA"/>
    <w:rsid w:val="006762B0"/>
    <w:rsid w:val="0067633E"/>
    <w:rsid w:val="0067654B"/>
    <w:rsid w:val="0067658C"/>
    <w:rsid w:val="006765D6"/>
    <w:rsid w:val="00676663"/>
    <w:rsid w:val="00676B21"/>
    <w:rsid w:val="00676BA2"/>
    <w:rsid w:val="00676C06"/>
    <w:rsid w:val="0067701F"/>
    <w:rsid w:val="00677155"/>
    <w:rsid w:val="006771F9"/>
    <w:rsid w:val="0067748D"/>
    <w:rsid w:val="006774E7"/>
    <w:rsid w:val="00677588"/>
    <w:rsid w:val="00677682"/>
    <w:rsid w:val="0067774E"/>
    <w:rsid w:val="006777AE"/>
    <w:rsid w:val="00677BA0"/>
    <w:rsid w:val="00677F22"/>
    <w:rsid w:val="0068059C"/>
    <w:rsid w:val="00680736"/>
    <w:rsid w:val="00680812"/>
    <w:rsid w:val="00680997"/>
    <w:rsid w:val="006809F4"/>
    <w:rsid w:val="00680B69"/>
    <w:rsid w:val="00680FBB"/>
    <w:rsid w:val="00681073"/>
    <w:rsid w:val="006810DA"/>
    <w:rsid w:val="0068162A"/>
    <w:rsid w:val="00681B32"/>
    <w:rsid w:val="00681C15"/>
    <w:rsid w:val="00681DED"/>
    <w:rsid w:val="00681DF2"/>
    <w:rsid w:val="00681FCF"/>
    <w:rsid w:val="00682078"/>
    <w:rsid w:val="0068209C"/>
    <w:rsid w:val="006822D9"/>
    <w:rsid w:val="006825C4"/>
    <w:rsid w:val="00682A22"/>
    <w:rsid w:val="00682A30"/>
    <w:rsid w:val="00682A5B"/>
    <w:rsid w:val="00682AEA"/>
    <w:rsid w:val="0068302D"/>
    <w:rsid w:val="00683258"/>
    <w:rsid w:val="006838D0"/>
    <w:rsid w:val="00683990"/>
    <w:rsid w:val="00683B94"/>
    <w:rsid w:val="00683B9B"/>
    <w:rsid w:val="00683D95"/>
    <w:rsid w:val="00684014"/>
    <w:rsid w:val="00684170"/>
    <w:rsid w:val="00684497"/>
    <w:rsid w:val="00684811"/>
    <w:rsid w:val="00684A71"/>
    <w:rsid w:val="00684B14"/>
    <w:rsid w:val="00684B4B"/>
    <w:rsid w:val="00684CB9"/>
    <w:rsid w:val="00684D34"/>
    <w:rsid w:val="00684EFA"/>
    <w:rsid w:val="00685001"/>
    <w:rsid w:val="0068500E"/>
    <w:rsid w:val="00685160"/>
    <w:rsid w:val="00685295"/>
    <w:rsid w:val="006852CD"/>
    <w:rsid w:val="00685359"/>
    <w:rsid w:val="00685488"/>
    <w:rsid w:val="006855BB"/>
    <w:rsid w:val="00685667"/>
    <w:rsid w:val="00685736"/>
    <w:rsid w:val="0068575C"/>
    <w:rsid w:val="0068580C"/>
    <w:rsid w:val="00685886"/>
    <w:rsid w:val="006858C7"/>
    <w:rsid w:val="006858EA"/>
    <w:rsid w:val="00685B29"/>
    <w:rsid w:val="00685B62"/>
    <w:rsid w:val="00685C02"/>
    <w:rsid w:val="00685CDA"/>
    <w:rsid w:val="00685CE9"/>
    <w:rsid w:val="00685FC1"/>
    <w:rsid w:val="006860B1"/>
    <w:rsid w:val="006861B1"/>
    <w:rsid w:val="006866AA"/>
    <w:rsid w:val="006867AE"/>
    <w:rsid w:val="00686890"/>
    <w:rsid w:val="00686B81"/>
    <w:rsid w:val="00686C48"/>
    <w:rsid w:val="00686C55"/>
    <w:rsid w:val="00686E47"/>
    <w:rsid w:val="00687013"/>
    <w:rsid w:val="0068708E"/>
    <w:rsid w:val="006871A5"/>
    <w:rsid w:val="006871F1"/>
    <w:rsid w:val="00687233"/>
    <w:rsid w:val="006872A3"/>
    <w:rsid w:val="00687448"/>
    <w:rsid w:val="006874E3"/>
    <w:rsid w:val="0068753E"/>
    <w:rsid w:val="006876DF"/>
    <w:rsid w:val="00687701"/>
    <w:rsid w:val="00687CEB"/>
    <w:rsid w:val="00687FD3"/>
    <w:rsid w:val="006906A2"/>
    <w:rsid w:val="00690B7C"/>
    <w:rsid w:val="00690BB3"/>
    <w:rsid w:val="00690D39"/>
    <w:rsid w:val="00690DBB"/>
    <w:rsid w:val="00690FAF"/>
    <w:rsid w:val="006911DA"/>
    <w:rsid w:val="0069141F"/>
    <w:rsid w:val="006915CC"/>
    <w:rsid w:val="0069181B"/>
    <w:rsid w:val="0069190B"/>
    <w:rsid w:val="00691974"/>
    <w:rsid w:val="00691D7F"/>
    <w:rsid w:val="00691DEA"/>
    <w:rsid w:val="00691E22"/>
    <w:rsid w:val="00692002"/>
    <w:rsid w:val="00692115"/>
    <w:rsid w:val="00692239"/>
    <w:rsid w:val="00692351"/>
    <w:rsid w:val="00692761"/>
    <w:rsid w:val="00692764"/>
    <w:rsid w:val="00692BC6"/>
    <w:rsid w:val="00692C0D"/>
    <w:rsid w:val="00692DE3"/>
    <w:rsid w:val="00692F8F"/>
    <w:rsid w:val="00693077"/>
    <w:rsid w:val="00693088"/>
    <w:rsid w:val="006935B4"/>
    <w:rsid w:val="0069384D"/>
    <w:rsid w:val="006939AA"/>
    <w:rsid w:val="006939CA"/>
    <w:rsid w:val="00693A1C"/>
    <w:rsid w:val="00693AD3"/>
    <w:rsid w:val="00693CF3"/>
    <w:rsid w:val="00694072"/>
    <w:rsid w:val="00694230"/>
    <w:rsid w:val="006944EF"/>
    <w:rsid w:val="0069461C"/>
    <w:rsid w:val="0069468E"/>
    <w:rsid w:val="006947B7"/>
    <w:rsid w:val="00694AE9"/>
    <w:rsid w:val="00695177"/>
    <w:rsid w:val="00695295"/>
    <w:rsid w:val="006952FB"/>
    <w:rsid w:val="00695749"/>
    <w:rsid w:val="006958AA"/>
    <w:rsid w:val="006959D0"/>
    <w:rsid w:val="00695CA7"/>
    <w:rsid w:val="00695CF5"/>
    <w:rsid w:val="00695E08"/>
    <w:rsid w:val="00695E32"/>
    <w:rsid w:val="00695E48"/>
    <w:rsid w:val="00695EFC"/>
    <w:rsid w:val="00696090"/>
    <w:rsid w:val="00696577"/>
    <w:rsid w:val="00696650"/>
    <w:rsid w:val="00696804"/>
    <w:rsid w:val="0069680D"/>
    <w:rsid w:val="0069684A"/>
    <w:rsid w:val="0069698B"/>
    <w:rsid w:val="00696A31"/>
    <w:rsid w:val="00696A34"/>
    <w:rsid w:val="00696A5D"/>
    <w:rsid w:val="00696A6A"/>
    <w:rsid w:val="00696B5C"/>
    <w:rsid w:val="00697007"/>
    <w:rsid w:val="006977B3"/>
    <w:rsid w:val="006978F3"/>
    <w:rsid w:val="006979D6"/>
    <w:rsid w:val="00697B87"/>
    <w:rsid w:val="00697D7C"/>
    <w:rsid w:val="00697D7F"/>
    <w:rsid w:val="00697D90"/>
    <w:rsid w:val="00697E70"/>
    <w:rsid w:val="00697FB6"/>
    <w:rsid w:val="00697FF9"/>
    <w:rsid w:val="006A0047"/>
    <w:rsid w:val="006A0371"/>
    <w:rsid w:val="006A0508"/>
    <w:rsid w:val="006A07F2"/>
    <w:rsid w:val="006A0CE8"/>
    <w:rsid w:val="006A0F28"/>
    <w:rsid w:val="006A0FC8"/>
    <w:rsid w:val="006A111C"/>
    <w:rsid w:val="006A117E"/>
    <w:rsid w:val="006A129C"/>
    <w:rsid w:val="006A132F"/>
    <w:rsid w:val="006A180E"/>
    <w:rsid w:val="006A1951"/>
    <w:rsid w:val="006A1F4B"/>
    <w:rsid w:val="006A20AD"/>
    <w:rsid w:val="006A2752"/>
    <w:rsid w:val="006A280A"/>
    <w:rsid w:val="006A2A5C"/>
    <w:rsid w:val="006A2AE7"/>
    <w:rsid w:val="006A2B13"/>
    <w:rsid w:val="006A2C4B"/>
    <w:rsid w:val="006A2E20"/>
    <w:rsid w:val="006A2F67"/>
    <w:rsid w:val="006A303B"/>
    <w:rsid w:val="006A381D"/>
    <w:rsid w:val="006A39BA"/>
    <w:rsid w:val="006A3C15"/>
    <w:rsid w:val="006A3C30"/>
    <w:rsid w:val="006A3D34"/>
    <w:rsid w:val="006A3FD3"/>
    <w:rsid w:val="006A3FDD"/>
    <w:rsid w:val="006A4064"/>
    <w:rsid w:val="006A409C"/>
    <w:rsid w:val="006A41B6"/>
    <w:rsid w:val="006A4203"/>
    <w:rsid w:val="006A42E4"/>
    <w:rsid w:val="006A4D9A"/>
    <w:rsid w:val="006A4DB5"/>
    <w:rsid w:val="006A4EB1"/>
    <w:rsid w:val="006A504D"/>
    <w:rsid w:val="006A50D4"/>
    <w:rsid w:val="006A5158"/>
    <w:rsid w:val="006A5163"/>
    <w:rsid w:val="006A5179"/>
    <w:rsid w:val="006A5675"/>
    <w:rsid w:val="006A588D"/>
    <w:rsid w:val="006A5954"/>
    <w:rsid w:val="006A5CC2"/>
    <w:rsid w:val="006A5CE8"/>
    <w:rsid w:val="006A5D98"/>
    <w:rsid w:val="006A5E37"/>
    <w:rsid w:val="006A5F27"/>
    <w:rsid w:val="006A5FED"/>
    <w:rsid w:val="006A60E9"/>
    <w:rsid w:val="006A61AB"/>
    <w:rsid w:val="006A6349"/>
    <w:rsid w:val="006A65F0"/>
    <w:rsid w:val="006A6709"/>
    <w:rsid w:val="006A6794"/>
    <w:rsid w:val="006A6797"/>
    <w:rsid w:val="006A687B"/>
    <w:rsid w:val="006A6ECB"/>
    <w:rsid w:val="006A6EE1"/>
    <w:rsid w:val="006A71BA"/>
    <w:rsid w:val="006A7509"/>
    <w:rsid w:val="006A7536"/>
    <w:rsid w:val="006A78A4"/>
    <w:rsid w:val="006A7B18"/>
    <w:rsid w:val="006A7D66"/>
    <w:rsid w:val="006A7F17"/>
    <w:rsid w:val="006A7F1F"/>
    <w:rsid w:val="006A7F2F"/>
    <w:rsid w:val="006B053A"/>
    <w:rsid w:val="006B07DB"/>
    <w:rsid w:val="006B0994"/>
    <w:rsid w:val="006B1007"/>
    <w:rsid w:val="006B1036"/>
    <w:rsid w:val="006B123E"/>
    <w:rsid w:val="006B156B"/>
    <w:rsid w:val="006B1760"/>
    <w:rsid w:val="006B17D5"/>
    <w:rsid w:val="006B18B0"/>
    <w:rsid w:val="006B1B46"/>
    <w:rsid w:val="006B20D6"/>
    <w:rsid w:val="006B21E8"/>
    <w:rsid w:val="006B221C"/>
    <w:rsid w:val="006B26DD"/>
    <w:rsid w:val="006B2B5E"/>
    <w:rsid w:val="006B2B8F"/>
    <w:rsid w:val="006B2BED"/>
    <w:rsid w:val="006B2D6D"/>
    <w:rsid w:val="006B2EF1"/>
    <w:rsid w:val="006B3015"/>
    <w:rsid w:val="006B30EC"/>
    <w:rsid w:val="006B321E"/>
    <w:rsid w:val="006B34FF"/>
    <w:rsid w:val="006B3552"/>
    <w:rsid w:val="006B3584"/>
    <w:rsid w:val="006B3590"/>
    <w:rsid w:val="006B37FB"/>
    <w:rsid w:val="006B3A88"/>
    <w:rsid w:val="006B3B1A"/>
    <w:rsid w:val="006B3B40"/>
    <w:rsid w:val="006B3BD2"/>
    <w:rsid w:val="006B3BD8"/>
    <w:rsid w:val="006B3EE5"/>
    <w:rsid w:val="006B40B7"/>
    <w:rsid w:val="006B46A4"/>
    <w:rsid w:val="006B4757"/>
    <w:rsid w:val="006B4D4D"/>
    <w:rsid w:val="006B4D6D"/>
    <w:rsid w:val="006B4F3B"/>
    <w:rsid w:val="006B50C2"/>
    <w:rsid w:val="006B5239"/>
    <w:rsid w:val="006B5705"/>
    <w:rsid w:val="006B5748"/>
    <w:rsid w:val="006B57DF"/>
    <w:rsid w:val="006B59BA"/>
    <w:rsid w:val="006B59CF"/>
    <w:rsid w:val="006B5CAA"/>
    <w:rsid w:val="006B5F43"/>
    <w:rsid w:val="006B602F"/>
    <w:rsid w:val="006B6118"/>
    <w:rsid w:val="006B6295"/>
    <w:rsid w:val="006B66CA"/>
    <w:rsid w:val="006B69AD"/>
    <w:rsid w:val="006B6CFB"/>
    <w:rsid w:val="006B7205"/>
    <w:rsid w:val="006B7576"/>
    <w:rsid w:val="006B78E6"/>
    <w:rsid w:val="006B7BEE"/>
    <w:rsid w:val="006C0171"/>
    <w:rsid w:val="006C058F"/>
    <w:rsid w:val="006C064E"/>
    <w:rsid w:val="006C0AEA"/>
    <w:rsid w:val="006C1301"/>
    <w:rsid w:val="006C1443"/>
    <w:rsid w:val="006C1599"/>
    <w:rsid w:val="006C1AC8"/>
    <w:rsid w:val="006C1D21"/>
    <w:rsid w:val="006C1D4D"/>
    <w:rsid w:val="006C1DEA"/>
    <w:rsid w:val="006C1E5A"/>
    <w:rsid w:val="006C1FD5"/>
    <w:rsid w:val="006C1FE2"/>
    <w:rsid w:val="006C2017"/>
    <w:rsid w:val="006C20F9"/>
    <w:rsid w:val="006C24CB"/>
    <w:rsid w:val="006C2928"/>
    <w:rsid w:val="006C294C"/>
    <w:rsid w:val="006C2AEA"/>
    <w:rsid w:val="006C2C88"/>
    <w:rsid w:val="006C2E86"/>
    <w:rsid w:val="006C309A"/>
    <w:rsid w:val="006C30FF"/>
    <w:rsid w:val="006C31DF"/>
    <w:rsid w:val="006C33F9"/>
    <w:rsid w:val="006C3406"/>
    <w:rsid w:val="006C347C"/>
    <w:rsid w:val="006C3621"/>
    <w:rsid w:val="006C3B0D"/>
    <w:rsid w:val="006C3C55"/>
    <w:rsid w:val="006C3FC0"/>
    <w:rsid w:val="006C3FDB"/>
    <w:rsid w:val="006C40A0"/>
    <w:rsid w:val="006C41C3"/>
    <w:rsid w:val="006C4D2B"/>
    <w:rsid w:val="006C4DA1"/>
    <w:rsid w:val="006C5410"/>
    <w:rsid w:val="006C54CE"/>
    <w:rsid w:val="006C5512"/>
    <w:rsid w:val="006C573C"/>
    <w:rsid w:val="006C5771"/>
    <w:rsid w:val="006C5916"/>
    <w:rsid w:val="006C5BD2"/>
    <w:rsid w:val="006C5F8C"/>
    <w:rsid w:val="006C5FA4"/>
    <w:rsid w:val="006C6124"/>
    <w:rsid w:val="006C628D"/>
    <w:rsid w:val="006C62E9"/>
    <w:rsid w:val="006C6563"/>
    <w:rsid w:val="006C6666"/>
    <w:rsid w:val="006C702B"/>
    <w:rsid w:val="006C70C2"/>
    <w:rsid w:val="006C720C"/>
    <w:rsid w:val="006C74AA"/>
    <w:rsid w:val="006C7540"/>
    <w:rsid w:val="006C7628"/>
    <w:rsid w:val="006C76A9"/>
    <w:rsid w:val="006C76E4"/>
    <w:rsid w:val="006C7824"/>
    <w:rsid w:val="006C7916"/>
    <w:rsid w:val="006C7B85"/>
    <w:rsid w:val="006C7C55"/>
    <w:rsid w:val="006C7DA2"/>
    <w:rsid w:val="006D02EB"/>
    <w:rsid w:val="006D03EA"/>
    <w:rsid w:val="006D04E2"/>
    <w:rsid w:val="006D0BA0"/>
    <w:rsid w:val="006D0E4D"/>
    <w:rsid w:val="006D0FA0"/>
    <w:rsid w:val="006D104F"/>
    <w:rsid w:val="006D13C0"/>
    <w:rsid w:val="006D141E"/>
    <w:rsid w:val="006D1C5B"/>
    <w:rsid w:val="006D1CB0"/>
    <w:rsid w:val="006D1D4C"/>
    <w:rsid w:val="006D1DCF"/>
    <w:rsid w:val="006D1FEE"/>
    <w:rsid w:val="006D209E"/>
    <w:rsid w:val="006D2365"/>
    <w:rsid w:val="006D26FF"/>
    <w:rsid w:val="006D2EFB"/>
    <w:rsid w:val="006D301E"/>
    <w:rsid w:val="006D32B3"/>
    <w:rsid w:val="006D386B"/>
    <w:rsid w:val="006D39D8"/>
    <w:rsid w:val="006D3C50"/>
    <w:rsid w:val="006D3CE0"/>
    <w:rsid w:val="006D3DF0"/>
    <w:rsid w:val="006D3FD0"/>
    <w:rsid w:val="006D4247"/>
    <w:rsid w:val="006D442A"/>
    <w:rsid w:val="006D44C7"/>
    <w:rsid w:val="006D48C8"/>
    <w:rsid w:val="006D4937"/>
    <w:rsid w:val="006D4948"/>
    <w:rsid w:val="006D4B5B"/>
    <w:rsid w:val="006D4D2F"/>
    <w:rsid w:val="006D4D9A"/>
    <w:rsid w:val="006D4F1C"/>
    <w:rsid w:val="006D5066"/>
    <w:rsid w:val="006D541C"/>
    <w:rsid w:val="006D5584"/>
    <w:rsid w:val="006D578A"/>
    <w:rsid w:val="006D5C12"/>
    <w:rsid w:val="006D5C37"/>
    <w:rsid w:val="006D6080"/>
    <w:rsid w:val="006D63F5"/>
    <w:rsid w:val="006D6508"/>
    <w:rsid w:val="006D657F"/>
    <w:rsid w:val="006D67B3"/>
    <w:rsid w:val="006D68BA"/>
    <w:rsid w:val="006D6CAD"/>
    <w:rsid w:val="006D7295"/>
    <w:rsid w:val="006D7700"/>
    <w:rsid w:val="006D7AEC"/>
    <w:rsid w:val="006D7AF8"/>
    <w:rsid w:val="006D7BB5"/>
    <w:rsid w:val="006D7E64"/>
    <w:rsid w:val="006E021B"/>
    <w:rsid w:val="006E0441"/>
    <w:rsid w:val="006E04C9"/>
    <w:rsid w:val="006E0564"/>
    <w:rsid w:val="006E0AF0"/>
    <w:rsid w:val="006E0D6F"/>
    <w:rsid w:val="006E160D"/>
    <w:rsid w:val="006E196D"/>
    <w:rsid w:val="006E1A25"/>
    <w:rsid w:val="006E1A34"/>
    <w:rsid w:val="006E1ADB"/>
    <w:rsid w:val="006E1F72"/>
    <w:rsid w:val="006E228C"/>
    <w:rsid w:val="006E22EC"/>
    <w:rsid w:val="006E2771"/>
    <w:rsid w:val="006E281D"/>
    <w:rsid w:val="006E2B60"/>
    <w:rsid w:val="006E2DBE"/>
    <w:rsid w:val="006E2E98"/>
    <w:rsid w:val="006E2F69"/>
    <w:rsid w:val="006E31B9"/>
    <w:rsid w:val="006E33B4"/>
    <w:rsid w:val="006E3686"/>
    <w:rsid w:val="006E39BC"/>
    <w:rsid w:val="006E39D7"/>
    <w:rsid w:val="006E3A00"/>
    <w:rsid w:val="006E3B32"/>
    <w:rsid w:val="006E3E14"/>
    <w:rsid w:val="006E3F5F"/>
    <w:rsid w:val="006E43AB"/>
    <w:rsid w:val="006E44B2"/>
    <w:rsid w:val="006E465D"/>
    <w:rsid w:val="006E4961"/>
    <w:rsid w:val="006E4AF6"/>
    <w:rsid w:val="006E4D29"/>
    <w:rsid w:val="006E4EF8"/>
    <w:rsid w:val="006E4F8A"/>
    <w:rsid w:val="006E521B"/>
    <w:rsid w:val="006E54FC"/>
    <w:rsid w:val="006E55F4"/>
    <w:rsid w:val="006E56ED"/>
    <w:rsid w:val="006E57CE"/>
    <w:rsid w:val="006E57D6"/>
    <w:rsid w:val="006E5C42"/>
    <w:rsid w:val="006E5D79"/>
    <w:rsid w:val="006E5D88"/>
    <w:rsid w:val="006E611E"/>
    <w:rsid w:val="006E66E9"/>
    <w:rsid w:val="006E696E"/>
    <w:rsid w:val="006E6BAF"/>
    <w:rsid w:val="006E6DE7"/>
    <w:rsid w:val="006E6EB8"/>
    <w:rsid w:val="006E6ECF"/>
    <w:rsid w:val="006E6EE8"/>
    <w:rsid w:val="006E7381"/>
    <w:rsid w:val="006E76EE"/>
    <w:rsid w:val="006E775C"/>
    <w:rsid w:val="006E7884"/>
    <w:rsid w:val="006F0350"/>
    <w:rsid w:val="006F03BB"/>
    <w:rsid w:val="006F04D4"/>
    <w:rsid w:val="006F0502"/>
    <w:rsid w:val="006F0677"/>
    <w:rsid w:val="006F075E"/>
    <w:rsid w:val="006F0AE8"/>
    <w:rsid w:val="006F12EE"/>
    <w:rsid w:val="006F1506"/>
    <w:rsid w:val="006F152E"/>
    <w:rsid w:val="006F178E"/>
    <w:rsid w:val="006F18A5"/>
    <w:rsid w:val="006F19F4"/>
    <w:rsid w:val="006F1BEA"/>
    <w:rsid w:val="006F2038"/>
    <w:rsid w:val="006F2094"/>
    <w:rsid w:val="006F210D"/>
    <w:rsid w:val="006F2434"/>
    <w:rsid w:val="006F25B6"/>
    <w:rsid w:val="006F25FA"/>
    <w:rsid w:val="006F26A5"/>
    <w:rsid w:val="006F2719"/>
    <w:rsid w:val="006F2743"/>
    <w:rsid w:val="006F2B08"/>
    <w:rsid w:val="006F2C38"/>
    <w:rsid w:val="006F2CBC"/>
    <w:rsid w:val="006F2F42"/>
    <w:rsid w:val="006F3111"/>
    <w:rsid w:val="006F32E9"/>
    <w:rsid w:val="006F3527"/>
    <w:rsid w:val="006F3631"/>
    <w:rsid w:val="006F3712"/>
    <w:rsid w:val="006F3B3F"/>
    <w:rsid w:val="006F3C73"/>
    <w:rsid w:val="006F3CE3"/>
    <w:rsid w:val="006F3EFF"/>
    <w:rsid w:val="006F3FA1"/>
    <w:rsid w:val="006F420E"/>
    <w:rsid w:val="006F42B5"/>
    <w:rsid w:val="006F4820"/>
    <w:rsid w:val="006F485B"/>
    <w:rsid w:val="006F4B48"/>
    <w:rsid w:val="006F4C32"/>
    <w:rsid w:val="006F4C9B"/>
    <w:rsid w:val="006F4CFB"/>
    <w:rsid w:val="006F4D29"/>
    <w:rsid w:val="006F4D2C"/>
    <w:rsid w:val="006F508C"/>
    <w:rsid w:val="006F5169"/>
    <w:rsid w:val="006F53AC"/>
    <w:rsid w:val="006F5D93"/>
    <w:rsid w:val="006F5F4B"/>
    <w:rsid w:val="006F6107"/>
    <w:rsid w:val="006F6507"/>
    <w:rsid w:val="006F6E32"/>
    <w:rsid w:val="006F72E1"/>
    <w:rsid w:val="006F750F"/>
    <w:rsid w:val="006F7527"/>
    <w:rsid w:val="006F78EB"/>
    <w:rsid w:val="006F7C7F"/>
    <w:rsid w:val="006F7DDB"/>
    <w:rsid w:val="006F7F90"/>
    <w:rsid w:val="00700436"/>
    <w:rsid w:val="0070085E"/>
    <w:rsid w:val="00700869"/>
    <w:rsid w:val="007009C8"/>
    <w:rsid w:val="007009DD"/>
    <w:rsid w:val="00700B22"/>
    <w:rsid w:val="00700C51"/>
    <w:rsid w:val="00700D3D"/>
    <w:rsid w:val="00700E27"/>
    <w:rsid w:val="00700FA1"/>
    <w:rsid w:val="007011E4"/>
    <w:rsid w:val="00701211"/>
    <w:rsid w:val="00701751"/>
    <w:rsid w:val="007018A5"/>
    <w:rsid w:val="007018B7"/>
    <w:rsid w:val="0070191A"/>
    <w:rsid w:val="00701936"/>
    <w:rsid w:val="0070193A"/>
    <w:rsid w:val="00701A75"/>
    <w:rsid w:val="00701A76"/>
    <w:rsid w:val="00701A8A"/>
    <w:rsid w:val="00701AB6"/>
    <w:rsid w:val="00701BDA"/>
    <w:rsid w:val="00701C7B"/>
    <w:rsid w:val="00702934"/>
    <w:rsid w:val="00702C41"/>
    <w:rsid w:val="00702E43"/>
    <w:rsid w:val="00702F6D"/>
    <w:rsid w:val="0070302E"/>
    <w:rsid w:val="007033B1"/>
    <w:rsid w:val="007034BC"/>
    <w:rsid w:val="00703929"/>
    <w:rsid w:val="00703B2D"/>
    <w:rsid w:val="00703D84"/>
    <w:rsid w:val="00703D91"/>
    <w:rsid w:val="00703E55"/>
    <w:rsid w:val="00703F87"/>
    <w:rsid w:val="00704145"/>
    <w:rsid w:val="00704156"/>
    <w:rsid w:val="00704193"/>
    <w:rsid w:val="0070447F"/>
    <w:rsid w:val="007044F0"/>
    <w:rsid w:val="007045A9"/>
    <w:rsid w:val="0070481F"/>
    <w:rsid w:val="00704993"/>
    <w:rsid w:val="00704AF2"/>
    <w:rsid w:val="00705078"/>
    <w:rsid w:val="00705387"/>
    <w:rsid w:val="0070540D"/>
    <w:rsid w:val="0070572A"/>
    <w:rsid w:val="007059C3"/>
    <w:rsid w:val="00705B2F"/>
    <w:rsid w:val="00705C90"/>
    <w:rsid w:val="00705CD8"/>
    <w:rsid w:val="00705D3B"/>
    <w:rsid w:val="00705EE1"/>
    <w:rsid w:val="007061EE"/>
    <w:rsid w:val="00706251"/>
    <w:rsid w:val="007064AB"/>
    <w:rsid w:val="00706794"/>
    <w:rsid w:val="00706AA9"/>
    <w:rsid w:val="00706B27"/>
    <w:rsid w:val="00706D3D"/>
    <w:rsid w:val="007072AE"/>
    <w:rsid w:val="00707449"/>
    <w:rsid w:val="00707544"/>
    <w:rsid w:val="007075F8"/>
    <w:rsid w:val="00707633"/>
    <w:rsid w:val="00707710"/>
    <w:rsid w:val="00707A6D"/>
    <w:rsid w:val="00707AD3"/>
    <w:rsid w:val="00710079"/>
    <w:rsid w:val="00710441"/>
    <w:rsid w:val="007105AF"/>
    <w:rsid w:val="007106B7"/>
    <w:rsid w:val="0071075D"/>
    <w:rsid w:val="0071078D"/>
    <w:rsid w:val="00710922"/>
    <w:rsid w:val="00710A05"/>
    <w:rsid w:val="00710A31"/>
    <w:rsid w:val="00710BFE"/>
    <w:rsid w:val="0071102D"/>
    <w:rsid w:val="00711301"/>
    <w:rsid w:val="00711566"/>
    <w:rsid w:val="00711BC8"/>
    <w:rsid w:val="00711C76"/>
    <w:rsid w:val="00711CC4"/>
    <w:rsid w:val="0071224A"/>
    <w:rsid w:val="007122EF"/>
    <w:rsid w:val="007123C0"/>
    <w:rsid w:val="007129E8"/>
    <w:rsid w:val="00712BC1"/>
    <w:rsid w:val="00712CEC"/>
    <w:rsid w:val="007132EC"/>
    <w:rsid w:val="0071380E"/>
    <w:rsid w:val="00713981"/>
    <w:rsid w:val="007139F4"/>
    <w:rsid w:val="00713A3F"/>
    <w:rsid w:val="00713E37"/>
    <w:rsid w:val="007142B4"/>
    <w:rsid w:val="007142F7"/>
    <w:rsid w:val="0071460C"/>
    <w:rsid w:val="007148C1"/>
    <w:rsid w:val="00714949"/>
    <w:rsid w:val="00714EE1"/>
    <w:rsid w:val="007155F4"/>
    <w:rsid w:val="00715A17"/>
    <w:rsid w:val="00715A82"/>
    <w:rsid w:val="00715C2F"/>
    <w:rsid w:val="00715F33"/>
    <w:rsid w:val="0071632A"/>
    <w:rsid w:val="007163A0"/>
    <w:rsid w:val="007167B1"/>
    <w:rsid w:val="00717069"/>
    <w:rsid w:val="00717129"/>
    <w:rsid w:val="0071715D"/>
    <w:rsid w:val="00717213"/>
    <w:rsid w:val="0071721C"/>
    <w:rsid w:val="007172D8"/>
    <w:rsid w:val="00717735"/>
    <w:rsid w:val="00717966"/>
    <w:rsid w:val="00717E58"/>
    <w:rsid w:val="00717F72"/>
    <w:rsid w:val="0072028A"/>
    <w:rsid w:val="007203F4"/>
    <w:rsid w:val="00720CCC"/>
    <w:rsid w:val="00720E44"/>
    <w:rsid w:val="00720F0F"/>
    <w:rsid w:val="0072106D"/>
    <w:rsid w:val="0072123E"/>
    <w:rsid w:val="00721344"/>
    <w:rsid w:val="0072143C"/>
    <w:rsid w:val="00721489"/>
    <w:rsid w:val="00721914"/>
    <w:rsid w:val="00721BA1"/>
    <w:rsid w:val="00721BBE"/>
    <w:rsid w:val="00721C64"/>
    <w:rsid w:val="00722382"/>
    <w:rsid w:val="007224FE"/>
    <w:rsid w:val="007225DC"/>
    <w:rsid w:val="00722BA0"/>
    <w:rsid w:val="00722BDE"/>
    <w:rsid w:val="00722CFE"/>
    <w:rsid w:val="00722F3D"/>
    <w:rsid w:val="00723039"/>
    <w:rsid w:val="0072328B"/>
    <w:rsid w:val="0072335C"/>
    <w:rsid w:val="007233E1"/>
    <w:rsid w:val="00724137"/>
    <w:rsid w:val="007242C6"/>
    <w:rsid w:val="00724412"/>
    <w:rsid w:val="00724597"/>
    <w:rsid w:val="00724848"/>
    <w:rsid w:val="0072490B"/>
    <w:rsid w:val="0072494A"/>
    <w:rsid w:val="00724A59"/>
    <w:rsid w:val="00724A90"/>
    <w:rsid w:val="00724B55"/>
    <w:rsid w:val="00724BD0"/>
    <w:rsid w:val="00724F4C"/>
    <w:rsid w:val="007257C2"/>
    <w:rsid w:val="00725929"/>
    <w:rsid w:val="0072599E"/>
    <w:rsid w:val="00725CE9"/>
    <w:rsid w:val="00725F2D"/>
    <w:rsid w:val="00725F76"/>
    <w:rsid w:val="00726162"/>
    <w:rsid w:val="007261F3"/>
    <w:rsid w:val="00726457"/>
    <w:rsid w:val="007266AB"/>
    <w:rsid w:val="00726CC0"/>
    <w:rsid w:val="00726DC7"/>
    <w:rsid w:val="00726E8F"/>
    <w:rsid w:val="00726EBB"/>
    <w:rsid w:val="00727088"/>
    <w:rsid w:val="00727093"/>
    <w:rsid w:val="00727238"/>
    <w:rsid w:val="00727301"/>
    <w:rsid w:val="00727878"/>
    <w:rsid w:val="0072790D"/>
    <w:rsid w:val="00727B4B"/>
    <w:rsid w:val="00727CAB"/>
    <w:rsid w:val="00730063"/>
    <w:rsid w:val="0073017C"/>
    <w:rsid w:val="00730287"/>
    <w:rsid w:val="0073043B"/>
    <w:rsid w:val="0073058D"/>
    <w:rsid w:val="007305CB"/>
    <w:rsid w:val="007306D9"/>
    <w:rsid w:val="00730849"/>
    <w:rsid w:val="007308EF"/>
    <w:rsid w:val="00730923"/>
    <w:rsid w:val="00730D11"/>
    <w:rsid w:val="00730FB0"/>
    <w:rsid w:val="0073112A"/>
    <w:rsid w:val="007312F6"/>
    <w:rsid w:val="00731303"/>
    <w:rsid w:val="00731782"/>
    <w:rsid w:val="00731B4D"/>
    <w:rsid w:val="00731C0A"/>
    <w:rsid w:val="00732109"/>
    <w:rsid w:val="00732178"/>
    <w:rsid w:val="00732484"/>
    <w:rsid w:val="0073281A"/>
    <w:rsid w:val="00732D0B"/>
    <w:rsid w:val="00732E0B"/>
    <w:rsid w:val="00733101"/>
    <w:rsid w:val="007334E0"/>
    <w:rsid w:val="00733587"/>
    <w:rsid w:val="0073358F"/>
    <w:rsid w:val="00733611"/>
    <w:rsid w:val="00733656"/>
    <w:rsid w:val="007336EC"/>
    <w:rsid w:val="00733755"/>
    <w:rsid w:val="00734421"/>
    <w:rsid w:val="0073454A"/>
    <w:rsid w:val="00734657"/>
    <w:rsid w:val="007347BF"/>
    <w:rsid w:val="00734A7A"/>
    <w:rsid w:val="00734A84"/>
    <w:rsid w:val="00734C20"/>
    <w:rsid w:val="00734D2B"/>
    <w:rsid w:val="00734F2A"/>
    <w:rsid w:val="0073500A"/>
    <w:rsid w:val="007350F0"/>
    <w:rsid w:val="00735366"/>
    <w:rsid w:val="00735611"/>
    <w:rsid w:val="0073572E"/>
    <w:rsid w:val="00735F5D"/>
    <w:rsid w:val="007360A6"/>
    <w:rsid w:val="00736432"/>
    <w:rsid w:val="0073647E"/>
    <w:rsid w:val="007366F2"/>
    <w:rsid w:val="007368A8"/>
    <w:rsid w:val="00736B6D"/>
    <w:rsid w:val="00736C56"/>
    <w:rsid w:val="00736F44"/>
    <w:rsid w:val="00736FA6"/>
    <w:rsid w:val="00737241"/>
    <w:rsid w:val="00737317"/>
    <w:rsid w:val="007375DC"/>
    <w:rsid w:val="007377C9"/>
    <w:rsid w:val="00737B14"/>
    <w:rsid w:val="00737B6D"/>
    <w:rsid w:val="00737E4B"/>
    <w:rsid w:val="00737F20"/>
    <w:rsid w:val="00740052"/>
    <w:rsid w:val="0074028E"/>
    <w:rsid w:val="007402D5"/>
    <w:rsid w:val="007402DF"/>
    <w:rsid w:val="0074033C"/>
    <w:rsid w:val="007408BB"/>
    <w:rsid w:val="00740A12"/>
    <w:rsid w:val="00740E39"/>
    <w:rsid w:val="00741106"/>
    <w:rsid w:val="00741123"/>
    <w:rsid w:val="0074125D"/>
    <w:rsid w:val="00741281"/>
    <w:rsid w:val="00741978"/>
    <w:rsid w:val="00741F29"/>
    <w:rsid w:val="007421C5"/>
    <w:rsid w:val="007425C9"/>
    <w:rsid w:val="007425CD"/>
    <w:rsid w:val="007425F8"/>
    <w:rsid w:val="0074264C"/>
    <w:rsid w:val="00742921"/>
    <w:rsid w:val="00742D7C"/>
    <w:rsid w:val="0074301B"/>
    <w:rsid w:val="007431D5"/>
    <w:rsid w:val="007432BE"/>
    <w:rsid w:val="0074388F"/>
    <w:rsid w:val="007439EB"/>
    <w:rsid w:val="00743AA1"/>
    <w:rsid w:val="00743D0A"/>
    <w:rsid w:val="00744053"/>
    <w:rsid w:val="00744383"/>
    <w:rsid w:val="00744458"/>
    <w:rsid w:val="00744979"/>
    <w:rsid w:val="007449FF"/>
    <w:rsid w:val="00744AA0"/>
    <w:rsid w:val="00744DB2"/>
    <w:rsid w:val="00744F3D"/>
    <w:rsid w:val="00744FD4"/>
    <w:rsid w:val="00745456"/>
    <w:rsid w:val="00745A3A"/>
    <w:rsid w:val="00745B4E"/>
    <w:rsid w:val="00745F03"/>
    <w:rsid w:val="00745FB7"/>
    <w:rsid w:val="00746013"/>
    <w:rsid w:val="007460C7"/>
    <w:rsid w:val="00746592"/>
    <w:rsid w:val="007465A7"/>
    <w:rsid w:val="00746609"/>
    <w:rsid w:val="0074665D"/>
    <w:rsid w:val="00746A02"/>
    <w:rsid w:val="00746A5A"/>
    <w:rsid w:val="00746AE4"/>
    <w:rsid w:val="00746B74"/>
    <w:rsid w:val="00746D0C"/>
    <w:rsid w:val="00746DA7"/>
    <w:rsid w:val="00746E0E"/>
    <w:rsid w:val="00746FA0"/>
    <w:rsid w:val="007470A8"/>
    <w:rsid w:val="007471FE"/>
    <w:rsid w:val="00747478"/>
    <w:rsid w:val="00747AFD"/>
    <w:rsid w:val="00750041"/>
    <w:rsid w:val="007500B0"/>
    <w:rsid w:val="0075026E"/>
    <w:rsid w:val="007503DA"/>
    <w:rsid w:val="0075040C"/>
    <w:rsid w:val="007504F6"/>
    <w:rsid w:val="007505AC"/>
    <w:rsid w:val="00750678"/>
    <w:rsid w:val="007506D4"/>
    <w:rsid w:val="007508E5"/>
    <w:rsid w:val="00750D9E"/>
    <w:rsid w:val="00750E73"/>
    <w:rsid w:val="00750EB2"/>
    <w:rsid w:val="007511B5"/>
    <w:rsid w:val="007511EC"/>
    <w:rsid w:val="007513F1"/>
    <w:rsid w:val="0075154A"/>
    <w:rsid w:val="007517E3"/>
    <w:rsid w:val="007518DE"/>
    <w:rsid w:val="007519E1"/>
    <w:rsid w:val="00751B43"/>
    <w:rsid w:val="007521FC"/>
    <w:rsid w:val="0075226F"/>
    <w:rsid w:val="0075242C"/>
    <w:rsid w:val="00752559"/>
    <w:rsid w:val="007529FB"/>
    <w:rsid w:val="00752A5C"/>
    <w:rsid w:val="00752F5A"/>
    <w:rsid w:val="007532A6"/>
    <w:rsid w:val="007538BA"/>
    <w:rsid w:val="00753AFC"/>
    <w:rsid w:val="00753B68"/>
    <w:rsid w:val="00753C7F"/>
    <w:rsid w:val="00753E08"/>
    <w:rsid w:val="00753E2E"/>
    <w:rsid w:val="007540A6"/>
    <w:rsid w:val="00754117"/>
    <w:rsid w:val="00754196"/>
    <w:rsid w:val="007543A8"/>
    <w:rsid w:val="0075482A"/>
    <w:rsid w:val="00754B17"/>
    <w:rsid w:val="00754E9C"/>
    <w:rsid w:val="00754EAE"/>
    <w:rsid w:val="0075525C"/>
    <w:rsid w:val="00755268"/>
    <w:rsid w:val="00755294"/>
    <w:rsid w:val="007552C5"/>
    <w:rsid w:val="0075540B"/>
    <w:rsid w:val="00755424"/>
    <w:rsid w:val="00755672"/>
    <w:rsid w:val="007557DE"/>
    <w:rsid w:val="00755D48"/>
    <w:rsid w:val="0075642D"/>
    <w:rsid w:val="0075656A"/>
    <w:rsid w:val="0075669D"/>
    <w:rsid w:val="00756BA2"/>
    <w:rsid w:val="00757105"/>
    <w:rsid w:val="00757341"/>
    <w:rsid w:val="00757484"/>
    <w:rsid w:val="0075750E"/>
    <w:rsid w:val="00757A5D"/>
    <w:rsid w:val="00757D1C"/>
    <w:rsid w:val="00757F8E"/>
    <w:rsid w:val="0076016A"/>
    <w:rsid w:val="00760687"/>
    <w:rsid w:val="00760BFF"/>
    <w:rsid w:val="00760F62"/>
    <w:rsid w:val="00760F77"/>
    <w:rsid w:val="00761065"/>
    <w:rsid w:val="007613B2"/>
    <w:rsid w:val="0076162D"/>
    <w:rsid w:val="0076187C"/>
    <w:rsid w:val="0076187D"/>
    <w:rsid w:val="00761901"/>
    <w:rsid w:val="0076190F"/>
    <w:rsid w:val="00761982"/>
    <w:rsid w:val="00762169"/>
    <w:rsid w:val="00762185"/>
    <w:rsid w:val="007627C6"/>
    <w:rsid w:val="007627EC"/>
    <w:rsid w:val="007628F8"/>
    <w:rsid w:val="00762C93"/>
    <w:rsid w:val="00762E89"/>
    <w:rsid w:val="00763015"/>
    <w:rsid w:val="007631FC"/>
    <w:rsid w:val="007632A5"/>
    <w:rsid w:val="007632B5"/>
    <w:rsid w:val="00763374"/>
    <w:rsid w:val="00763462"/>
    <w:rsid w:val="00763487"/>
    <w:rsid w:val="0076355A"/>
    <w:rsid w:val="00763704"/>
    <w:rsid w:val="00763798"/>
    <w:rsid w:val="0076391A"/>
    <w:rsid w:val="00763A53"/>
    <w:rsid w:val="00763E73"/>
    <w:rsid w:val="00763EE3"/>
    <w:rsid w:val="0076408A"/>
    <w:rsid w:val="0076412D"/>
    <w:rsid w:val="00764316"/>
    <w:rsid w:val="0076434E"/>
    <w:rsid w:val="0076444B"/>
    <w:rsid w:val="007644B1"/>
    <w:rsid w:val="007645AE"/>
    <w:rsid w:val="007645DB"/>
    <w:rsid w:val="0076476C"/>
    <w:rsid w:val="00764A39"/>
    <w:rsid w:val="00764C1A"/>
    <w:rsid w:val="00764CEE"/>
    <w:rsid w:val="00764D7F"/>
    <w:rsid w:val="00764DF0"/>
    <w:rsid w:val="007651DD"/>
    <w:rsid w:val="0076552D"/>
    <w:rsid w:val="00765961"/>
    <w:rsid w:val="00765BA0"/>
    <w:rsid w:val="007661E6"/>
    <w:rsid w:val="00766278"/>
    <w:rsid w:val="00766593"/>
    <w:rsid w:val="0076660F"/>
    <w:rsid w:val="00766657"/>
    <w:rsid w:val="00766EAC"/>
    <w:rsid w:val="00766F71"/>
    <w:rsid w:val="007672B4"/>
    <w:rsid w:val="0076771D"/>
    <w:rsid w:val="0076772C"/>
    <w:rsid w:val="007677E0"/>
    <w:rsid w:val="0076782E"/>
    <w:rsid w:val="0076783E"/>
    <w:rsid w:val="00767853"/>
    <w:rsid w:val="007679BD"/>
    <w:rsid w:val="007702D2"/>
    <w:rsid w:val="00770342"/>
    <w:rsid w:val="0077050B"/>
    <w:rsid w:val="00770589"/>
    <w:rsid w:val="00770631"/>
    <w:rsid w:val="00770B05"/>
    <w:rsid w:val="00770C0E"/>
    <w:rsid w:val="0077126F"/>
    <w:rsid w:val="0077164D"/>
    <w:rsid w:val="00771AFB"/>
    <w:rsid w:val="00771B7E"/>
    <w:rsid w:val="00771C34"/>
    <w:rsid w:val="00772194"/>
    <w:rsid w:val="007721EF"/>
    <w:rsid w:val="00772535"/>
    <w:rsid w:val="00772675"/>
    <w:rsid w:val="007728D2"/>
    <w:rsid w:val="0077297F"/>
    <w:rsid w:val="00772A1C"/>
    <w:rsid w:val="00772AF5"/>
    <w:rsid w:val="00772B14"/>
    <w:rsid w:val="00772BB1"/>
    <w:rsid w:val="00772BBA"/>
    <w:rsid w:val="00773282"/>
    <w:rsid w:val="00773AD7"/>
    <w:rsid w:val="00773FBA"/>
    <w:rsid w:val="00774240"/>
    <w:rsid w:val="00774275"/>
    <w:rsid w:val="007742BD"/>
    <w:rsid w:val="007745DB"/>
    <w:rsid w:val="0077471A"/>
    <w:rsid w:val="007748C1"/>
    <w:rsid w:val="00774A96"/>
    <w:rsid w:val="00774B0C"/>
    <w:rsid w:val="00775059"/>
    <w:rsid w:val="00775304"/>
    <w:rsid w:val="007754F3"/>
    <w:rsid w:val="00775A44"/>
    <w:rsid w:val="00775C97"/>
    <w:rsid w:val="00775DCE"/>
    <w:rsid w:val="00775F4E"/>
    <w:rsid w:val="0077660E"/>
    <w:rsid w:val="00776641"/>
    <w:rsid w:val="0077670F"/>
    <w:rsid w:val="00776724"/>
    <w:rsid w:val="007767E1"/>
    <w:rsid w:val="00776898"/>
    <w:rsid w:val="00776FEB"/>
    <w:rsid w:val="007770E3"/>
    <w:rsid w:val="007771D1"/>
    <w:rsid w:val="0077739F"/>
    <w:rsid w:val="00777544"/>
    <w:rsid w:val="007779BE"/>
    <w:rsid w:val="007779C5"/>
    <w:rsid w:val="00777AA3"/>
    <w:rsid w:val="00777BAF"/>
    <w:rsid w:val="00780180"/>
    <w:rsid w:val="00780233"/>
    <w:rsid w:val="00780350"/>
    <w:rsid w:val="007803F0"/>
    <w:rsid w:val="0078041C"/>
    <w:rsid w:val="007805CE"/>
    <w:rsid w:val="00780CAF"/>
    <w:rsid w:val="00780CF6"/>
    <w:rsid w:val="00780E6F"/>
    <w:rsid w:val="00781089"/>
    <w:rsid w:val="007811D4"/>
    <w:rsid w:val="00781482"/>
    <w:rsid w:val="007814F8"/>
    <w:rsid w:val="0078185A"/>
    <w:rsid w:val="007818FA"/>
    <w:rsid w:val="00781AFC"/>
    <w:rsid w:val="00781BE3"/>
    <w:rsid w:val="00781E24"/>
    <w:rsid w:val="00781EB6"/>
    <w:rsid w:val="00782027"/>
    <w:rsid w:val="007822E6"/>
    <w:rsid w:val="00782313"/>
    <w:rsid w:val="007825C8"/>
    <w:rsid w:val="007826D6"/>
    <w:rsid w:val="00782A56"/>
    <w:rsid w:val="00782B75"/>
    <w:rsid w:val="00782C7A"/>
    <w:rsid w:val="00782C9C"/>
    <w:rsid w:val="00782D6E"/>
    <w:rsid w:val="00782E1D"/>
    <w:rsid w:val="00782E86"/>
    <w:rsid w:val="00782F1C"/>
    <w:rsid w:val="007831B1"/>
    <w:rsid w:val="00783434"/>
    <w:rsid w:val="00783A1F"/>
    <w:rsid w:val="00783A2B"/>
    <w:rsid w:val="00783CF0"/>
    <w:rsid w:val="00783E98"/>
    <w:rsid w:val="0078412D"/>
    <w:rsid w:val="007846DF"/>
    <w:rsid w:val="007847C3"/>
    <w:rsid w:val="00784A8A"/>
    <w:rsid w:val="00785111"/>
    <w:rsid w:val="00785476"/>
    <w:rsid w:val="007857BF"/>
    <w:rsid w:val="00785A5B"/>
    <w:rsid w:val="00785AB1"/>
    <w:rsid w:val="00785BB3"/>
    <w:rsid w:val="007863DA"/>
    <w:rsid w:val="00786749"/>
    <w:rsid w:val="007868AD"/>
    <w:rsid w:val="00786A2C"/>
    <w:rsid w:val="00786DB8"/>
    <w:rsid w:val="00786E89"/>
    <w:rsid w:val="00786EF4"/>
    <w:rsid w:val="00786F24"/>
    <w:rsid w:val="00786F75"/>
    <w:rsid w:val="00786F86"/>
    <w:rsid w:val="007870D8"/>
    <w:rsid w:val="00787448"/>
    <w:rsid w:val="007877CB"/>
    <w:rsid w:val="0078785C"/>
    <w:rsid w:val="007878F5"/>
    <w:rsid w:val="0078798F"/>
    <w:rsid w:val="007879F6"/>
    <w:rsid w:val="00787DF0"/>
    <w:rsid w:val="00790000"/>
    <w:rsid w:val="007900AE"/>
    <w:rsid w:val="007906B8"/>
    <w:rsid w:val="007906E8"/>
    <w:rsid w:val="007908FC"/>
    <w:rsid w:val="00790B72"/>
    <w:rsid w:val="00790C06"/>
    <w:rsid w:val="00790DF1"/>
    <w:rsid w:val="00791224"/>
    <w:rsid w:val="00791622"/>
    <w:rsid w:val="007916A3"/>
    <w:rsid w:val="00791AFE"/>
    <w:rsid w:val="00791B9E"/>
    <w:rsid w:val="0079204C"/>
    <w:rsid w:val="0079214F"/>
    <w:rsid w:val="007925A0"/>
    <w:rsid w:val="0079267B"/>
    <w:rsid w:val="007926EB"/>
    <w:rsid w:val="00792CEC"/>
    <w:rsid w:val="00792DF7"/>
    <w:rsid w:val="00792E74"/>
    <w:rsid w:val="00793699"/>
    <w:rsid w:val="007936FA"/>
    <w:rsid w:val="007937CB"/>
    <w:rsid w:val="00793858"/>
    <w:rsid w:val="00793876"/>
    <w:rsid w:val="00793C9B"/>
    <w:rsid w:val="007942B9"/>
    <w:rsid w:val="00794763"/>
    <w:rsid w:val="007947F7"/>
    <w:rsid w:val="00794C02"/>
    <w:rsid w:val="00794CAA"/>
    <w:rsid w:val="00794D11"/>
    <w:rsid w:val="00794E78"/>
    <w:rsid w:val="00795175"/>
    <w:rsid w:val="00795185"/>
    <w:rsid w:val="0079539D"/>
    <w:rsid w:val="007955E0"/>
    <w:rsid w:val="0079584C"/>
    <w:rsid w:val="007958BB"/>
    <w:rsid w:val="00795935"/>
    <w:rsid w:val="007959A4"/>
    <w:rsid w:val="00795C8B"/>
    <w:rsid w:val="007961F6"/>
    <w:rsid w:val="0079620E"/>
    <w:rsid w:val="0079627D"/>
    <w:rsid w:val="007963A5"/>
    <w:rsid w:val="0079644D"/>
    <w:rsid w:val="007964BE"/>
    <w:rsid w:val="00796525"/>
    <w:rsid w:val="00796541"/>
    <w:rsid w:val="00796563"/>
    <w:rsid w:val="00796651"/>
    <w:rsid w:val="00796A2A"/>
    <w:rsid w:val="00796B4F"/>
    <w:rsid w:val="00796DF9"/>
    <w:rsid w:val="00796F93"/>
    <w:rsid w:val="007970CF"/>
    <w:rsid w:val="00797166"/>
    <w:rsid w:val="00797260"/>
    <w:rsid w:val="007975F5"/>
    <w:rsid w:val="007978FB"/>
    <w:rsid w:val="00797917"/>
    <w:rsid w:val="00797C30"/>
    <w:rsid w:val="00797C7C"/>
    <w:rsid w:val="00797D27"/>
    <w:rsid w:val="00797EB3"/>
    <w:rsid w:val="007A001A"/>
    <w:rsid w:val="007A0139"/>
    <w:rsid w:val="007A0297"/>
    <w:rsid w:val="007A02F8"/>
    <w:rsid w:val="007A0489"/>
    <w:rsid w:val="007A06DA"/>
    <w:rsid w:val="007A0A2E"/>
    <w:rsid w:val="007A0B1E"/>
    <w:rsid w:val="007A0C76"/>
    <w:rsid w:val="007A0DB3"/>
    <w:rsid w:val="007A0EFD"/>
    <w:rsid w:val="007A11DC"/>
    <w:rsid w:val="007A14D1"/>
    <w:rsid w:val="007A1789"/>
    <w:rsid w:val="007A17E5"/>
    <w:rsid w:val="007A19E9"/>
    <w:rsid w:val="007A1A54"/>
    <w:rsid w:val="007A1CFD"/>
    <w:rsid w:val="007A1FA7"/>
    <w:rsid w:val="007A1FF9"/>
    <w:rsid w:val="007A24C8"/>
    <w:rsid w:val="007A256F"/>
    <w:rsid w:val="007A2727"/>
    <w:rsid w:val="007A2791"/>
    <w:rsid w:val="007A29D3"/>
    <w:rsid w:val="007A29E4"/>
    <w:rsid w:val="007A2A84"/>
    <w:rsid w:val="007A2AA2"/>
    <w:rsid w:val="007A2AC5"/>
    <w:rsid w:val="007A2BB1"/>
    <w:rsid w:val="007A2C3F"/>
    <w:rsid w:val="007A2ECC"/>
    <w:rsid w:val="007A30FC"/>
    <w:rsid w:val="007A3156"/>
    <w:rsid w:val="007A3166"/>
    <w:rsid w:val="007A345C"/>
    <w:rsid w:val="007A35CB"/>
    <w:rsid w:val="007A38C1"/>
    <w:rsid w:val="007A3B79"/>
    <w:rsid w:val="007A3F24"/>
    <w:rsid w:val="007A4131"/>
    <w:rsid w:val="007A415D"/>
    <w:rsid w:val="007A45A1"/>
    <w:rsid w:val="007A4679"/>
    <w:rsid w:val="007A4854"/>
    <w:rsid w:val="007A4CFC"/>
    <w:rsid w:val="007A4F92"/>
    <w:rsid w:val="007A55EF"/>
    <w:rsid w:val="007A5730"/>
    <w:rsid w:val="007A5766"/>
    <w:rsid w:val="007A5FB9"/>
    <w:rsid w:val="007A63E8"/>
    <w:rsid w:val="007A63F5"/>
    <w:rsid w:val="007A6643"/>
    <w:rsid w:val="007A68C1"/>
    <w:rsid w:val="007A6B87"/>
    <w:rsid w:val="007A6D5E"/>
    <w:rsid w:val="007A6E85"/>
    <w:rsid w:val="007A6FA7"/>
    <w:rsid w:val="007A70C1"/>
    <w:rsid w:val="007A7521"/>
    <w:rsid w:val="007A756E"/>
    <w:rsid w:val="007A7AAE"/>
    <w:rsid w:val="007A7B9A"/>
    <w:rsid w:val="007B0226"/>
    <w:rsid w:val="007B0BE1"/>
    <w:rsid w:val="007B0DE3"/>
    <w:rsid w:val="007B0E8D"/>
    <w:rsid w:val="007B0E93"/>
    <w:rsid w:val="007B1063"/>
    <w:rsid w:val="007B16EB"/>
    <w:rsid w:val="007B1878"/>
    <w:rsid w:val="007B18D8"/>
    <w:rsid w:val="007B1A69"/>
    <w:rsid w:val="007B1D8C"/>
    <w:rsid w:val="007B20AD"/>
    <w:rsid w:val="007B2139"/>
    <w:rsid w:val="007B22BD"/>
    <w:rsid w:val="007B244D"/>
    <w:rsid w:val="007B2714"/>
    <w:rsid w:val="007B2888"/>
    <w:rsid w:val="007B28AF"/>
    <w:rsid w:val="007B292E"/>
    <w:rsid w:val="007B293D"/>
    <w:rsid w:val="007B2B25"/>
    <w:rsid w:val="007B2BA6"/>
    <w:rsid w:val="007B2D49"/>
    <w:rsid w:val="007B2FAF"/>
    <w:rsid w:val="007B3038"/>
    <w:rsid w:val="007B307E"/>
    <w:rsid w:val="007B317B"/>
    <w:rsid w:val="007B38A8"/>
    <w:rsid w:val="007B3A1A"/>
    <w:rsid w:val="007B3A42"/>
    <w:rsid w:val="007B4274"/>
    <w:rsid w:val="007B42DA"/>
    <w:rsid w:val="007B4885"/>
    <w:rsid w:val="007B4A06"/>
    <w:rsid w:val="007B4B8E"/>
    <w:rsid w:val="007B4BE5"/>
    <w:rsid w:val="007B4C8C"/>
    <w:rsid w:val="007B50F2"/>
    <w:rsid w:val="007B532B"/>
    <w:rsid w:val="007B5337"/>
    <w:rsid w:val="007B541B"/>
    <w:rsid w:val="007B5CB4"/>
    <w:rsid w:val="007B5CF3"/>
    <w:rsid w:val="007B5EBD"/>
    <w:rsid w:val="007B624C"/>
    <w:rsid w:val="007B6318"/>
    <w:rsid w:val="007B6521"/>
    <w:rsid w:val="007B6628"/>
    <w:rsid w:val="007B66C0"/>
    <w:rsid w:val="007B66F8"/>
    <w:rsid w:val="007B67E4"/>
    <w:rsid w:val="007B68CC"/>
    <w:rsid w:val="007B6BF0"/>
    <w:rsid w:val="007B720D"/>
    <w:rsid w:val="007B74E1"/>
    <w:rsid w:val="007B7991"/>
    <w:rsid w:val="007B7B0A"/>
    <w:rsid w:val="007B7BDC"/>
    <w:rsid w:val="007B7C28"/>
    <w:rsid w:val="007B7D54"/>
    <w:rsid w:val="007B7F79"/>
    <w:rsid w:val="007C00F3"/>
    <w:rsid w:val="007C0409"/>
    <w:rsid w:val="007C042E"/>
    <w:rsid w:val="007C047E"/>
    <w:rsid w:val="007C06CF"/>
    <w:rsid w:val="007C06EC"/>
    <w:rsid w:val="007C074B"/>
    <w:rsid w:val="007C090D"/>
    <w:rsid w:val="007C0C48"/>
    <w:rsid w:val="007C0EAD"/>
    <w:rsid w:val="007C10CC"/>
    <w:rsid w:val="007C11E1"/>
    <w:rsid w:val="007C174D"/>
    <w:rsid w:val="007C17DB"/>
    <w:rsid w:val="007C1B7F"/>
    <w:rsid w:val="007C1C28"/>
    <w:rsid w:val="007C1CE7"/>
    <w:rsid w:val="007C1E93"/>
    <w:rsid w:val="007C1F5D"/>
    <w:rsid w:val="007C2113"/>
    <w:rsid w:val="007C2492"/>
    <w:rsid w:val="007C24CC"/>
    <w:rsid w:val="007C25D1"/>
    <w:rsid w:val="007C25D2"/>
    <w:rsid w:val="007C26E0"/>
    <w:rsid w:val="007C2920"/>
    <w:rsid w:val="007C2AFC"/>
    <w:rsid w:val="007C2BAA"/>
    <w:rsid w:val="007C2D65"/>
    <w:rsid w:val="007C3324"/>
    <w:rsid w:val="007C3489"/>
    <w:rsid w:val="007C36E1"/>
    <w:rsid w:val="007C37E2"/>
    <w:rsid w:val="007C3A5D"/>
    <w:rsid w:val="007C3AB3"/>
    <w:rsid w:val="007C3B3C"/>
    <w:rsid w:val="007C40A2"/>
    <w:rsid w:val="007C4186"/>
    <w:rsid w:val="007C4303"/>
    <w:rsid w:val="007C4338"/>
    <w:rsid w:val="007C4585"/>
    <w:rsid w:val="007C46E9"/>
    <w:rsid w:val="007C46FE"/>
    <w:rsid w:val="007C4767"/>
    <w:rsid w:val="007C4798"/>
    <w:rsid w:val="007C5118"/>
    <w:rsid w:val="007C51F8"/>
    <w:rsid w:val="007C52F1"/>
    <w:rsid w:val="007C54BE"/>
    <w:rsid w:val="007C576E"/>
    <w:rsid w:val="007C5A99"/>
    <w:rsid w:val="007C62D1"/>
    <w:rsid w:val="007C636E"/>
    <w:rsid w:val="007C672A"/>
    <w:rsid w:val="007C6811"/>
    <w:rsid w:val="007C6A00"/>
    <w:rsid w:val="007C6A3C"/>
    <w:rsid w:val="007C6A41"/>
    <w:rsid w:val="007C6DE6"/>
    <w:rsid w:val="007C6F72"/>
    <w:rsid w:val="007C6F98"/>
    <w:rsid w:val="007C6FBF"/>
    <w:rsid w:val="007C70A9"/>
    <w:rsid w:val="007C70B9"/>
    <w:rsid w:val="007C7463"/>
    <w:rsid w:val="007C74B4"/>
    <w:rsid w:val="007C74F9"/>
    <w:rsid w:val="007C7654"/>
    <w:rsid w:val="007C7B28"/>
    <w:rsid w:val="007C7B71"/>
    <w:rsid w:val="007C7B95"/>
    <w:rsid w:val="007C7CC8"/>
    <w:rsid w:val="007C7EDD"/>
    <w:rsid w:val="007C7FBD"/>
    <w:rsid w:val="007D030B"/>
    <w:rsid w:val="007D05F0"/>
    <w:rsid w:val="007D075C"/>
    <w:rsid w:val="007D0C1E"/>
    <w:rsid w:val="007D0CA1"/>
    <w:rsid w:val="007D12E8"/>
    <w:rsid w:val="007D132A"/>
    <w:rsid w:val="007D1485"/>
    <w:rsid w:val="007D1712"/>
    <w:rsid w:val="007D18BA"/>
    <w:rsid w:val="007D1A3E"/>
    <w:rsid w:val="007D1C0F"/>
    <w:rsid w:val="007D1C2D"/>
    <w:rsid w:val="007D1FAD"/>
    <w:rsid w:val="007D1FE0"/>
    <w:rsid w:val="007D205D"/>
    <w:rsid w:val="007D208B"/>
    <w:rsid w:val="007D21F4"/>
    <w:rsid w:val="007D2290"/>
    <w:rsid w:val="007D2355"/>
    <w:rsid w:val="007D24B4"/>
    <w:rsid w:val="007D3238"/>
    <w:rsid w:val="007D3375"/>
    <w:rsid w:val="007D34F6"/>
    <w:rsid w:val="007D3663"/>
    <w:rsid w:val="007D36F5"/>
    <w:rsid w:val="007D39A6"/>
    <w:rsid w:val="007D3CC0"/>
    <w:rsid w:val="007D3CD2"/>
    <w:rsid w:val="007D3D0F"/>
    <w:rsid w:val="007D3D7A"/>
    <w:rsid w:val="007D4118"/>
    <w:rsid w:val="007D4510"/>
    <w:rsid w:val="007D4556"/>
    <w:rsid w:val="007D4599"/>
    <w:rsid w:val="007D49AB"/>
    <w:rsid w:val="007D4D11"/>
    <w:rsid w:val="007D4F95"/>
    <w:rsid w:val="007D4F9E"/>
    <w:rsid w:val="007D5059"/>
    <w:rsid w:val="007D506F"/>
    <w:rsid w:val="007D523F"/>
    <w:rsid w:val="007D57D5"/>
    <w:rsid w:val="007D582D"/>
    <w:rsid w:val="007D5965"/>
    <w:rsid w:val="007D5B19"/>
    <w:rsid w:val="007D5B82"/>
    <w:rsid w:val="007D6198"/>
    <w:rsid w:val="007D61B5"/>
    <w:rsid w:val="007D6219"/>
    <w:rsid w:val="007D62A2"/>
    <w:rsid w:val="007D633B"/>
    <w:rsid w:val="007D6345"/>
    <w:rsid w:val="007D6599"/>
    <w:rsid w:val="007D680A"/>
    <w:rsid w:val="007D6A64"/>
    <w:rsid w:val="007D71A4"/>
    <w:rsid w:val="007D7224"/>
    <w:rsid w:val="007D733B"/>
    <w:rsid w:val="007D7469"/>
    <w:rsid w:val="007D7724"/>
    <w:rsid w:val="007D7970"/>
    <w:rsid w:val="007D7A92"/>
    <w:rsid w:val="007D7EDF"/>
    <w:rsid w:val="007E02D9"/>
    <w:rsid w:val="007E0511"/>
    <w:rsid w:val="007E0746"/>
    <w:rsid w:val="007E0787"/>
    <w:rsid w:val="007E088A"/>
    <w:rsid w:val="007E08F5"/>
    <w:rsid w:val="007E0AED"/>
    <w:rsid w:val="007E0B41"/>
    <w:rsid w:val="007E0D31"/>
    <w:rsid w:val="007E0F7D"/>
    <w:rsid w:val="007E132F"/>
    <w:rsid w:val="007E13B3"/>
    <w:rsid w:val="007E153D"/>
    <w:rsid w:val="007E19C9"/>
    <w:rsid w:val="007E22A5"/>
    <w:rsid w:val="007E245F"/>
    <w:rsid w:val="007E27A7"/>
    <w:rsid w:val="007E28ED"/>
    <w:rsid w:val="007E2DBC"/>
    <w:rsid w:val="007E2E26"/>
    <w:rsid w:val="007E324A"/>
    <w:rsid w:val="007E359F"/>
    <w:rsid w:val="007E3683"/>
    <w:rsid w:val="007E371D"/>
    <w:rsid w:val="007E3741"/>
    <w:rsid w:val="007E3C1C"/>
    <w:rsid w:val="007E3C95"/>
    <w:rsid w:val="007E3E1B"/>
    <w:rsid w:val="007E43F8"/>
    <w:rsid w:val="007E4435"/>
    <w:rsid w:val="007E44BE"/>
    <w:rsid w:val="007E465A"/>
    <w:rsid w:val="007E48BA"/>
    <w:rsid w:val="007E5104"/>
    <w:rsid w:val="007E5944"/>
    <w:rsid w:val="007E5A34"/>
    <w:rsid w:val="007E5F13"/>
    <w:rsid w:val="007E640F"/>
    <w:rsid w:val="007E6636"/>
    <w:rsid w:val="007E6FE8"/>
    <w:rsid w:val="007E7112"/>
    <w:rsid w:val="007E7213"/>
    <w:rsid w:val="007E7613"/>
    <w:rsid w:val="007E7808"/>
    <w:rsid w:val="007E7DED"/>
    <w:rsid w:val="007E7F3A"/>
    <w:rsid w:val="007F0076"/>
    <w:rsid w:val="007F0158"/>
    <w:rsid w:val="007F0610"/>
    <w:rsid w:val="007F06BE"/>
    <w:rsid w:val="007F0A9A"/>
    <w:rsid w:val="007F0C74"/>
    <w:rsid w:val="007F0C94"/>
    <w:rsid w:val="007F0D14"/>
    <w:rsid w:val="007F102A"/>
    <w:rsid w:val="007F15BA"/>
    <w:rsid w:val="007F16A0"/>
    <w:rsid w:val="007F16EA"/>
    <w:rsid w:val="007F1875"/>
    <w:rsid w:val="007F1E42"/>
    <w:rsid w:val="007F1EFF"/>
    <w:rsid w:val="007F23DF"/>
    <w:rsid w:val="007F2491"/>
    <w:rsid w:val="007F2550"/>
    <w:rsid w:val="007F2676"/>
    <w:rsid w:val="007F26C9"/>
    <w:rsid w:val="007F2A09"/>
    <w:rsid w:val="007F2ADB"/>
    <w:rsid w:val="007F2BC2"/>
    <w:rsid w:val="007F2BD4"/>
    <w:rsid w:val="007F2CB3"/>
    <w:rsid w:val="007F32EC"/>
    <w:rsid w:val="007F32FE"/>
    <w:rsid w:val="007F337F"/>
    <w:rsid w:val="007F358B"/>
    <w:rsid w:val="007F3A87"/>
    <w:rsid w:val="007F3AEA"/>
    <w:rsid w:val="007F3B55"/>
    <w:rsid w:val="007F3B85"/>
    <w:rsid w:val="007F3C78"/>
    <w:rsid w:val="007F45B2"/>
    <w:rsid w:val="007F46DB"/>
    <w:rsid w:val="007F4758"/>
    <w:rsid w:val="007F49BA"/>
    <w:rsid w:val="007F4EF4"/>
    <w:rsid w:val="007F5496"/>
    <w:rsid w:val="007F55DD"/>
    <w:rsid w:val="007F57E3"/>
    <w:rsid w:val="007F57E4"/>
    <w:rsid w:val="007F584F"/>
    <w:rsid w:val="007F5AAF"/>
    <w:rsid w:val="007F5F4C"/>
    <w:rsid w:val="007F61A0"/>
    <w:rsid w:val="007F623E"/>
    <w:rsid w:val="007F6682"/>
    <w:rsid w:val="007F673B"/>
    <w:rsid w:val="007F6891"/>
    <w:rsid w:val="007F6911"/>
    <w:rsid w:val="007F69E0"/>
    <w:rsid w:val="007F6B42"/>
    <w:rsid w:val="007F6BCB"/>
    <w:rsid w:val="007F6E40"/>
    <w:rsid w:val="007F708F"/>
    <w:rsid w:val="007F71D3"/>
    <w:rsid w:val="007F75B6"/>
    <w:rsid w:val="007F775A"/>
    <w:rsid w:val="007F79D8"/>
    <w:rsid w:val="007F7E61"/>
    <w:rsid w:val="00800139"/>
    <w:rsid w:val="00800622"/>
    <w:rsid w:val="0080074B"/>
    <w:rsid w:val="0080087A"/>
    <w:rsid w:val="00800A7B"/>
    <w:rsid w:val="0080131F"/>
    <w:rsid w:val="00801832"/>
    <w:rsid w:val="00801BC5"/>
    <w:rsid w:val="00801D1A"/>
    <w:rsid w:val="00801D6D"/>
    <w:rsid w:val="00801E4C"/>
    <w:rsid w:val="00801EED"/>
    <w:rsid w:val="0080200C"/>
    <w:rsid w:val="00802048"/>
    <w:rsid w:val="0080205E"/>
    <w:rsid w:val="008025A5"/>
    <w:rsid w:val="00802829"/>
    <w:rsid w:val="008028BC"/>
    <w:rsid w:val="00802955"/>
    <w:rsid w:val="00802A08"/>
    <w:rsid w:val="00802D29"/>
    <w:rsid w:val="00802EB8"/>
    <w:rsid w:val="008031D3"/>
    <w:rsid w:val="00803208"/>
    <w:rsid w:val="008032F1"/>
    <w:rsid w:val="0080338A"/>
    <w:rsid w:val="00803428"/>
    <w:rsid w:val="00803576"/>
    <w:rsid w:val="0080362E"/>
    <w:rsid w:val="008038BE"/>
    <w:rsid w:val="008038F3"/>
    <w:rsid w:val="0080393E"/>
    <w:rsid w:val="00803DD3"/>
    <w:rsid w:val="00803E82"/>
    <w:rsid w:val="00803F21"/>
    <w:rsid w:val="008040A7"/>
    <w:rsid w:val="008044BF"/>
    <w:rsid w:val="00804E7B"/>
    <w:rsid w:val="00804FED"/>
    <w:rsid w:val="00805124"/>
    <w:rsid w:val="00805495"/>
    <w:rsid w:val="00805610"/>
    <w:rsid w:val="008056BC"/>
    <w:rsid w:val="00805E0D"/>
    <w:rsid w:val="0080606C"/>
    <w:rsid w:val="0080634C"/>
    <w:rsid w:val="00806529"/>
    <w:rsid w:val="00806A68"/>
    <w:rsid w:val="00806EEA"/>
    <w:rsid w:val="008070E4"/>
    <w:rsid w:val="0080733F"/>
    <w:rsid w:val="008073FD"/>
    <w:rsid w:val="008076FC"/>
    <w:rsid w:val="00807ACE"/>
    <w:rsid w:val="00807F7E"/>
    <w:rsid w:val="00810130"/>
    <w:rsid w:val="008106D5"/>
    <w:rsid w:val="0081075A"/>
    <w:rsid w:val="008108E4"/>
    <w:rsid w:val="00810A18"/>
    <w:rsid w:val="00810B90"/>
    <w:rsid w:val="00810F7A"/>
    <w:rsid w:val="0081128C"/>
    <w:rsid w:val="00811359"/>
    <w:rsid w:val="00811376"/>
    <w:rsid w:val="00811408"/>
    <w:rsid w:val="00811459"/>
    <w:rsid w:val="00811614"/>
    <w:rsid w:val="008116C8"/>
    <w:rsid w:val="008119CF"/>
    <w:rsid w:val="00811A35"/>
    <w:rsid w:val="00811A3F"/>
    <w:rsid w:val="00811A74"/>
    <w:rsid w:val="00811EC1"/>
    <w:rsid w:val="00812313"/>
    <w:rsid w:val="008125B3"/>
    <w:rsid w:val="008129FA"/>
    <w:rsid w:val="00812B1A"/>
    <w:rsid w:val="00812DE5"/>
    <w:rsid w:val="00813181"/>
    <w:rsid w:val="00813182"/>
    <w:rsid w:val="0081318F"/>
    <w:rsid w:val="0081341E"/>
    <w:rsid w:val="00813798"/>
    <w:rsid w:val="00813989"/>
    <w:rsid w:val="00813AC0"/>
    <w:rsid w:val="00813D27"/>
    <w:rsid w:val="00813EC1"/>
    <w:rsid w:val="00813F8C"/>
    <w:rsid w:val="00813FEB"/>
    <w:rsid w:val="008141A7"/>
    <w:rsid w:val="00814378"/>
    <w:rsid w:val="0081454B"/>
    <w:rsid w:val="0081470F"/>
    <w:rsid w:val="00814CDF"/>
    <w:rsid w:val="0081513A"/>
    <w:rsid w:val="00815343"/>
    <w:rsid w:val="00815903"/>
    <w:rsid w:val="00815AFE"/>
    <w:rsid w:val="00815B90"/>
    <w:rsid w:val="00815E30"/>
    <w:rsid w:val="00815E86"/>
    <w:rsid w:val="00815F1B"/>
    <w:rsid w:val="00815FC6"/>
    <w:rsid w:val="0081603E"/>
    <w:rsid w:val="008160E7"/>
    <w:rsid w:val="00816158"/>
    <w:rsid w:val="0081641C"/>
    <w:rsid w:val="0081661A"/>
    <w:rsid w:val="00816680"/>
    <w:rsid w:val="00816794"/>
    <w:rsid w:val="008168E5"/>
    <w:rsid w:val="00816907"/>
    <w:rsid w:val="00816AB0"/>
    <w:rsid w:val="00816AEF"/>
    <w:rsid w:val="00816FAE"/>
    <w:rsid w:val="00817063"/>
    <w:rsid w:val="00817556"/>
    <w:rsid w:val="00817658"/>
    <w:rsid w:val="00817774"/>
    <w:rsid w:val="00817894"/>
    <w:rsid w:val="008179C7"/>
    <w:rsid w:val="00817A92"/>
    <w:rsid w:val="00817C70"/>
    <w:rsid w:val="00817D28"/>
    <w:rsid w:val="00817D33"/>
    <w:rsid w:val="00817D48"/>
    <w:rsid w:val="00817D70"/>
    <w:rsid w:val="00817DD3"/>
    <w:rsid w:val="00817EE3"/>
    <w:rsid w:val="0082028B"/>
    <w:rsid w:val="008204CC"/>
    <w:rsid w:val="008205F9"/>
    <w:rsid w:val="0082095E"/>
    <w:rsid w:val="00820A19"/>
    <w:rsid w:val="00820B17"/>
    <w:rsid w:val="00820DEC"/>
    <w:rsid w:val="00820ED5"/>
    <w:rsid w:val="00820F3D"/>
    <w:rsid w:val="00820F65"/>
    <w:rsid w:val="008212FD"/>
    <w:rsid w:val="00821410"/>
    <w:rsid w:val="00821472"/>
    <w:rsid w:val="008216F6"/>
    <w:rsid w:val="00821853"/>
    <w:rsid w:val="00821A5D"/>
    <w:rsid w:val="00821DC4"/>
    <w:rsid w:val="00822553"/>
    <w:rsid w:val="008225CB"/>
    <w:rsid w:val="00822692"/>
    <w:rsid w:val="008226D2"/>
    <w:rsid w:val="00822733"/>
    <w:rsid w:val="00822820"/>
    <w:rsid w:val="00822925"/>
    <w:rsid w:val="0082299D"/>
    <w:rsid w:val="00822B4F"/>
    <w:rsid w:val="00822FA9"/>
    <w:rsid w:val="00823068"/>
    <w:rsid w:val="00823447"/>
    <w:rsid w:val="00823C4D"/>
    <w:rsid w:val="00823FB6"/>
    <w:rsid w:val="0082429B"/>
    <w:rsid w:val="00824640"/>
    <w:rsid w:val="008247AB"/>
    <w:rsid w:val="00824A5E"/>
    <w:rsid w:val="00824D42"/>
    <w:rsid w:val="00824D6C"/>
    <w:rsid w:val="00824DFD"/>
    <w:rsid w:val="008251B4"/>
    <w:rsid w:val="0082524E"/>
    <w:rsid w:val="00825621"/>
    <w:rsid w:val="0082595D"/>
    <w:rsid w:val="00825C72"/>
    <w:rsid w:val="00825FA2"/>
    <w:rsid w:val="00826149"/>
    <w:rsid w:val="00826317"/>
    <w:rsid w:val="00826409"/>
    <w:rsid w:val="008264E9"/>
    <w:rsid w:val="008269C7"/>
    <w:rsid w:val="00826BF7"/>
    <w:rsid w:val="00826CEA"/>
    <w:rsid w:val="00827036"/>
    <w:rsid w:val="0082733B"/>
    <w:rsid w:val="0082736B"/>
    <w:rsid w:val="008279CF"/>
    <w:rsid w:val="00827C41"/>
    <w:rsid w:val="00827F9D"/>
    <w:rsid w:val="00827F9E"/>
    <w:rsid w:val="0083035C"/>
    <w:rsid w:val="00830689"/>
    <w:rsid w:val="008308D9"/>
    <w:rsid w:val="00830931"/>
    <w:rsid w:val="008309E8"/>
    <w:rsid w:val="00830EB9"/>
    <w:rsid w:val="008311F6"/>
    <w:rsid w:val="008312FB"/>
    <w:rsid w:val="008313FB"/>
    <w:rsid w:val="00831456"/>
    <w:rsid w:val="00831AD9"/>
    <w:rsid w:val="00831CB1"/>
    <w:rsid w:val="00831EE6"/>
    <w:rsid w:val="00831F63"/>
    <w:rsid w:val="0083206D"/>
    <w:rsid w:val="00832112"/>
    <w:rsid w:val="008329C5"/>
    <w:rsid w:val="00832A72"/>
    <w:rsid w:val="00832AF4"/>
    <w:rsid w:val="00832CDF"/>
    <w:rsid w:val="00832E78"/>
    <w:rsid w:val="00832EAB"/>
    <w:rsid w:val="0083315E"/>
    <w:rsid w:val="0083362F"/>
    <w:rsid w:val="00833687"/>
    <w:rsid w:val="00833C0B"/>
    <w:rsid w:val="00833C1B"/>
    <w:rsid w:val="00833F7C"/>
    <w:rsid w:val="00833FC8"/>
    <w:rsid w:val="00834036"/>
    <w:rsid w:val="008340DD"/>
    <w:rsid w:val="008346DA"/>
    <w:rsid w:val="00834819"/>
    <w:rsid w:val="0083486C"/>
    <w:rsid w:val="008348DE"/>
    <w:rsid w:val="00834D76"/>
    <w:rsid w:val="00834DB8"/>
    <w:rsid w:val="00834FE1"/>
    <w:rsid w:val="00835050"/>
    <w:rsid w:val="008355C7"/>
    <w:rsid w:val="00835AC2"/>
    <w:rsid w:val="00835F79"/>
    <w:rsid w:val="00835FC6"/>
    <w:rsid w:val="008361AC"/>
    <w:rsid w:val="008362F4"/>
    <w:rsid w:val="00836668"/>
    <w:rsid w:val="0083672F"/>
    <w:rsid w:val="008367AC"/>
    <w:rsid w:val="008367F1"/>
    <w:rsid w:val="00836982"/>
    <w:rsid w:val="00836CB7"/>
    <w:rsid w:val="0083701E"/>
    <w:rsid w:val="00837065"/>
    <w:rsid w:val="008370A5"/>
    <w:rsid w:val="008370D4"/>
    <w:rsid w:val="0083720E"/>
    <w:rsid w:val="00837289"/>
    <w:rsid w:val="00837783"/>
    <w:rsid w:val="00837816"/>
    <w:rsid w:val="008378C2"/>
    <w:rsid w:val="00837CF0"/>
    <w:rsid w:val="00837E95"/>
    <w:rsid w:val="0084003B"/>
    <w:rsid w:val="00840125"/>
    <w:rsid w:val="00840535"/>
    <w:rsid w:val="008405A5"/>
    <w:rsid w:val="00840800"/>
    <w:rsid w:val="00841029"/>
    <w:rsid w:val="008410EB"/>
    <w:rsid w:val="00841807"/>
    <w:rsid w:val="008418C2"/>
    <w:rsid w:val="008418D6"/>
    <w:rsid w:val="0084190E"/>
    <w:rsid w:val="00841949"/>
    <w:rsid w:val="008419F8"/>
    <w:rsid w:val="00841B5E"/>
    <w:rsid w:val="00841BE9"/>
    <w:rsid w:val="00841C94"/>
    <w:rsid w:val="00841D25"/>
    <w:rsid w:val="00842170"/>
    <w:rsid w:val="008422B6"/>
    <w:rsid w:val="00842624"/>
    <w:rsid w:val="0084283E"/>
    <w:rsid w:val="00842ED1"/>
    <w:rsid w:val="00842F9B"/>
    <w:rsid w:val="00843080"/>
    <w:rsid w:val="0084308D"/>
    <w:rsid w:val="00843425"/>
    <w:rsid w:val="008434BC"/>
    <w:rsid w:val="008438CB"/>
    <w:rsid w:val="0084394D"/>
    <w:rsid w:val="008439E9"/>
    <w:rsid w:val="00843A39"/>
    <w:rsid w:val="00843ADF"/>
    <w:rsid w:val="00843C1A"/>
    <w:rsid w:val="008440CE"/>
    <w:rsid w:val="00844481"/>
    <w:rsid w:val="0084456C"/>
    <w:rsid w:val="0084458B"/>
    <w:rsid w:val="00844593"/>
    <w:rsid w:val="008445E4"/>
    <w:rsid w:val="008446AB"/>
    <w:rsid w:val="0084480B"/>
    <w:rsid w:val="00844865"/>
    <w:rsid w:val="008449CC"/>
    <w:rsid w:val="00844B2D"/>
    <w:rsid w:val="00844BDA"/>
    <w:rsid w:val="00844D7A"/>
    <w:rsid w:val="0084503B"/>
    <w:rsid w:val="008453F5"/>
    <w:rsid w:val="00845EA7"/>
    <w:rsid w:val="00845F22"/>
    <w:rsid w:val="00846019"/>
    <w:rsid w:val="008460CB"/>
    <w:rsid w:val="00846146"/>
    <w:rsid w:val="00846294"/>
    <w:rsid w:val="008464FB"/>
    <w:rsid w:val="008466DC"/>
    <w:rsid w:val="00846745"/>
    <w:rsid w:val="00846D51"/>
    <w:rsid w:val="00846DA0"/>
    <w:rsid w:val="00846F68"/>
    <w:rsid w:val="00846FE9"/>
    <w:rsid w:val="008470F5"/>
    <w:rsid w:val="0084741A"/>
    <w:rsid w:val="00847598"/>
    <w:rsid w:val="008478E4"/>
    <w:rsid w:val="00847B7C"/>
    <w:rsid w:val="00847EC7"/>
    <w:rsid w:val="00847EE1"/>
    <w:rsid w:val="00847F55"/>
    <w:rsid w:val="0085000C"/>
    <w:rsid w:val="00850268"/>
    <w:rsid w:val="00850623"/>
    <w:rsid w:val="00850639"/>
    <w:rsid w:val="00850A09"/>
    <w:rsid w:val="00850D13"/>
    <w:rsid w:val="00851228"/>
    <w:rsid w:val="0085136D"/>
    <w:rsid w:val="008513F1"/>
    <w:rsid w:val="008513FB"/>
    <w:rsid w:val="00851979"/>
    <w:rsid w:val="00851A8C"/>
    <w:rsid w:val="00851AAB"/>
    <w:rsid w:val="008521BB"/>
    <w:rsid w:val="00852415"/>
    <w:rsid w:val="00852710"/>
    <w:rsid w:val="0085274D"/>
    <w:rsid w:val="008527D9"/>
    <w:rsid w:val="008528BD"/>
    <w:rsid w:val="00852C9D"/>
    <w:rsid w:val="00852CD4"/>
    <w:rsid w:val="00852F6D"/>
    <w:rsid w:val="00853071"/>
    <w:rsid w:val="008531A7"/>
    <w:rsid w:val="00853364"/>
    <w:rsid w:val="00853AF6"/>
    <w:rsid w:val="00853D13"/>
    <w:rsid w:val="00853EF8"/>
    <w:rsid w:val="00853F38"/>
    <w:rsid w:val="00853F92"/>
    <w:rsid w:val="00854170"/>
    <w:rsid w:val="008541FD"/>
    <w:rsid w:val="008542F9"/>
    <w:rsid w:val="0085433A"/>
    <w:rsid w:val="00854530"/>
    <w:rsid w:val="00854559"/>
    <w:rsid w:val="008546AE"/>
    <w:rsid w:val="008548A1"/>
    <w:rsid w:val="0085493A"/>
    <w:rsid w:val="008549F0"/>
    <w:rsid w:val="00854CA8"/>
    <w:rsid w:val="00854F07"/>
    <w:rsid w:val="00854FF9"/>
    <w:rsid w:val="00855608"/>
    <w:rsid w:val="008559BA"/>
    <w:rsid w:val="00855DAC"/>
    <w:rsid w:val="00855F97"/>
    <w:rsid w:val="008562AD"/>
    <w:rsid w:val="0085654E"/>
    <w:rsid w:val="00856BD1"/>
    <w:rsid w:val="00856EAC"/>
    <w:rsid w:val="008571CB"/>
    <w:rsid w:val="008573F1"/>
    <w:rsid w:val="00857488"/>
    <w:rsid w:val="0085758F"/>
    <w:rsid w:val="0085780E"/>
    <w:rsid w:val="00857A97"/>
    <w:rsid w:val="00857D84"/>
    <w:rsid w:val="00857E84"/>
    <w:rsid w:val="00860476"/>
    <w:rsid w:val="00860ABD"/>
    <w:rsid w:val="00860B51"/>
    <w:rsid w:val="00860B80"/>
    <w:rsid w:val="00860E66"/>
    <w:rsid w:val="00860F8B"/>
    <w:rsid w:val="0086114B"/>
    <w:rsid w:val="0086122D"/>
    <w:rsid w:val="008613D6"/>
    <w:rsid w:val="00861750"/>
    <w:rsid w:val="008618B0"/>
    <w:rsid w:val="0086190D"/>
    <w:rsid w:val="00861C0D"/>
    <w:rsid w:val="00861FC3"/>
    <w:rsid w:val="008621A1"/>
    <w:rsid w:val="0086220E"/>
    <w:rsid w:val="0086267A"/>
    <w:rsid w:val="008626A5"/>
    <w:rsid w:val="008629D5"/>
    <w:rsid w:val="00862A56"/>
    <w:rsid w:val="00862C28"/>
    <w:rsid w:val="00862C7A"/>
    <w:rsid w:val="00862FF5"/>
    <w:rsid w:val="008630CE"/>
    <w:rsid w:val="00863399"/>
    <w:rsid w:val="00863421"/>
    <w:rsid w:val="008635D9"/>
    <w:rsid w:val="00863711"/>
    <w:rsid w:val="008637CA"/>
    <w:rsid w:val="00863BDA"/>
    <w:rsid w:val="00863C15"/>
    <w:rsid w:val="00863E05"/>
    <w:rsid w:val="00863E8F"/>
    <w:rsid w:val="00864042"/>
    <w:rsid w:val="008640D2"/>
    <w:rsid w:val="00864557"/>
    <w:rsid w:val="00864567"/>
    <w:rsid w:val="0086494B"/>
    <w:rsid w:val="00864D25"/>
    <w:rsid w:val="00865188"/>
    <w:rsid w:val="008652AA"/>
    <w:rsid w:val="0086539F"/>
    <w:rsid w:val="008654F5"/>
    <w:rsid w:val="008655AE"/>
    <w:rsid w:val="0086577B"/>
    <w:rsid w:val="008659D0"/>
    <w:rsid w:val="00865BFA"/>
    <w:rsid w:val="00865F93"/>
    <w:rsid w:val="008663C4"/>
    <w:rsid w:val="008665AC"/>
    <w:rsid w:val="0086698E"/>
    <w:rsid w:val="00866A10"/>
    <w:rsid w:val="00866AEF"/>
    <w:rsid w:val="00866B9E"/>
    <w:rsid w:val="00866F56"/>
    <w:rsid w:val="00867023"/>
    <w:rsid w:val="0086710A"/>
    <w:rsid w:val="008671F1"/>
    <w:rsid w:val="008678A0"/>
    <w:rsid w:val="00867ACA"/>
    <w:rsid w:val="00867B0E"/>
    <w:rsid w:val="00867BAA"/>
    <w:rsid w:val="00867CB2"/>
    <w:rsid w:val="00867EDB"/>
    <w:rsid w:val="00867F44"/>
    <w:rsid w:val="00867F58"/>
    <w:rsid w:val="00870379"/>
    <w:rsid w:val="0087059E"/>
    <w:rsid w:val="008705DB"/>
    <w:rsid w:val="00870709"/>
    <w:rsid w:val="00870805"/>
    <w:rsid w:val="008708BB"/>
    <w:rsid w:val="00870BAD"/>
    <w:rsid w:val="00870C42"/>
    <w:rsid w:val="00870F87"/>
    <w:rsid w:val="008713CB"/>
    <w:rsid w:val="008716B4"/>
    <w:rsid w:val="008718E0"/>
    <w:rsid w:val="00871B07"/>
    <w:rsid w:val="00871B98"/>
    <w:rsid w:val="00871CC0"/>
    <w:rsid w:val="00871D6F"/>
    <w:rsid w:val="00871D8F"/>
    <w:rsid w:val="0087209F"/>
    <w:rsid w:val="0087217C"/>
    <w:rsid w:val="008721DC"/>
    <w:rsid w:val="008726C2"/>
    <w:rsid w:val="00872732"/>
    <w:rsid w:val="00872879"/>
    <w:rsid w:val="008729C0"/>
    <w:rsid w:val="008729EC"/>
    <w:rsid w:val="00872B03"/>
    <w:rsid w:val="00872B82"/>
    <w:rsid w:val="00872F1C"/>
    <w:rsid w:val="00872F76"/>
    <w:rsid w:val="008730C2"/>
    <w:rsid w:val="008733C1"/>
    <w:rsid w:val="008734A3"/>
    <w:rsid w:val="008734EC"/>
    <w:rsid w:val="008735A8"/>
    <w:rsid w:val="0087362B"/>
    <w:rsid w:val="00873B3F"/>
    <w:rsid w:val="00873E6A"/>
    <w:rsid w:val="00873F17"/>
    <w:rsid w:val="00873F35"/>
    <w:rsid w:val="00874039"/>
    <w:rsid w:val="0087408A"/>
    <w:rsid w:val="0087421C"/>
    <w:rsid w:val="00874280"/>
    <w:rsid w:val="0087429B"/>
    <w:rsid w:val="00874537"/>
    <w:rsid w:val="0087498B"/>
    <w:rsid w:val="00874C98"/>
    <w:rsid w:val="00874D6E"/>
    <w:rsid w:val="008752B2"/>
    <w:rsid w:val="008753E8"/>
    <w:rsid w:val="00875412"/>
    <w:rsid w:val="008755B8"/>
    <w:rsid w:val="008756B5"/>
    <w:rsid w:val="0087575E"/>
    <w:rsid w:val="00875937"/>
    <w:rsid w:val="008759CD"/>
    <w:rsid w:val="00875F32"/>
    <w:rsid w:val="00876595"/>
    <w:rsid w:val="00876892"/>
    <w:rsid w:val="00876AE3"/>
    <w:rsid w:val="00876C27"/>
    <w:rsid w:val="00876F16"/>
    <w:rsid w:val="00876F2A"/>
    <w:rsid w:val="00876FE5"/>
    <w:rsid w:val="00877036"/>
    <w:rsid w:val="0087777A"/>
    <w:rsid w:val="00877990"/>
    <w:rsid w:val="00877D13"/>
    <w:rsid w:val="00877D55"/>
    <w:rsid w:val="00877DEC"/>
    <w:rsid w:val="00880153"/>
    <w:rsid w:val="008803E2"/>
    <w:rsid w:val="008806C9"/>
    <w:rsid w:val="008806FE"/>
    <w:rsid w:val="00880AA5"/>
    <w:rsid w:val="00880D08"/>
    <w:rsid w:val="00880FB7"/>
    <w:rsid w:val="0088135D"/>
    <w:rsid w:val="008814BD"/>
    <w:rsid w:val="008815BE"/>
    <w:rsid w:val="00881F2E"/>
    <w:rsid w:val="00881F5E"/>
    <w:rsid w:val="00882156"/>
    <w:rsid w:val="0088226A"/>
    <w:rsid w:val="008823CE"/>
    <w:rsid w:val="008825B5"/>
    <w:rsid w:val="00882ECB"/>
    <w:rsid w:val="00882F2E"/>
    <w:rsid w:val="00883063"/>
    <w:rsid w:val="008830B5"/>
    <w:rsid w:val="008830B8"/>
    <w:rsid w:val="0088341A"/>
    <w:rsid w:val="00883868"/>
    <w:rsid w:val="00883952"/>
    <w:rsid w:val="00883A93"/>
    <w:rsid w:val="00883AFA"/>
    <w:rsid w:val="00883B2A"/>
    <w:rsid w:val="00883B31"/>
    <w:rsid w:val="00883DBD"/>
    <w:rsid w:val="00883E0B"/>
    <w:rsid w:val="00883F5A"/>
    <w:rsid w:val="0088434B"/>
    <w:rsid w:val="00884542"/>
    <w:rsid w:val="00884771"/>
    <w:rsid w:val="008847C4"/>
    <w:rsid w:val="00884EA2"/>
    <w:rsid w:val="00884EF7"/>
    <w:rsid w:val="0088512E"/>
    <w:rsid w:val="00885160"/>
    <w:rsid w:val="00885210"/>
    <w:rsid w:val="008853FF"/>
    <w:rsid w:val="008855AB"/>
    <w:rsid w:val="00885807"/>
    <w:rsid w:val="00885AF6"/>
    <w:rsid w:val="00885B0D"/>
    <w:rsid w:val="00885E77"/>
    <w:rsid w:val="008860DF"/>
    <w:rsid w:val="008866DE"/>
    <w:rsid w:val="008867E1"/>
    <w:rsid w:val="00886966"/>
    <w:rsid w:val="008869B7"/>
    <w:rsid w:val="00886A82"/>
    <w:rsid w:val="00886ACE"/>
    <w:rsid w:val="00886C9A"/>
    <w:rsid w:val="00886E3E"/>
    <w:rsid w:val="00886FD2"/>
    <w:rsid w:val="00887B16"/>
    <w:rsid w:val="00887C48"/>
    <w:rsid w:val="00887D62"/>
    <w:rsid w:val="00887F6D"/>
    <w:rsid w:val="00890003"/>
    <w:rsid w:val="008900BC"/>
    <w:rsid w:val="00890131"/>
    <w:rsid w:val="008901EF"/>
    <w:rsid w:val="00890768"/>
    <w:rsid w:val="00890828"/>
    <w:rsid w:val="0089082E"/>
    <w:rsid w:val="00890A0E"/>
    <w:rsid w:val="00890B47"/>
    <w:rsid w:val="0089113B"/>
    <w:rsid w:val="00891158"/>
    <w:rsid w:val="00891CEC"/>
    <w:rsid w:val="0089224C"/>
    <w:rsid w:val="00892518"/>
    <w:rsid w:val="00892577"/>
    <w:rsid w:val="0089284C"/>
    <w:rsid w:val="00892B0F"/>
    <w:rsid w:val="00892B8E"/>
    <w:rsid w:val="00892D5D"/>
    <w:rsid w:val="00892E63"/>
    <w:rsid w:val="00893022"/>
    <w:rsid w:val="0089358D"/>
    <w:rsid w:val="00893B22"/>
    <w:rsid w:val="00893F1A"/>
    <w:rsid w:val="00893F25"/>
    <w:rsid w:val="00893FF1"/>
    <w:rsid w:val="00894306"/>
    <w:rsid w:val="008945BB"/>
    <w:rsid w:val="00894A44"/>
    <w:rsid w:val="00894AE7"/>
    <w:rsid w:val="008950C1"/>
    <w:rsid w:val="0089515D"/>
    <w:rsid w:val="008952DF"/>
    <w:rsid w:val="00895368"/>
    <w:rsid w:val="00895781"/>
    <w:rsid w:val="008959B1"/>
    <w:rsid w:val="00895B9A"/>
    <w:rsid w:val="00895B9B"/>
    <w:rsid w:val="00895BFB"/>
    <w:rsid w:val="00895E1B"/>
    <w:rsid w:val="00895E1E"/>
    <w:rsid w:val="008960EF"/>
    <w:rsid w:val="008960FF"/>
    <w:rsid w:val="0089657F"/>
    <w:rsid w:val="00896843"/>
    <w:rsid w:val="00896B40"/>
    <w:rsid w:val="00896BA2"/>
    <w:rsid w:val="0089716C"/>
    <w:rsid w:val="00897180"/>
    <w:rsid w:val="00897597"/>
    <w:rsid w:val="0089769C"/>
    <w:rsid w:val="0089770B"/>
    <w:rsid w:val="00897B85"/>
    <w:rsid w:val="00897DDE"/>
    <w:rsid w:val="00897ECE"/>
    <w:rsid w:val="00897F9B"/>
    <w:rsid w:val="008A06E9"/>
    <w:rsid w:val="008A0912"/>
    <w:rsid w:val="008A0943"/>
    <w:rsid w:val="008A0B63"/>
    <w:rsid w:val="008A0EB5"/>
    <w:rsid w:val="008A0FDB"/>
    <w:rsid w:val="008A1273"/>
    <w:rsid w:val="008A12F4"/>
    <w:rsid w:val="008A13C0"/>
    <w:rsid w:val="008A15B9"/>
    <w:rsid w:val="008A1813"/>
    <w:rsid w:val="008A1904"/>
    <w:rsid w:val="008A193C"/>
    <w:rsid w:val="008A194C"/>
    <w:rsid w:val="008A1F4F"/>
    <w:rsid w:val="008A2391"/>
    <w:rsid w:val="008A262C"/>
    <w:rsid w:val="008A280A"/>
    <w:rsid w:val="008A295A"/>
    <w:rsid w:val="008A296B"/>
    <w:rsid w:val="008A2CE2"/>
    <w:rsid w:val="008A2D41"/>
    <w:rsid w:val="008A2DBF"/>
    <w:rsid w:val="008A2ED7"/>
    <w:rsid w:val="008A3512"/>
    <w:rsid w:val="008A37E0"/>
    <w:rsid w:val="008A3882"/>
    <w:rsid w:val="008A3896"/>
    <w:rsid w:val="008A3B3E"/>
    <w:rsid w:val="008A3C28"/>
    <w:rsid w:val="008A3D09"/>
    <w:rsid w:val="008A4065"/>
    <w:rsid w:val="008A4151"/>
    <w:rsid w:val="008A4202"/>
    <w:rsid w:val="008A4251"/>
    <w:rsid w:val="008A4729"/>
    <w:rsid w:val="008A4A76"/>
    <w:rsid w:val="008A4ED9"/>
    <w:rsid w:val="008A500F"/>
    <w:rsid w:val="008A504A"/>
    <w:rsid w:val="008A52FC"/>
    <w:rsid w:val="008A5568"/>
    <w:rsid w:val="008A5897"/>
    <w:rsid w:val="008A5B2B"/>
    <w:rsid w:val="008A5BFB"/>
    <w:rsid w:val="008A5C96"/>
    <w:rsid w:val="008A5EFD"/>
    <w:rsid w:val="008A6158"/>
    <w:rsid w:val="008A61FB"/>
    <w:rsid w:val="008A6464"/>
    <w:rsid w:val="008A6681"/>
    <w:rsid w:val="008A7070"/>
    <w:rsid w:val="008A7159"/>
    <w:rsid w:val="008A71BF"/>
    <w:rsid w:val="008A7372"/>
    <w:rsid w:val="008A7383"/>
    <w:rsid w:val="008A7458"/>
    <w:rsid w:val="008A7470"/>
    <w:rsid w:val="008A7518"/>
    <w:rsid w:val="008A7557"/>
    <w:rsid w:val="008A75E4"/>
    <w:rsid w:val="008A7834"/>
    <w:rsid w:val="008A7CA0"/>
    <w:rsid w:val="008A7D9E"/>
    <w:rsid w:val="008A7F6D"/>
    <w:rsid w:val="008B04D0"/>
    <w:rsid w:val="008B0790"/>
    <w:rsid w:val="008B0941"/>
    <w:rsid w:val="008B0A2E"/>
    <w:rsid w:val="008B0B80"/>
    <w:rsid w:val="008B0CDA"/>
    <w:rsid w:val="008B0E4E"/>
    <w:rsid w:val="008B103A"/>
    <w:rsid w:val="008B116D"/>
    <w:rsid w:val="008B159B"/>
    <w:rsid w:val="008B15C9"/>
    <w:rsid w:val="008B1622"/>
    <w:rsid w:val="008B17F6"/>
    <w:rsid w:val="008B1C27"/>
    <w:rsid w:val="008B1DBF"/>
    <w:rsid w:val="008B213F"/>
    <w:rsid w:val="008B216A"/>
    <w:rsid w:val="008B21E1"/>
    <w:rsid w:val="008B2418"/>
    <w:rsid w:val="008B3221"/>
    <w:rsid w:val="008B3427"/>
    <w:rsid w:val="008B3504"/>
    <w:rsid w:val="008B354F"/>
    <w:rsid w:val="008B37CD"/>
    <w:rsid w:val="008B37D7"/>
    <w:rsid w:val="008B38D4"/>
    <w:rsid w:val="008B3E68"/>
    <w:rsid w:val="008B3F22"/>
    <w:rsid w:val="008B405E"/>
    <w:rsid w:val="008B415F"/>
    <w:rsid w:val="008B4212"/>
    <w:rsid w:val="008B4A8F"/>
    <w:rsid w:val="008B4AAB"/>
    <w:rsid w:val="008B4EF3"/>
    <w:rsid w:val="008B5039"/>
    <w:rsid w:val="008B5204"/>
    <w:rsid w:val="008B53C6"/>
    <w:rsid w:val="008B5B77"/>
    <w:rsid w:val="008B5C5C"/>
    <w:rsid w:val="008B5C9D"/>
    <w:rsid w:val="008B5CEC"/>
    <w:rsid w:val="008B5F06"/>
    <w:rsid w:val="008B5FB4"/>
    <w:rsid w:val="008B600D"/>
    <w:rsid w:val="008B64AE"/>
    <w:rsid w:val="008B6604"/>
    <w:rsid w:val="008B67A1"/>
    <w:rsid w:val="008B73AE"/>
    <w:rsid w:val="008B7624"/>
    <w:rsid w:val="008B76E4"/>
    <w:rsid w:val="008B77F7"/>
    <w:rsid w:val="008B781D"/>
    <w:rsid w:val="008B78A0"/>
    <w:rsid w:val="008B7A91"/>
    <w:rsid w:val="008C068C"/>
    <w:rsid w:val="008C0841"/>
    <w:rsid w:val="008C12C3"/>
    <w:rsid w:val="008C12EF"/>
    <w:rsid w:val="008C13AE"/>
    <w:rsid w:val="008C1507"/>
    <w:rsid w:val="008C1558"/>
    <w:rsid w:val="008C158B"/>
    <w:rsid w:val="008C15DD"/>
    <w:rsid w:val="008C186D"/>
    <w:rsid w:val="008C18A3"/>
    <w:rsid w:val="008C19EE"/>
    <w:rsid w:val="008C1A28"/>
    <w:rsid w:val="008C1BE9"/>
    <w:rsid w:val="008C1F1A"/>
    <w:rsid w:val="008C20E3"/>
    <w:rsid w:val="008C211F"/>
    <w:rsid w:val="008C2343"/>
    <w:rsid w:val="008C23F8"/>
    <w:rsid w:val="008C2725"/>
    <w:rsid w:val="008C2FD9"/>
    <w:rsid w:val="008C2FF2"/>
    <w:rsid w:val="008C3AE8"/>
    <w:rsid w:val="008C3DD7"/>
    <w:rsid w:val="008C4306"/>
    <w:rsid w:val="008C449A"/>
    <w:rsid w:val="008C466B"/>
    <w:rsid w:val="008C4876"/>
    <w:rsid w:val="008C4B51"/>
    <w:rsid w:val="008C4C2A"/>
    <w:rsid w:val="008C5134"/>
    <w:rsid w:val="008C52A4"/>
    <w:rsid w:val="008C549A"/>
    <w:rsid w:val="008C549E"/>
    <w:rsid w:val="008C572B"/>
    <w:rsid w:val="008C5A1D"/>
    <w:rsid w:val="008C5B53"/>
    <w:rsid w:val="008C5BBF"/>
    <w:rsid w:val="008C5BCF"/>
    <w:rsid w:val="008C5C37"/>
    <w:rsid w:val="008C5D8F"/>
    <w:rsid w:val="008C5F2E"/>
    <w:rsid w:val="008C6380"/>
    <w:rsid w:val="008C6418"/>
    <w:rsid w:val="008C6455"/>
    <w:rsid w:val="008C649E"/>
    <w:rsid w:val="008C65B7"/>
    <w:rsid w:val="008C6623"/>
    <w:rsid w:val="008C68E5"/>
    <w:rsid w:val="008C6C30"/>
    <w:rsid w:val="008C6ED4"/>
    <w:rsid w:val="008C6FCB"/>
    <w:rsid w:val="008C727D"/>
    <w:rsid w:val="008C72AA"/>
    <w:rsid w:val="008C7368"/>
    <w:rsid w:val="008C7606"/>
    <w:rsid w:val="008C76BE"/>
    <w:rsid w:val="008C77ED"/>
    <w:rsid w:val="008C786A"/>
    <w:rsid w:val="008C7B62"/>
    <w:rsid w:val="008C7D2A"/>
    <w:rsid w:val="008C7D2C"/>
    <w:rsid w:val="008D03B0"/>
    <w:rsid w:val="008D0B05"/>
    <w:rsid w:val="008D0D65"/>
    <w:rsid w:val="008D0DFC"/>
    <w:rsid w:val="008D0FD4"/>
    <w:rsid w:val="008D105E"/>
    <w:rsid w:val="008D10EC"/>
    <w:rsid w:val="008D12FC"/>
    <w:rsid w:val="008D13FE"/>
    <w:rsid w:val="008D14F3"/>
    <w:rsid w:val="008D17E5"/>
    <w:rsid w:val="008D1809"/>
    <w:rsid w:val="008D1838"/>
    <w:rsid w:val="008D1BA3"/>
    <w:rsid w:val="008D20F7"/>
    <w:rsid w:val="008D220A"/>
    <w:rsid w:val="008D25ED"/>
    <w:rsid w:val="008D2BDB"/>
    <w:rsid w:val="008D2CC3"/>
    <w:rsid w:val="008D3447"/>
    <w:rsid w:val="008D35A3"/>
    <w:rsid w:val="008D3817"/>
    <w:rsid w:val="008D3978"/>
    <w:rsid w:val="008D3A79"/>
    <w:rsid w:val="008D3BF7"/>
    <w:rsid w:val="008D3D27"/>
    <w:rsid w:val="008D3D67"/>
    <w:rsid w:val="008D4240"/>
    <w:rsid w:val="008D4352"/>
    <w:rsid w:val="008D4419"/>
    <w:rsid w:val="008D4618"/>
    <w:rsid w:val="008D4783"/>
    <w:rsid w:val="008D49B0"/>
    <w:rsid w:val="008D49CC"/>
    <w:rsid w:val="008D49DC"/>
    <w:rsid w:val="008D4AFE"/>
    <w:rsid w:val="008D51B9"/>
    <w:rsid w:val="008D5207"/>
    <w:rsid w:val="008D5313"/>
    <w:rsid w:val="008D56B3"/>
    <w:rsid w:val="008D5BF4"/>
    <w:rsid w:val="008D6103"/>
    <w:rsid w:val="008D62A8"/>
    <w:rsid w:val="008D62CA"/>
    <w:rsid w:val="008D63F1"/>
    <w:rsid w:val="008D6529"/>
    <w:rsid w:val="008D655A"/>
    <w:rsid w:val="008D69C9"/>
    <w:rsid w:val="008D6BEC"/>
    <w:rsid w:val="008D6F5D"/>
    <w:rsid w:val="008D714F"/>
    <w:rsid w:val="008D716D"/>
    <w:rsid w:val="008D7195"/>
    <w:rsid w:val="008D7429"/>
    <w:rsid w:val="008D79FC"/>
    <w:rsid w:val="008D7C9C"/>
    <w:rsid w:val="008D7CE9"/>
    <w:rsid w:val="008D7E34"/>
    <w:rsid w:val="008D7E64"/>
    <w:rsid w:val="008E0031"/>
    <w:rsid w:val="008E0171"/>
    <w:rsid w:val="008E033B"/>
    <w:rsid w:val="008E03C7"/>
    <w:rsid w:val="008E055B"/>
    <w:rsid w:val="008E05A2"/>
    <w:rsid w:val="008E0A2C"/>
    <w:rsid w:val="008E0AF2"/>
    <w:rsid w:val="008E0B0B"/>
    <w:rsid w:val="008E0B50"/>
    <w:rsid w:val="008E1009"/>
    <w:rsid w:val="008E1504"/>
    <w:rsid w:val="008E16A2"/>
    <w:rsid w:val="008E16D0"/>
    <w:rsid w:val="008E1767"/>
    <w:rsid w:val="008E18F5"/>
    <w:rsid w:val="008E1E28"/>
    <w:rsid w:val="008E1F89"/>
    <w:rsid w:val="008E2123"/>
    <w:rsid w:val="008E219C"/>
    <w:rsid w:val="008E2617"/>
    <w:rsid w:val="008E272B"/>
    <w:rsid w:val="008E2F3B"/>
    <w:rsid w:val="008E2F45"/>
    <w:rsid w:val="008E3221"/>
    <w:rsid w:val="008E3461"/>
    <w:rsid w:val="008E351E"/>
    <w:rsid w:val="008E3906"/>
    <w:rsid w:val="008E3A63"/>
    <w:rsid w:val="008E3B89"/>
    <w:rsid w:val="008E3E72"/>
    <w:rsid w:val="008E3EF8"/>
    <w:rsid w:val="008E3FFE"/>
    <w:rsid w:val="008E40F8"/>
    <w:rsid w:val="008E4739"/>
    <w:rsid w:val="008E4789"/>
    <w:rsid w:val="008E4AAA"/>
    <w:rsid w:val="008E5064"/>
    <w:rsid w:val="008E50E3"/>
    <w:rsid w:val="008E51B9"/>
    <w:rsid w:val="008E5235"/>
    <w:rsid w:val="008E559E"/>
    <w:rsid w:val="008E5828"/>
    <w:rsid w:val="008E5876"/>
    <w:rsid w:val="008E5895"/>
    <w:rsid w:val="008E58CB"/>
    <w:rsid w:val="008E58DF"/>
    <w:rsid w:val="008E5914"/>
    <w:rsid w:val="008E5A72"/>
    <w:rsid w:val="008E5B8F"/>
    <w:rsid w:val="008E5BD0"/>
    <w:rsid w:val="008E5D06"/>
    <w:rsid w:val="008E6151"/>
    <w:rsid w:val="008E658E"/>
    <w:rsid w:val="008E6813"/>
    <w:rsid w:val="008E6A5A"/>
    <w:rsid w:val="008E6A80"/>
    <w:rsid w:val="008E73B4"/>
    <w:rsid w:val="008E742F"/>
    <w:rsid w:val="008E74AD"/>
    <w:rsid w:val="008E7514"/>
    <w:rsid w:val="008E7517"/>
    <w:rsid w:val="008E75DA"/>
    <w:rsid w:val="008E7762"/>
    <w:rsid w:val="008E79C8"/>
    <w:rsid w:val="008E7B87"/>
    <w:rsid w:val="008E7BE8"/>
    <w:rsid w:val="008E7E50"/>
    <w:rsid w:val="008E7E64"/>
    <w:rsid w:val="008F0417"/>
    <w:rsid w:val="008F048C"/>
    <w:rsid w:val="008F0501"/>
    <w:rsid w:val="008F05D4"/>
    <w:rsid w:val="008F07DB"/>
    <w:rsid w:val="008F09AF"/>
    <w:rsid w:val="008F0AA9"/>
    <w:rsid w:val="008F0AAC"/>
    <w:rsid w:val="008F0DA4"/>
    <w:rsid w:val="008F0ED8"/>
    <w:rsid w:val="008F0F7B"/>
    <w:rsid w:val="008F0FE3"/>
    <w:rsid w:val="008F1191"/>
    <w:rsid w:val="008F142E"/>
    <w:rsid w:val="008F1512"/>
    <w:rsid w:val="008F18CC"/>
    <w:rsid w:val="008F1A58"/>
    <w:rsid w:val="008F1BD8"/>
    <w:rsid w:val="008F1E05"/>
    <w:rsid w:val="008F2074"/>
    <w:rsid w:val="008F20F3"/>
    <w:rsid w:val="008F219A"/>
    <w:rsid w:val="008F22AC"/>
    <w:rsid w:val="008F2366"/>
    <w:rsid w:val="008F2861"/>
    <w:rsid w:val="008F294F"/>
    <w:rsid w:val="008F2A4D"/>
    <w:rsid w:val="008F2B02"/>
    <w:rsid w:val="008F2B84"/>
    <w:rsid w:val="008F2D35"/>
    <w:rsid w:val="008F2E73"/>
    <w:rsid w:val="008F2F30"/>
    <w:rsid w:val="008F2F3B"/>
    <w:rsid w:val="008F3135"/>
    <w:rsid w:val="008F32CD"/>
    <w:rsid w:val="008F3350"/>
    <w:rsid w:val="008F3535"/>
    <w:rsid w:val="008F3551"/>
    <w:rsid w:val="008F3577"/>
    <w:rsid w:val="008F37DC"/>
    <w:rsid w:val="008F3933"/>
    <w:rsid w:val="008F3AE9"/>
    <w:rsid w:val="008F3B72"/>
    <w:rsid w:val="008F3E09"/>
    <w:rsid w:val="008F4088"/>
    <w:rsid w:val="008F497A"/>
    <w:rsid w:val="008F4BBB"/>
    <w:rsid w:val="008F4D7C"/>
    <w:rsid w:val="008F4DC7"/>
    <w:rsid w:val="008F4EFC"/>
    <w:rsid w:val="008F4F4C"/>
    <w:rsid w:val="008F5188"/>
    <w:rsid w:val="008F5349"/>
    <w:rsid w:val="008F542D"/>
    <w:rsid w:val="008F5460"/>
    <w:rsid w:val="008F54AF"/>
    <w:rsid w:val="008F58D1"/>
    <w:rsid w:val="008F5D1D"/>
    <w:rsid w:val="008F5F75"/>
    <w:rsid w:val="008F66A9"/>
    <w:rsid w:val="008F6972"/>
    <w:rsid w:val="008F69D9"/>
    <w:rsid w:val="008F6AA0"/>
    <w:rsid w:val="008F6C60"/>
    <w:rsid w:val="008F728C"/>
    <w:rsid w:val="008F757F"/>
    <w:rsid w:val="008F7A48"/>
    <w:rsid w:val="008F7CAD"/>
    <w:rsid w:val="008F7D9D"/>
    <w:rsid w:val="00900432"/>
    <w:rsid w:val="0090067A"/>
    <w:rsid w:val="00900DCE"/>
    <w:rsid w:val="00900E62"/>
    <w:rsid w:val="009010CB"/>
    <w:rsid w:val="00901160"/>
    <w:rsid w:val="00901197"/>
    <w:rsid w:val="009013F3"/>
    <w:rsid w:val="009014F1"/>
    <w:rsid w:val="00901502"/>
    <w:rsid w:val="009015F8"/>
    <w:rsid w:val="00901703"/>
    <w:rsid w:val="009018D3"/>
    <w:rsid w:val="0090194E"/>
    <w:rsid w:val="00901B06"/>
    <w:rsid w:val="00901B7B"/>
    <w:rsid w:val="00901ED3"/>
    <w:rsid w:val="00901FF1"/>
    <w:rsid w:val="0090214C"/>
    <w:rsid w:val="0090239B"/>
    <w:rsid w:val="00902670"/>
    <w:rsid w:val="009026BF"/>
    <w:rsid w:val="00902782"/>
    <w:rsid w:val="00902BB1"/>
    <w:rsid w:val="00902E92"/>
    <w:rsid w:val="009030CE"/>
    <w:rsid w:val="0090310E"/>
    <w:rsid w:val="00903132"/>
    <w:rsid w:val="00903231"/>
    <w:rsid w:val="0090352E"/>
    <w:rsid w:val="00903570"/>
    <w:rsid w:val="009037E8"/>
    <w:rsid w:val="00903816"/>
    <w:rsid w:val="00903BDD"/>
    <w:rsid w:val="00903EF8"/>
    <w:rsid w:val="009042B5"/>
    <w:rsid w:val="0090444C"/>
    <w:rsid w:val="00904A75"/>
    <w:rsid w:val="00904FB4"/>
    <w:rsid w:val="0090540A"/>
    <w:rsid w:val="009054B9"/>
    <w:rsid w:val="009054EA"/>
    <w:rsid w:val="00905588"/>
    <w:rsid w:val="00905C62"/>
    <w:rsid w:val="009067EF"/>
    <w:rsid w:val="009068B4"/>
    <w:rsid w:val="00906AB7"/>
    <w:rsid w:val="00906C1F"/>
    <w:rsid w:val="00906CA8"/>
    <w:rsid w:val="00906CB5"/>
    <w:rsid w:val="00907048"/>
    <w:rsid w:val="009070E5"/>
    <w:rsid w:val="009070F0"/>
    <w:rsid w:val="009071F3"/>
    <w:rsid w:val="0090759A"/>
    <w:rsid w:val="009075B5"/>
    <w:rsid w:val="0090784F"/>
    <w:rsid w:val="00907BA6"/>
    <w:rsid w:val="00907C0C"/>
    <w:rsid w:val="00907DA1"/>
    <w:rsid w:val="00907DE0"/>
    <w:rsid w:val="00907F19"/>
    <w:rsid w:val="00907F3C"/>
    <w:rsid w:val="00907FC1"/>
    <w:rsid w:val="00910DA0"/>
    <w:rsid w:val="0091121A"/>
    <w:rsid w:val="0091196D"/>
    <w:rsid w:val="00911B0C"/>
    <w:rsid w:val="00911DC3"/>
    <w:rsid w:val="00911EB6"/>
    <w:rsid w:val="0091258E"/>
    <w:rsid w:val="009125E3"/>
    <w:rsid w:val="00912973"/>
    <w:rsid w:val="00912A89"/>
    <w:rsid w:val="00912B57"/>
    <w:rsid w:val="00913046"/>
    <w:rsid w:val="009131DA"/>
    <w:rsid w:val="0091322A"/>
    <w:rsid w:val="009133D3"/>
    <w:rsid w:val="00913516"/>
    <w:rsid w:val="00913781"/>
    <w:rsid w:val="00913D77"/>
    <w:rsid w:val="00913D89"/>
    <w:rsid w:val="00913F90"/>
    <w:rsid w:val="00913FA5"/>
    <w:rsid w:val="00914494"/>
    <w:rsid w:val="00914C72"/>
    <w:rsid w:val="009151C3"/>
    <w:rsid w:val="0091522F"/>
    <w:rsid w:val="0091535E"/>
    <w:rsid w:val="0091551D"/>
    <w:rsid w:val="00915650"/>
    <w:rsid w:val="00915688"/>
    <w:rsid w:val="009156AF"/>
    <w:rsid w:val="009157F7"/>
    <w:rsid w:val="00915B36"/>
    <w:rsid w:val="00915E15"/>
    <w:rsid w:val="00915EA2"/>
    <w:rsid w:val="00916054"/>
    <w:rsid w:val="009161FC"/>
    <w:rsid w:val="00916558"/>
    <w:rsid w:val="009165D7"/>
    <w:rsid w:val="0091691F"/>
    <w:rsid w:val="00916A8B"/>
    <w:rsid w:val="00916EAD"/>
    <w:rsid w:val="00916F88"/>
    <w:rsid w:val="00916F9F"/>
    <w:rsid w:val="0091754B"/>
    <w:rsid w:val="0091758B"/>
    <w:rsid w:val="009176BC"/>
    <w:rsid w:val="00917958"/>
    <w:rsid w:val="00917B68"/>
    <w:rsid w:val="00917E13"/>
    <w:rsid w:val="0092017A"/>
    <w:rsid w:val="0092024F"/>
    <w:rsid w:val="0092055C"/>
    <w:rsid w:val="00920876"/>
    <w:rsid w:val="009208A6"/>
    <w:rsid w:val="009208E9"/>
    <w:rsid w:val="0092099B"/>
    <w:rsid w:val="00920AB0"/>
    <w:rsid w:val="00920C9B"/>
    <w:rsid w:val="00920CC9"/>
    <w:rsid w:val="00920D23"/>
    <w:rsid w:val="00921119"/>
    <w:rsid w:val="0092118C"/>
    <w:rsid w:val="00921B6E"/>
    <w:rsid w:val="00921DC1"/>
    <w:rsid w:val="00922185"/>
    <w:rsid w:val="0092224C"/>
    <w:rsid w:val="00922352"/>
    <w:rsid w:val="009224F1"/>
    <w:rsid w:val="00922669"/>
    <w:rsid w:val="0092289B"/>
    <w:rsid w:val="009229F9"/>
    <w:rsid w:val="00922A3D"/>
    <w:rsid w:val="00922A42"/>
    <w:rsid w:val="009230CD"/>
    <w:rsid w:val="0092326E"/>
    <w:rsid w:val="00923285"/>
    <w:rsid w:val="00923292"/>
    <w:rsid w:val="009233A3"/>
    <w:rsid w:val="009236E3"/>
    <w:rsid w:val="00923846"/>
    <w:rsid w:val="00923CBF"/>
    <w:rsid w:val="00924065"/>
    <w:rsid w:val="00924175"/>
    <w:rsid w:val="009245AA"/>
    <w:rsid w:val="00924780"/>
    <w:rsid w:val="0092508D"/>
    <w:rsid w:val="009251DE"/>
    <w:rsid w:val="009253A7"/>
    <w:rsid w:val="009254E8"/>
    <w:rsid w:val="00925942"/>
    <w:rsid w:val="00925F1B"/>
    <w:rsid w:val="00926047"/>
    <w:rsid w:val="009260A9"/>
    <w:rsid w:val="009260D1"/>
    <w:rsid w:val="00926114"/>
    <w:rsid w:val="009261B1"/>
    <w:rsid w:val="0092633E"/>
    <w:rsid w:val="0092664E"/>
    <w:rsid w:val="00926AE5"/>
    <w:rsid w:val="00926C63"/>
    <w:rsid w:val="00926E25"/>
    <w:rsid w:val="0092717A"/>
    <w:rsid w:val="00927250"/>
    <w:rsid w:val="0092739D"/>
    <w:rsid w:val="009274B8"/>
    <w:rsid w:val="009277D3"/>
    <w:rsid w:val="00927B97"/>
    <w:rsid w:val="00927C8C"/>
    <w:rsid w:val="00927D46"/>
    <w:rsid w:val="00927DC9"/>
    <w:rsid w:val="00930345"/>
    <w:rsid w:val="009303CE"/>
    <w:rsid w:val="0093042E"/>
    <w:rsid w:val="009306C9"/>
    <w:rsid w:val="0093075D"/>
    <w:rsid w:val="0093081F"/>
    <w:rsid w:val="0093097B"/>
    <w:rsid w:val="00930E1A"/>
    <w:rsid w:val="00930EA5"/>
    <w:rsid w:val="00931852"/>
    <w:rsid w:val="009319B8"/>
    <w:rsid w:val="00931AF9"/>
    <w:rsid w:val="0093212B"/>
    <w:rsid w:val="00932218"/>
    <w:rsid w:val="0093221A"/>
    <w:rsid w:val="00932264"/>
    <w:rsid w:val="009322E0"/>
    <w:rsid w:val="0093234D"/>
    <w:rsid w:val="009323C1"/>
    <w:rsid w:val="009323C8"/>
    <w:rsid w:val="00932742"/>
    <w:rsid w:val="00932803"/>
    <w:rsid w:val="00932952"/>
    <w:rsid w:val="00932C93"/>
    <w:rsid w:val="00932DD8"/>
    <w:rsid w:val="00932F82"/>
    <w:rsid w:val="00933139"/>
    <w:rsid w:val="00933217"/>
    <w:rsid w:val="0093322D"/>
    <w:rsid w:val="00933424"/>
    <w:rsid w:val="00933490"/>
    <w:rsid w:val="009335AB"/>
    <w:rsid w:val="00933AB6"/>
    <w:rsid w:val="0093413D"/>
    <w:rsid w:val="00934318"/>
    <w:rsid w:val="0093437E"/>
    <w:rsid w:val="0093468E"/>
    <w:rsid w:val="00934880"/>
    <w:rsid w:val="00934AB0"/>
    <w:rsid w:val="00934BBA"/>
    <w:rsid w:val="00934E1E"/>
    <w:rsid w:val="00934E7C"/>
    <w:rsid w:val="00935061"/>
    <w:rsid w:val="00935219"/>
    <w:rsid w:val="0093544A"/>
    <w:rsid w:val="00935B5D"/>
    <w:rsid w:val="00935C7F"/>
    <w:rsid w:val="00935C87"/>
    <w:rsid w:val="00935DBB"/>
    <w:rsid w:val="00935E55"/>
    <w:rsid w:val="0093636C"/>
    <w:rsid w:val="00936375"/>
    <w:rsid w:val="009363E9"/>
    <w:rsid w:val="009364DB"/>
    <w:rsid w:val="0093651A"/>
    <w:rsid w:val="009366A2"/>
    <w:rsid w:val="00936932"/>
    <w:rsid w:val="00936A5D"/>
    <w:rsid w:val="00936AB5"/>
    <w:rsid w:val="00936B37"/>
    <w:rsid w:val="00936BCC"/>
    <w:rsid w:val="00937111"/>
    <w:rsid w:val="00937434"/>
    <w:rsid w:val="009377A5"/>
    <w:rsid w:val="00937950"/>
    <w:rsid w:val="009379A0"/>
    <w:rsid w:val="00937BAE"/>
    <w:rsid w:val="00937F4A"/>
    <w:rsid w:val="00940118"/>
    <w:rsid w:val="00940174"/>
    <w:rsid w:val="00940229"/>
    <w:rsid w:val="0094030B"/>
    <w:rsid w:val="00940635"/>
    <w:rsid w:val="00940683"/>
    <w:rsid w:val="009409E5"/>
    <w:rsid w:val="00940A0B"/>
    <w:rsid w:val="00940CF6"/>
    <w:rsid w:val="009410FD"/>
    <w:rsid w:val="00941451"/>
    <w:rsid w:val="0094156F"/>
    <w:rsid w:val="00941762"/>
    <w:rsid w:val="0094185D"/>
    <w:rsid w:val="00941D7A"/>
    <w:rsid w:val="00942260"/>
    <w:rsid w:val="00942487"/>
    <w:rsid w:val="0094250A"/>
    <w:rsid w:val="009426C5"/>
    <w:rsid w:val="0094274F"/>
    <w:rsid w:val="00942809"/>
    <w:rsid w:val="00942C5A"/>
    <w:rsid w:val="00942CC8"/>
    <w:rsid w:val="00943070"/>
    <w:rsid w:val="009439BC"/>
    <w:rsid w:val="00943A84"/>
    <w:rsid w:val="00943BEC"/>
    <w:rsid w:val="00943CB8"/>
    <w:rsid w:val="00943D94"/>
    <w:rsid w:val="00943FFD"/>
    <w:rsid w:val="0094418C"/>
    <w:rsid w:val="009443D0"/>
    <w:rsid w:val="00944545"/>
    <w:rsid w:val="00944A6B"/>
    <w:rsid w:val="00944BB8"/>
    <w:rsid w:val="00944BCC"/>
    <w:rsid w:val="00944C28"/>
    <w:rsid w:val="00944CB1"/>
    <w:rsid w:val="00945081"/>
    <w:rsid w:val="00945770"/>
    <w:rsid w:val="009458AA"/>
    <w:rsid w:val="00945AED"/>
    <w:rsid w:val="00945BD2"/>
    <w:rsid w:val="00945F8F"/>
    <w:rsid w:val="0094613C"/>
    <w:rsid w:val="009461A4"/>
    <w:rsid w:val="00946247"/>
    <w:rsid w:val="009462C0"/>
    <w:rsid w:val="009467DB"/>
    <w:rsid w:val="009471B1"/>
    <w:rsid w:val="00947401"/>
    <w:rsid w:val="0094771E"/>
    <w:rsid w:val="0094773A"/>
    <w:rsid w:val="00947784"/>
    <w:rsid w:val="009479E6"/>
    <w:rsid w:val="00947BC3"/>
    <w:rsid w:val="00947D54"/>
    <w:rsid w:val="009503BB"/>
    <w:rsid w:val="00950639"/>
    <w:rsid w:val="00950834"/>
    <w:rsid w:val="00950BDA"/>
    <w:rsid w:val="00950E34"/>
    <w:rsid w:val="009512ED"/>
    <w:rsid w:val="009513D6"/>
    <w:rsid w:val="00951702"/>
    <w:rsid w:val="00951E37"/>
    <w:rsid w:val="00951ED2"/>
    <w:rsid w:val="009522DD"/>
    <w:rsid w:val="009523F6"/>
    <w:rsid w:val="00952503"/>
    <w:rsid w:val="009525CF"/>
    <w:rsid w:val="009525EE"/>
    <w:rsid w:val="00952643"/>
    <w:rsid w:val="009526A6"/>
    <w:rsid w:val="0095286B"/>
    <w:rsid w:val="009528AC"/>
    <w:rsid w:val="009528DA"/>
    <w:rsid w:val="00952D57"/>
    <w:rsid w:val="009530E2"/>
    <w:rsid w:val="009535AA"/>
    <w:rsid w:val="00953756"/>
    <w:rsid w:val="00953977"/>
    <w:rsid w:val="00953A29"/>
    <w:rsid w:val="00953A8C"/>
    <w:rsid w:val="00953E53"/>
    <w:rsid w:val="009542C7"/>
    <w:rsid w:val="009542CE"/>
    <w:rsid w:val="00954302"/>
    <w:rsid w:val="0095439E"/>
    <w:rsid w:val="0095489A"/>
    <w:rsid w:val="009548B1"/>
    <w:rsid w:val="009549C7"/>
    <w:rsid w:val="00954B0D"/>
    <w:rsid w:val="00954BDF"/>
    <w:rsid w:val="00954CE3"/>
    <w:rsid w:val="009550F8"/>
    <w:rsid w:val="00955251"/>
    <w:rsid w:val="00955379"/>
    <w:rsid w:val="00955399"/>
    <w:rsid w:val="009554DD"/>
    <w:rsid w:val="009554FD"/>
    <w:rsid w:val="009556FE"/>
    <w:rsid w:val="00955AFC"/>
    <w:rsid w:val="00955C59"/>
    <w:rsid w:val="00955D23"/>
    <w:rsid w:val="00955DA1"/>
    <w:rsid w:val="00956478"/>
    <w:rsid w:val="00956481"/>
    <w:rsid w:val="00956512"/>
    <w:rsid w:val="009565A3"/>
    <w:rsid w:val="009566C5"/>
    <w:rsid w:val="00956AC3"/>
    <w:rsid w:val="00956AE3"/>
    <w:rsid w:val="00956BCA"/>
    <w:rsid w:val="0095731A"/>
    <w:rsid w:val="009578B6"/>
    <w:rsid w:val="0095790D"/>
    <w:rsid w:val="00957BE2"/>
    <w:rsid w:val="00957D86"/>
    <w:rsid w:val="00957EA5"/>
    <w:rsid w:val="00957EDC"/>
    <w:rsid w:val="00957F53"/>
    <w:rsid w:val="009604B8"/>
    <w:rsid w:val="00960B0D"/>
    <w:rsid w:val="00960CCF"/>
    <w:rsid w:val="00960FD1"/>
    <w:rsid w:val="00961042"/>
    <w:rsid w:val="009611E6"/>
    <w:rsid w:val="00961497"/>
    <w:rsid w:val="0096150E"/>
    <w:rsid w:val="00961514"/>
    <w:rsid w:val="00961647"/>
    <w:rsid w:val="00961767"/>
    <w:rsid w:val="009619E5"/>
    <w:rsid w:val="00961AC5"/>
    <w:rsid w:val="00961AD6"/>
    <w:rsid w:val="00961DC0"/>
    <w:rsid w:val="00961F48"/>
    <w:rsid w:val="009620DC"/>
    <w:rsid w:val="009623F3"/>
    <w:rsid w:val="009624BC"/>
    <w:rsid w:val="009624C2"/>
    <w:rsid w:val="00962800"/>
    <w:rsid w:val="00962844"/>
    <w:rsid w:val="009628BB"/>
    <w:rsid w:val="00962A5C"/>
    <w:rsid w:val="00962B51"/>
    <w:rsid w:val="00962CE6"/>
    <w:rsid w:val="00963040"/>
    <w:rsid w:val="00963788"/>
    <w:rsid w:val="00963801"/>
    <w:rsid w:val="009638BB"/>
    <w:rsid w:val="00963C67"/>
    <w:rsid w:val="00963D2A"/>
    <w:rsid w:val="00963F51"/>
    <w:rsid w:val="0096413A"/>
    <w:rsid w:val="00964152"/>
    <w:rsid w:val="00964326"/>
    <w:rsid w:val="00964516"/>
    <w:rsid w:val="00964A7A"/>
    <w:rsid w:val="00964CEB"/>
    <w:rsid w:val="00965124"/>
    <w:rsid w:val="0096521E"/>
    <w:rsid w:val="009654BF"/>
    <w:rsid w:val="00965735"/>
    <w:rsid w:val="00965D42"/>
    <w:rsid w:val="00965D92"/>
    <w:rsid w:val="00965F37"/>
    <w:rsid w:val="00965F40"/>
    <w:rsid w:val="00966685"/>
    <w:rsid w:val="009667B9"/>
    <w:rsid w:val="00966B34"/>
    <w:rsid w:val="00966BD9"/>
    <w:rsid w:val="00966FDC"/>
    <w:rsid w:val="00967009"/>
    <w:rsid w:val="00967056"/>
    <w:rsid w:val="009670A1"/>
    <w:rsid w:val="009672A6"/>
    <w:rsid w:val="00967795"/>
    <w:rsid w:val="0096788F"/>
    <w:rsid w:val="00967B72"/>
    <w:rsid w:val="00967B83"/>
    <w:rsid w:val="00970141"/>
    <w:rsid w:val="009704EC"/>
    <w:rsid w:val="00970510"/>
    <w:rsid w:val="009706CB"/>
    <w:rsid w:val="00970777"/>
    <w:rsid w:val="00970782"/>
    <w:rsid w:val="009707E6"/>
    <w:rsid w:val="00970BE0"/>
    <w:rsid w:val="00970C6A"/>
    <w:rsid w:val="00970E5A"/>
    <w:rsid w:val="00970F6A"/>
    <w:rsid w:val="00971032"/>
    <w:rsid w:val="00971135"/>
    <w:rsid w:val="00971441"/>
    <w:rsid w:val="0097145F"/>
    <w:rsid w:val="009715E7"/>
    <w:rsid w:val="00971677"/>
    <w:rsid w:val="00971A91"/>
    <w:rsid w:val="00972065"/>
    <w:rsid w:val="009721DB"/>
    <w:rsid w:val="009722F9"/>
    <w:rsid w:val="00972988"/>
    <w:rsid w:val="00972A06"/>
    <w:rsid w:val="00972C2A"/>
    <w:rsid w:val="00972F06"/>
    <w:rsid w:val="009738F8"/>
    <w:rsid w:val="00973A25"/>
    <w:rsid w:val="00973B90"/>
    <w:rsid w:val="00973DCB"/>
    <w:rsid w:val="00973E14"/>
    <w:rsid w:val="0097459F"/>
    <w:rsid w:val="009745D8"/>
    <w:rsid w:val="009747C0"/>
    <w:rsid w:val="009748C0"/>
    <w:rsid w:val="00974AA8"/>
    <w:rsid w:val="00975001"/>
    <w:rsid w:val="009750A0"/>
    <w:rsid w:val="0097521F"/>
    <w:rsid w:val="00975295"/>
    <w:rsid w:val="00975E2D"/>
    <w:rsid w:val="00976195"/>
    <w:rsid w:val="009765B7"/>
    <w:rsid w:val="009768C0"/>
    <w:rsid w:val="00976A57"/>
    <w:rsid w:val="00976B75"/>
    <w:rsid w:val="00976C81"/>
    <w:rsid w:val="00976C8F"/>
    <w:rsid w:val="00976FE2"/>
    <w:rsid w:val="00977548"/>
    <w:rsid w:val="0097791C"/>
    <w:rsid w:val="00977C2F"/>
    <w:rsid w:val="00977E44"/>
    <w:rsid w:val="00977EB8"/>
    <w:rsid w:val="00977F13"/>
    <w:rsid w:val="00977F61"/>
    <w:rsid w:val="00980002"/>
    <w:rsid w:val="00980043"/>
    <w:rsid w:val="0098053D"/>
    <w:rsid w:val="00980648"/>
    <w:rsid w:val="00980A64"/>
    <w:rsid w:val="00980BE1"/>
    <w:rsid w:val="00980DE2"/>
    <w:rsid w:val="00981018"/>
    <w:rsid w:val="0098144C"/>
    <w:rsid w:val="00981618"/>
    <w:rsid w:val="00981852"/>
    <w:rsid w:val="00981A6A"/>
    <w:rsid w:val="00981C0A"/>
    <w:rsid w:val="00981C27"/>
    <w:rsid w:val="00981E29"/>
    <w:rsid w:val="0098214A"/>
    <w:rsid w:val="009821D4"/>
    <w:rsid w:val="009822C2"/>
    <w:rsid w:val="009823A1"/>
    <w:rsid w:val="0098244E"/>
    <w:rsid w:val="009824DF"/>
    <w:rsid w:val="00982940"/>
    <w:rsid w:val="00982946"/>
    <w:rsid w:val="009829E0"/>
    <w:rsid w:val="00982D3F"/>
    <w:rsid w:val="00983215"/>
    <w:rsid w:val="00983354"/>
    <w:rsid w:val="00983375"/>
    <w:rsid w:val="009833C8"/>
    <w:rsid w:val="00983606"/>
    <w:rsid w:val="009837F9"/>
    <w:rsid w:val="00983947"/>
    <w:rsid w:val="009839F2"/>
    <w:rsid w:val="00983C02"/>
    <w:rsid w:val="00983DAE"/>
    <w:rsid w:val="00983EBF"/>
    <w:rsid w:val="00983EEE"/>
    <w:rsid w:val="00984128"/>
    <w:rsid w:val="00984336"/>
    <w:rsid w:val="0098493A"/>
    <w:rsid w:val="0098503E"/>
    <w:rsid w:val="009850FC"/>
    <w:rsid w:val="009854EC"/>
    <w:rsid w:val="009857EE"/>
    <w:rsid w:val="00985A7F"/>
    <w:rsid w:val="00985BE4"/>
    <w:rsid w:val="00985F95"/>
    <w:rsid w:val="00985FB8"/>
    <w:rsid w:val="009860B3"/>
    <w:rsid w:val="009861B6"/>
    <w:rsid w:val="0098641D"/>
    <w:rsid w:val="00986467"/>
    <w:rsid w:val="00986638"/>
    <w:rsid w:val="00986768"/>
    <w:rsid w:val="00986936"/>
    <w:rsid w:val="00986BCB"/>
    <w:rsid w:val="00986CC1"/>
    <w:rsid w:val="00986D23"/>
    <w:rsid w:val="009873FF"/>
    <w:rsid w:val="009879C5"/>
    <w:rsid w:val="00987AF4"/>
    <w:rsid w:val="00987D1E"/>
    <w:rsid w:val="00987E2D"/>
    <w:rsid w:val="00987E6E"/>
    <w:rsid w:val="009900D2"/>
    <w:rsid w:val="00990442"/>
    <w:rsid w:val="00990650"/>
    <w:rsid w:val="00990693"/>
    <w:rsid w:val="0099091D"/>
    <w:rsid w:val="0099096C"/>
    <w:rsid w:val="00990987"/>
    <w:rsid w:val="00990A43"/>
    <w:rsid w:val="00990B4A"/>
    <w:rsid w:val="00990B4D"/>
    <w:rsid w:val="00990FE0"/>
    <w:rsid w:val="009910B0"/>
    <w:rsid w:val="00991397"/>
    <w:rsid w:val="009916CE"/>
    <w:rsid w:val="00991760"/>
    <w:rsid w:val="00991782"/>
    <w:rsid w:val="009917E4"/>
    <w:rsid w:val="009917FD"/>
    <w:rsid w:val="0099180E"/>
    <w:rsid w:val="00991B9B"/>
    <w:rsid w:val="00991CC2"/>
    <w:rsid w:val="00992181"/>
    <w:rsid w:val="00992499"/>
    <w:rsid w:val="00992504"/>
    <w:rsid w:val="0099252E"/>
    <w:rsid w:val="00992A49"/>
    <w:rsid w:val="00992B3A"/>
    <w:rsid w:val="00992C2E"/>
    <w:rsid w:val="00992D62"/>
    <w:rsid w:val="00992ECB"/>
    <w:rsid w:val="00992F50"/>
    <w:rsid w:val="00993036"/>
    <w:rsid w:val="00993097"/>
    <w:rsid w:val="00993103"/>
    <w:rsid w:val="00993188"/>
    <w:rsid w:val="00993190"/>
    <w:rsid w:val="0099324F"/>
    <w:rsid w:val="00993852"/>
    <w:rsid w:val="009938BA"/>
    <w:rsid w:val="0099390F"/>
    <w:rsid w:val="00993BB8"/>
    <w:rsid w:val="00993C90"/>
    <w:rsid w:val="00993DFD"/>
    <w:rsid w:val="00993F0E"/>
    <w:rsid w:val="00993F3A"/>
    <w:rsid w:val="00994192"/>
    <w:rsid w:val="00994339"/>
    <w:rsid w:val="009945A2"/>
    <w:rsid w:val="0099468B"/>
    <w:rsid w:val="0099478A"/>
    <w:rsid w:val="009949FE"/>
    <w:rsid w:val="00994AC3"/>
    <w:rsid w:val="00994B8F"/>
    <w:rsid w:val="00994BDF"/>
    <w:rsid w:val="00994F5B"/>
    <w:rsid w:val="0099507F"/>
    <w:rsid w:val="0099528D"/>
    <w:rsid w:val="00995628"/>
    <w:rsid w:val="00995873"/>
    <w:rsid w:val="009959D5"/>
    <w:rsid w:val="00995D74"/>
    <w:rsid w:val="00995DEC"/>
    <w:rsid w:val="00995E59"/>
    <w:rsid w:val="0099623A"/>
    <w:rsid w:val="009964FE"/>
    <w:rsid w:val="0099656C"/>
    <w:rsid w:val="0099687B"/>
    <w:rsid w:val="0099694E"/>
    <w:rsid w:val="00996AD4"/>
    <w:rsid w:val="00997190"/>
    <w:rsid w:val="00997230"/>
    <w:rsid w:val="0099779B"/>
    <w:rsid w:val="00997B9F"/>
    <w:rsid w:val="00997D5D"/>
    <w:rsid w:val="00997E01"/>
    <w:rsid w:val="00997E5F"/>
    <w:rsid w:val="00997ECD"/>
    <w:rsid w:val="009A00E6"/>
    <w:rsid w:val="009A0A3C"/>
    <w:rsid w:val="009A0B77"/>
    <w:rsid w:val="009A0C35"/>
    <w:rsid w:val="009A0D92"/>
    <w:rsid w:val="009A12C0"/>
    <w:rsid w:val="009A17F5"/>
    <w:rsid w:val="009A18D6"/>
    <w:rsid w:val="009A1D7D"/>
    <w:rsid w:val="009A1EEF"/>
    <w:rsid w:val="009A1F17"/>
    <w:rsid w:val="009A27DE"/>
    <w:rsid w:val="009A28CB"/>
    <w:rsid w:val="009A2A67"/>
    <w:rsid w:val="009A2C80"/>
    <w:rsid w:val="009A2F6A"/>
    <w:rsid w:val="009A3113"/>
    <w:rsid w:val="009A319E"/>
    <w:rsid w:val="009A3336"/>
    <w:rsid w:val="009A3427"/>
    <w:rsid w:val="009A3525"/>
    <w:rsid w:val="009A359B"/>
    <w:rsid w:val="009A35FC"/>
    <w:rsid w:val="009A3C09"/>
    <w:rsid w:val="009A3D99"/>
    <w:rsid w:val="009A411B"/>
    <w:rsid w:val="009A4168"/>
    <w:rsid w:val="009A4413"/>
    <w:rsid w:val="009A4440"/>
    <w:rsid w:val="009A46EC"/>
    <w:rsid w:val="009A47EF"/>
    <w:rsid w:val="009A4963"/>
    <w:rsid w:val="009A4A5F"/>
    <w:rsid w:val="009A4A97"/>
    <w:rsid w:val="009A4B14"/>
    <w:rsid w:val="009A4DCB"/>
    <w:rsid w:val="009A4FEC"/>
    <w:rsid w:val="009A5192"/>
    <w:rsid w:val="009A5499"/>
    <w:rsid w:val="009A54AD"/>
    <w:rsid w:val="009A54C9"/>
    <w:rsid w:val="009A567B"/>
    <w:rsid w:val="009A5828"/>
    <w:rsid w:val="009A59AF"/>
    <w:rsid w:val="009A5AD6"/>
    <w:rsid w:val="009A5F84"/>
    <w:rsid w:val="009A601D"/>
    <w:rsid w:val="009A6162"/>
    <w:rsid w:val="009A6334"/>
    <w:rsid w:val="009A63F5"/>
    <w:rsid w:val="009A65B4"/>
    <w:rsid w:val="009A69A2"/>
    <w:rsid w:val="009A69CD"/>
    <w:rsid w:val="009A69E1"/>
    <w:rsid w:val="009A6B7E"/>
    <w:rsid w:val="009A6D7C"/>
    <w:rsid w:val="009A6F61"/>
    <w:rsid w:val="009A7040"/>
    <w:rsid w:val="009A7049"/>
    <w:rsid w:val="009A7474"/>
    <w:rsid w:val="009A766F"/>
    <w:rsid w:val="009A7886"/>
    <w:rsid w:val="009A7BC5"/>
    <w:rsid w:val="009A7DBB"/>
    <w:rsid w:val="009B0105"/>
    <w:rsid w:val="009B034E"/>
    <w:rsid w:val="009B0399"/>
    <w:rsid w:val="009B068D"/>
    <w:rsid w:val="009B0D73"/>
    <w:rsid w:val="009B0F80"/>
    <w:rsid w:val="009B12D1"/>
    <w:rsid w:val="009B14CB"/>
    <w:rsid w:val="009B15EA"/>
    <w:rsid w:val="009B18CD"/>
    <w:rsid w:val="009B2053"/>
    <w:rsid w:val="009B20A4"/>
    <w:rsid w:val="009B20F3"/>
    <w:rsid w:val="009B224D"/>
    <w:rsid w:val="009B2749"/>
    <w:rsid w:val="009B299C"/>
    <w:rsid w:val="009B2A1D"/>
    <w:rsid w:val="009B2C9A"/>
    <w:rsid w:val="009B2FF0"/>
    <w:rsid w:val="009B3078"/>
    <w:rsid w:val="009B309A"/>
    <w:rsid w:val="009B30F5"/>
    <w:rsid w:val="009B3272"/>
    <w:rsid w:val="009B3536"/>
    <w:rsid w:val="009B3A73"/>
    <w:rsid w:val="009B3C89"/>
    <w:rsid w:val="009B3C97"/>
    <w:rsid w:val="009B4197"/>
    <w:rsid w:val="009B44FA"/>
    <w:rsid w:val="009B46A3"/>
    <w:rsid w:val="009B481C"/>
    <w:rsid w:val="009B4F02"/>
    <w:rsid w:val="009B5094"/>
    <w:rsid w:val="009B515B"/>
    <w:rsid w:val="009B5251"/>
    <w:rsid w:val="009B53F0"/>
    <w:rsid w:val="009B596B"/>
    <w:rsid w:val="009B59BC"/>
    <w:rsid w:val="009B5F13"/>
    <w:rsid w:val="009B6233"/>
    <w:rsid w:val="009B62ED"/>
    <w:rsid w:val="009B6386"/>
    <w:rsid w:val="009B6B8F"/>
    <w:rsid w:val="009B6E1E"/>
    <w:rsid w:val="009B6E26"/>
    <w:rsid w:val="009B6FA4"/>
    <w:rsid w:val="009B7021"/>
    <w:rsid w:val="009B70F8"/>
    <w:rsid w:val="009B7552"/>
    <w:rsid w:val="009B7666"/>
    <w:rsid w:val="009B797B"/>
    <w:rsid w:val="009B7D24"/>
    <w:rsid w:val="009B7EA7"/>
    <w:rsid w:val="009C0122"/>
    <w:rsid w:val="009C0234"/>
    <w:rsid w:val="009C027E"/>
    <w:rsid w:val="009C04D4"/>
    <w:rsid w:val="009C04EC"/>
    <w:rsid w:val="009C071B"/>
    <w:rsid w:val="009C084F"/>
    <w:rsid w:val="009C089A"/>
    <w:rsid w:val="009C0A5C"/>
    <w:rsid w:val="009C0AC9"/>
    <w:rsid w:val="009C0BA6"/>
    <w:rsid w:val="009C0E78"/>
    <w:rsid w:val="009C1317"/>
    <w:rsid w:val="009C1392"/>
    <w:rsid w:val="009C16C6"/>
    <w:rsid w:val="009C17B0"/>
    <w:rsid w:val="009C18D5"/>
    <w:rsid w:val="009C1927"/>
    <w:rsid w:val="009C1B2B"/>
    <w:rsid w:val="009C1BF1"/>
    <w:rsid w:val="009C1C13"/>
    <w:rsid w:val="009C1D02"/>
    <w:rsid w:val="009C1D0B"/>
    <w:rsid w:val="009C21B8"/>
    <w:rsid w:val="009C21E4"/>
    <w:rsid w:val="009C21FE"/>
    <w:rsid w:val="009C2590"/>
    <w:rsid w:val="009C2732"/>
    <w:rsid w:val="009C27E7"/>
    <w:rsid w:val="009C2891"/>
    <w:rsid w:val="009C28A7"/>
    <w:rsid w:val="009C28C3"/>
    <w:rsid w:val="009C28E7"/>
    <w:rsid w:val="009C2F2C"/>
    <w:rsid w:val="009C349A"/>
    <w:rsid w:val="009C39A5"/>
    <w:rsid w:val="009C3E17"/>
    <w:rsid w:val="009C405C"/>
    <w:rsid w:val="009C458E"/>
    <w:rsid w:val="009C4804"/>
    <w:rsid w:val="009C4910"/>
    <w:rsid w:val="009C4AE1"/>
    <w:rsid w:val="009C550E"/>
    <w:rsid w:val="009C5630"/>
    <w:rsid w:val="009C574F"/>
    <w:rsid w:val="009C5893"/>
    <w:rsid w:val="009C5B07"/>
    <w:rsid w:val="009C630D"/>
    <w:rsid w:val="009C698E"/>
    <w:rsid w:val="009C6CB5"/>
    <w:rsid w:val="009C6E97"/>
    <w:rsid w:val="009C7121"/>
    <w:rsid w:val="009C72D3"/>
    <w:rsid w:val="009C7406"/>
    <w:rsid w:val="009C74D0"/>
    <w:rsid w:val="009C764F"/>
    <w:rsid w:val="009C794A"/>
    <w:rsid w:val="009C79F6"/>
    <w:rsid w:val="009C7CA7"/>
    <w:rsid w:val="009C7FB5"/>
    <w:rsid w:val="009D0212"/>
    <w:rsid w:val="009D0247"/>
    <w:rsid w:val="009D028B"/>
    <w:rsid w:val="009D029D"/>
    <w:rsid w:val="009D02FE"/>
    <w:rsid w:val="009D05EA"/>
    <w:rsid w:val="009D0F0B"/>
    <w:rsid w:val="009D1253"/>
    <w:rsid w:val="009D126F"/>
    <w:rsid w:val="009D170E"/>
    <w:rsid w:val="009D17D0"/>
    <w:rsid w:val="009D1897"/>
    <w:rsid w:val="009D1AC4"/>
    <w:rsid w:val="009D1D47"/>
    <w:rsid w:val="009D1E41"/>
    <w:rsid w:val="009D1FA3"/>
    <w:rsid w:val="009D20C1"/>
    <w:rsid w:val="009D2133"/>
    <w:rsid w:val="009D267E"/>
    <w:rsid w:val="009D2A53"/>
    <w:rsid w:val="009D2C1B"/>
    <w:rsid w:val="009D2E2C"/>
    <w:rsid w:val="009D2EFA"/>
    <w:rsid w:val="009D3382"/>
    <w:rsid w:val="009D33F3"/>
    <w:rsid w:val="009D3516"/>
    <w:rsid w:val="009D354A"/>
    <w:rsid w:val="009D359C"/>
    <w:rsid w:val="009D370A"/>
    <w:rsid w:val="009D37AE"/>
    <w:rsid w:val="009D3B48"/>
    <w:rsid w:val="009D3DCB"/>
    <w:rsid w:val="009D3DD6"/>
    <w:rsid w:val="009D3E47"/>
    <w:rsid w:val="009D3E96"/>
    <w:rsid w:val="009D3ED0"/>
    <w:rsid w:val="009D3F77"/>
    <w:rsid w:val="009D42A7"/>
    <w:rsid w:val="009D4423"/>
    <w:rsid w:val="009D448A"/>
    <w:rsid w:val="009D4644"/>
    <w:rsid w:val="009D466B"/>
    <w:rsid w:val="009D46BC"/>
    <w:rsid w:val="009D4774"/>
    <w:rsid w:val="009D48B4"/>
    <w:rsid w:val="009D49D8"/>
    <w:rsid w:val="009D4A74"/>
    <w:rsid w:val="009D4BC4"/>
    <w:rsid w:val="009D5203"/>
    <w:rsid w:val="009D521C"/>
    <w:rsid w:val="009D5302"/>
    <w:rsid w:val="009D5605"/>
    <w:rsid w:val="009D5738"/>
    <w:rsid w:val="009D5B3E"/>
    <w:rsid w:val="009D5F05"/>
    <w:rsid w:val="009D5FEC"/>
    <w:rsid w:val="009D6229"/>
    <w:rsid w:val="009D6396"/>
    <w:rsid w:val="009D66B9"/>
    <w:rsid w:val="009D6833"/>
    <w:rsid w:val="009D69E4"/>
    <w:rsid w:val="009D6F6A"/>
    <w:rsid w:val="009D7420"/>
    <w:rsid w:val="009D7528"/>
    <w:rsid w:val="009D75F0"/>
    <w:rsid w:val="009D7646"/>
    <w:rsid w:val="009D78D0"/>
    <w:rsid w:val="009E0718"/>
    <w:rsid w:val="009E0E51"/>
    <w:rsid w:val="009E0E59"/>
    <w:rsid w:val="009E114D"/>
    <w:rsid w:val="009E1622"/>
    <w:rsid w:val="009E1858"/>
    <w:rsid w:val="009E18C1"/>
    <w:rsid w:val="009E2499"/>
    <w:rsid w:val="009E25D3"/>
    <w:rsid w:val="009E264E"/>
    <w:rsid w:val="009E268D"/>
    <w:rsid w:val="009E281F"/>
    <w:rsid w:val="009E28D8"/>
    <w:rsid w:val="009E2976"/>
    <w:rsid w:val="009E2A53"/>
    <w:rsid w:val="009E2BCF"/>
    <w:rsid w:val="009E31A1"/>
    <w:rsid w:val="009E3435"/>
    <w:rsid w:val="009E3451"/>
    <w:rsid w:val="009E3634"/>
    <w:rsid w:val="009E3BD1"/>
    <w:rsid w:val="009E3D07"/>
    <w:rsid w:val="009E3DE2"/>
    <w:rsid w:val="009E3DFE"/>
    <w:rsid w:val="009E4158"/>
    <w:rsid w:val="009E4380"/>
    <w:rsid w:val="009E4515"/>
    <w:rsid w:val="009E45A3"/>
    <w:rsid w:val="009E46D6"/>
    <w:rsid w:val="009E4759"/>
    <w:rsid w:val="009E4AD4"/>
    <w:rsid w:val="009E4B64"/>
    <w:rsid w:val="009E4BFF"/>
    <w:rsid w:val="009E4C82"/>
    <w:rsid w:val="009E4F7B"/>
    <w:rsid w:val="009E50F0"/>
    <w:rsid w:val="009E53A8"/>
    <w:rsid w:val="009E5706"/>
    <w:rsid w:val="009E5B19"/>
    <w:rsid w:val="009E5B3A"/>
    <w:rsid w:val="009E5D5F"/>
    <w:rsid w:val="009E5F20"/>
    <w:rsid w:val="009E5F97"/>
    <w:rsid w:val="009E638C"/>
    <w:rsid w:val="009E63E4"/>
    <w:rsid w:val="009E65DC"/>
    <w:rsid w:val="009E674D"/>
    <w:rsid w:val="009E6C88"/>
    <w:rsid w:val="009E6DB6"/>
    <w:rsid w:val="009E7068"/>
    <w:rsid w:val="009E7221"/>
    <w:rsid w:val="009E74F6"/>
    <w:rsid w:val="009E7617"/>
    <w:rsid w:val="009E7AE3"/>
    <w:rsid w:val="009E7D35"/>
    <w:rsid w:val="009F0082"/>
    <w:rsid w:val="009F0445"/>
    <w:rsid w:val="009F05A3"/>
    <w:rsid w:val="009F07D2"/>
    <w:rsid w:val="009F0821"/>
    <w:rsid w:val="009F0924"/>
    <w:rsid w:val="009F0DEB"/>
    <w:rsid w:val="009F0E3D"/>
    <w:rsid w:val="009F0EE3"/>
    <w:rsid w:val="009F13CC"/>
    <w:rsid w:val="009F157F"/>
    <w:rsid w:val="009F188B"/>
    <w:rsid w:val="009F2097"/>
    <w:rsid w:val="009F2532"/>
    <w:rsid w:val="009F2680"/>
    <w:rsid w:val="009F2707"/>
    <w:rsid w:val="009F27B3"/>
    <w:rsid w:val="009F2BBA"/>
    <w:rsid w:val="009F2C8A"/>
    <w:rsid w:val="009F2CC2"/>
    <w:rsid w:val="009F2D9B"/>
    <w:rsid w:val="009F337B"/>
    <w:rsid w:val="009F374F"/>
    <w:rsid w:val="009F3768"/>
    <w:rsid w:val="009F38B2"/>
    <w:rsid w:val="009F3A86"/>
    <w:rsid w:val="009F3CF2"/>
    <w:rsid w:val="009F3DB7"/>
    <w:rsid w:val="009F4013"/>
    <w:rsid w:val="009F4055"/>
    <w:rsid w:val="009F42D4"/>
    <w:rsid w:val="009F447D"/>
    <w:rsid w:val="009F4480"/>
    <w:rsid w:val="009F44B5"/>
    <w:rsid w:val="009F4572"/>
    <w:rsid w:val="009F457F"/>
    <w:rsid w:val="009F4CB4"/>
    <w:rsid w:val="009F4D6E"/>
    <w:rsid w:val="009F51D9"/>
    <w:rsid w:val="009F54F8"/>
    <w:rsid w:val="009F5623"/>
    <w:rsid w:val="009F569D"/>
    <w:rsid w:val="009F5764"/>
    <w:rsid w:val="009F57E3"/>
    <w:rsid w:val="009F5ADF"/>
    <w:rsid w:val="009F5C72"/>
    <w:rsid w:val="009F5F76"/>
    <w:rsid w:val="009F5F9B"/>
    <w:rsid w:val="009F5FB2"/>
    <w:rsid w:val="009F60F6"/>
    <w:rsid w:val="009F6272"/>
    <w:rsid w:val="009F640F"/>
    <w:rsid w:val="009F64C0"/>
    <w:rsid w:val="009F6842"/>
    <w:rsid w:val="009F6C0F"/>
    <w:rsid w:val="009F6C36"/>
    <w:rsid w:val="009F7098"/>
    <w:rsid w:val="009F7459"/>
    <w:rsid w:val="009F7871"/>
    <w:rsid w:val="009F79F4"/>
    <w:rsid w:val="009F79FE"/>
    <w:rsid w:val="009F7B51"/>
    <w:rsid w:val="009F7D13"/>
    <w:rsid w:val="009F7DEF"/>
    <w:rsid w:val="009F7E20"/>
    <w:rsid w:val="00A0027B"/>
    <w:rsid w:val="00A00284"/>
    <w:rsid w:val="00A00364"/>
    <w:rsid w:val="00A003A5"/>
    <w:rsid w:val="00A0056D"/>
    <w:rsid w:val="00A00776"/>
    <w:rsid w:val="00A0090A"/>
    <w:rsid w:val="00A00AA1"/>
    <w:rsid w:val="00A00CD6"/>
    <w:rsid w:val="00A00D5A"/>
    <w:rsid w:val="00A01266"/>
    <w:rsid w:val="00A01268"/>
    <w:rsid w:val="00A01272"/>
    <w:rsid w:val="00A01584"/>
    <w:rsid w:val="00A015DE"/>
    <w:rsid w:val="00A018A6"/>
    <w:rsid w:val="00A01982"/>
    <w:rsid w:val="00A01DAC"/>
    <w:rsid w:val="00A023D6"/>
    <w:rsid w:val="00A0278F"/>
    <w:rsid w:val="00A0279E"/>
    <w:rsid w:val="00A028B5"/>
    <w:rsid w:val="00A0297A"/>
    <w:rsid w:val="00A02DBE"/>
    <w:rsid w:val="00A02EBE"/>
    <w:rsid w:val="00A02FD8"/>
    <w:rsid w:val="00A03495"/>
    <w:rsid w:val="00A03843"/>
    <w:rsid w:val="00A03A90"/>
    <w:rsid w:val="00A03B86"/>
    <w:rsid w:val="00A03BA0"/>
    <w:rsid w:val="00A03BDE"/>
    <w:rsid w:val="00A040FB"/>
    <w:rsid w:val="00A04508"/>
    <w:rsid w:val="00A045D0"/>
    <w:rsid w:val="00A045E9"/>
    <w:rsid w:val="00A0475C"/>
    <w:rsid w:val="00A04854"/>
    <w:rsid w:val="00A048EC"/>
    <w:rsid w:val="00A04935"/>
    <w:rsid w:val="00A04BB1"/>
    <w:rsid w:val="00A04E9B"/>
    <w:rsid w:val="00A05268"/>
    <w:rsid w:val="00A0546D"/>
    <w:rsid w:val="00A054D4"/>
    <w:rsid w:val="00A0556E"/>
    <w:rsid w:val="00A05877"/>
    <w:rsid w:val="00A0593C"/>
    <w:rsid w:val="00A0594C"/>
    <w:rsid w:val="00A0598E"/>
    <w:rsid w:val="00A05B5E"/>
    <w:rsid w:val="00A05D84"/>
    <w:rsid w:val="00A05F70"/>
    <w:rsid w:val="00A0612F"/>
    <w:rsid w:val="00A06362"/>
    <w:rsid w:val="00A063E5"/>
    <w:rsid w:val="00A066B9"/>
    <w:rsid w:val="00A06BAC"/>
    <w:rsid w:val="00A06CB3"/>
    <w:rsid w:val="00A06D50"/>
    <w:rsid w:val="00A06DA8"/>
    <w:rsid w:val="00A06F71"/>
    <w:rsid w:val="00A0713D"/>
    <w:rsid w:val="00A0727D"/>
    <w:rsid w:val="00A0734C"/>
    <w:rsid w:val="00A0746A"/>
    <w:rsid w:val="00A07591"/>
    <w:rsid w:val="00A075F3"/>
    <w:rsid w:val="00A07696"/>
    <w:rsid w:val="00A077C6"/>
    <w:rsid w:val="00A077CB"/>
    <w:rsid w:val="00A07823"/>
    <w:rsid w:val="00A07933"/>
    <w:rsid w:val="00A07BBB"/>
    <w:rsid w:val="00A07EFD"/>
    <w:rsid w:val="00A07F4A"/>
    <w:rsid w:val="00A100CF"/>
    <w:rsid w:val="00A10139"/>
    <w:rsid w:val="00A10192"/>
    <w:rsid w:val="00A10227"/>
    <w:rsid w:val="00A10449"/>
    <w:rsid w:val="00A10588"/>
    <w:rsid w:val="00A1064E"/>
    <w:rsid w:val="00A11071"/>
    <w:rsid w:val="00A111AD"/>
    <w:rsid w:val="00A1123F"/>
    <w:rsid w:val="00A1156D"/>
    <w:rsid w:val="00A11588"/>
    <w:rsid w:val="00A11987"/>
    <w:rsid w:val="00A11BD0"/>
    <w:rsid w:val="00A11CF3"/>
    <w:rsid w:val="00A11E64"/>
    <w:rsid w:val="00A11EB2"/>
    <w:rsid w:val="00A1201B"/>
    <w:rsid w:val="00A1251F"/>
    <w:rsid w:val="00A12625"/>
    <w:rsid w:val="00A1269D"/>
    <w:rsid w:val="00A12D1F"/>
    <w:rsid w:val="00A13006"/>
    <w:rsid w:val="00A13280"/>
    <w:rsid w:val="00A135BB"/>
    <w:rsid w:val="00A13BF2"/>
    <w:rsid w:val="00A13CB1"/>
    <w:rsid w:val="00A140C3"/>
    <w:rsid w:val="00A146AC"/>
    <w:rsid w:val="00A1473F"/>
    <w:rsid w:val="00A1493C"/>
    <w:rsid w:val="00A1496D"/>
    <w:rsid w:val="00A149A6"/>
    <w:rsid w:val="00A15526"/>
    <w:rsid w:val="00A157B1"/>
    <w:rsid w:val="00A15835"/>
    <w:rsid w:val="00A15882"/>
    <w:rsid w:val="00A158DA"/>
    <w:rsid w:val="00A15BCF"/>
    <w:rsid w:val="00A15DA6"/>
    <w:rsid w:val="00A15E18"/>
    <w:rsid w:val="00A16179"/>
    <w:rsid w:val="00A16389"/>
    <w:rsid w:val="00A16725"/>
    <w:rsid w:val="00A16785"/>
    <w:rsid w:val="00A167EA"/>
    <w:rsid w:val="00A168E3"/>
    <w:rsid w:val="00A16A6F"/>
    <w:rsid w:val="00A16AD0"/>
    <w:rsid w:val="00A16C32"/>
    <w:rsid w:val="00A16F6E"/>
    <w:rsid w:val="00A1706F"/>
    <w:rsid w:val="00A17182"/>
    <w:rsid w:val="00A17192"/>
    <w:rsid w:val="00A172CB"/>
    <w:rsid w:val="00A17343"/>
    <w:rsid w:val="00A1735C"/>
    <w:rsid w:val="00A1776F"/>
    <w:rsid w:val="00A179B6"/>
    <w:rsid w:val="00A17C61"/>
    <w:rsid w:val="00A17E0D"/>
    <w:rsid w:val="00A2048B"/>
    <w:rsid w:val="00A20577"/>
    <w:rsid w:val="00A2064C"/>
    <w:rsid w:val="00A20793"/>
    <w:rsid w:val="00A20864"/>
    <w:rsid w:val="00A20907"/>
    <w:rsid w:val="00A20A41"/>
    <w:rsid w:val="00A20AF6"/>
    <w:rsid w:val="00A20C4D"/>
    <w:rsid w:val="00A20D54"/>
    <w:rsid w:val="00A20E27"/>
    <w:rsid w:val="00A20E3C"/>
    <w:rsid w:val="00A211F4"/>
    <w:rsid w:val="00A215B7"/>
    <w:rsid w:val="00A2160A"/>
    <w:rsid w:val="00A2190C"/>
    <w:rsid w:val="00A21CFC"/>
    <w:rsid w:val="00A21D29"/>
    <w:rsid w:val="00A21DCD"/>
    <w:rsid w:val="00A21EBA"/>
    <w:rsid w:val="00A21F57"/>
    <w:rsid w:val="00A22080"/>
    <w:rsid w:val="00A22268"/>
    <w:rsid w:val="00A2280E"/>
    <w:rsid w:val="00A22BE4"/>
    <w:rsid w:val="00A22E6D"/>
    <w:rsid w:val="00A22F58"/>
    <w:rsid w:val="00A22F69"/>
    <w:rsid w:val="00A231E3"/>
    <w:rsid w:val="00A232CD"/>
    <w:rsid w:val="00A23377"/>
    <w:rsid w:val="00A23393"/>
    <w:rsid w:val="00A23B73"/>
    <w:rsid w:val="00A24076"/>
    <w:rsid w:val="00A24268"/>
    <w:rsid w:val="00A2457D"/>
    <w:rsid w:val="00A2460F"/>
    <w:rsid w:val="00A246F0"/>
    <w:rsid w:val="00A2478C"/>
    <w:rsid w:val="00A248D2"/>
    <w:rsid w:val="00A24A70"/>
    <w:rsid w:val="00A2504B"/>
    <w:rsid w:val="00A250E5"/>
    <w:rsid w:val="00A251EA"/>
    <w:rsid w:val="00A2520C"/>
    <w:rsid w:val="00A25397"/>
    <w:rsid w:val="00A25493"/>
    <w:rsid w:val="00A25606"/>
    <w:rsid w:val="00A256F6"/>
    <w:rsid w:val="00A2593B"/>
    <w:rsid w:val="00A25A96"/>
    <w:rsid w:val="00A260B2"/>
    <w:rsid w:val="00A26118"/>
    <w:rsid w:val="00A2644A"/>
    <w:rsid w:val="00A26AF7"/>
    <w:rsid w:val="00A26CB9"/>
    <w:rsid w:val="00A26CE1"/>
    <w:rsid w:val="00A26FF1"/>
    <w:rsid w:val="00A270DB"/>
    <w:rsid w:val="00A27259"/>
    <w:rsid w:val="00A2778B"/>
    <w:rsid w:val="00A27C3D"/>
    <w:rsid w:val="00A27C85"/>
    <w:rsid w:val="00A27F90"/>
    <w:rsid w:val="00A30066"/>
    <w:rsid w:val="00A30175"/>
    <w:rsid w:val="00A3025E"/>
    <w:rsid w:val="00A30280"/>
    <w:rsid w:val="00A30C45"/>
    <w:rsid w:val="00A30C9D"/>
    <w:rsid w:val="00A30D49"/>
    <w:rsid w:val="00A30D51"/>
    <w:rsid w:val="00A30DD9"/>
    <w:rsid w:val="00A31038"/>
    <w:rsid w:val="00A310AC"/>
    <w:rsid w:val="00A312D0"/>
    <w:rsid w:val="00A316A8"/>
    <w:rsid w:val="00A317DE"/>
    <w:rsid w:val="00A31B16"/>
    <w:rsid w:val="00A31D19"/>
    <w:rsid w:val="00A31FF4"/>
    <w:rsid w:val="00A3216E"/>
    <w:rsid w:val="00A3288F"/>
    <w:rsid w:val="00A32953"/>
    <w:rsid w:val="00A32BCB"/>
    <w:rsid w:val="00A32E35"/>
    <w:rsid w:val="00A32E79"/>
    <w:rsid w:val="00A33133"/>
    <w:rsid w:val="00A33361"/>
    <w:rsid w:val="00A33394"/>
    <w:rsid w:val="00A33725"/>
    <w:rsid w:val="00A33799"/>
    <w:rsid w:val="00A3383D"/>
    <w:rsid w:val="00A33DEA"/>
    <w:rsid w:val="00A33EAA"/>
    <w:rsid w:val="00A341E0"/>
    <w:rsid w:val="00A344B2"/>
    <w:rsid w:val="00A347B4"/>
    <w:rsid w:val="00A34B50"/>
    <w:rsid w:val="00A34D60"/>
    <w:rsid w:val="00A34DE7"/>
    <w:rsid w:val="00A34E40"/>
    <w:rsid w:val="00A34EB1"/>
    <w:rsid w:val="00A34FA0"/>
    <w:rsid w:val="00A35084"/>
    <w:rsid w:val="00A357F9"/>
    <w:rsid w:val="00A35A7F"/>
    <w:rsid w:val="00A3672A"/>
    <w:rsid w:val="00A36F7D"/>
    <w:rsid w:val="00A36FBB"/>
    <w:rsid w:val="00A374EC"/>
    <w:rsid w:val="00A37703"/>
    <w:rsid w:val="00A3771A"/>
    <w:rsid w:val="00A37A77"/>
    <w:rsid w:val="00A37C68"/>
    <w:rsid w:val="00A40304"/>
    <w:rsid w:val="00A40464"/>
    <w:rsid w:val="00A4090A"/>
    <w:rsid w:val="00A40BC6"/>
    <w:rsid w:val="00A40D06"/>
    <w:rsid w:val="00A40EBC"/>
    <w:rsid w:val="00A40F41"/>
    <w:rsid w:val="00A4138D"/>
    <w:rsid w:val="00A4162A"/>
    <w:rsid w:val="00A4172F"/>
    <w:rsid w:val="00A41F21"/>
    <w:rsid w:val="00A41FD8"/>
    <w:rsid w:val="00A4217B"/>
    <w:rsid w:val="00A421D9"/>
    <w:rsid w:val="00A42210"/>
    <w:rsid w:val="00A4243B"/>
    <w:rsid w:val="00A42512"/>
    <w:rsid w:val="00A426BB"/>
    <w:rsid w:val="00A42A65"/>
    <w:rsid w:val="00A42C15"/>
    <w:rsid w:val="00A42D75"/>
    <w:rsid w:val="00A42ED2"/>
    <w:rsid w:val="00A43131"/>
    <w:rsid w:val="00A4325B"/>
    <w:rsid w:val="00A43660"/>
    <w:rsid w:val="00A4391C"/>
    <w:rsid w:val="00A43AE5"/>
    <w:rsid w:val="00A43AF5"/>
    <w:rsid w:val="00A43BD3"/>
    <w:rsid w:val="00A43D84"/>
    <w:rsid w:val="00A43F29"/>
    <w:rsid w:val="00A440CF"/>
    <w:rsid w:val="00A44801"/>
    <w:rsid w:val="00A449FF"/>
    <w:rsid w:val="00A44F17"/>
    <w:rsid w:val="00A45470"/>
    <w:rsid w:val="00A45F11"/>
    <w:rsid w:val="00A4624E"/>
    <w:rsid w:val="00A462E6"/>
    <w:rsid w:val="00A46503"/>
    <w:rsid w:val="00A46568"/>
    <w:rsid w:val="00A466DB"/>
    <w:rsid w:val="00A46736"/>
    <w:rsid w:val="00A4674B"/>
    <w:rsid w:val="00A4689E"/>
    <w:rsid w:val="00A46D22"/>
    <w:rsid w:val="00A46F64"/>
    <w:rsid w:val="00A46F79"/>
    <w:rsid w:val="00A470C2"/>
    <w:rsid w:val="00A47473"/>
    <w:rsid w:val="00A474A3"/>
    <w:rsid w:val="00A47544"/>
    <w:rsid w:val="00A47695"/>
    <w:rsid w:val="00A47FA4"/>
    <w:rsid w:val="00A5002D"/>
    <w:rsid w:val="00A50E69"/>
    <w:rsid w:val="00A50E71"/>
    <w:rsid w:val="00A51212"/>
    <w:rsid w:val="00A5123A"/>
    <w:rsid w:val="00A513C5"/>
    <w:rsid w:val="00A5198E"/>
    <w:rsid w:val="00A51F5C"/>
    <w:rsid w:val="00A526BD"/>
    <w:rsid w:val="00A52724"/>
    <w:rsid w:val="00A5282B"/>
    <w:rsid w:val="00A52838"/>
    <w:rsid w:val="00A53010"/>
    <w:rsid w:val="00A531FB"/>
    <w:rsid w:val="00A53300"/>
    <w:rsid w:val="00A534B6"/>
    <w:rsid w:val="00A5393E"/>
    <w:rsid w:val="00A5394D"/>
    <w:rsid w:val="00A53D01"/>
    <w:rsid w:val="00A54191"/>
    <w:rsid w:val="00A542DC"/>
    <w:rsid w:val="00A544BE"/>
    <w:rsid w:val="00A5456F"/>
    <w:rsid w:val="00A546AE"/>
    <w:rsid w:val="00A54755"/>
    <w:rsid w:val="00A54D17"/>
    <w:rsid w:val="00A55009"/>
    <w:rsid w:val="00A55784"/>
    <w:rsid w:val="00A559A6"/>
    <w:rsid w:val="00A55BED"/>
    <w:rsid w:val="00A55CD8"/>
    <w:rsid w:val="00A55E43"/>
    <w:rsid w:val="00A55EF4"/>
    <w:rsid w:val="00A55F75"/>
    <w:rsid w:val="00A567BB"/>
    <w:rsid w:val="00A567C9"/>
    <w:rsid w:val="00A5681A"/>
    <w:rsid w:val="00A56C6A"/>
    <w:rsid w:val="00A56D28"/>
    <w:rsid w:val="00A56D74"/>
    <w:rsid w:val="00A56E5D"/>
    <w:rsid w:val="00A571ED"/>
    <w:rsid w:val="00A573D2"/>
    <w:rsid w:val="00A57747"/>
    <w:rsid w:val="00A57871"/>
    <w:rsid w:val="00A57985"/>
    <w:rsid w:val="00A57C3A"/>
    <w:rsid w:val="00A602B2"/>
    <w:rsid w:val="00A60374"/>
    <w:rsid w:val="00A603FD"/>
    <w:rsid w:val="00A6056C"/>
    <w:rsid w:val="00A608B6"/>
    <w:rsid w:val="00A60928"/>
    <w:rsid w:val="00A60A4E"/>
    <w:rsid w:val="00A60AB6"/>
    <w:rsid w:val="00A60BD8"/>
    <w:rsid w:val="00A60CC4"/>
    <w:rsid w:val="00A60E90"/>
    <w:rsid w:val="00A61127"/>
    <w:rsid w:val="00A6121F"/>
    <w:rsid w:val="00A612BC"/>
    <w:rsid w:val="00A61431"/>
    <w:rsid w:val="00A617C3"/>
    <w:rsid w:val="00A618BF"/>
    <w:rsid w:val="00A618D8"/>
    <w:rsid w:val="00A61D9E"/>
    <w:rsid w:val="00A61F47"/>
    <w:rsid w:val="00A61F4F"/>
    <w:rsid w:val="00A62006"/>
    <w:rsid w:val="00A62127"/>
    <w:rsid w:val="00A6218D"/>
    <w:rsid w:val="00A6228B"/>
    <w:rsid w:val="00A62394"/>
    <w:rsid w:val="00A623E6"/>
    <w:rsid w:val="00A6252F"/>
    <w:rsid w:val="00A6286D"/>
    <w:rsid w:val="00A62A8D"/>
    <w:rsid w:val="00A62BE4"/>
    <w:rsid w:val="00A62C7D"/>
    <w:rsid w:val="00A62DD9"/>
    <w:rsid w:val="00A63BEA"/>
    <w:rsid w:val="00A63C69"/>
    <w:rsid w:val="00A6456E"/>
    <w:rsid w:val="00A64888"/>
    <w:rsid w:val="00A64A3B"/>
    <w:rsid w:val="00A64A3E"/>
    <w:rsid w:val="00A64D14"/>
    <w:rsid w:val="00A6580A"/>
    <w:rsid w:val="00A65851"/>
    <w:rsid w:val="00A65D05"/>
    <w:rsid w:val="00A6638A"/>
    <w:rsid w:val="00A66FB1"/>
    <w:rsid w:val="00A67208"/>
    <w:rsid w:val="00A6731B"/>
    <w:rsid w:val="00A677A1"/>
    <w:rsid w:val="00A679A0"/>
    <w:rsid w:val="00A67ADE"/>
    <w:rsid w:val="00A67B70"/>
    <w:rsid w:val="00A67B90"/>
    <w:rsid w:val="00A67C16"/>
    <w:rsid w:val="00A67F62"/>
    <w:rsid w:val="00A70117"/>
    <w:rsid w:val="00A7025C"/>
    <w:rsid w:val="00A704DE"/>
    <w:rsid w:val="00A705D6"/>
    <w:rsid w:val="00A70785"/>
    <w:rsid w:val="00A707BA"/>
    <w:rsid w:val="00A7091F"/>
    <w:rsid w:val="00A70B3A"/>
    <w:rsid w:val="00A70B96"/>
    <w:rsid w:val="00A70DF2"/>
    <w:rsid w:val="00A711F9"/>
    <w:rsid w:val="00A71234"/>
    <w:rsid w:val="00A7139A"/>
    <w:rsid w:val="00A713BA"/>
    <w:rsid w:val="00A715AC"/>
    <w:rsid w:val="00A718B0"/>
    <w:rsid w:val="00A7197A"/>
    <w:rsid w:val="00A71EEE"/>
    <w:rsid w:val="00A7247B"/>
    <w:rsid w:val="00A725A7"/>
    <w:rsid w:val="00A726B2"/>
    <w:rsid w:val="00A72707"/>
    <w:rsid w:val="00A72737"/>
    <w:rsid w:val="00A72989"/>
    <w:rsid w:val="00A72BB2"/>
    <w:rsid w:val="00A72BB6"/>
    <w:rsid w:val="00A72E53"/>
    <w:rsid w:val="00A72E58"/>
    <w:rsid w:val="00A734E8"/>
    <w:rsid w:val="00A73A54"/>
    <w:rsid w:val="00A73D2E"/>
    <w:rsid w:val="00A74017"/>
    <w:rsid w:val="00A74025"/>
    <w:rsid w:val="00A7403B"/>
    <w:rsid w:val="00A74040"/>
    <w:rsid w:val="00A7408C"/>
    <w:rsid w:val="00A74268"/>
    <w:rsid w:val="00A7454F"/>
    <w:rsid w:val="00A745EE"/>
    <w:rsid w:val="00A74600"/>
    <w:rsid w:val="00A74951"/>
    <w:rsid w:val="00A74986"/>
    <w:rsid w:val="00A74BF1"/>
    <w:rsid w:val="00A74C02"/>
    <w:rsid w:val="00A74CFC"/>
    <w:rsid w:val="00A74FA5"/>
    <w:rsid w:val="00A75145"/>
    <w:rsid w:val="00A7533F"/>
    <w:rsid w:val="00A7545B"/>
    <w:rsid w:val="00A75B37"/>
    <w:rsid w:val="00A75CB3"/>
    <w:rsid w:val="00A75CF1"/>
    <w:rsid w:val="00A7600A"/>
    <w:rsid w:val="00A762B5"/>
    <w:rsid w:val="00A763AF"/>
    <w:rsid w:val="00A76465"/>
    <w:rsid w:val="00A7659F"/>
    <w:rsid w:val="00A769A8"/>
    <w:rsid w:val="00A7725C"/>
    <w:rsid w:val="00A773DB"/>
    <w:rsid w:val="00A77703"/>
    <w:rsid w:val="00A7780A"/>
    <w:rsid w:val="00A7796D"/>
    <w:rsid w:val="00A77E16"/>
    <w:rsid w:val="00A77E3D"/>
    <w:rsid w:val="00A77F2F"/>
    <w:rsid w:val="00A77FF2"/>
    <w:rsid w:val="00A80092"/>
    <w:rsid w:val="00A80196"/>
    <w:rsid w:val="00A80357"/>
    <w:rsid w:val="00A80494"/>
    <w:rsid w:val="00A804FE"/>
    <w:rsid w:val="00A80756"/>
    <w:rsid w:val="00A80C8D"/>
    <w:rsid w:val="00A80EF6"/>
    <w:rsid w:val="00A80EF8"/>
    <w:rsid w:val="00A80F17"/>
    <w:rsid w:val="00A80FCC"/>
    <w:rsid w:val="00A81473"/>
    <w:rsid w:val="00A81608"/>
    <w:rsid w:val="00A818DC"/>
    <w:rsid w:val="00A81918"/>
    <w:rsid w:val="00A81E15"/>
    <w:rsid w:val="00A8205E"/>
    <w:rsid w:val="00A82459"/>
    <w:rsid w:val="00A82654"/>
    <w:rsid w:val="00A82820"/>
    <w:rsid w:val="00A82D58"/>
    <w:rsid w:val="00A832C2"/>
    <w:rsid w:val="00A83309"/>
    <w:rsid w:val="00A8351E"/>
    <w:rsid w:val="00A838C6"/>
    <w:rsid w:val="00A83B34"/>
    <w:rsid w:val="00A83EFF"/>
    <w:rsid w:val="00A8424F"/>
    <w:rsid w:val="00A8431B"/>
    <w:rsid w:val="00A844DA"/>
    <w:rsid w:val="00A847C4"/>
    <w:rsid w:val="00A8496D"/>
    <w:rsid w:val="00A849C7"/>
    <w:rsid w:val="00A84A72"/>
    <w:rsid w:val="00A84B49"/>
    <w:rsid w:val="00A84C67"/>
    <w:rsid w:val="00A84CA4"/>
    <w:rsid w:val="00A84E6B"/>
    <w:rsid w:val="00A84EE3"/>
    <w:rsid w:val="00A856F1"/>
    <w:rsid w:val="00A856FF"/>
    <w:rsid w:val="00A8576D"/>
    <w:rsid w:val="00A8587B"/>
    <w:rsid w:val="00A858AA"/>
    <w:rsid w:val="00A85B8E"/>
    <w:rsid w:val="00A85BE8"/>
    <w:rsid w:val="00A85C54"/>
    <w:rsid w:val="00A85D32"/>
    <w:rsid w:val="00A863D3"/>
    <w:rsid w:val="00A8669B"/>
    <w:rsid w:val="00A86715"/>
    <w:rsid w:val="00A868E2"/>
    <w:rsid w:val="00A86982"/>
    <w:rsid w:val="00A86B63"/>
    <w:rsid w:val="00A86F01"/>
    <w:rsid w:val="00A86FEB"/>
    <w:rsid w:val="00A870CD"/>
    <w:rsid w:val="00A873C5"/>
    <w:rsid w:val="00A874E9"/>
    <w:rsid w:val="00A87AA4"/>
    <w:rsid w:val="00A87B6C"/>
    <w:rsid w:val="00A87E6E"/>
    <w:rsid w:val="00A90212"/>
    <w:rsid w:val="00A90456"/>
    <w:rsid w:val="00A904A0"/>
    <w:rsid w:val="00A90521"/>
    <w:rsid w:val="00A909E3"/>
    <w:rsid w:val="00A90C93"/>
    <w:rsid w:val="00A90D48"/>
    <w:rsid w:val="00A90DC1"/>
    <w:rsid w:val="00A90F6B"/>
    <w:rsid w:val="00A90FC0"/>
    <w:rsid w:val="00A91045"/>
    <w:rsid w:val="00A91068"/>
    <w:rsid w:val="00A91171"/>
    <w:rsid w:val="00A9118C"/>
    <w:rsid w:val="00A91531"/>
    <w:rsid w:val="00A916AE"/>
    <w:rsid w:val="00A9196B"/>
    <w:rsid w:val="00A919EF"/>
    <w:rsid w:val="00A91D6C"/>
    <w:rsid w:val="00A92004"/>
    <w:rsid w:val="00A924A2"/>
    <w:rsid w:val="00A926D0"/>
    <w:rsid w:val="00A927CC"/>
    <w:rsid w:val="00A92A8A"/>
    <w:rsid w:val="00A92D31"/>
    <w:rsid w:val="00A92F04"/>
    <w:rsid w:val="00A92F85"/>
    <w:rsid w:val="00A92FBB"/>
    <w:rsid w:val="00A93089"/>
    <w:rsid w:val="00A9328C"/>
    <w:rsid w:val="00A93489"/>
    <w:rsid w:val="00A937F3"/>
    <w:rsid w:val="00A93A8B"/>
    <w:rsid w:val="00A93DC5"/>
    <w:rsid w:val="00A93E0C"/>
    <w:rsid w:val="00A93EF1"/>
    <w:rsid w:val="00A93FDD"/>
    <w:rsid w:val="00A9407C"/>
    <w:rsid w:val="00A94398"/>
    <w:rsid w:val="00A943A1"/>
    <w:rsid w:val="00A943E2"/>
    <w:rsid w:val="00A94596"/>
    <w:rsid w:val="00A94629"/>
    <w:rsid w:val="00A947D0"/>
    <w:rsid w:val="00A94DF5"/>
    <w:rsid w:val="00A94F57"/>
    <w:rsid w:val="00A95458"/>
    <w:rsid w:val="00A954B0"/>
    <w:rsid w:val="00A956A9"/>
    <w:rsid w:val="00A95741"/>
    <w:rsid w:val="00A95BA4"/>
    <w:rsid w:val="00A95D5D"/>
    <w:rsid w:val="00A95EFF"/>
    <w:rsid w:val="00A960F8"/>
    <w:rsid w:val="00A9625A"/>
    <w:rsid w:val="00A9629A"/>
    <w:rsid w:val="00A963EF"/>
    <w:rsid w:val="00A96587"/>
    <w:rsid w:val="00A968AE"/>
    <w:rsid w:val="00A96955"/>
    <w:rsid w:val="00A969A0"/>
    <w:rsid w:val="00A96A96"/>
    <w:rsid w:val="00A96DA2"/>
    <w:rsid w:val="00A97306"/>
    <w:rsid w:val="00A97416"/>
    <w:rsid w:val="00A97621"/>
    <w:rsid w:val="00A977CB"/>
    <w:rsid w:val="00A977D8"/>
    <w:rsid w:val="00A97891"/>
    <w:rsid w:val="00A97BB4"/>
    <w:rsid w:val="00A97C84"/>
    <w:rsid w:val="00A97CEA"/>
    <w:rsid w:val="00AA00A9"/>
    <w:rsid w:val="00AA017F"/>
    <w:rsid w:val="00AA0335"/>
    <w:rsid w:val="00AA04F6"/>
    <w:rsid w:val="00AA09F3"/>
    <w:rsid w:val="00AA0C2A"/>
    <w:rsid w:val="00AA11C6"/>
    <w:rsid w:val="00AA1925"/>
    <w:rsid w:val="00AA1BA4"/>
    <w:rsid w:val="00AA1CBD"/>
    <w:rsid w:val="00AA1D1F"/>
    <w:rsid w:val="00AA1EF5"/>
    <w:rsid w:val="00AA209B"/>
    <w:rsid w:val="00AA27F4"/>
    <w:rsid w:val="00AA2868"/>
    <w:rsid w:val="00AA2BA8"/>
    <w:rsid w:val="00AA2BBA"/>
    <w:rsid w:val="00AA2D8B"/>
    <w:rsid w:val="00AA2E2A"/>
    <w:rsid w:val="00AA2E44"/>
    <w:rsid w:val="00AA3000"/>
    <w:rsid w:val="00AA3296"/>
    <w:rsid w:val="00AA3306"/>
    <w:rsid w:val="00AA3351"/>
    <w:rsid w:val="00AA3528"/>
    <w:rsid w:val="00AA389B"/>
    <w:rsid w:val="00AA3A48"/>
    <w:rsid w:val="00AA3B73"/>
    <w:rsid w:val="00AA3B7E"/>
    <w:rsid w:val="00AA3E9F"/>
    <w:rsid w:val="00AA3FB1"/>
    <w:rsid w:val="00AA4022"/>
    <w:rsid w:val="00AA40D6"/>
    <w:rsid w:val="00AA48BD"/>
    <w:rsid w:val="00AA495A"/>
    <w:rsid w:val="00AA4D33"/>
    <w:rsid w:val="00AA4E2A"/>
    <w:rsid w:val="00AA4EC5"/>
    <w:rsid w:val="00AA51E7"/>
    <w:rsid w:val="00AA55ED"/>
    <w:rsid w:val="00AA5916"/>
    <w:rsid w:val="00AA5B0F"/>
    <w:rsid w:val="00AA5F23"/>
    <w:rsid w:val="00AA6340"/>
    <w:rsid w:val="00AA6448"/>
    <w:rsid w:val="00AA6512"/>
    <w:rsid w:val="00AA65B1"/>
    <w:rsid w:val="00AA6783"/>
    <w:rsid w:val="00AA69B5"/>
    <w:rsid w:val="00AA6A1A"/>
    <w:rsid w:val="00AA6D29"/>
    <w:rsid w:val="00AA6DF7"/>
    <w:rsid w:val="00AA6F08"/>
    <w:rsid w:val="00AA7397"/>
    <w:rsid w:val="00AA73E1"/>
    <w:rsid w:val="00AA7407"/>
    <w:rsid w:val="00AA7B7F"/>
    <w:rsid w:val="00AA7B85"/>
    <w:rsid w:val="00AA7C05"/>
    <w:rsid w:val="00AA7CF6"/>
    <w:rsid w:val="00AA7DD0"/>
    <w:rsid w:val="00AA7E2D"/>
    <w:rsid w:val="00AB0333"/>
    <w:rsid w:val="00AB0993"/>
    <w:rsid w:val="00AB0D88"/>
    <w:rsid w:val="00AB0E40"/>
    <w:rsid w:val="00AB0E47"/>
    <w:rsid w:val="00AB11D8"/>
    <w:rsid w:val="00AB120D"/>
    <w:rsid w:val="00AB1539"/>
    <w:rsid w:val="00AB1566"/>
    <w:rsid w:val="00AB2351"/>
    <w:rsid w:val="00AB236A"/>
    <w:rsid w:val="00AB25C1"/>
    <w:rsid w:val="00AB2734"/>
    <w:rsid w:val="00AB2AB1"/>
    <w:rsid w:val="00AB34F6"/>
    <w:rsid w:val="00AB3718"/>
    <w:rsid w:val="00AB37FA"/>
    <w:rsid w:val="00AB3FD6"/>
    <w:rsid w:val="00AB41C7"/>
    <w:rsid w:val="00AB43AD"/>
    <w:rsid w:val="00AB43B8"/>
    <w:rsid w:val="00AB4590"/>
    <w:rsid w:val="00AB463A"/>
    <w:rsid w:val="00AB477C"/>
    <w:rsid w:val="00AB4873"/>
    <w:rsid w:val="00AB4AE5"/>
    <w:rsid w:val="00AB4D21"/>
    <w:rsid w:val="00AB5124"/>
    <w:rsid w:val="00AB526B"/>
    <w:rsid w:val="00AB53D0"/>
    <w:rsid w:val="00AB5632"/>
    <w:rsid w:val="00AB566B"/>
    <w:rsid w:val="00AB5E27"/>
    <w:rsid w:val="00AB5E7A"/>
    <w:rsid w:val="00AB5E8F"/>
    <w:rsid w:val="00AB63C9"/>
    <w:rsid w:val="00AB65B5"/>
    <w:rsid w:val="00AB6AF9"/>
    <w:rsid w:val="00AB6B93"/>
    <w:rsid w:val="00AB7342"/>
    <w:rsid w:val="00AB7CF7"/>
    <w:rsid w:val="00AB7E9F"/>
    <w:rsid w:val="00AC0128"/>
    <w:rsid w:val="00AC0208"/>
    <w:rsid w:val="00AC0339"/>
    <w:rsid w:val="00AC07CC"/>
    <w:rsid w:val="00AC09A8"/>
    <w:rsid w:val="00AC09CB"/>
    <w:rsid w:val="00AC0A13"/>
    <w:rsid w:val="00AC0A57"/>
    <w:rsid w:val="00AC0D27"/>
    <w:rsid w:val="00AC0D56"/>
    <w:rsid w:val="00AC0DB4"/>
    <w:rsid w:val="00AC0DE5"/>
    <w:rsid w:val="00AC1207"/>
    <w:rsid w:val="00AC1283"/>
    <w:rsid w:val="00AC1559"/>
    <w:rsid w:val="00AC15DD"/>
    <w:rsid w:val="00AC1743"/>
    <w:rsid w:val="00AC17F1"/>
    <w:rsid w:val="00AC187E"/>
    <w:rsid w:val="00AC1C57"/>
    <w:rsid w:val="00AC1D0B"/>
    <w:rsid w:val="00AC1F6C"/>
    <w:rsid w:val="00AC1F94"/>
    <w:rsid w:val="00AC1FFB"/>
    <w:rsid w:val="00AC217B"/>
    <w:rsid w:val="00AC23D6"/>
    <w:rsid w:val="00AC2A89"/>
    <w:rsid w:val="00AC2BBE"/>
    <w:rsid w:val="00AC2F49"/>
    <w:rsid w:val="00AC3050"/>
    <w:rsid w:val="00AC3090"/>
    <w:rsid w:val="00AC315F"/>
    <w:rsid w:val="00AC319F"/>
    <w:rsid w:val="00AC31CD"/>
    <w:rsid w:val="00AC31F6"/>
    <w:rsid w:val="00AC32AF"/>
    <w:rsid w:val="00AC3454"/>
    <w:rsid w:val="00AC3617"/>
    <w:rsid w:val="00AC3658"/>
    <w:rsid w:val="00AC389F"/>
    <w:rsid w:val="00AC39F0"/>
    <w:rsid w:val="00AC3C29"/>
    <w:rsid w:val="00AC3F15"/>
    <w:rsid w:val="00AC442B"/>
    <w:rsid w:val="00AC444A"/>
    <w:rsid w:val="00AC4637"/>
    <w:rsid w:val="00AC4671"/>
    <w:rsid w:val="00AC47E3"/>
    <w:rsid w:val="00AC4909"/>
    <w:rsid w:val="00AC4E10"/>
    <w:rsid w:val="00AC4F98"/>
    <w:rsid w:val="00AC53D5"/>
    <w:rsid w:val="00AC5418"/>
    <w:rsid w:val="00AC5671"/>
    <w:rsid w:val="00AC56F2"/>
    <w:rsid w:val="00AC57C5"/>
    <w:rsid w:val="00AC5ADE"/>
    <w:rsid w:val="00AC5B5B"/>
    <w:rsid w:val="00AC5C22"/>
    <w:rsid w:val="00AC5CF1"/>
    <w:rsid w:val="00AC601A"/>
    <w:rsid w:val="00AC6C7C"/>
    <w:rsid w:val="00AC6F17"/>
    <w:rsid w:val="00AC70E4"/>
    <w:rsid w:val="00AC7104"/>
    <w:rsid w:val="00AC74AB"/>
    <w:rsid w:val="00AC79FF"/>
    <w:rsid w:val="00AC7B1F"/>
    <w:rsid w:val="00AC7CF0"/>
    <w:rsid w:val="00AC7D7F"/>
    <w:rsid w:val="00AC7FF6"/>
    <w:rsid w:val="00AD012A"/>
    <w:rsid w:val="00AD08D1"/>
    <w:rsid w:val="00AD0ACD"/>
    <w:rsid w:val="00AD12D7"/>
    <w:rsid w:val="00AD1731"/>
    <w:rsid w:val="00AD1A56"/>
    <w:rsid w:val="00AD1A9B"/>
    <w:rsid w:val="00AD1BCA"/>
    <w:rsid w:val="00AD1BE2"/>
    <w:rsid w:val="00AD1E43"/>
    <w:rsid w:val="00AD229B"/>
    <w:rsid w:val="00AD2A08"/>
    <w:rsid w:val="00AD2A6C"/>
    <w:rsid w:val="00AD2ACB"/>
    <w:rsid w:val="00AD2C05"/>
    <w:rsid w:val="00AD2CFE"/>
    <w:rsid w:val="00AD325F"/>
    <w:rsid w:val="00AD3334"/>
    <w:rsid w:val="00AD34DC"/>
    <w:rsid w:val="00AD35F6"/>
    <w:rsid w:val="00AD3C1A"/>
    <w:rsid w:val="00AD4207"/>
    <w:rsid w:val="00AD42A9"/>
    <w:rsid w:val="00AD4367"/>
    <w:rsid w:val="00AD440B"/>
    <w:rsid w:val="00AD4797"/>
    <w:rsid w:val="00AD49B4"/>
    <w:rsid w:val="00AD4B3A"/>
    <w:rsid w:val="00AD4CC4"/>
    <w:rsid w:val="00AD4FBB"/>
    <w:rsid w:val="00AD506A"/>
    <w:rsid w:val="00AD5165"/>
    <w:rsid w:val="00AD5223"/>
    <w:rsid w:val="00AD5766"/>
    <w:rsid w:val="00AD615E"/>
    <w:rsid w:val="00AD631C"/>
    <w:rsid w:val="00AD6395"/>
    <w:rsid w:val="00AD64BD"/>
    <w:rsid w:val="00AD6757"/>
    <w:rsid w:val="00AD6816"/>
    <w:rsid w:val="00AD696C"/>
    <w:rsid w:val="00AD6B2F"/>
    <w:rsid w:val="00AD6D39"/>
    <w:rsid w:val="00AD713A"/>
    <w:rsid w:val="00AD7417"/>
    <w:rsid w:val="00AD74C7"/>
    <w:rsid w:val="00AD7753"/>
    <w:rsid w:val="00AD77BA"/>
    <w:rsid w:val="00AD77CA"/>
    <w:rsid w:val="00AD7804"/>
    <w:rsid w:val="00AD7829"/>
    <w:rsid w:val="00AD7835"/>
    <w:rsid w:val="00AD786B"/>
    <w:rsid w:val="00AD795F"/>
    <w:rsid w:val="00AD7A23"/>
    <w:rsid w:val="00AD7CE8"/>
    <w:rsid w:val="00AD7D55"/>
    <w:rsid w:val="00AE0191"/>
    <w:rsid w:val="00AE033C"/>
    <w:rsid w:val="00AE0493"/>
    <w:rsid w:val="00AE04FB"/>
    <w:rsid w:val="00AE0698"/>
    <w:rsid w:val="00AE0B44"/>
    <w:rsid w:val="00AE0B4C"/>
    <w:rsid w:val="00AE116A"/>
    <w:rsid w:val="00AE120D"/>
    <w:rsid w:val="00AE134D"/>
    <w:rsid w:val="00AE13FC"/>
    <w:rsid w:val="00AE19D4"/>
    <w:rsid w:val="00AE1A11"/>
    <w:rsid w:val="00AE1D19"/>
    <w:rsid w:val="00AE1DA4"/>
    <w:rsid w:val="00AE1FE2"/>
    <w:rsid w:val="00AE219B"/>
    <w:rsid w:val="00AE243B"/>
    <w:rsid w:val="00AE25D5"/>
    <w:rsid w:val="00AE2610"/>
    <w:rsid w:val="00AE2786"/>
    <w:rsid w:val="00AE2852"/>
    <w:rsid w:val="00AE2902"/>
    <w:rsid w:val="00AE2942"/>
    <w:rsid w:val="00AE2B27"/>
    <w:rsid w:val="00AE2FF6"/>
    <w:rsid w:val="00AE3051"/>
    <w:rsid w:val="00AE3060"/>
    <w:rsid w:val="00AE3359"/>
    <w:rsid w:val="00AE3396"/>
    <w:rsid w:val="00AE3427"/>
    <w:rsid w:val="00AE37C4"/>
    <w:rsid w:val="00AE3823"/>
    <w:rsid w:val="00AE39B6"/>
    <w:rsid w:val="00AE3A45"/>
    <w:rsid w:val="00AE3C45"/>
    <w:rsid w:val="00AE4128"/>
    <w:rsid w:val="00AE422E"/>
    <w:rsid w:val="00AE423F"/>
    <w:rsid w:val="00AE42CC"/>
    <w:rsid w:val="00AE4673"/>
    <w:rsid w:val="00AE4ACF"/>
    <w:rsid w:val="00AE4FB0"/>
    <w:rsid w:val="00AE5165"/>
    <w:rsid w:val="00AE5618"/>
    <w:rsid w:val="00AE5722"/>
    <w:rsid w:val="00AE5ABB"/>
    <w:rsid w:val="00AE5BFC"/>
    <w:rsid w:val="00AE5E5B"/>
    <w:rsid w:val="00AE604D"/>
    <w:rsid w:val="00AE6222"/>
    <w:rsid w:val="00AE64C8"/>
    <w:rsid w:val="00AE6743"/>
    <w:rsid w:val="00AE67EE"/>
    <w:rsid w:val="00AE68AF"/>
    <w:rsid w:val="00AE68C2"/>
    <w:rsid w:val="00AE6B90"/>
    <w:rsid w:val="00AE6D2B"/>
    <w:rsid w:val="00AE6E67"/>
    <w:rsid w:val="00AE6F38"/>
    <w:rsid w:val="00AE701F"/>
    <w:rsid w:val="00AE7070"/>
    <w:rsid w:val="00AE7222"/>
    <w:rsid w:val="00AE733F"/>
    <w:rsid w:val="00AE74F5"/>
    <w:rsid w:val="00AE7661"/>
    <w:rsid w:val="00AE7711"/>
    <w:rsid w:val="00AE77D5"/>
    <w:rsid w:val="00AE7938"/>
    <w:rsid w:val="00AE7D1C"/>
    <w:rsid w:val="00AE7D71"/>
    <w:rsid w:val="00AE7E87"/>
    <w:rsid w:val="00AF04D1"/>
    <w:rsid w:val="00AF072A"/>
    <w:rsid w:val="00AF0CF0"/>
    <w:rsid w:val="00AF0ED4"/>
    <w:rsid w:val="00AF10FD"/>
    <w:rsid w:val="00AF15A9"/>
    <w:rsid w:val="00AF15ED"/>
    <w:rsid w:val="00AF1B8A"/>
    <w:rsid w:val="00AF1DA0"/>
    <w:rsid w:val="00AF1E44"/>
    <w:rsid w:val="00AF1F91"/>
    <w:rsid w:val="00AF2192"/>
    <w:rsid w:val="00AF2321"/>
    <w:rsid w:val="00AF2334"/>
    <w:rsid w:val="00AF2567"/>
    <w:rsid w:val="00AF25DB"/>
    <w:rsid w:val="00AF2815"/>
    <w:rsid w:val="00AF2AB8"/>
    <w:rsid w:val="00AF2AF3"/>
    <w:rsid w:val="00AF2DAC"/>
    <w:rsid w:val="00AF2F2A"/>
    <w:rsid w:val="00AF2F86"/>
    <w:rsid w:val="00AF303F"/>
    <w:rsid w:val="00AF305B"/>
    <w:rsid w:val="00AF320F"/>
    <w:rsid w:val="00AF3226"/>
    <w:rsid w:val="00AF323E"/>
    <w:rsid w:val="00AF3434"/>
    <w:rsid w:val="00AF344A"/>
    <w:rsid w:val="00AF346D"/>
    <w:rsid w:val="00AF34F9"/>
    <w:rsid w:val="00AF356A"/>
    <w:rsid w:val="00AF35AB"/>
    <w:rsid w:val="00AF35DE"/>
    <w:rsid w:val="00AF37CF"/>
    <w:rsid w:val="00AF3A5F"/>
    <w:rsid w:val="00AF3B11"/>
    <w:rsid w:val="00AF3B45"/>
    <w:rsid w:val="00AF3FFC"/>
    <w:rsid w:val="00AF41B4"/>
    <w:rsid w:val="00AF44A1"/>
    <w:rsid w:val="00AF450A"/>
    <w:rsid w:val="00AF45F1"/>
    <w:rsid w:val="00AF46B1"/>
    <w:rsid w:val="00AF4AFA"/>
    <w:rsid w:val="00AF4D90"/>
    <w:rsid w:val="00AF4FA5"/>
    <w:rsid w:val="00AF51BB"/>
    <w:rsid w:val="00AF5665"/>
    <w:rsid w:val="00AF56B0"/>
    <w:rsid w:val="00AF5879"/>
    <w:rsid w:val="00AF5984"/>
    <w:rsid w:val="00AF5B15"/>
    <w:rsid w:val="00AF5CE9"/>
    <w:rsid w:val="00AF5D5E"/>
    <w:rsid w:val="00AF5E31"/>
    <w:rsid w:val="00AF5F49"/>
    <w:rsid w:val="00AF605E"/>
    <w:rsid w:val="00AF6140"/>
    <w:rsid w:val="00AF653D"/>
    <w:rsid w:val="00AF6648"/>
    <w:rsid w:val="00AF675C"/>
    <w:rsid w:val="00AF6817"/>
    <w:rsid w:val="00AF695B"/>
    <w:rsid w:val="00AF69B0"/>
    <w:rsid w:val="00AF6E2F"/>
    <w:rsid w:val="00AF6E43"/>
    <w:rsid w:val="00AF6FA1"/>
    <w:rsid w:val="00AF7115"/>
    <w:rsid w:val="00AF71F5"/>
    <w:rsid w:val="00AF725D"/>
    <w:rsid w:val="00AF72E3"/>
    <w:rsid w:val="00AF7415"/>
    <w:rsid w:val="00AF749C"/>
    <w:rsid w:val="00AF7542"/>
    <w:rsid w:val="00AF755D"/>
    <w:rsid w:val="00AF781A"/>
    <w:rsid w:val="00AF78C2"/>
    <w:rsid w:val="00AF7E23"/>
    <w:rsid w:val="00AF7F0E"/>
    <w:rsid w:val="00AF7F63"/>
    <w:rsid w:val="00B00117"/>
    <w:rsid w:val="00B00144"/>
    <w:rsid w:val="00B00460"/>
    <w:rsid w:val="00B004A8"/>
    <w:rsid w:val="00B00561"/>
    <w:rsid w:val="00B00648"/>
    <w:rsid w:val="00B0087D"/>
    <w:rsid w:val="00B00910"/>
    <w:rsid w:val="00B00C79"/>
    <w:rsid w:val="00B01097"/>
    <w:rsid w:val="00B01237"/>
    <w:rsid w:val="00B01339"/>
    <w:rsid w:val="00B01574"/>
    <w:rsid w:val="00B016D4"/>
    <w:rsid w:val="00B0171B"/>
    <w:rsid w:val="00B01C84"/>
    <w:rsid w:val="00B01E02"/>
    <w:rsid w:val="00B01F75"/>
    <w:rsid w:val="00B02052"/>
    <w:rsid w:val="00B02559"/>
    <w:rsid w:val="00B02760"/>
    <w:rsid w:val="00B02977"/>
    <w:rsid w:val="00B02B42"/>
    <w:rsid w:val="00B02C3F"/>
    <w:rsid w:val="00B02E75"/>
    <w:rsid w:val="00B03450"/>
    <w:rsid w:val="00B0354B"/>
    <w:rsid w:val="00B03947"/>
    <w:rsid w:val="00B0398A"/>
    <w:rsid w:val="00B03C17"/>
    <w:rsid w:val="00B03D08"/>
    <w:rsid w:val="00B03D9D"/>
    <w:rsid w:val="00B03EC8"/>
    <w:rsid w:val="00B03F06"/>
    <w:rsid w:val="00B04099"/>
    <w:rsid w:val="00B040B2"/>
    <w:rsid w:val="00B041BC"/>
    <w:rsid w:val="00B042A6"/>
    <w:rsid w:val="00B042BC"/>
    <w:rsid w:val="00B0435B"/>
    <w:rsid w:val="00B04981"/>
    <w:rsid w:val="00B04ABC"/>
    <w:rsid w:val="00B04AFA"/>
    <w:rsid w:val="00B04B4C"/>
    <w:rsid w:val="00B04F28"/>
    <w:rsid w:val="00B04F3C"/>
    <w:rsid w:val="00B04FE6"/>
    <w:rsid w:val="00B05340"/>
    <w:rsid w:val="00B05A15"/>
    <w:rsid w:val="00B05B19"/>
    <w:rsid w:val="00B05EB1"/>
    <w:rsid w:val="00B06364"/>
    <w:rsid w:val="00B06367"/>
    <w:rsid w:val="00B063A4"/>
    <w:rsid w:val="00B0673D"/>
    <w:rsid w:val="00B06EAD"/>
    <w:rsid w:val="00B0718E"/>
    <w:rsid w:val="00B0765C"/>
    <w:rsid w:val="00B07783"/>
    <w:rsid w:val="00B07906"/>
    <w:rsid w:val="00B0795E"/>
    <w:rsid w:val="00B07BAD"/>
    <w:rsid w:val="00B07EF9"/>
    <w:rsid w:val="00B10337"/>
    <w:rsid w:val="00B1038B"/>
    <w:rsid w:val="00B105EB"/>
    <w:rsid w:val="00B10715"/>
    <w:rsid w:val="00B10948"/>
    <w:rsid w:val="00B10A09"/>
    <w:rsid w:val="00B10AFB"/>
    <w:rsid w:val="00B10D91"/>
    <w:rsid w:val="00B10DFD"/>
    <w:rsid w:val="00B10FC8"/>
    <w:rsid w:val="00B11449"/>
    <w:rsid w:val="00B11470"/>
    <w:rsid w:val="00B114DC"/>
    <w:rsid w:val="00B117BE"/>
    <w:rsid w:val="00B11939"/>
    <w:rsid w:val="00B121F5"/>
    <w:rsid w:val="00B1222D"/>
    <w:rsid w:val="00B12471"/>
    <w:rsid w:val="00B124E9"/>
    <w:rsid w:val="00B127BC"/>
    <w:rsid w:val="00B130BC"/>
    <w:rsid w:val="00B13487"/>
    <w:rsid w:val="00B134B4"/>
    <w:rsid w:val="00B13512"/>
    <w:rsid w:val="00B1365D"/>
    <w:rsid w:val="00B1368E"/>
    <w:rsid w:val="00B138AB"/>
    <w:rsid w:val="00B13A7E"/>
    <w:rsid w:val="00B13BB4"/>
    <w:rsid w:val="00B13E2D"/>
    <w:rsid w:val="00B13F4F"/>
    <w:rsid w:val="00B141BE"/>
    <w:rsid w:val="00B143B7"/>
    <w:rsid w:val="00B1463B"/>
    <w:rsid w:val="00B14650"/>
    <w:rsid w:val="00B14863"/>
    <w:rsid w:val="00B148D7"/>
    <w:rsid w:val="00B14A72"/>
    <w:rsid w:val="00B14A8D"/>
    <w:rsid w:val="00B14AC3"/>
    <w:rsid w:val="00B14B69"/>
    <w:rsid w:val="00B14BCA"/>
    <w:rsid w:val="00B14CAC"/>
    <w:rsid w:val="00B14E0B"/>
    <w:rsid w:val="00B15425"/>
    <w:rsid w:val="00B15752"/>
    <w:rsid w:val="00B159E1"/>
    <w:rsid w:val="00B15EE4"/>
    <w:rsid w:val="00B16087"/>
    <w:rsid w:val="00B166D0"/>
    <w:rsid w:val="00B169BD"/>
    <w:rsid w:val="00B16A23"/>
    <w:rsid w:val="00B16A60"/>
    <w:rsid w:val="00B16B9F"/>
    <w:rsid w:val="00B16DFA"/>
    <w:rsid w:val="00B1711A"/>
    <w:rsid w:val="00B172D9"/>
    <w:rsid w:val="00B175CC"/>
    <w:rsid w:val="00B17656"/>
    <w:rsid w:val="00B177D8"/>
    <w:rsid w:val="00B17926"/>
    <w:rsid w:val="00B2078D"/>
    <w:rsid w:val="00B2079E"/>
    <w:rsid w:val="00B2089D"/>
    <w:rsid w:val="00B208A1"/>
    <w:rsid w:val="00B20BF3"/>
    <w:rsid w:val="00B20FEA"/>
    <w:rsid w:val="00B21004"/>
    <w:rsid w:val="00B21399"/>
    <w:rsid w:val="00B21496"/>
    <w:rsid w:val="00B214A2"/>
    <w:rsid w:val="00B21565"/>
    <w:rsid w:val="00B21885"/>
    <w:rsid w:val="00B2199C"/>
    <w:rsid w:val="00B21A2B"/>
    <w:rsid w:val="00B21ACD"/>
    <w:rsid w:val="00B21C25"/>
    <w:rsid w:val="00B21D8E"/>
    <w:rsid w:val="00B21F84"/>
    <w:rsid w:val="00B220A5"/>
    <w:rsid w:val="00B222D2"/>
    <w:rsid w:val="00B222EF"/>
    <w:rsid w:val="00B22726"/>
    <w:rsid w:val="00B22ACA"/>
    <w:rsid w:val="00B22C4D"/>
    <w:rsid w:val="00B22F67"/>
    <w:rsid w:val="00B2327B"/>
    <w:rsid w:val="00B2333A"/>
    <w:rsid w:val="00B2374F"/>
    <w:rsid w:val="00B239B8"/>
    <w:rsid w:val="00B23C2D"/>
    <w:rsid w:val="00B23C85"/>
    <w:rsid w:val="00B24173"/>
    <w:rsid w:val="00B2422E"/>
    <w:rsid w:val="00B2433E"/>
    <w:rsid w:val="00B2489D"/>
    <w:rsid w:val="00B24988"/>
    <w:rsid w:val="00B24AE9"/>
    <w:rsid w:val="00B24E14"/>
    <w:rsid w:val="00B24F28"/>
    <w:rsid w:val="00B2502F"/>
    <w:rsid w:val="00B254F8"/>
    <w:rsid w:val="00B255C5"/>
    <w:rsid w:val="00B2566C"/>
    <w:rsid w:val="00B256D8"/>
    <w:rsid w:val="00B25AA8"/>
    <w:rsid w:val="00B25BE3"/>
    <w:rsid w:val="00B25D8F"/>
    <w:rsid w:val="00B25F1B"/>
    <w:rsid w:val="00B25FEF"/>
    <w:rsid w:val="00B2627F"/>
    <w:rsid w:val="00B26518"/>
    <w:rsid w:val="00B26835"/>
    <w:rsid w:val="00B26BB4"/>
    <w:rsid w:val="00B26D2B"/>
    <w:rsid w:val="00B2730D"/>
    <w:rsid w:val="00B27A1D"/>
    <w:rsid w:val="00B27C14"/>
    <w:rsid w:val="00B27D1D"/>
    <w:rsid w:val="00B27F13"/>
    <w:rsid w:val="00B3013D"/>
    <w:rsid w:val="00B301DF"/>
    <w:rsid w:val="00B3046E"/>
    <w:rsid w:val="00B3083D"/>
    <w:rsid w:val="00B30B62"/>
    <w:rsid w:val="00B30E51"/>
    <w:rsid w:val="00B314CB"/>
    <w:rsid w:val="00B316BF"/>
    <w:rsid w:val="00B31F05"/>
    <w:rsid w:val="00B32224"/>
    <w:rsid w:val="00B322A5"/>
    <w:rsid w:val="00B32530"/>
    <w:rsid w:val="00B3272B"/>
    <w:rsid w:val="00B327C2"/>
    <w:rsid w:val="00B327E6"/>
    <w:rsid w:val="00B328E0"/>
    <w:rsid w:val="00B32C02"/>
    <w:rsid w:val="00B32C38"/>
    <w:rsid w:val="00B32EB6"/>
    <w:rsid w:val="00B332D1"/>
    <w:rsid w:val="00B33369"/>
    <w:rsid w:val="00B3339F"/>
    <w:rsid w:val="00B33440"/>
    <w:rsid w:val="00B334E3"/>
    <w:rsid w:val="00B334F1"/>
    <w:rsid w:val="00B3360C"/>
    <w:rsid w:val="00B3365C"/>
    <w:rsid w:val="00B33793"/>
    <w:rsid w:val="00B337ED"/>
    <w:rsid w:val="00B33C16"/>
    <w:rsid w:val="00B34461"/>
    <w:rsid w:val="00B3448A"/>
    <w:rsid w:val="00B344E9"/>
    <w:rsid w:val="00B34861"/>
    <w:rsid w:val="00B34A36"/>
    <w:rsid w:val="00B34CA1"/>
    <w:rsid w:val="00B34F9B"/>
    <w:rsid w:val="00B35150"/>
    <w:rsid w:val="00B35182"/>
    <w:rsid w:val="00B35371"/>
    <w:rsid w:val="00B35574"/>
    <w:rsid w:val="00B355BB"/>
    <w:rsid w:val="00B35735"/>
    <w:rsid w:val="00B35764"/>
    <w:rsid w:val="00B357FC"/>
    <w:rsid w:val="00B35B0C"/>
    <w:rsid w:val="00B35B32"/>
    <w:rsid w:val="00B35BBC"/>
    <w:rsid w:val="00B35C4C"/>
    <w:rsid w:val="00B35EEC"/>
    <w:rsid w:val="00B36014"/>
    <w:rsid w:val="00B360C1"/>
    <w:rsid w:val="00B362E5"/>
    <w:rsid w:val="00B3639A"/>
    <w:rsid w:val="00B36457"/>
    <w:rsid w:val="00B364B7"/>
    <w:rsid w:val="00B368A2"/>
    <w:rsid w:val="00B36B18"/>
    <w:rsid w:val="00B36BAD"/>
    <w:rsid w:val="00B36C0B"/>
    <w:rsid w:val="00B36E4B"/>
    <w:rsid w:val="00B36EFF"/>
    <w:rsid w:val="00B3703F"/>
    <w:rsid w:val="00B374AF"/>
    <w:rsid w:val="00B37644"/>
    <w:rsid w:val="00B377D8"/>
    <w:rsid w:val="00B37942"/>
    <w:rsid w:val="00B379C4"/>
    <w:rsid w:val="00B37D79"/>
    <w:rsid w:val="00B37D9E"/>
    <w:rsid w:val="00B40232"/>
    <w:rsid w:val="00B403C7"/>
    <w:rsid w:val="00B404F3"/>
    <w:rsid w:val="00B4062B"/>
    <w:rsid w:val="00B40630"/>
    <w:rsid w:val="00B40668"/>
    <w:rsid w:val="00B40792"/>
    <w:rsid w:val="00B409B9"/>
    <w:rsid w:val="00B40A58"/>
    <w:rsid w:val="00B40BCA"/>
    <w:rsid w:val="00B40CF3"/>
    <w:rsid w:val="00B40D38"/>
    <w:rsid w:val="00B40DB5"/>
    <w:rsid w:val="00B40E8A"/>
    <w:rsid w:val="00B40ECA"/>
    <w:rsid w:val="00B40F3D"/>
    <w:rsid w:val="00B40F93"/>
    <w:rsid w:val="00B41058"/>
    <w:rsid w:val="00B4109A"/>
    <w:rsid w:val="00B411B8"/>
    <w:rsid w:val="00B4169C"/>
    <w:rsid w:val="00B41A74"/>
    <w:rsid w:val="00B41BAE"/>
    <w:rsid w:val="00B41FA0"/>
    <w:rsid w:val="00B42002"/>
    <w:rsid w:val="00B42243"/>
    <w:rsid w:val="00B422C5"/>
    <w:rsid w:val="00B4234A"/>
    <w:rsid w:val="00B42352"/>
    <w:rsid w:val="00B423B8"/>
    <w:rsid w:val="00B42423"/>
    <w:rsid w:val="00B4261A"/>
    <w:rsid w:val="00B4275F"/>
    <w:rsid w:val="00B429C5"/>
    <w:rsid w:val="00B42EF8"/>
    <w:rsid w:val="00B43189"/>
    <w:rsid w:val="00B434D8"/>
    <w:rsid w:val="00B435A8"/>
    <w:rsid w:val="00B43C43"/>
    <w:rsid w:val="00B43CDF"/>
    <w:rsid w:val="00B43D4E"/>
    <w:rsid w:val="00B43DAC"/>
    <w:rsid w:val="00B4420A"/>
    <w:rsid w:val="00B4440F"/>
    <w:rsid w:val="00B44818"/>
    <w:rsid w:val="00B4484E"/>
    <w:rsid w:val="00B44A96"/>
    <w:rsid w:val="00B44E57"/>
    <w:rsid w:val="00B454F6"/>
    <w:rsid w:val="00B45605"/>
    <w:rsid w:val="00B45665"/>
    <w:rsid w:val="00B45BC5"/>
    <w:rsid w:val="00B4601F"/>
    <w:rsid w:val="00B4609B"/>
    <w:rsid w:val="00B46241"/>
    <w:rsid w:val="00B4626F"/>
    <w:rsid w:val="00B467C5"/>
    <w:rsid w:val="00B46924"/>
    <w:rsid w:val="00B46A23"/>
    <w:rsid w:val="00B46F56"/>
    <w:rsid w:val="00B46FD6"/>
    <w:rsid w:val="00B4711A"/>
    <w:rsid w:val="00B47156"/>
    <w:rsid w:val="00B471B2"/>
    <w:rsid w:val="00B47315"/>
    <w:rsid w:val="00B47A37"/>
    <w:rsid w:val="00B47EE3"/>
    <w:rsid w:val="00B5040E"/>
    <w:rsid w:val="00B50B17"/>
    <w:rsid w:val="00B50BED"/>
    <w:rsid w:val="00B50CD5"/>
    <w:rsid w:val="00B50D28"/>
    <w:rsid w:val="00B50E0D"/>
    <w:rsid w:val="00B510DE"/>
    <w:rsid w:val="00B51262"/>
    <w:rsid w:val="00B51359"/>
    <w:rsid w:val="00B51AC2"/>
    <w:rsid w:val="00B51C64"/>
    <w:rsid w:val="00B51C8F"/>
    <w:rsid w:val="00B51DFB"/>
    <w:rsid w:val="00B5219E"/>
    <w:rsid w:val="00B52372"/>
    <w:rsid w:val="00B52401"/>
    <w:rsid w:val="00B526BE"/>
    <w:rsid w:val="00B526E7"/>
    <w:rsid w:val="00B52770"/>
    <w:rsid w:val="00B527A2"/>
    <w:rsid w:val="00B528B7"/>
    <w:rsid w:val="00B52945"/>
    <w:rsid w:val="00B52A12"/>
    <w:rsid w:val="00B52DAB"/>
    <w:rsid w:val="00B538F7"/>
    <w:rsid w:val="00B53A18"/>
    <w:rsid w:val="00B53C04"/>
    <w:rsid w:val="00B53CD6"/>
    <w:rsid w:val="00B53FA5"/>
    <w:rsid w:val="00B543DE"/>
    <w:rsid w:val="00B545F4"/>
    <w:rsid w:val="00B5477A"/>
    <w:rsid w:val="00B54BDA"/>
    <w:rsid w:val="00B55127"/>
    <w:rsid w:val="00B5589B"/>
    <w:rsid w:val="00B55948"/>
    <w:rsid w:val="00B559B6"/>
    <w:rsid w:val="00B55C9B"/>
    <w:rsid w:val="00B55D57"/>
    <w:rsid w:val="00B55DF5"/>
    <w:rsid w:val="00B55F8E"/>
    <w:rsid w:val="00B562CA"/>
    <w:rsid w:val="00B5641F"/>
    <w:rsid w:val="00B56543"/>
    <w:rsid w:val="00B566E4"/>
    <w:rsid w:val="00B5688E"/>
    <w:rsid w:val="00B569B6"/>
    <w:rsid w:val="00B56EFC"/>
    <w:rsid w:val="00B56F7A"/>
    <w:rsid w:val="00B57185"/>
    <w:rsid w:val="00B572C8"/>
    <w:rsid w:val="00B601CB"/>
    <w:rsid w:val="00B606B3"/>
    <w:rsid w:val="00B60844"/>
    <w:rsid w:val="00B60C29"/>
    <w:rsid w:val="00B60DC1"/>
    <w:rsid w:val="00B610E1"/>
    <w:rsid w:val="00B612A0"/>
    <w:rsid w:val="00B6138B"/>
    <w:rsid w:val="00B61435"/>
    <w:rsid w:val="00B614BC"/>
    <w:rsid w:val="00B6157A"/>
    <w:rsid w:val="00B6177F"/>
    <w:rsid w:val="00B61B34"/>
    <w:rsid w:val="00B61D2C"/>
    <w:rsid w:val="00B61F62"/>
    <w:rsid w:val="00B61F93"/>
    <w:rsid w:val="00B624C5"/>
    <w:rsid w:val="00B625D6"/>
    <w:rsid w:val="00B6266C"/>
    <w:rsid w:val="00B627FD"/>
    <w:rsid w:val="00B62A46"/>
    <w:rsid w:val="00B62CF2"/>
    <w:rsid w:val="00B63053"/>
    <w:rsid w:val="00B63139"/>
    <w:rsid w:val="00B632F1"/>
    <w:rsid w:val="00B63B04"/>
    <w:rsid w:val="00B63B8C"/>
    <w:rsid w:val="00B63C44"/>
    <w:rsid w:val="00B63CC4"/>
    <w:rsid w:val="00B64001"/>
    <w:rsid w:val="00B64229"/>
    <w:rsid w:val="00B64269"/>
    <w:rsid w:val="00B642B8"/>
    <w:rsid w:val="00B64470"/>
    <w:rsid w:val="00B646E0"/>
    <w:rsid w:val="00B646F2"/>
    <w:rsid w:val="00B647E2"/>
    <w:rsid w:val="00B6480B"/>
    <w:rsid w:val="00B64810"/>
    <w:rsid w:val="00B649E1"/>
    <w:rsid w:val="00B64AEF"/>
    <w:rsid w:val="00B64B82"/>
    <w:rsid w:val="00B64F35"/>
    <w:rsid w:val="00B6527B"/>
    <w:rsid w:val="00B65333"/>
    <w:rsid w:val="00B6546D"/>
    <w:rsid w:val="00B654AE"/>
    <w:rsid w:val="00B658A2"/>
    <w:rsid w:val="00B65A5D"/>
    <w:rsid w:val="00B65ADC"/>
    <w:rsid w:val="00B65BC4"/>
    <w:rsid w:val="00B65D1B"/>
    <w:rsid w:val="00B65D1D"/>
    <w:rsid w:val="00B65D5E"/>
    <w:rsid w:val="00B65E59"/>
    <w:rsid w:val="00B65EFC"/>
    <w:rsid w:val="00B66485"/>
    <w:rsid w:val="00B66ACC"/>
    <w:rsid w:val="00B66D14"/>
    <w:rsid w:val="00B66FF6"/>
    <w:rsid w:val="00B6737A"/>
    <w:rsid w:val="00B67425"/>
    <w:rsid w:val="00B674D9"/>
    <w:rsid w:val="00B676D9"/>
    <w:rsid w:val="00B679F2"/>
    <w:rsid w:val="00B67A1D"/>
    <w:rsid w:val="00B67AF0"/>
    <w:rsid w:val="00B67B92"/>
    <w:rsid w:val="00B67B95"/>
    <w:rsid w:val="00B67C25"/>
    <w:rsid w:val="00B67C32"/>
    <w:rsid w:val="00B67C7F"/>
    <w:rsid w:val="00B67D1A"/>
    <w:rsid w:val="00B67F02"/>
    <w:rsid w:val="00B7009D"/>
    <w:rsid w:val="00B7027A"/>
    <w:rsid w:val="00B70480"/>
    <w:rsid w:val="00B706E7"/>
    <w:rsid w:val="00B70706"/>
    <w:rsid w:val="00B7087F"/>
    <w:rsid w:val="00B70979"/>
    <w:rsid w:val="00B70E07"/>
    <w:rsid w:val="00B7115C"/>
    <w:rsid w:val="00B711AA"/>
    <w:rsid w:val="00B712D6"/>
    <w:rsid w:val="00B71410"/>
    <w:rsid w:val="00B71438"/>
    <w:rsid w:val="00B7159D"/>
    <w:rsid w:val="00B720AD"/>
    <w:rsid w:val="00B721B2"/>
    <w:rsid w:val="00B72471"/>
    <w:rsid w:val="00B72840"/>
    <w:rsid w:val="00B72C8C"/>
    <w:rsid w:val="00B72D16"/>
    <w:rsid w:val="00B72D5F"/>
    <w:rsid w:val="00B72D81"/>
    <w:rsid w:val="00B72FAE"/>
    <w:rsid w:val="00B73187"/>
    <w:rsid w:val="00B735CF"/>
    <w:rsid w:val="00B73A37"/>
    <w:rsid w:val="00B73B1C"/>
    <w:rsid w:val="00B73B79"/>
    <w:rsid w:val="00B73BA0"/>
    <w:rsid w:val="00B73CAF"/>
    <w:rsid w:val="00B73F7A"/>
    <w:rsid w:val="00B741B7"/>
    <w:rsid w:val="00B742ED"/>
    <w:rsid w:val="00B74330"/>
    <w:rsid w:val="00B74BC1"/>
    <w:rsid w:val="00B75114"/>
    <w:rsid w:val="00B75610"/>
    <w:rsid w:val="00B75792"/>
    <w:rsid w:val="00B760CC"/>
    <w:rsid w:val="00B761D9"/>
    <w:rsid w:val="00B76261"/>
    <w:rsid w:val="00B7660A"/>
    <w:rsid w:val="00B76E66"/>
    <w:rsid w:val="00B77175"/>
    <w:rsid w:val="00B77288"/>
    <w:rsid w:val="00B773A6"/>
    <w:rsid w:val="00B775DE"/>
    <w:rsid w:val="00B77791"/>
    <w:rsid w:val="00B77880"/>
    <w:rsid w:val="00B77AB3"/>
    <w:rsid w:val="00B77AEE"/>
    <w:rsid w:val="00B77B35"/>
    <w:rsid w:val="00B77B3A"/>
    <w:rsid w:val="00B77CA3"/>
    <w:rsid w:val="00B77E01"/>
    <w:rsid w:val="00B77EC6"/>
    <w:rsid w:val="00B80267"/>
    <w:rsid w:val="00B8030E"/>
    <w:rsid w:val="00B80337"/>
    <w:rsid w:val="00B80370"/>
    <w:rsid w:val="00B803A7"/>
    <w:rsid w:val="00B8059E"/>
    <w:rsid w:val="00B80820"/>
    <w:rsid w:val="00B80855"/>
    <w:rsid w:val="00B80D84"/>
    <w:rsid w:val="00B80EAF"/>
    <w:rsid w:val="00B80F86"/>
    <w:rsid w:val="00B810A7"/>
    <w:rsid w:val="00B81138"/>
    <w:rsid w:val="00B81598"/>
    <w:rsid w:val="00B81CC5"/>
    <w:rsid w:val="00B81DA1"/>
    <w:rsid w:val="00B81EE2"/>
    <w:rsid w:val="00B82166"/>
    <w:rsid w:val="00B82177"/>
    <w:rsid w:val="00B822F1"/>
    <w:rsid w:val="00B825A0"/>
    <w:rsid w:val="00B82E12"/>
    <w:rsid w:val="00B83417"/>
    <w:rsid w:val="00B835B1"/>
    <w:rsid w:val="00B83662"/>
    <w:rsid w:val="00B8371E"/>
    <w:rsid w:val="00B838A4"/>
    <w:rsid w:val="00B83A88"/>
    <w:rsid w:val="00B83AFD"/>
    <w:rsid w:val="00B83B82"/>
    <w:rsid w:val="00B83BAF"/>
    <w:rsid w:val="00B83C24"/>
    <w:rsid w:val="00B840FA"/>
    <w:rsid w:val="00B84197"/>
    <w:rsid w:val="00B843D5"/>
    <w:rsid w:val="00B847D1"/>
    <w:rsid w:val="00B84C76"/>
    <w:rsid w:val="00B84C8A"/>
    <w:rsid w:val="00B84D39"/>
    <w:rsid w:val="00B84DCB"/>
    <w:rsid w:val="00B84ECA"/>
    <w:rsid w:val="00B84F60"/>
    <w:rsid w:val="00B84FEA"/>
    <w:rsid w:val="00B851F8"/>
    <w:rsid w:val="00B8525B"/>
    <w:rsid w:val="00B85CC6"/>
    <w:rsid w:val="00B85FAB"/>
    <w:rsid w:val="00B860E7"/>
    <w:rsid w:val="00B861C2"/>
    <w:rsid w:val="00B8624D"/>
    <w:rsid w:val="00B8628F"/>
    <w:rsid w:val="00B86381"/>
    <w:rsid w:val="00B864EC"/>
    <w:rsid w:val="00B86544"/>
    <w:rsid w:val="00B86812"/>
    <w:rsid w:val="00B8688C"/>
    <w:rsid w:val="00B86913"/>
    <w:rsid w:val="00B86965"/>
    <w:rsid w:val="00B86D9B"/>
    <w:rsid w:val="00B8709A"/>
    <w:rsid w:val="00B87334"/>
    <w:rsid w:val="00B87614"/>
    <w:rsid w:val="00B87843"/>
    <w:rsid w:val="00B87934"/>
    <w:rsid w:val="00B87F3D"/>
    <w:rsid w:val="00B90186"/>
    <w:rsid w:val="00B903D1"/>
    <w:rsid w:val="00B906E7"/>
    <w:rsid w:val="00B90812"/>
    <w:rsid w:val="00B90BFB"/>
    <w:rsid w:val="00B90C02"/>
    <w:rsid w:val="00B90C5A"/>
    <w:rsid w:val="00B90DE2"/>
    <w:rsid w:val="00B9144A"/>
    <w:rsid w:val="00B9174B"/>
    <w:rsid w:val="00B91961"/>
    <w:rsid w:val="00B92028"/>
    <w:rsid w:val="00B922B1"/>
    <w:rsid w:val="00B92311"/>
    <w:rsid w:val="00B92452"/>
    <w:rsid w:val="00B9274D"/>
    <w:rsid w:val="00B92781"/>
    <w:rsid w:val="00B92908"/>
    <w:rsid w:val="00B92B21"/>
    <w:rsid w:val="00B92F91"/>
    <w:rsid w:val="00B93066"/>
    <w:rsid w:val="00B93113"/>
    <w:rsid w:val="00B9312E"/>
    <w:rsid w:val="00B9314B"/>
    <w:rsid w:val="00B9333E"/>
    <w:rsid w:val="00B9344E"/>
    <w:rsid w:val="00B935DA"/>
    <w:rsid w:val="00B941EA"/>
    <w:rsid w:val="00B943C2"/>
    <w:rsid w:val="00B943E4"/>
    <w:rsid w:val="00B947E9"/>
    <w:rsid w:val="00B9546F"/>
    <w:rsid w:val="00B95AC3"/>
    <w:rsid w:val="00B95AC5"/>
    <w:rsid w:val="00B95C2C"/>
    <w:rsid w:val="00B95C9C"/>
    <w:rsid w:val="00B96278"/>
    <w:rsid w:val="00B96321"/>
    <w:rsid w:val="00B96439"/>
    <w:rsid w:val="00B964F9"/>
    <w:rsid w:val="00B965A5"/>
    <w:rsid w:val="00B965C5"/>
    <w:rsid w:val="00B96853"/>
    <w:rsid w:val="00B968E4"/>
    <w:rsid w:val="00B96C53"/>
    <w:rsid w:val="00B96E70"/>
    <w:rsid w:val="00B96F93"/>
    <w:rsid w:val="00B970C1"/>
    <w:rsid w:val="00B972B7"/>
    <w:rsid w:val="00B97BDC"/>
    <w:rsid w:val="00B97C20"/>
    <w:rsid w:val="00B97DE5"/>
    <w:rsid w:val="00B97FDD"/>
    <w:rsid w:val="00BA0016"/>
    <w:rsid w:val="00BA01D7"/>
    <w:rsid w:val="00BA0223"/>
    <w:rsid w:val="00BA02A9"/>
    <w:rsid w:val="00BA0598"/>
    <w:rsid w:val="00BA07F1"/>
    <w:rsid w:val="00BA0900"/>
    <w:rsid w:val="00BA0A7A"/>
    <w:rsid w:val="00BA0B17"/>
    <w:rsid w:val="00BA0CAB"/>
    <w:rsid w:val="00BA0CC0"/>
    <w:rsid w:val="00BA11D6"/>
    <w:rsid w:val="00BA1260"/>
    <w:rsid w:val="00BA1492"/>
    <w:rsid w:val="00BA150A"/>
    <w:rsid w:val="00BA161A"/>
    <w:rsid w:val="00BA1628"/>
    <w:rsid w:val="00BA1888"/>
    <w:rsid w:val="00BA1AAC"/>
    <w:rsid w:val="00BA1E3B"/>
    <w:rsid w:val="00BA20EE"/>
    <w:rsid w:val="00BA2219"/>
    <w:rsid w:val="00BA235F"/>
    <w:rsid w:val="00BA248B"/>
    <w:rsid w:val="00BA2813"/>
    <w:rsid w:val="00BA2886"/>
    <w:rsid w:val="00BA2B3D"/>
    <w:rsid w:val="00BA2C02"/>
    <w:rsid w:val="00BA2CC0"/>
    <w:rsid w:val="00BA34E6"/>
    <w:rsid w:val="00BA3D2B"/>
    <w:rsid w:val="00BA3F57"/>
    <w:rsid w:val="00BA4207"/>
    <w:rsid w:val="00BA46B9"/>
    <w:rsid w:val="00BA47BE"/>
    <w:rsid w:val="00BA4CD7"/>
    <w:rsid w:val="00BA4CF2"/>
    <w:rsid w:val="00BA4FE3"/>
    <w:rsid w:val="00BA544C"/>
    <w:rsid w:val="00BA551B"/>
    <w:rsid w:val="00BA5780"/>
    <w:rsid w:val="00BA5798"/>
    <w:rsid w:val="00BA5894"/>
    <w:rsid w:val="00BA5BB8"/>
    <w:rsid w:val="00BA5EC1"/>
    <w:rsid w:val="00BA6377"/>
    <w:rsid w:val="00BA63E4"/>
    <w:rsid w:val="00BA65F0"/>
    <w:rsid w:val="00BA6948"/>
    <w:rsid w:val="00BA6E7E"/>
    <w:rsid w:val="00BA6F18"/>
    <w:rsid w:val="00BA71B8"/>
    <w:rsid w:val="00BA71F3"/>
    <w:rsid w:val="00BA74C2"/>
    <w:rsid w:val="00BA7783"/>
    <w:rsid w:val="00BA79AF"/>
    <w:rsid w:val="00BA7D50"/>
    <w:rsid w:val="00BA7D66"/>
    <w:rsid w:val="00BA7EEC"/>
    <w:rsid w:val="00BA7F4A"/>
    <w:rsid w:val="00BB03F4"/>
    <w:rsid w:val="00BB042E"/>
    <w:rsid w:val="00BB04F1"/>
    <w:rsid w:val="00BB0539"/>
    <w:rsid w:val="00BB054D"/>
    <w:rsid w:val="00BB0683"/>
    <w:rsid w:val="00BB0725"/>
    <w:rsid w:val="00BB0B85"/>
    <w:rsid w:val="00BB0BC0"/>
    <w:rsid w:val="00BB0E2B"/>
    <w:rsid w:val="00BB0FA2"/>
    <w:rsid w:val="00BB0FEC"/>
    <w:rsid w:val="00BB1286"/>
    <w:rsid w:val="00BB12F1"/>
    <w:rsid w:val="00BB12F6"/>
    <w:rsid w:val="00BB1306"/>
    <w:rsid w:val="00BB1389"/>
    <w:rsid w:val="00BB1611"/>
    <w:rsid w:val="00BB1643"/>
    <w:rsid w:val="00BB16F3"/>
    <w:rsid w:val="00BB1826"/>
    <w:rsid w:val="00BB1A77"/>
    <w:rsid w:val="00BB1C13"/>
    <w:rsid w:val="00BB1D12"/>
    <w:rsid w:val="00BB1D73"/>
    <w:rsid w:val="00BB2137"/>
    <w:rsid w:val="00BB21BC"/>
    <w:rsid w:val="00BB2581"/>
    <w:rsid w:val="00BB25B2"/>
    <w:rsid w:val="00BB2805"/>
    <w:rsid w:val="00BB280D"/>
    <w:rsid w:val="00BB2D6A"/>
    <w:rsid w:val="00BB2E18"/>
    <w:rsid w:val="00BB2F84"/>
    <w:rsid w:val="00BB305E"/>
    <w:rsid w:val="00BB3069"/>
    <w:rsid w:val="00BB3310"/>
    <w:rsid w:val="00BB3385"/>
    <w:rsid w:val="00BB3393"/>
    <w:rsid w:val="00BB3537"/>
    <w:rsid w:val="00BB354D"/>
    <w:rsid w:val="00BB38C4"/>
    <w:rsid w:val="00BB3FB0"/>
    <w:rsid w:val="00BB42E8"/>
    <w:rsid w:val="00BB452C"/>
    <w:rsid w:val="00BB4701"/>
    <w:rsid w:val="00BB499B"/>
    <w:rsid w:val="00BB49DF"/>
    <w:rsid w:val="00BB4B0A"/>
    <w:rsid w:val="00BB4B18"/>
    <w:rsid w:val="00BB4B5D"/>
    <w:rsid w:val="00BB4BDD"/>
    <w:rsid w:val="00BB4C14"/>
    <w:rsid w:val="00BB4DB9"/>
    <w:rsid w:val="00BB4E2D"/>
    <w:rsid w:val="00BB5049"/>
    <w:rsid w:val="00BB50FC"/>
    <w:rsid w:val="00BB5178"/>
    <w:rsid w:val="00BB5223"/>
    <w:rsid w:val="00BB53A8"/>
    <w:rsid w:val="00BB5450"/>
    <w:rsid w:val="00BB55B4"/>
    <w:rsid w:val="00BB5931"/>
    <w:rsid w:val="00BB5B8F"/>
    <w:rsid w:val="00BB5C3D"/>
    <w:rsid w:val="00BB5D7E"/>
    <w:rsid w:val="00BB5DE0"/>
    <w:rsid w:val="00BB5EF4"/>
    <w:rsid w:val="00BB600E"/>
    <w:rsid w:val="00BB61B5"/>
    <w:rsid w:val="00BB6250"/>
    <w:rsid w:val="00BB66F0"/>
    <w:rsid w:val="00BB6739"/>
    <w:rsid w:val="00BB6CED"/>
    <w:rsid w:val="00BB72C9"/>
    <w:rsid w:val="00BB72E7"/>
    <w:rsid w:val="00BB7302"/>
    <w:rsid w:val="00BB731A"/>
    <w:rsid w:val="00BB76D2"/>
    <w:rsid w:val="00BB7B93"/>
    <w:rsid w:val="00BB7C27"/>
    <w:rsid w:val="00BB7C82"/>
    <w:rsid w:val="00BB7ED0"/>
    <w:rsid w:val="00BB7EE0"/>
    <w:rsid w:val="00BC05A3"/>
    <w:rsid w:val="00BC0747"/>
    <w:rsid w:val="00BC0982"/>
    <w:rsid w:val="00BC09C1"/>
    <w:rsid w:val="00BC0A24"/>
    <w:rsid w:val="00BC0E09"/>
    <w:rsid w:val="00BC0E84"/>
    <w:rsid w:val="00BC0F17"/>
    <w:rsid w:val="00BC0F27"/>
    <w:rsid w:val="00BC1118"/>
    <w:rsid w:val="00BC141E"/>
    <w:rsid w:val="00BC14D0"/>
    <w:rsid w:val="00BC19E0"/>
    <w:rsid w:val="00BC1AA9"/>
    <w:rsid w:val="00BC1B04"/>
    <w:rsid w:val="00BC1E83"/>
    <w:rsid w:val="00BC1EC6"/>
    <w:rsid w:val="00BC226C"/>
    <w:rsid w:val="00BC232F"/>
    <w:rsid w:val="00BC2378"/>
    <w:rsid w:val="00BC23A4"/>
    <w:rsid w:val="00BC23FC"/>
    <w:rsid w:val="00BC24B8"/>
    <w:rsid w:val="00BC26F3"/>
    <w:rsid w:val="00BC2D1B"/>
    <w:rsid w:val="00BC2EEA"/>
    <w:rsid w:val="00BC2F1C"/>
    <w:rsid w:val="00BC31DA"/>
    <w:rsid w:val="00BC3367"/>
    <w:rsid w:val="00BC3380"/>
    <w:rsid w:val="00BC3453"/>
    <w:rsid w:val="00BC35E7"/>
    <w:rsid w:val="00BC36D8"/>
    <w:rsid w:val="00BC3876"/>
    <w:rsid w:val="00BC3B4F"/>
    <w:rsid w:val="00BC3E4C"/>
    <w:rsid w:val="00BC4239"/>
    <w:rsid w:val="00BC424F"/>
    <w:rsid w:val="00BC46C5"/>
    <w:rsid w:val="00BC4742"/>
    <w:rsid w:val="00BC4ACB"/>
    <w:rsid w:val="00BC4BD6"/>
    <w:rsid w:val="00BC55AC"/>
    <w:rsid w:val="00BC581C"/>
    <w:rsid w:val="00BC5867"/>
    <w:rsid w:val="00BC59A9"/>
    <w:rsid w:val="00BC5B71"/>
    <w:rsid w:val="00BC5B7B"/>
    <w:rsid w:val="00BC5C74"/>
    <w:rsid w:val="00BC5D1D"/>
    <w:rsid w:val="00BC5DFC"/>
    <w:rsid w:val="00BC5EBF"/>
    <w:rsid w:val="00BC5F60"/>
    <w:rsid w:val="00BC6688"/>
    <w:rsid w:val="00BC6868"/>
    <w:rsid w:val="00BC6D49"/>
    <w:rsid w:val="00BC6EBE"/>
    <w:rsid w:val="00BC6F62"/>
    <w:rsid w:val="00BC70E5"/>
    <w:rsid w:val="00BC74EA"/>
    <w:rsid w:val="00BC768E"/>
    <w:rsid w:val="00BC797A"/>
    <w:rsid w:val="00BC7A31"/>
    <w:rsid w:val="00BC7F31"/>
    <w:rsid w:val="00BD03BA"/>
    <w:rsid w:val="00BD056E"/>
    <w:rsid w:val="00BD08C5"/>
    <w:rsid w:val="00BD0BFD"/>
    <w:rsid w:val="00BD0ED4"/>
    <w:rsid w:val="00BD1310"/>
    <w:rsid w:val="00BD13E1"/>
    <w:rsid w:val="00BD15F3"/>
    <w:rsid w:val="00BD16EC"/>
    <w:rsid w:val="00BD1BA8"/>
    <w:rsid w:val="00BD1C2F"/>
    <w:rsid w:val="00BD1EF0"/>
    <w:rsid w:val="00BD2171"/>
    <w:rsid w:val="00BD22E4"/>
    <w:rsid w:val="00BD2893"/>
    <w:rsid w:val="00BD2B61"/>
    <w:rsid w:val="00BD2F28"/>
    <w:rsid w:val="00BD2F97"/>
    <w:rsid w:val="00BD3285"/>
    <w:rsid w:val="00BD3302"/>
    <w:rsid w:val="00BD34BA"/>
    <w:rsid w:val="00BD34ED"/>
    <w:rsid w:val="00BD3869"/>
    <w:rsid w:val="00BD3D99"/>
    <w:rsid w:val="00BD3DCE"/>
    <w:rsid w:val="00BD3DF8"/>
    <w:rsid w:val="00BD3F6E"/>
    <w:rsid w:val="00BD41C5"/>
    <w:rsid w:val="00BD41F4"/>
    <w:rsid w:val="00BD422D"/>
    <w:rsid w:val="00BD470F"/>
    <w:rsid w:val="00BD473C"/>
    <w:rsid w:val="00BD4A17"/>
    <w:rsid w:val="00BD4DB4"/>
    <w:rsid w:val="00BD4FAE"/>
    <w:rsid w:val="00BD535E"/>
    <w:rsid w:val="00BD5397"/>
    <w:rsid w:val="00BD5464"/>
    <w:rsid w:val="00BD5528"/>
    <w:rsid w:val="00BD558E"/>
    <w:rsid w:val="00BD56E5"/>
    <w:rsid w:val="00BD5941"/>
    <w:rsid w:val="00BD59A4"/>
    <w:rsid w:val="00BD5A1B"/>
    <w:rsid w:val="00BD5B74"/>
    <w:rsid w:val="00BD5C1B"/>
    <w:rsid w:val="00BD5F3C"/>
    <w:rsid w:val="00BD5FFB"/>
    <w:rsid w:val="00BD6333"/>
    <w:rsid w:val="00BD6351"/>
    <w:rsid w:val="00BD6389"/>
    <w:rsid w:val="00BD6B84"/>
    <w:rsid w:val="00BD6CA7"/>
    <w:rsid w:val="00BD6D78"/>
    <w:rsid w:val="00BD743A"/>
    <w:rsid w:val="00BD74EE"/>
    <w:rsid w:val="00BD7879"/>
    <w:rsid w:val="00BD797D"/>
    <w:rsid w:val="00BD79FC"/>
    <w:rsid w:val="00BD7ACD"/>
    <w:rsid w:val="00BD7B41"/>
    <w:rsid w:val="00BD7C96"/>
    <w:rsid w:val="00BD7E88"/>
    <w:rsid w:val="00BD7FDE"/>
    <w:rsid w:val="00BE0265"/>
    <w:rsid w:val="00BE0347"/>
    <w:rsid w:val="00BE0408"/>
    <w:rsid w:val="00BE0436"/>
    <w:rsid w:val="00BE0827"/>
    <w:rsid w:val="00BE0966"/>
    <w:rsid w:val="00BE0972"/>
    <w:rsid w:val="00BE103B"/>
    <w:rsid w:val="00BE14F3"/>
    <w:rsid w:val="00BE15ED"/>
    <w:rsid w:val="00BE18AA"/>
    <w:rsid w:val="00BE1BAE"/>
    <w:rsid w:val="00BE1C01"/>
    <w:rsid w:val="00BE22F1"/>
    <w:rsid w:val="00BE2366"/>
    <w:rsid w:val="00BE2616"/>
    <w:rsid w:val="00BE279F"/>
    <w:rsid w:val="00BE2C11"/>
    <w:rsid w:val="00BE2CB1"/>
    <w:rsid w:val="00BE2D27"/>
    <w:rsid w:val="00BE2EA8"/>
    <w:rsid w:val="00BE3112"/>
    <w:rsid w:val="00BE32B3"/>
    <w:rsid w:val="00BE33BF"/>
    <w:rsid w:val="00BE3621"/>
    <w:rsid w:val="00BE373B"/>
    <w:rsid w:val="00BE3872"/>
    <w:rsid w:val="00BE4035"/>
    <w:rsid w:val="00BE40F7"/>
    <w:rsid w:val="00BE432B"/>
    <w:rsid w:val="00BE439B"/>
    <w:rsid w:val="00BE4523"/>
    <w:rsid w:val="00BE481C"/>
    <w:rsid w:val="00BE4AA8"/>
    <w:rsid w:val="00BE4D88"/>
    <w:rsid w:val="00BE4E86"/>
    <w:rsid w:val="00BE4E98"/>
    <w:rsid w:val="00BE4F9D"/>
    <w:rsid w:val="00BE4FA6"/>
    <w:rsid w:val="00BE4FAD"/>
    <w:rsid w:val="00BE5058"/>
    <w:rsid w:val="00BE5276"/>
    <w:rsid w:val="00BE5305"/>
    <w:rsid w:val="00BE53FC"/>
    <w:rsid w:val="00BE54B4"/>
    <w:rsid w:val="00BE57FC"/>
    <w:rsid w:val="00BE5CF8"/>
    <w:rsid w:val="00BE6360"/>
    <w:rsid w:val="00BE654F"/>
    <w:rsid w:val="00BE68A6"/>
    <w:rsid w:val="00BE6991"/>
    <w:rsid w:val="00BE6B94"/>
    <w:rsid w:val="00BE6FAB"/>
    <w:rsid w:val="00BE7078"/>
    <w:rsid w:val="00BE7170"/>
    <w:rsid w:val="00BE71AB"/>
    <w:rsid w:val="00BE7268"/>
    <w:rsid w:val="00BE7637"/>
    <w:rsid w:val="00BE7643"/>
    <w:rsid w:val="00BE780B"/>
    <w:rsid w:val="00BE7D06"/>
    <w:rsid w:val="00BE7D84"/>
    <w:rsid w:val="00BE7E1B"/>
    <w:rsid w:val="00BE7F23"/>
    <w:rsid w:val="00BF0513"/>
    <w:rsid w:val="00BF05D5"/>
    <w:rsid w:val="00BF0848"/>
    <w:rsid w:val="00BF08B9"/>
    <w:rsid w:val="00BF0970"/>
    <w:rsid w:val="00BF09D9"/>
    <w:rsid w:val="00BF0A96"/>
    <w:rsid w:val="00BF0A98"/>
    <w:rsid w:val="00BF0F3E"/>
    <w:rsid w:val="00BF0F57"/>
    <w:rsid w:val="00BF0FA2"/>
    <w:rsid w:val="00BF1065"/>
    <w:rsid w:val="00BF112E"/>
    <w:rsid w:val="00BF15F9"/>
    <w:rsid w:val="00BF1781"/>
    <w:rsid w:val="00BF1C82"/>
    <w:rsid w:val="00BF1DE0"/>
    <w:rsid w:val="00BF1E45"/>
    <w:rsid w:val="00BF1E88"/>
    <w:rsid w:val="00BF2052"/>
    <w:rsid w:val="00BF207E"/>
    <w:rsid w:val="00BF2144"/>
    <w:rsid w:val="00BF2260"/>
    <w:rsid w:val="00BF2531"/>
    <w:rsid w:val="00BF2625"/>
    <w:rsid w:val="00BF2833"/>
    <w:rsid w:val="00BF2AB7"/>
    <w:rsid w:val="00BF3255"/>
    <w:rsid w:val="00BF330F"/>
    <w:rsid w:val="00BF3394"/>
    <w:rsid w:val="00BF38BE"/>
    <w:rsid w:val="00BF3953"/>
    <w:rsid w:val="00BF3BC4"/>
    <w:rsid w:val="00BF3E7D"/>
    <w:rsid w:val="00BF40ED"/>
    <w:rsid w:val="00BF4234"/>
    <w:rsid w:val="00BF431D"/>
    <w:rsid w:val="00BF4746"/>
    <w:rsid w:val="00BF50DC"/>
    <w:rsid w:val="00BF5184"/>
    <w:rsid w:val="00BF5266"/>
    <w:rsid w:val="00BF52C8"/>
    <w:rsid w:val="00BF5578"/>
    <w:rsid w:val="00BF5695"/>
    <w:rsid w:val="00BF5CFD"/>
    <w:rsid w:val="00BF5E22"/>
    <w:rsid w:val="00BF634A"/>
    <w:rsid w:val="00BF6381"/>
    <w:rsid w:val="00BF639C"/>
    <w:rsid w:val="00BF65BF"/>
    <w:rsid w:val="00BF68BB"/>
    <w:rsid w:val="00BF6B2D"/>
    <w:rsid w:val="00BF6CD5"/>
    <w:rsid w:val="00BF6E1B"/>
    <w:rsid w:val="00BF708F"/>
    <w:rsid w:val="00BF728B"/>
    <w:rsid w:val="00BF72AF"/>
    <w:rsid w:val="00BF762B"/>
    <w:rsid w:val="00BF76E6"/>
    <w:rsid w:val="00BF76F7"/>
    <w:rsid w:val="00BF7991"/>
    <w:rsid w:val="00BF7FED"/>
    <w:rsid w:val="00C00264"/>
    <w:rsid w:val="00C002F4"/>
    <w:rsid w:val="00C0042F"/>
    <w:rsid w:val="00C00532"/>
    <w:rsid w:val="00C00538"/>
    <w:rsid w:val="00C0057D"/>
    <w:rsid w:val="00C007E2"/>
    <w:rsid w:val="00C00B6B"/>
    <w:rsid w:val="00C00CA3"/>
    <w:rsid w:val="00C00CCD"/>
    <w:rsid w:val="00C00E77"/>
    <w:rsid w:val="00C00F36"/>
    <w:rsid w:val="00C00FF7"/>
    <w:rsid w:val="00C01195"/>
    <w:rsid w:val="00C01469"/>
    <w:rsid w:val="00C01511"/>
    <w:rsid w:val="00C0180F"/>
    <w:rsid w:val="00C0185C"/>
    <w:rsid w:val="00C019A6"/>
    <w:rsid w:val="00C019D8"/>
    <w:rsid w:val="00C01A43"/>
    <w:rsid w:val="00C01A97"/>
    <w:rsid w:val="00C01D74"/>
    <w:rsid w:val="00C0210C"/>
    <w:rsid w:val="00C02215"/>
    <w:rsid w:val="00C02225"/>
    <w:rsid w:val="00C0234E"/>
    <w:rsid w:val="00C024B8"/>
    <w:rsid w:val="00C025FA"/>
    <w:rsid w:val="00C02833"/>
    <w:rsid w:val="00C02A5A"/>
    <w:rsid w:val="00C02A6A"/>
    <w:rsid w:val="00C02BC9"/>
    <w:rsid w:val="00C02E3B"/>
    <w:rsid w:val="00C03143"/>
    <w:rsid w:val="00C032C7"/>
    <w:rsid w:val="00C03462"/>
    <w:rsid w:val="00C035BC"/>
    <w:rsid w:val="00C03823"/>
    <w:rsid w:val="00C03C50"/>
    <w:rsid w:val="00C03CDC"/>
    <w:rsid w:val="00C047DC"/>
    <w:rsid w:val="00C04B07"/>
    <w:rsid w:val="00C04B27"/>
    <w:rsid w:val="00C04B78"/>
    <w:rsid w:val="00C0539A"/>
    <w:rsid w:val="00C05690"/>
    <w:rsid w:val="00C05849"/>
    <w:rsid w:val="00C05878"/>
    <w:rsid w:val="00C05B08"/>
    <w:rsid w:val="00C05B5C"/>
    <w:rsid w:val="00C05B8E"/>
    <w:rsid w:val="00C05BCF"/>
    <w:rsid w:val="00C05BFF"/>
    <w:rsid w:val="00C05C1B"/>
    <w:rsid w:val="00C05CCB"/>
    <w:rsid w:val="00C05D77"/>
    <w:rsid w:val="00C06277"/>
    <w:rsid w:val="00C065BB"/>
    <w:rsid w:val="00C06821"/>
    <w:rsid w:val="00C0684C"/>
    <w:rsid w:val="00C06DEE"/>
    <w:rsid w:val="00C06FE8"/>
    <w:rsid w:val="00C0704A"/>
    <w:rsid w:val="00C0718C"/>
    <w:rsid w:val="00C072C7"/>
    <w:rsid w:val="00C07388"/>
    <w:rsid w:val="00C075D8"/>
    <w:rsid w:val="00C07635"/>
    <w:rsid w:val="00C07710"/>
    <w:rsid w:val="00C07979"/>
    <w:rsid w:val="00C079BF"/>
    <w:rsid w:val="00C07C45"/>
    <w:rsid w:val="00C07F0E"/>
    <w:rsid w:val="00C1044E"/>
    <w:rsid w:val="00C10709"/>
    <w:rsid w:val="00C10CDF"/>
    <w:rsid w:val="00C10D9C"/>
    <w:rsid w:val="00C114E9"/>
    <w:rsid w:val="00C11627"/>
    <w:rsid w:val="00C11CA4"/>
    <w:rsid w:val="00C11CAF"/>
    <w:rsid w:val="00C120F2"/>
    <w:rsid w:val="00C121C0"/>
    <w:rsid w:val="00C12213"/>
    <w:rsid w:val="00C12235"/>
    <w:rsid w:val="00C12602"/>
    <w:rsid w:val="00C128DA"/>
    <w:rsid w:val="00C12D32"/>
    <w:rsid w:val="00C13091"/>
    <w:rsid w:val="00C1320A"/>
    <w:rsid w:val="00C1389B"/>
    <w:rsid w:val="00C139D1"/>
    <w:rsid w:val="00C13A30"/>
    <w:rsid w:val="00C13A67"/>
    <w:rsid w:val="00C13D72"/>
    <w:rsid w:val="00C13EC0"/>
    <w:rsid w:val="00C140F4"/>
    <w:rsid w:val="00C141B0"/>
    <w:rsid w:val="00C1425C"/>
    <w:rsid w:val="00C14789"/>
    <w:rsid w:val="00C14AC6"/>
    <w:rsid w:val="00C14B61"/>
    <w:rsid w:val="00C15140"/>
    <w:rsid w:val="00C1562B"/>
    <w:rsid w:val="00C156CA"/>
    <w:rsid w:val="00C15FB6"/>
    <w:rsid w:val="00C160E2"/>
    <w:rsid w:val="00C1675C"/>
    <w:rsid w:val="00C16C21"/>
    <w:rsid w:val="00C16C87"/>
    <w:rsid w:val="00C16CE6"/>
    <w:rsid w:val="00C173FD"/>
    <w:rsid w:val="00C174DF"/>
    <w:rsid w:val="00C17807"/>
    <w:rsid w:val="00C17CB8"/>
    <w:rsid w:val="00C17F85"/>
    <w:rsid w:val="00C201EA"/>
    <w:rsid w:val="00C206E2"/>
    <w:rsid w:val="00C2096A"/>
    <w:rsid w:val="00C20C25"/>
    <w:rsid w:val="00C20D6B"/>
    <w:rsid w:val="00C20E53"/>
    <w:rsid w:val="00C213D3"/>
    <w:rsid w:val="00C214A6"/>
    <w:rsid w:val="00C218D6"/>
    <w:rsid w:val="00C21CF6"/>
    <w:rsid w:val="00C21EB0"/>
    <w:rsid w:val="00C220A5"/>
    <w:rsid w:val="00C22298"/>
    <w:rsid w:val="00C222C9"/>
    <w:rsid w:val="00C224B6"/>
    <w:rsid w:val="00C22552"/>
    <w:rsid w:val="00C2282D"/>
    <w:rsid w:val="00C22874"/>
    <w:rsid w:val="00C22950"/>
    <w:rsid w:val="00C22AA2"/>
    <w:rsid w:val="00C22C37"/>
    <w:rsid w:val="00C22C5C"/>
    <w:rsid w:val="00C230D5"/>
    <w:rsid w:val="00C23536"/>
    <w:rsid w:val="00C237B1"/>
    <w:rsid w:val="00C23A5A"/>
    <w:rsid w:val="00C23BA9"/>
    <w:rsid w:val="00C245DA"/>
    <w:rsid w:val="00C24716"/>
    <w:rsid w:val="00C2472E"/>
    <w:rsid w:val="00C24985"/>
    <w:rsid w:val="00C24EBB"/>
    <w:rsid w:val="00C254E1"/>
    <w:rsid w:val="00C257DB"/>
    <w:rsid w:val="00C25CB7"/>
    <w:rsid w:val="00C25CEB"/>
    <w:rsid w:val="00C25F03"/>
    <w:rsid w:val="00C25FCE"/>
    <w:rsid w:val="00C2627F"/>
    <w:rsid w:val="00C262A4"/>
    <w:rsid w:val="00C26513"/>
    <w:rsid w:val="00C26802"/>
    <w:rsid w:val="00C268F5"/>
    <w:rsid w:val="00C26938"/>
    <w:rsid w:val="00C26FA3"/>
    <w:rsid w:val="00C27087"/>
    <w:rsid w:val="00C270EE"/>
    <w:rsid w:val="00C2714F"/>
    <w:rsid w:val="00C272A8"/>
    <w:rsid w:val="00C274A0"/>
    <w:rsid w:val="00C275F0"/>
    <w:rsid w:val="00C2778F"/>
    <w:rsid w:val="00C27E37"/>
    <w:rsid w:val="00C27E99"/>
    <w:rsid w:val="00C27EA6"/>
    <w:rsid w:val="00C27F9B"/>
    <w:rsid w:val="00C27FE9"/>
    <w:rsid w:val="00C30333"/>
    <w:rsid w:val="00C3034B"/>
    <w:rsid w:val="00C30577"/>
    <w:rsid w:val="00C307D2"/>
    <w:rsid w:val="00C30946"/>
    <w:rsid w:val="00C30D6C"/>
    <w:rsid w:val="00C30FAE"/>
    <w:rsid w:val="00C311E9"/>
    <w:rsid w:val="00C31906"/>
    <w:rsid w:val="00C319C9"/>
    <w:rsid w:val="00C31AF6"/>
    <w:rsid w:val="00C31C21"/>
    <w:rsid w:val="00C31C43"/>
    <w:rsid w:val="00C31CC8"/>
    <w:rsid w:val="00C32253"/>
    <w:rsid w:val="00C3228E"/>
    <w:rsid w:val="00C323D4"/>
    <w:rsid w:val="00C32AEE"/>
    <w:rsid w:val="00C32D17"/>
    <w:rsid w:val="00C32EF7"/>
    <w:rsid w:val="00C32FD0"/>
    <w:rsid w:val="00C331E8"/>
    <w:rsid w:val="00C33372"/>
    <w:rsid w:val="00C33426"/>
    <w:rsid w:val="00C3347E"/>
    <w:rsid w:val="00C3349E"/>
    <w:rsid w:val="00C3360C"/>
    <w:rsid w:val="00C33830"/>
    <w:rsid w:val="00C33D29"/>
    <w:rsid w:val="00C33D33"/>
    <w:rsid w:val="00C33E04"/>
    <w:rsid w:val="00C33F02"/>
    <w:rsid w:val="00C3415B"/>
    <w:rsid w:val="00C34182"/>
    <w:rsid w:val="00C34263"/>
    <w:rsid w:val="00C3450D"/>
    <w:rsid w:val="00C34F09"/>
    <w:rsid w:val="00C34FC0"/>
    <w:rsid w:val="00C3504B"/>
    <w:rsid w:val="00C35619"/>
    <w:rsid w:val="00C357F2"/>
    <w:rsid w:val="00C358E5"/>
    <w:rsid w:val="00C359B7"/>
    <w:rsid w:val="00C35C4B"/>
    <w:rsid w:val="00C35E06"/>
    <w:rsid w:val="00C36674"/>
    <w:rsid w:val="00C367D1"/>
    <w:rsid w:val="00C36958"/>
    <w:rsid w:val="00C369FB"/>
    <w:rsid w:val="00C36CD5"/>
    <w:rsid w:val="00C36D1C"/>
    <w:rsid w:val="00C370B5"/>
    <w:rsid w:val="00C372FD"/>
    <w:rsid w:val="00C37348"/>
    <w:rsid w:val="00C37374"/>
    <w:rsid w:val="00C373FA"/>
    <w:rsid w:val="00C37459"/>
    <w:rsid w:val="00C378CC"/>
    <w:rsid w:val="00C40435"/>
    <w:rsid w:val="00C406B5"/>
    <w:rsid w:val="00C40774"/>
    <w:rsid w:val="00C408E9"/>
    <w:rsid w:val="00C40915"/>
    <w:rsid w:val="00C40A7D"/>
    <w:rsid w:val="00C40E8A"/>
    <w:rsid w:val="00C40F17"/>
    <w:rsid w:val="00C40F5B"/>
    <w:rsid w:val="00C4100D"/>
    <w:rsid w:val="00C41189"/>
    <w:rsid w:val="00C411E4"/>
    <w:rsid w:val="00C4131B"/>
    <w:rsid w:val="00C41B07"/>
    <w:rsid w:val="00C4218B"/>
    <w:rsid w:val="00C42422"/>
    <w:rsid w:val="00C42650"/>
    <w:rsid w:val="00C4266A"/>
    <w:rsid w:val="00C42700"/>
    <w:rsid w:val="00C428C3"/>
    <w:rsid w:val="00C43356"/>
    <w:rsid w:val="00C43851"/>
    <w:rsid w:val="00C43941"/>
    <w:rsid w:val="00C43E29"/>
    <w:rsid w:val="00C43E5A"/>
    <w:rsid w:val="00C43F43"/>
    <w:rsid w:val="00C440CD"/>
    <w:rsid w:val="00C4411A"/>
    <w:rsid w:val="00C441ED"/>
    <w:rsid w:val="00C444B7"/>
    <w:rsid w:val="00C446E0"/>
    <w:rsid w:val="00C4484D"/>
    <w:rsid w:val="00C44C74"/>
    <w:rsid w:val="00C44CC4"/>
    <w:rsid w:val="00C44DF6"/>
    <w:rsid w:val="00C44E3E"/>
    <w:rsid w:val="00C44F18"/>
    <w:rsid w:val="00C45136"/>
    <w:rsid w:val="00C451BF"/>
    <w:rsid w:val="00C45398"/>
    <w:rsid w:val="00C45420"/>
    <w:rsid w:val="00C45C6A"/>
    <w:rsid w:val="00C46214"/>
    <w:rsid w:val="00C4659C"/>
    <w:rsid w:val="00C4672E"/>
    <w:rsid w:val="00C471D9"/>
    <w:rsid w:val="00C47325"/>
    <w:rsid w:val="00C474B2"/>
    <w:rsid w:val="00C474C1"/>
    <w:rsid w:val="00C476DC"/>
    <w:rsid w:val="00C477BC"/>
    <w:rsid w:val="00C47843"/>
    <w:rsid w:val="00C479CA"/>
    <w:rsid w:val="00C47AEF"/>
    <w:rsid w:val="00C47D33"/>
    <w:rsid w:val="00C50564"/>
    <w:rsid w:val="00C50672"/>
    <w:rsid w:val="00C507B7"/>
    <w:rsid w:val="00C507F4"/>
    <w:rsid w:val="00C50A6A"/>
    <w:rsid w:val="00C50FC4"/>
    <w:rsid w:val="00C511EA"/>
    <w:rsid w:val="00C51273"/>
    <w:rsid w:val="00C51367"/>
    <w:rsid w:val="00C5148E"/>
    <w:rsid w:val="00C5180F"/>
    <w:rsid w:val="00C51826"/>
    <w:rsid w:val="00C51BBB"/>
    <w:rsid w:val="00C51D2B"/>
    <w:rsid w:val="00C51E70"/>
    <w:rsid w:val="00C51F28"/>
    <w:rsid w:val="00C52116"/>
    <w:rsid w:val="00C522FF"/>
    <w:rsid w:val="00C52534"/>
    <w:rsid w:val="00C525F9"/>
    <w:rsid w:val="00C52651"/>
    <w:rsid w:val="00C526BA"/>
    <w:rsid w:val="00C528D4"/>
    <w:rsid w:val="00C529A1"/>
    <w:rsid w:val="00C52D8E"/>
    <w:rsid w:val="00C52FF7"/>
    <w:rsid w:val="00C53051"/>
    <w:rsid w:val="00C53073"/>
    <w:rsid w:val="00C53230"/>
    <w:rsid w:val="00C535F1"/>
    <w:rsid w:val="00C536EA"/>
    <w:rsid w:val="00C53B25"/>
    <w:rsid w:val="00C53BA8"/>
    <w:rsid w:val="00C53CDC"/>
    <w:rsid w:val="00C53D82"/>
    <w:rsid w:val="00C53E8C"/>
    <w:rsid w:val="00C53FB8"/>
    <w:rsid w:val="00C54000"/>
    <w:rsid w:val="00C544E5"/>
    <w:rsid w:val="00C546A2"/>
    <w:rsid w:val="00C54813"/>
    <w:rsid w:val="00C5489F"/>
    <w:rsid w:val="00C548E9"/>
    <w:rsid w:val="00C549C3"/>
    <w:rsid w:val="00C54B39"/>
    <w:rsid w:val="00C54D85"/>
    <w:rsid w:val="00C5505D"/>
    <w:rsid w:val="00C552CD"/>
    <w:rsid w:val="00C5538D"/>
    <w:rsid w:val="00C558B6"/>
    <w:rsid w:val="00C55BA8"/>
    <w:rsid w:val="00C55D20"/>
    <w:rsid w:val="00C55E5D"/>
    <w:rsid w:val="00C55F4A"/>
    <w:rsid w:val="00C56450"/>
    <w:rsid w:val="00C56571"/>
    <w:rsid w:val="00C5674E"/>
    <w:rsid w:val="00C5693B"/>
    <w:rsid w:val="00C56A9F"/>
    <w:rsid w:val="00C56BB7"/>
    <w:rsid w:val="00C56C4F"/>
    <w:rsid w:val="00C57172"/>
    <w:rsid w:val="00C5721B"/>
    <w:rsid w:val="00C574E4"/>
    <w:rsid w:val="00C575F5"/>
    <w:rsid w:val="00C57698"/>
    <w:rsid w:val="00C57B08"/>
    <w:rsid w:val="00C57CA2"/>
    <w:rsid w:val="00C57D95"/>
    <w:rsid w:val="00C6002C"/>
    <w:rsid w:val="00C60099"/>
    <w:rsid w:val="00C60299"/>
    <w:rsid w:val="00C604B0"/>
    <w:rsid w:val="00C6055D"/>
    <w:rsid w:val="00C60800"/>
    <w:rsid w:val="00C60BDC"/>
    <w:rsid w:val="00C610C9"/>
    <w:rsid w:val="00C611A4"/>
    <w:rsid w:val="00C6122C"/>
    <w:rsid w:val="00C61295"/>
    <w:rsid w:val="00C61303"/>
    <w:rsid w:val="00C614F0"/>
    <w:rsid w:val="00C6193B"/>
    <w:rsid w:val="00C61E43"/>
    <w:rsid w:val="00C61E7A"/>
    <w:rsid w:val="00C6212A"/>
    <w:rsid w:val="00C62339"/>
    <w:rsid w:val="00C6236C"/>
    <w:rsid w:val="00C6299C"/>
    <w:rsid w:val="00C62A52"/>
    <w:rsid w:val="00C62E4C"/>
    <w:rsid w:val="00C62FBB"/>
    <w:rsid w:val="00C630D4"/>
    <w:rsid w:val="00C63179"/>
    <w:rsid w:val="00C63401"/>
    <w:rsid w:val="00C6351E"/>
    <w:rsid w:val="00C63A15"/>
    <w:rsid w:val="00C63C2A"/>
    <w:rsid w:val="00C63DCB"/>
    <w:rsid w:val="00C64395"/>
    <w:rsid w:val="00C645D7"/>
    <w:rsid w:val="00C64768"/>
    <w:rsid w:val="00C64782"/>
    <w:rsid w:val="00C64A13"/>
    <w:rsid w:val="00C64BC1"/>
    <w:rsid w:val="00C64F42"/>
    <w:rsid w:val="00C65291"/>
    <w:rsid w:val="00C6548C"/>
    <w:rsid w:val="00C654D5"/>
    <w:rsid w:val="00C654E8"/>
    <w:rsid w:val="00C65694"/>
    <w:rsid w:val="00C65C33"/>
    <w:rsid w:val="00C65C7B"/>
    <w:rsid w:val="00C65D38"/>
    <w:rsid w:val="00C65F2B"/>
    <w:rsid w:val="00C65F75"/>
    <w:rsid w:val="00C660E8"/>
    <w:rsid w:val="00C66313"/>
    <w:rsid w:val="00C66465"/>
    <w:rsid w:val="00C6653A"/>
    <w:rsid w:val="00C6657C"/>
    <w:rsid w:val="00C66A3E"/>
    <w:rsid w:val="00C66EB7"/>
    <w:rsid w:val="00C6702F"/>
    <w:rsid w:val="00C67135"/>
    <w:rsid w:val="00C673ED"/>
    <w:rsid w:val="00C67560"/>
    <w:rsid w:val="00C67568"/>
    <w:rsid w:val="00C67966"/>
    <w:rsid w:val="00C67D4A"/>
    <w:rsid w:val="00C701FB"/>
    <w:rsid w:val="00C702DD"/>
    <w:rsid w:val="00C707EF"/>
    <w:rsid w:val="00C70996"/>
    <w:rsid w:val="00C70D2D"/>
    <w:rsid w:val="00C70D7C"/>
    <w:rsid w:val="00C70E77"/>
    <w:rsid w:val="00C7114E"/>
    <w:rsid w:val="00C712FD"/>
    <w:rsid w:val="00C71498"/>
    <w:rsid w:val="00C7150E"/>
    <w:rsid w:val="00C71A70"/>
    <w:rsid w:val="00C71CDD"/>
    <w:rsid w:val="00C71F9A"/>
    <w:rsid w:val="00C720DD"/>
    <w:rsid w:val="00C72202"/>
    <w:rsid w:val="00C722EA"/>
    <w:rsid w:val="00C72750"/>
    <w:rsid w:val="00C727B7"/>
    <w:rsid w:val="00C727C0"/>
    <w:rsid w:val="00C72809"/>
    <w:rsid w:val="00C7289A"/>
    <w:rsid w:val="00C72A5A"/>
    <w:rsid w:val="00C72B5E"/>
    <w:rsid w:val="00C72F69"/>
    <w:rsid w:val="00C73048"/>
    <w:rsid w:val="00C734D5"/>
    <w:rsid w:val="00C73724"/>
    <w:rsid w:val="00C73938"/>
    <w:rsid w:val="00C73CFD"/>
    <w:rsid w:val="00C73D12"/>
    <w:rsid w:val="00C73D30"/>
    <w:rsid w:val="00C73D5C"/>
    <w:rsid w:val="00C74292"/>
    <w:rsid w:val="00C74298"/>
    <w:rsid w:val="00C7457B"/>
    <w:rsid w:val="00C746ED"/>
    <w:rsid w:val="00C74C22"/>
    <w:rsid w:val="00C74CF4"/>
    <w:rsid w:val="00C7514C"/>
    <w:rsid w:val="00C75430"/>
    <w:rsid w:val="00C75796"/>
    <w:rsid w:val="00C75994"/>
    <w:rsid w:val="00C759D4"/>
    <w:rsid w:val="00C75BE7"/>
    <w:rsid w:val="00C75C54"/>
    <w:rsid w:val="00C76200"/>
    <w:rsid w:val="00C7626C"/>
    <w:rsid w:val="00C767D4"/>
    <w:rsid w:val="00C767DE"/>
    <w:rsid w:val="00C76916"/>
    <w:rsid w:val="00C7692B"/>
    <w:rsid w:val="00C76B57"/>
    <w:rsid w:val="00C76BD7"/>
    <w:rsid w:val="00C76CEE"/>
    <w:rsid w:val="00C76D27"/>
    <w:rsid w:val="00C76FA8"/>
    <w:rsid w:val="00C7794D"/>
    <w:rsid w:val="00C77BD5"/>
    <w:rsid w:val="00C77C81"/>
    <w:rsid w:val="00C800DF"/>
    <w:rsid w:val="00C8018A"/>
    <w:rsid w:val="00C801D7"/>
    <w:rsid w:val="00C80340"/>
    <w:rsid w:val="00C80473"/>
    <w:rsid w:val="00C80595"/>
    <w:rsid w:val="00C80643"/>
    <w:rsid w:val="00C806D3"/>
    <w:rsid w:val="00C807E7"/>
    <w:rsid w:val="00C80888"/>
    <w:rsid w:val="00C80DAD"/>
    <w:rsid w:val="00C80E8C"/>
    <w:rsid w:val="00C80F85"/>
    <w:rsid w:val="00C80FBD"/>
    <w:rsid w:val="00C81113"/>
    <w:rsid w:val="00C81472"/>
    <w:rsid w:val="00C81A22"/>
    <w:rsid w:val="00C81A83"/>
    <w:rsid w:val="00C81AD4"/>
    <w:rsid w:val="00C81B1A"/>
    <w:rsid w:val="00C820C7"/>
    <w:rsid w:val="00C820EC"/>
    <w:rsid w:val="00C82484"/>
    <w:rsid w:val="00C82487"/>
    <w:rsid w:val="00C82599"/>
    <w:rsid w:val="00C8284B"/>
    <w:rsid w:val="00C8295A"/>
    <w:rsid w:val="00C829DC"/>
    <w:rsid w:val="00C82CAA"/>
    <w:rsid w:val="00C82FE9"/>
    <w:rsid w:val="00C83113"/>
    <w:rsid w:val="00C83394"/>
    <w:rsid w:val="00C83982"/>
    <w:rsid w:val="00C83B49"/>
    <w:rsid w:val="00C83BD3"/>
    <w:rsid w:val="00C83DB0"/>
    <w:rsid w:val="00C83DCC"/>
    <w:rsid w:val="00C83F17"/>
    <w:rsid w:val="00C84186"/>
    <w:rsid w:val="00C8438A"/>
    <w:rsid w:val="00C8491C"/>
    <w:rsid w:val="00C84D7C"/>
    <w:rsid w:val="00C84DB6"/>
    <w:rsid w:val="00C84DCA"/>
    <w:rsid w:val="00C852BA"/>
    <w:rsid w:val="00C853E7"/>
    <w:rsid w:val="00C855AF"/>
    <w:rsid w:val="00C855C5"/>
    <w:rsid w:val="00C856B1"/>
    <w:rsid w:val="00C858B3"/>
    <w:rsid w:val="00C85A13"/>
    <w:rsid w:val="00C85C10"/>
    <w:rsid w:val="00C85DD5"/>
    <w:rsid w:val="00C85FF2"/>
    <w:rsid w:val="00C8652B"/>
    <w:rsid w:val="00C8652E"/>
    <w:rsid w:val="00C86B35"/>
    <w:rsid w:val="00C86F45"/>
    <w:rsid w:val="00C86F4F"/>
    <w:rsid w:val="00C8703B"/>
    <w:rsid w:val="00C871C0"/>
    <w:rsid w:val="00C87450"/>
    <w:rsid w:val="00C875EC"/>
    <w:rsid w:val="00C8797B"/>
    <w:rsid w:val="00C879F5"/>
    <w:rsid w:val="00C87A42"/>
    <w:rsid w:val="00C87AE1"/>
    <w:rsid w:val="00C87BAB"/>
    <w:rsid w:val="00C87BE4"/>
    <w:rsid w:val="00C87CA6"/>
    <w:rsid w:val="00C87D98"/>
    <w:rsid w:val="00C87EAA"/>
    <w:rsid w:val="00C87F38"/>
    <w:rsid w:val="00C87F3D"/>
    <w:rsid w:val="00C90422"/>
    <w:rsid w:val="00C90A4A"/>
    <w:rsid w:val="00C90A59"/>
    <w:rsid w:val="00C90A67"/>
    <w:rsid w:val="00C90B75"/>
    <w:rsid w:val="00C90D34"/>
    <w:rsid w:val="00C90E4C"/>
    <w:rsid w:val="00C90F10"/>
    <w:rsid w:val="00C90F9C"/>
    <w:rsid w:val="00C91474"/>
    <w:rsid w:val="00C91777"/>
    <w:rsid w:val="00C91830"/>
    <w:rsid w:val="00C91B16"/>
    <w:rsid w:val="00C91DE5"/>
    <w:rsid w:val="00C92250"/>
    <w:rsid w:val="00C9253F"/>
    <w:rsid w:val="00C9265D"/>
    <w:rsid w:val="00C931B6"/>
    <w:rsid w:val="00C9332B"/>
    <w:rsid w:val="00C93762"/>
    <w:rsid w:val="00C9376A"/>
    <w:rsid w:val="00C9377F"/>
    <w:rsid w:val="00C937DC"/>
    <w:rsid w:val="00C93829"/>
    <w:rsid w:val="00C9382A"/>
    <w:rsid w:val="00C93933"/>
    <w:rsid w:val="00C93AC1"/>
    <w:rsid w:val="00C93C1C"/>
    <w:rsid w:val="00C93D2C"/>
    <w:rsid w:val="00C940CD"/>
    <w:rsid w:val="00C940D6"/>
    <w:rsid w:val="00C94132"/>
    <w:rsid w:val="00C941B8"/>
    <w:rsid w:val="00C941F2"/>
    <w:rsid w:val="00C942F6"/>
    <w:rsid w:val="00C94567"/>
    <w:rsid w:val="00C94B93"/>
    <w:rsid w:val="00C94BEA"/>
    <w:rsid w:val="00C94EFE"/>
    <w:rsid w:val="00C95533"/>
    <w:rsid w:val="00C95577"/>
    <w:rsid w:val="00C9575A"/>
    <w:rsid w:val="00C95C3E"/>
    <w:rsid w:val="00C95C88"/>
    <w:rsid w:val="00C95EA5"/>
    <w:rsid w:val="00C96872"/>
    <w:rsid w:val="00C969BE"/>
    <w:rsid w:val="00C96A78"/>
    <w:rsid w:val="00C96BED"/>
    <w:rsid w:val="00C96C2D"/>
    <w:rsid w:val="00C96FD6"/>
    <w:rsid w:val="00C970DA"/>
    <w:rsid w:val="00C97440"/>
    <w:rsid w:val="00C977D0"/>
    <w:rsid w:val="00C9789E"/>
    <w:rsid w:val="00C97989"/>
    <w:rsid w:val="00CA016B"/>
    <w:rsid w:val="00CA0529"/>
    <w:rsid w:val="00CA05CD"/>
    <w:rsid w:val="00CA06E9"/>
    <w:rsid w:val="00CA0724"/>
    <w:rsid w:val="00CA09E8"/>
    <w:rsid w:val="00CA0BD6"/>
    <w:rsid w:val="00CA0EF7"/>
    <w:rsid w:val="00CA0F3B"/>
    <w:rsid w:val="00CA1223"/>
    <w:rsid w:val="00CA131D"/>
    <w:rsid w:val="00CA1351"/>
    <w:rsid w:val="00CA1648"/>
    <w:rsid w:val="00CA17B9"/>
    <w:rsid w:val="00CA1913"/>
    <w:rsid w:val="00CA1C53"/>
    <w:rsid w:val="00CA1EC0"/>
    <w:rsid w:val="00CA1FE3"/>
    <w:rsid w:val="00CA2267"/>
    <w:rsid w:val="00CA23B5"/>
    <w:rsid w:val="00CA241F"/>
    <w:rsid w:val="00CA260D"/>
    <w:rsid w:val="00CA2636"/>
    <w:rsid w:val="00CA26D4"/>
    <w:rsid w:val="00CA289A"/>
    <w:rsid w:val="00CA289F"/>
    <w:rsid w:val="00CA28E5"/>
    <w:rsid w:val="00CA2958"/>
    <w:rsid w:val="00CA2BE6"/>
    <w:rsid w:val="00CA2E0E"/>
    <w:rsid w:val="00CA2E8E"/>
    <w:rsid w:val="00CA2F8D"/>
    <w:rsid w:val="00CA32B4"/>
    <w:rsid w:val="00CA332A"/>
    <w:rsid w:val="00CA35B4"/>
    <w:rsid w:val="00CA35F7"/>
    <w:rsid w:val="00CA3661"/>
    <w:rsid w:val="00CA37C9"/>
    <w:rsid w:val="00CA3837"/>
    <w:rsid w:val="00CA39DC"/>
    <w:rsid w:val="00CA3A18"/>
    <w:rsid w:val="00CA4125"/>
    <w:rsid w:val="00CA4210"/>
    <w:rsid w:val="00CA473A"/>
    <w:rsid w:val="00CA4810"/>
    <w:rsid w:val="00CA4DED"/>
    <w:rsid w:val="00CA4DF8"/>
    <w:rsid w:val="00CA4EB4"/>
    <w:rsid w:val="00CA4EF5"/>
    <w:rsid w:val="00CA4F9C"/>
    <w:rsid w:val="00CA4FD6"/>
    <w:rsid w:val="00CA5102"/>
    <w:rsid w:val="00CA5256"/>
    <w:rsid w:val="00CA5328"/>
    <w:rsid w:val="00CA5445"/>
    <w:rsid w:val="00CA5468"/>
    <w:rsid w:val="00CA55FC"/>
    <w:rsid w:val="00CA593D"/>
    <w:rsid w:val="00CA5CC7"/>
    <w:rsid w:val="00CA61DB"/>
    <w:rsid w:val="00CA6982"/>
    <w:rsid w:val="00CA6AA8"/>
    <w:rsid w:val="00CA6AE3"/>
    <w:rsid w:val="00CA6C64"/>
    <w:rsid w:val="00CA6D54"/>
    <w:rsid w:val="00CA6DA6"/>
    <w:rsid w:val="00CA71EB"/>
    <w:rsid w:val="00CA749C"/>
    <w:rsid w:val="00CA75B8"/>
    <w:rsid w:val="00CA779B"/>
    <w:rsid w:val="00CA77A9"/>
    <w:rsid w:val="00CA7C11"/>
    <w:rsid w:val="00CA7D49"/>
    <w:rsid w:val="00CA7DB3"/>
    <w:rsid w:val="00CA7FCB"/>
    <w:rsid w:val="00CB0053"/>
    <w:rsid w:val="00CB006D"/>
    <w:rsid w:val="00CB0079"/>
    <w:rsid w:val="00CB0133"/>
    <w:rsid w:val="00CB01A6"/>
    <w:rsid w:val="00CB020F"/>
    <w:rsid w:val="00CB021C"/>
    <w:rsid w:val="00CB0277"/>
    <w:rsid w:val="00CB06CB"/>
    <w:rsid w:val="00CB092C"/>
    <w:rsid w:val="00CB0A1B"/>
    <w:rsid w:val="00CB0C1A"/>
    <w:rsid w:val="00CB112E"/>
    <w:rsid w:val="00CB117B"/>
    <w:rsid w:val="00CB11F1"/>
    <w:rsid w:val="00CB12E4"/>
    <w:rsid w:val="00CB12F9"/>
    <w:rsid w:val="00CB161C"/>
    <w:rsid w:val="00CB1ED6"/>
    <w:rsid w:val="00CB1F15"/>
    <w:rsid w:val="00CB22CA"/>
    <w:rsid w:val="00CB25A1"/>
    <w:rsid w:val="00CB2635"/>
    <w:rsid w:val="00CB2A39"/>
    <w:rsid w:val="00CB2CE6"/>
    <w:rsid w:val="00CB2E71"/>
    <w:rsid w:val="00CB32CB"/>
    <w:rsid w:val="00CB330F"/>
    <w:rsid w:val="00CB3333"/>
    <w:rsid w:val="00CB36C4"/>
    <w:rsid w:val="00CB38DE"/>
    <w:rsid w:val="00CB3968"/>
    <w:rsid w:val="00CB39DD"/>
    <w:rsid w:val="00CB3AEC"/>
    <w:rsid w:val="00CB3E15"/>
    <w:rsid w:val="00CB3F67"/>
    <w:rsid w:val="00CB4333"/>
    <w:rsid w:val="00CB43DD"/>
    <w:rsid w:val="00CB4453"/>
    <w:rsid w:val="00CB46B5"/>
    <w:rsid w:val="00CB47D8"/>
    <w:rsid w:val="00CB49C4"/>
    <w:rsid w:val="00CB4C31"/>
    <w:rsid w:val="00CB4DA1"/>
    <w:rsid w:val="00CB4DD4"/>
    <w:rsid w:val="00CB4E50"/>
    <w:rsid w:val="00CB4F88"/>
    <w:rsid w:val="00CB51AD"/>
    <w:rsid w:val="00CB5526"/>
    <w:rsid w:val="00CB554B"/>
    <w:rsid w:val="00CB598D"/>
    <w:rsid w:val="00CB5F3B"/>
    <w:rsid w:val="00CB5FDD"/>
    <w:rsid w:val="00CB62CF"/>
    <w:rsid w:val="00CB6384"/>
    <w:rsid w:val="00CB6991"/>
    <w:rsid w:val="00CB6ACE"/>
    <w:rsid w:val="00CB6BDC"/>
    <w:rsid w:val="00CB6C06"/>
    <w:rsid w:val="00CB70ED"/>
    <w:rsid w:val="00CB72B6"/>
    <w:rsid w:val="00CB7394"/>
    <w:rsid w:val="00CB74C9"/>
    <w:rsid w:val="00CB770B"/>
    <w:rsid w:val="00CB7A40"/>
    <w:rsid w:val="00CB7A56"/>
    <w:rsid w:val="00CB7CB9"/>
    <w:rsid w:val="00CB7E25"/>
    <w:rsid w:val="00CB7FB0"/>
    <w:rsid w:val="00CC018D"/>
    <w:rsid w:val="00CC057C"/>
    <w:rsid w:val="00CC0693"/>
    <w:rsid w:val="00CC06DD"/>
    <w:rsid w:val="00CC079A"/>
    <w:rsid w:val="00CC0940"/>
    <w:rsid w:val="00CC0BFB"/>
    <w:rsid w:val="00CC0F9B"/>
    <w:rsid w:val="00CC1500"/>
    <w:rsid w:val="00CC187A"/>
    <w:rsid w:val="00CC1A8F"/>
    <w:rsid w:val="00CC1D75"/>
    <w:rsid w:val="00CC1DB3"/>
    <w:rsid w:val="00CC1E82"/>
    <w:rsid w:val="00CC1F2B"/>
    <w:rsid w:val="00CC2089"/>
    <w:rsid w:val="00CC23CC"/>
    <w:rsid w:val="00CC23F2"/>
    <w:rsid w:val="00CC25E1"/>
    <w:rsid w:val="00CC26A2"/>
    <w:rsid w:val="00CC2845"/>
    <w:rsid w:val="00CC2891"/>
    <w:rsid w:val="00CC2A05"/>
    <w:rsid w:val="00CC2C2C"/>
    <w:rsid w:val="00CC2E9D"/>
    <w:rsid w:val="00CC303D"/>
    <w:rsid w:val="00CC304E"/>
    <w:rsid w:val="00CC3125"/>
    <w:rsid w:val="00CC312A"/>
    <w:rsid w:val="00CC3321"/>
    <w:rsid w:val="00CC3A63"/>
    <w:rsid w:val="00CC3C24"/>
    <w:rsid w:val="00CC3F33"/>
    <w:rsid w:val="00CC42B4"/>
    <w:rsid w:val="00CC44D8"/>
    <w:rsid w:val="00CC46FD"/>
    <w:rsid w:val="00CC49C4"/>
    <w:rsid w:val="00CC4A94"/>
    <w:rsid w:val="00CC4BB5"/>
    <w:rsid w:val="00CC4C16"/>
    <w:rsid w:val="00CC4DB7"/>
    <w:rsid w:val="00CC539F"/>
    <w:rsid w:val="00CC564B"/>
    <w:rsid w:val="00CC5856"/>
    <w:rsid w:val="00CC598E"/>
    <w:rsid w:val="00CC5AC7"/>
    <w:rsid w:val="00CC5B48"/>
    <w:rsid w:val="00CC5BA1"/>
    <w:rsid w:val="00CC5DB1"/>
    <w:rsid w:val="00CC5FCD"/>
    <w:rsid w:val="00CC60A9"/>
    <w:rsid w:val="00CC63BF"/>
    <w:rsid w:val="00CC6D96"/>
    <w:rsid w:val="00CC7160"/>
    <w:rsid w:val="00CC727B"/>
    <w:rsid w:val="00CC7390"/>
    <w:rsid w:val="00CC765B"/>
    <w:rsid w:val="00CC77EA"/>
    <w:rsid w:val="00CC796D"/>
    <w:rsid w:val="00CC797B"/>
    <w:rsid w:val="00CC7BC8"/>
    <w:rsid w:val="00CC7BD4"/>
    <w:rsid w:val="00CC7D05"/>
    <w:rsid w:val="00CC7F2E"/>
    <w:rsid w:val="00CD02EA"/>
    <w:rsid w:val="00CD038E"/>
    <w:rsid w:val="00CD04C1"/>
    <w:rsid w:val="00CD0514"/>
    <w:rsid w:val="00CD07BB"/>
    <w:rsid w:val="00CD0910"/>
    <w:rsid w:val="00CD0BB0"/>
    <w:rsid w:val="00CD0CF6"/>
    <w:rsid w:val="00CD1171"/>
    <w:rsid w:val="00CD1587"/>
    <w:rsid w:val="00CD243B"/>
    <w:rsid w:val="00CD2725"/>
    <w:rsid w:val="00CD2817"/>
    <w:rsid w:val="00CD28DC"/>
    <w:rsid w:val="00CD29A1"/>
    <w:rsid w:val="00CD2D1F"/>
    <w:rsid w:val="00CD2D45"/>
    <w:rsid w:val="00CD2FFE"/>
    <w:rsid w:val="00CD3105"/>
    <w:rsid w:val="00CD3253"/>
    <w:rsid w:val="00CD329B"/>
    <w:rsid w:val="00CD3348"/>
    <w:rsid w:val="00CD3860"/>
    <w:rsid w:val="00CD3B54"/>
    <w:rsid w:val="00CD3DC5"/>
    <w:rsid w:val="00CD4102"/>
    <w:rsid w:val="00CD42A8"/>
    <w:rsid w:val="00CD456A"/>
    <w:rsid w:val="00CD45F8"/>
    <w:rsid w:val="00CD4813"/>
    <w:rsid w:val="00CD49FE"/>
    <w:rsid w:val="00CD4C41"/>
    <w:rsid w:val="00CD4D08"/>
    <w:rsid w:val="00CD4DCC"/>
    <w:rsid w:val="00CD4F68"/>
    <w:rsid w:val="00CD583D"/>
    <w:rsid w:val="00CD5C1C"/>
    <w:rsid w:val="00CD5F83"/>
    <w:rsid w:val="00CD6016"/>
    <w:rsid w:val="00CD61C1"/>
    <w:rsid w:val="00CD64A0"/>
    <w:rsid w:val="00CD670C"/>
    <w:rsid w:val="00CD6812"/>
    <w:rsid w:val="00CD692F"/>
    <w:rsid w:val="00CD6FC0"/>
    <w:rsid w:val="00CD73E1"/>
    <w:rsid w:val="00CD74DC"/>
    <w:rsid w:val="00CD74F5"/>
    <w:rsid w:val="00CD7927"/>
    <w:rsid w:val="00CD79C3"/>
    <w:rsid w:val="00CD7D33"/>
    <w:rsid w:val="00CE00D3"/>
    <w:rsid w:val="00CE01B1"/>
    <w:rsid w:val="00CE01B8"/>
    <w:rsid w:val="00CE05E1"/>
    <w:rsid w:val="00CE063A"/>
    <w:rsid w:val="00CE0649"/>
    <w:rsid w:val="00CE08D7"/>
    <w:rsid w:val="00CE0B55"/>
    <w:rsid w:val="00CE0EA8"/>
    <w:rsid w:val="00CE0EF2"/>
    <w:rsid w:val="00CE10C8"/>
    <w:rsid w:val="00CE11BB"/>
    <w:rsid w:val="00CE12E5"/>
    <w:rsid w:val="00CE136E"/>
    <w:rsid w:val="00CE166C"/>
    <w:rsid w:val="00CE1715"/>
    <w:rsid w:val="00CE1A69"/>
    <w:rsid w:val="00CE1B7C"/>
    <w:rsid w:val="00CE2C77"/>
    <w:rsid w:val="00CE3164"/>
    <w:rsid w:val="00CE32B5"/>
    <w:rsid w:val="00CE3363"/>
    <w:rsid w:val="00CE35AC"/>
    <w:rsid w:val="00CE36AA"/>
    <w:rsid w:val="00CE36BB"/>
    <w:rsid w:val="00CE3784"/>
    <w:rsid w:val="00CE384F"/>
    <w:rsid w:val="00CE3916"/>
    <w:rsid w:val="00CE398F"/>
    <w:rsid w:val="00CE3AC8"/>
    <w:rsid w:val="00CE3B34"/>
    <w:rsid w:val="00CE3C3F"/>
    <w:rsid w:val="00CE3D63"/>
    <w:rsid w:val="00CE3DC4"/>
    <w:rsid w:val="00CE3E16"/>
    <w:rsid w:val="00CE3F96"/>
    <w:rsid w:val="00CE413A"/>
    <w:rsid w:val="00CE44F1"/>
    <w:rsid w:val="00CE482F"/>
    <w:rsid w:val="00CE4AA4"/>
    <w:rsid w:val="00CE4B6F"/>
    <w:rsid w:val="00CE4D41"/>
    <w:rsid w:val="00CE4F8B"/>
    <w:rsid w:val="00CE5124"/>
    <w:rsid w:val="00CE5437"/>
    <w:rsid w:val="00CE558B"/>
    <w:rsid w:val="00CE55C2"/>
    <w:rsid w:val="00CE571F"/>
    <w:rsid w:val="00CE5B89"/>
    <w:rsid w:val="00CE5C6F"/>
    <w:rsid w:val="00CE5E60"/>
    <w:rsid w:val="00CE5FE7"/>
    <w:rsid w:val="00CE6036"/>
    <w:rsid w:val="00CE6122"/>
    <w:rsid w:val="00CE6249"/>
    <w:rsid w:val="00CE6477"/>
    <w:rsid w:val="00CE651B"/>
    <w:rsid w:val="00CE6527"/>
    <w:rsid w:val="00CE6600"/>
    <w:rsid w:val="00CE68B5"/>
    <w:rsid w:val="00CE6C5F"/>
    <w:rsid w:val="00CE6D22"/>
    <w:rsid w:val="00CE6D60"/>
    <w:rsid w:val="00CE6EAA"/>
    <w:rsid w:val="00CE6FD1"/>
    <w:rsid w:val="00CE70A4"/>
    <w:rsid w:val="00CE72B9"/>
    <w:rsid w:val="00CE73D5"/>
    <w:rsid w:val="00CE7732"/>
    <w:rsid w:val="00CE7750"/>
    <w:rsid w:val="00CE7BDF"/>
    <w:rsid w:val="00CE7C99"/>
    <w:rsid w:val="00CE7ED3"/>
    <w:rsid w:val="00CE7FFE"/>
    <w:rsid w:val="00CF0075"/>
    <w:rsid w:val="00CF0298"/>
    <w:rsid w:val="00CF043F"/>
    <w:rsid w:val="00CF0585"/>
    <w:rsid w:val="00CF08EB"/>
    <w:rsid w:val="00CF09CF"/>
    <w:rsid w:val="00CF0BEC"/>
    <w:rsid w:val="00CF1510"/>
    <w:rsid w:val="00CF16E5"/>
    <w:rsid w:val="00CF1793"/>
    <w:rsid w:val="00CF18FD"/>
    <w:rsid w:val="00CF19B3"/>
    <w:rsid w:val="00CF19BE"/>
    <w:rsid w:val="00CF1DDC"/>
    <w:rsid w:val="00CF1E5E"/>
    <w:rsid w:val="00CF1FE0"/>
    <w:rsid w:val="00CF232F"/>
    <w:rsid w:val="00CF262D"/>
    <w:rsid w:val="00CF283B"/>
    <w:rsid w:val="00CF292C"/>
    <w:rsid w:val="00CF2A39"/>
    <w:rsid w:val="00CF2A3F"/>
    <w:rsid w:val="00CF2ABC"/>
    <w:rsid w:val="00CF2C43"/>
    <w:rsid w:val="00CF2C4B"/>
    <w:rsid w:val="00CF2D92"/>
    <w:rsid w:val="00CF3430"/>
    <w:rsid w:val="00CF3688"/>
    <w:rsid w:val="00CF36FF"/>
    <w:rsid w:val="00CF3AEB"/>
    <w:rsid w:val="00CF3D0A"/>
    <w:rsid w:val="00CF4150"/>
    <w:rsid w:val="00CF42AE"/>
    <w:rsid w:val="00CF42E2"/>
    <w:rsid w:val="00CF4A13"/>
    <w:rsid w:val="00CF4FB7"/>
    <w:rsid w:val="00CF5133"/>
    <w:rsid w:val="00CF54E4"/>
    <w:rsid w:val="00CF564F"/>
    <w:rsid w:val="00CF5991"/>
    <w:rsid w:val="00CF5B30"/>
    <w:rsid w:val="00CF5D00"/>
    <w:rsid w:val="00CF60EC"/>
    <w:rsid w:val="00CF61BA"/>
    <w:rsid w:val="00CF634F"/>
    <w:rsid w:val="00CF65BF"/>
    <w:rsid w:val="00CF6981"/>
    <w:rsid w:val="00CF6AEF"/>
    <w:rsid w:val="00CF6B14"/>
    <w:rsid w:val="00CF6FB7"/>
    <w:rsid w:val="00CF732D"/>
    <w:rsid w:val="00CF772D"/>
    <w:rsid w:val="00CF7B25"/>
    <w:rsid w:val="00CF7B91"/>
    <w:rsid w:val="00CF7BBC"/>
    <w:rsid w:val="00CF7F61"/>
    <w:rsid w:val="00D0037E"/>
    <w:rsid w:val="00D003B8"/>
    <w:rsid w:val="00D00481"/>
    <w:rsid w:val="00D004E1"/>
    <w:rsid w:val="00D00752"/>
    <w:rsid w:val="00D007AD"/>
    <w:rsid w:val="00D0094B"/>
    <w:rsid w:val="00D00962"/>
    <w:rsid w:val="00D00AA9"/>
    <w:rsid w:val="00D00DB4"/>
    <w:rsid w:val="00D00E2F"/>
    <w:rsid w:val="00D00F37"/>
    <w:rsid w:val="00D01039"/>
    <w:rsid w:val="00D01220"/>
    <w:rsid w:val="00D019E9"/>
    <w:rsid w:val="00D01C9F"/>
    <w:rsid w:val="00D01D0E"/>
    <w:rsid w:val="00D01DD8"/>
    <w:rsid w:val="00D01F02"/>
    <w:rsid w:val="00D02106"/>
    <w:rsid w:val="00D021A3"/>
    <w:rsid w:val="00D022E8"/>
    <w:rsid w:val="00D02395"/>
    <w:rsid w:val="00D0263B"/>
    <w:rsid w:val="00D02A9E"/>
    <w:rsid w:val="00D02ADA"/>
    <w:rsid w:val="00D02BE7"/>
    <w:rsid w:val="00D02CEA"/>
    <w:rsid w:val="00D02F12"/>
    <w:rsid w:val="00D03087"/>
    <w:rsid w:val="00D03567"/>
    <w:rsid w:val="00D03BC5"/>
    <w:rsid w:val="00D03F67"/>
    <w:rsid w:val="00D03FD2"/>
    <w:rsid w:val="00D04052"/>
    <w:rsid w:val="00D040E3"/>
    <w:rsid w:val="00D041B5"/>
    <w:rsid w:val="00D04392"/>
    <w:rsid w:val="00D04552"/>
    <w:rsid w:val="00D0483E"/>
    <w:rsid w:val="00D0493D"/>
    <w:rsid w:val="00D04B91"/>
    <w:rsid w:val="00D04BB5"/>
    <w:rsid w:val="00D04C27"/>
    <w:rsid w:val="00D04C42"/>
    <w:rsid w:val="00D04D21"/>
    <w:rsid w:val="00D04D94"/>
    <w:rsid w:val="00D04F4E"/>
    <w:rsid w:val="00D04FAE"/>
    <w:rsid w:val="00D051BC"/>
    <w:rsid w:val="00D053AF"/>
    <w:rsid w:val="00D0552F"/>
    <w:rsid w:val="00D0556D"/>
    <w:rsid w:val="00D057C5"/>
    <w:rsid w:val="00D05C35"/>
    <w:rsid w:val="00D05D06"/>
    <w:rsid w:val="00D05D68"/>
    <w:rsid w:val="00D05D86"/>
    <w:rsid w:val="00D05EC9"/>
    <w:rsid w:val="00D05F63"/>
    <w:rsid w:val="00D06076"/>
    <w:rsid w:val="00D0631C"/>
    <w:rsid w:val="00D06499"/>
    <w:rsid w:val="00D065D9"/>
    <w:rsid w:val="00D067CE"/>
    <w:rsid w:val="00D07181"/>
    <w:rsid w:val="00D071BF"/>
    <w:rsid w:val="00D0740B"/>
    <w:rsid w:val="00D07A75"/>
    <w:rsid w:val="00D07ADA"/>
    <w:rsid w:val="00D10060"/>
    <w:rsid w:val="00D103D1"/>
    <w:rsid w:val="00D104D4"/>
    <w:rsid w:val="00D106E1"/>
    <w:rsid w:val="00D10BAE"/>
    <w:rsid w:val="00D10D4E"/>
    <w:rsid w:val="00D1112E"/>
    <w:rsid w:val="00D113F2"/>
    <w:rsid w:val="00D11647"/>
    <w:rsid w:val="00D11828"/>
    <w:rsid w:val="00D11B02"/>
    <w:rsid w:val="00D11B70"/>
    <w:rsid w:val="00D11D1B"/>
    <w:rsid w:val="00D1226F"/>
    <w:rsid w:val="00D12522"/>
    <w:rsid w:val="00D1268A"/>
    <w:rsid w:val="00D12836"/>
    <w:rsid w:val="00D12837"/>
    <w:rsid w:val="00D129B7"/>
    <w:rsid w:val="00D13437"/>
    <w:rsid w:val="00D136E2"/>
    <w:rsid w:val="00D13B01"/>
    <w:rsid w:val="00D13DA4"/>
    <w:rsid w:val="00D13FF4"/>
    <w:rsid w:val="00D141B4"/>
    <w:rsid w:val="00D14271"/>
    <w:rsid w:val="00D142FA"/>
    <w:rsid w:val="00D14337"/>
    <w:rsid w:val="00D146DC"/>
    <w:rsid w:val="00D14948"/>
    <w:rsid w:val="00D14C33"/>
    <w:rsid w:val="00D151EE"/>
    <w:rsid w:val="00D15313"/>
    <w:rsid w:val="00D1560C"/>
    <w:rsid w:val="00D1560E"/>
    <w:rsid w:val="00D15B6C"/>
    <w:rsid w:val="00D15D2C"/>
    <w:rsid w:val="00D15D41"/>
    <w:rsid w:val="00D15E7C"/>
    <w:rsid w:val="00D15EDE"/>
    <w:rsid w:val="00D16287"/>
    <w:rsid w:val="00D16BD5"/>
    <w:rsid w:val="00D16CC7"/>
    <w:rsid w:val="00D16CEC"/>
    <w:rsid w:val="00D16E41"/>
    <w:rsid w:val="00D16FC2"/>
    <w:rsid w:val="00D174E4"/>
    <w:rsid w:val="00D17533"/>
    <w:rsid w:val="00D177A2"/>
    <w:rsid w:val="00D179AB"/>
    <w:rsid w:val="00D17A80"/>
    <w:rsid w:val="00D200DD"/>
    <w:rsid w:val="00D200FA"/>
    <w:rsid w:val="00D2025D"/>
    <w:rsid w:val="00D203FD"/>
    <w:rsid w:val="00D20507"/>
    <w:rsid w:val="00D20A65"/>
    <w:rsid w:val="00D21038"/>
    <w:rsid w:val="00D212FA"/>
    <w:rsid w:val="00D2167C"/>
    <w:rsid w:val="00D217AB"/>
    <w:rsid w:val="00D21835"/>
    <w:rsid w:val="00D218E7"/>
    <w:rsid w:val="00D21A9D"/>
    <w:rsid w:val="00D21D81"/>
    <w:rsid w:val="00D21DDC"/>
    <w:rsid w:val="00D21F54"/>
    <w:rsid w:val="00D2207A"/>
    <w:rsid w:val="00D22135"/>
    <w:rsid w:val="00D2253E"/>
    <w:rsid w:val="00D225F6"/>
    <w:rsid w:val="00D2265C"/>
    <w:rsid w:val="00D2276F"/>
    <w:rsid w:val="00D22801"/>
    <w:rsid w:val="00D22825"/>
    <w:rsid w:val="00D2282B"/>
    <w:rsid w:val="00D2309C"/>
    <w:rsid w:val="00D237BB"/>
    <w:rsid w:val="00D23B6D"/>
    <w:rsid w:val="00D23B96"/>
    <w:rsid w:val="00D23FA5"/>
    <w:rsid w:val="00D240E6"/>
    <w:rsid w:val="00D2438C"/>
    <w:rsid w:val="00D24777"/>
    <w:rsid w:val="00D24A90"/>
    <w:rsid w:val="00D24BB2"/>
    <w:rsid w:val="00D24D21"/>
    <w:rsid w:val="00D24E95"/>
    <w:rsid w:val="00D24F9C"/>
    <w:rsid w:val="00D2527D"/>
    <w:rsid w:val="00D2528A"/>
    <w:rsid w:val="00D252C9"/>
    <w:rsid w:val="00D25360"/>
    <w:rsid w:val="00D2549E"/>
    <w:rsid w:val="00D2568E"/>
    <w:rsid w:val="00D257CC"/>
    <w:rsid w:val="00D25AE6"/>
    <w:rsid w:val="00D25C19"/>
    <w:rsid w:val="00D25C99"/>
    <w:rsid w:val="00D25EB2"/>
    <w:rsid w:val="00D25F55"/>
    <w:rsid w:val="00D2619A"/>
    <w:rsid w:val="00D265C4"/>
    <w:rsid w:val="00D26783"/>
    <w:rsid w:val="00D26B09"/>
    <w:rsid w:val="00D26B58"/>
    <w:rsid w:val="00D26E4F"/>
    <w:rsid w:val="00D26E84"/>
    <w:rsid w:val="00D26EED"/>
    <w:rsid w:val="00D26F13"/>
    <w:rsid w:val="00D270D5"/>
    <w:rsid w:val="00D272C6"/>
    <w:rsid w:val="00D276C2"/>
    <w:rsid w:val="00D278A4"/>
    <w:rsid w:val="00D27EAA"/>
    <w:rsid w:val="00D27F75"/>
    <w:rsid w:val="00D27FED"/>
    <w:rsid w:val="00D30280"/>
    <w:rsid w:val="00D3055E"/>
    <w:rsid w:val="00D30746"/>
    <w:rsid w:val="00D3096E"/>
    <w:rsid w:val="00D30BAB"/>
    <w:rsid w:val="00D30C44"/>
    <w:rsid w:val="00D30FEF"/>
    <w:rsid w:val="00D314FB"/>
    <w:rsid w:val="00D31A25"/>
    <w:rsid w:val="00D31B9A"/>
    <w:rsid w:val="00D31D7B"/>
    <w:rsid w:val="00D31DC6"/>
    <w:rsid w:val="00D31E55"/>
    <w:rsid w:val="00D32084"/>
    <w:rsid w:val="00D32117"/>
    <w:rsid w:val="00D324CC"/>
    <w:rsid w:val="00D326FD"/>
    <w:rsid w:val="00D329FE"/>
    <w:rsid w:val="00D32C42"/>
    <w:rsid w:val="00D32CEB"/>
    <w:rsid w:val="00D330BE"/>
    <w:rsid w:val="00D33224"/>
    <w:rsid w:val="00D3340C"/>
    <w:rsid w:val="00D336A2"/>
    <w:rsid w:val="00D3373D"/>
    <w:rsid w:val="00D33E56"/>
    <w:rsid w:val="00D33E93"/>
    <w:rsid w:val="00D3410A"/>
    <w:rsid w:val="00D343BB"/>
    <w:rsid w:val="00D34814"/>
    <w:rsid w:val="00D34878"/>
    <w:rsid w:val="00D348EB"/>
    <w:rsid w:val="00D34974"/>
    <w:rsid w:val="00D34C0D"/>
    <w:rsid w:val="00D3528D"/>
    <w:rsid w:val="00D35463"/>
    <w:rsid w:val="00D35712"/>
    <w:rsid w:val="00D35727"/>
    <w:rsid w:val="00D35A51"/>
    <w:rsid w:val="00D35C10"/>
    <w:rsid w:val="00D35CFC"/>
    <w:rsid w:val="00D35D8F"/>
    <w:rsid w:val="00D35DB8"/>
    <w:rsid w:val="00D35E7F"/>
    <w:rsid w:val="00D35EFE"/>
    <w:rsid w:val="00D35F44"/>
    <w:rsid w:val="00D3609B"/>
    <w:rsid w:val="00D361E2"/>
    <w:rsid w:val="00D361F5"/>
    <w:rsid w:val="00D3623C"/>
    <w:rsid w:val="00D3652E"/>
    <w:rsid w:val="00D365F8"/>
    <w:rsid w:val="00D36643"/>
    <w:rsid w:val="00D36654"/>
    <w:rsid w:val="00D366F3"/>
    <w:rsid w:val="00D3692A"/>
    <w:rsid w:val="00D369FE"/>
    <w:rsid w:val="00D36A01"/>
    <w:rsid w:val="00D36A97"/>
    <w:rsid w:val="00D36B79"/>
    <w:rsid w:val="00D36DBD"/>
    <w:rsid w:val="00D36E44"/>
    <w:rsid w:val="00D36EF2"/>
    <w:rsid w:val="00D36F8C"/>
    <w:rsid w:val="00D37385"/>
    <w:rsid w:val="00D373DA"/>
    <w:rsid w:val="00D37566"/>
    <w:rsid w:val="00D37609"/>
    <w:rsid w:val="00D376CB"/>
    <w:rsid w:val="00D376D3"/>
    <w:rsid w:val="00D3777A"/>
    <w:rsid w:val="00D37A44"/>
    <w:rsid w:val="00D37C0E"/>
    <w:rsid w:val="00D37C16"/>
    <w:rsid w:val="00D37C59"/>
    <w:rsid w:val="00D37C66"/>
    <w:rsid w:val="00D37D65"/>
    <w:rsid w:val="00D405E3"/>
    <w:rsid w:val="00D409C3"/>
    <w:rsid w:val="00D40B81"/>
    <w:rsid w:val="00D40C42"/>
    <w:rsid w:val="00D40E43"/>
    <w:rsid w:val="00D40F20"/>
    <w:rsid w:val="00D41212"/>
    <w:rsid w:val="00D41254"/>
    <w:rsid w:val="00D41434"/>
    <w:rsid w:val="00D414C8"/>
    <w:rsid w:val="00D4177F"/>
    <w:rsid w:val="00D423EA"/>
    <w:rsid w:val="00D42A9C"/>
    <w:rsid w:val="00D431F2"/>
    <w:rsid w:val="00D43453"/>
    <w:rsid w:val="00D43684"/>
    <w:rsid w:val="00D436B7"/>
    <w:rsid w:val="00D43816"/>
    <w:rsid w:val="00D43B5F"/>
    <w:rsid w:val="00D43BBA"/>
    <w:rsid w:val="00D43C0F"/>
    <w:rsid w:val="00D44EFC"/>
    <w:rsid w:val="00D450BB"/>
    <w:rsid w:val="00D45332"/>
    <w:rsid w:val="00D453E3"/>
    <w:rsid w:val="00D4556C"/>
    <w:rsid w:val="00D455F7"/>
    <w:rsid w:val="00D45618"/>
    <w:rsid w:val="00D456E5"/>
    <w:rsid w:val="00D45716"/>
    <w:rsid w:val="00D45777"/>
    <w:rsid w:val="00D4578A"/>
    <w:rsid w:val="00D458B2"/>
    <w:rsid w:val="00D46146"/>
    <w:rsid w:val="00D46489"/>
    <w:rsid w:val="00D464B1"/>
    <w:rsid w:val="00D46854"/>
    <w:rsid w:val="00D469F0"/>
    <w:rsid w:val="00D46B73"/>
    <w:rsid w:val="00D46BC4"/>
    <w:rsid w:val="00D46BED"/>
    <w:rsid w:val="00D46C7E"/>
    <w:rsid w:val="00D46F0B"/>
    <w:rsid w:val="00D46F1E"/>
    <w:rsid w:val="00D471CF"/>
    <w:rsid w:val="00D473E9"/>
    <w:rsid w:val="00D47ECB"/>
    <w:rsid w:val="00D5008F"/>
    <w:rsid w:val="00D5022D"/>
    <w:rsid w:val="00D50302"/>
    <w:rsid w:val="00D50441"/>
    <w:rsid w:val="00D50B40"/>
    <w:rsid w:val="00D50C0A"/>
    <w:rsid w:val="00D51165"/>
    <w:rsid w:val="00D511A5"/>
    <w:rsid w:val="00D51534"/>
    <w:rsid w:val="00D51622"/>
    <w:rsid w:val="00D5172E"/>
    <w:rsid w:val="00D517DF"/>
    <w:rsid w:val="00D51805"/>
    <w:rsid w:val="00D51822"/>
    <w:rsid w:val="00D51C1E"/>
    <w:rsid w:val="00D51E86"/>
    <w:rsid w:val="00D51F76"/>
    <w:rsid w:val="00D52020"/>
    <w:rsid w:val="00D523A2"/>
    <w:rsid w:val="00D526EF"/>
    <w:rsid w:val="00D527B3"/>
    <w:rsid w:val="00D529D9"/>
    <w:rsid w:val="00D52B10"/>
    <w:rsid w:val="00D52CB1"/>
    <w:rsid w:val="00D52FDE"/>
    <w:rsid w:val="00D5304C"/>
    <w:rsid w:val="00D534EE"/>
    <w:rsid w:val="00D535A8"/>
    <w:rsid w:val="00D5382D"/>
    <w:rsid w:val="00D538BC"/>
    <w:rsid w:val="00D538DB"/>
    <w:rsid w:val="00D53AE3"/>
    <w:rsid w:val="00D53C60"/>
    <w:rsid w:val="00D5436D"/>
    <w:rsid w:val="00D544C6"/>
    <w:rsid w:val="00D54632"/>
    <w:rsid w:val="00D546F9"/>
    <w:rsid w:val="00D54701"/>
    <w:rsid w:val="00D54712"/>
    <w:rsid w:val="00D547FE"/>
    <w:rsid w:val="00D5515C"/>
    <w:rsid w:val="00D551CA"/>
    <w:rsid w:val="00D55523"/>
    <w:rsid w:val="00D55A31"/>
    <w:rsid w:val="00D55BFD"/>
    <w:rsid w:val="00D55FC2"/>
    <w:rsid w:val="00D5628F"/>
    <w:rsid w:val="00D568D7"/>
    <w:rsid w:val="00D56A0F"/>
    <w:rsid w:val="00D56A16"/>
    <w:rsid w:val="00D56A2B"/>
    <w:rsid w:val="00D56A8A"/>
    <w:rsid w:val="00D56DD8"/>
    <w:rsid w:val="00D57010"/>
    <w:rsid w:val="00D571F0"/>
    <w:rsid w:val="00D5735C"/>
    <w:rsid w:val="00D57725"/>
    <w:rsid w:val="00D6029C"/>
    <w:rsid w:val="00D60503"/>
    <w:rsid w:val="00D6073C"/>
    <w:rsid w:val="00D607F8"/>
    <w:rsid w:val="00D60888"/>
    <w:rsid w:val="00D60955"/>
    <w:rsid w:val="00D60A7A"/>
    <w:rsid w:val="00D61251"/>
    <w:rsid w:val="00D61522"/>
    <w:rsid w:val="00D61524"/>
    <w:rsid w:val="00D61641"/>
    <w:rsid w:val="00D619FA"/>
    <w:rsid w:val="00D61A65"/>
    <w:rsid w:val="00D61CBA"/>
    <w:rsid w:val="00D61E89"/>
    <w:rsid w:val="00D61F85"/>
    <w:rsid w:val="00D620C7"/>
    <w:rsid w:val="00D621F4"/>
    <w:rsid w:val="00D6221B"/>
    <w:rsid w:val="00D6274D"/>
    <w:rsid w:val="00D62897"/>
    <w:rsid w:val="00D628E3"/>
    <w:rsid w:val="00D6297C"/>
    <w:rsid w:val="00D62C72"/>
    <w:rsid w:val="00D62FAD"/>
    <w:rsid w:val="00D631DA"/>
    <w:rsid w:val="00D6325D"/>
    <w:rsid w:val="00D633DA"/>
    <w:rsid w:val="00D633DD"/>
    <w:rsid w:val="00D63479"/>
    <w:rsid w:val="00D634B9"/>
    <w:rsid w:val="00D635D7"/>
    <w:rsid w:val="00D639D4"/>
    <w:rsid w:val="00D63D97"/>
    <w:rsid w:val="00D63DA1"/>
    <w:rsid w:val="00D63DF2"/>
    <w:rsid w:val="00D64133"/>
    <w:rsid w:val="00D6417E"/>
    <w:rsid w:val="00D6422B"/>
    <w:rsid w:val="00D6432F"/>
    <w:rsid w:val="00D649AB"/>
    <w:rsid w:val="00D64A75"/>
    <w:rsid w:val="00D64AA3"/>
    <w:rsid w:val="00D64B41"/>
    <w:rsid w:val="00D65475"/>
    <w:rsid w:val="00D65B40"/>
    <w:rsid w:val="00D65F1D"/>
    <w:rsid w:val="00D66112"/>
    <w:rsid w:val="00D6636F"/>
    <w:rsid w:val="00D663B4"/>
    <w:rsid w:val="00D663BF"/>
    <w:rsid w:val="00D6662F"/>
    <w:rsid w:val="00D66693"/>
    <w:rsid w:val="00D667C6"/>
    <w:rsid w:val="00D66D15"/>
    <w:rsid w:val="00D66F9A"/>
    <w:rsid w:val="00D670A0"/>
    <w:rsid w:val="00D67302"/>
    <w:rsid w:val="00D673C8"/>
    <w:rsid w:val="00D67476"/>
    <w:rsid w:val="00D674A0"/>
    <w:rsid w:val="00D675B6"/>
    <w:rsid w:val="00D675C7"/>
    <w:rsid w:val="00D676E6"/>
    <w:rsid w:val="00D67731"/>
    <w:rsid w:val="00D67774"/>
    <w:rsid w:val="00D678E9"/>
    <w:rsid w:val="00D67DA8"/>
    <w:rsid w:val="00D701CD"/>
    <w:rsid w:val="00D703B0"/>
    <w:rsid w:val="00D70841"/>
    <w:rsid w:val="00D70962"/>
    <w:rsid w:val="00D70A7A"/>
    <w:rsid w:val="00D70AB4"/>
    <w:rsid w:val="00D70B42"/>
    <w:rsid w:val="00D70D29"/>
    <w:rsid w:val="00D70ECA"/>
    <w:rsid w:val="00D70F59"/>
    <w:rsid w:val="00D7100E"/>
    <w:rsid w:val="00D7138B"/>
    <w:rsid w:val="00D714A6"/>
    <w:rsid w:val="00D714D2"/>
    <w:rsid w:val="00D717F1"/>
    <w:rsid w:val="00D71837"/>
    <w:rsid w:val="00D71984"/>
    <w:rsid w:val="00D71A00"/>
    <w:rsid w:val="00D71B49"/>
    <w:rsid w:val="00D71B75"/>
    <w:rsid w:val="00D71B83"/>
    <w:rsid w:val="00D723FF"/>
    <w:rsid w:val="00D724EB"/>
    <w:rsid w:val="00D7254D"/>
    <w:rsid w:val="00D72736"/>
    <w:rsid w:val="00D72826"/>
    <w:rsid w:val="00D7297A"/>
    <w:rsid w:val="00D72B5E"/>
    <w:rsid w:val="00D72E0A"/>
    <w:rsid w:val="00D73132"/>
    <w:rsid w:val="00D7325E"/>
    <w:rsid w:val="00D733A1"/>
    <w:rsid w:val="00D737C4"/>
    <w:rsid w:val="00D738F2"/>
    <w:rsid w:val="00D73C9E"/>
    <w:rsid w:val="00D73F03"/>
    <w:rsid w:val="00D73F86"/>
    <w:rsid w:val="00D74143"/>
    <w:rsid w:val="00D7442A"/>
    <w:rsid w:val="00D74516"/>
    <w:rsid w:val="00D745AB"/>
    <w:rsid w:val="00D746CF"/>
    <w:rsid w:val="00D74803"/>
    <w:rsid w:val="00D7525B"/>
    <w:rsid w:val="00D7568A"/>
    <w:rsid w:val="00D757E7"/>
    <w:rsid w:val="00D759A0"/>
    <w:rsid w:val="00D75F34"/>
    <w:rsid w:val="00D75FB9"/>
    <w:rsid w:val="00D7600F"/>
    <w:rsid w:val="00D760E0"/>
    <w:rsid w:val="00D7613E"/>
    <w:rsid w:val="00D7650B"/>
    <w:rsid w:val="00D765E0"/>
    <w:rsid w:val="00D7690A"/>
    <w:rsid w:val="00D76923"/>
    <w:rsid w:val="00D76A94"/>
    <w:rsid w:val="00D76C94"/>
    <w:rsid w:val="00D76CA7"/>
    <w:rsid w:val="00D76CFC"/>
    <w:rsid w:val="00D76D1E"/>
    <w:rsid w:val="00D77028"/>
    <w:rsid w:val="00D7731A"/>
    <w:rsid w:val="00D77420"/>
    <w:rsid w:val="00D775CD"/>
    <w:rsid w:val="00D77687"/>
    <w:rsid w:val="00D77734"/>
    <w:rsid w:val="00D77A9E"/>
    <w:rsid w:val="00D77BBC"/>
    <w:rsid w:val="00D77D8C"/>
    <w:rsid w:val="00D77EFB"/>
    <w:rsid w:val="00D80198"/>
    <w:rsid w:val="00D801DB"/>
    <w:rsid w:val="00D8031B"/>
    <w:rsid w:val="00D805DE"/>
    <w:rsid w:val="00D80767"/>
    <w:rsid w:val="00D80853"/>
    <w:rsid w:val="00D808A6"/>
    <w:rsid w:val="00D808D1"/>
    <w:rsid w:val="00D80950"/>
    <w:rsid w:val="00D80ACF"/>
    <w:rsid w:val="00D80BB2"/>
    <w:rsid w:val="00D80BB9"/>
    <w:rsid w:val="00D80C7C"/>
    <w:rsid w:val="00D80CA5"/>
    <w:rsid w:val="00D80E8C"/>
    <w:rsid w:val="00D8107E"/>
    <w:rsid w:val="00D810A0"/>
    <w:rsid w:val="00D811AF"/>
    <w:rsid w:val="00D815EF"/>
    <w:rsid w:val="00D815F4"/>
    <w:rsid w:val="00D8160A"/>
    <w:rsid w:val="00D818BC"/>
    <w:rsid w:val="00D818D3"/>
    <w:rsid w:val="00D818FE"/>
    <w:rsid w:val="00D81E6B"/>
    <w:rsid w:val="00D82482"/>
    <w:rsid w:val="00D82794"/>
    <w:rsid w:val="00D827DB"/>
    <w:rsid w:val="00D828D6"/>
    <w:rsid w:val="00D828F8"/>
    <w:rsid w:val="00D82949"/>
    <w:rsid w:val="00D82FD1"/>
    <w:rsid w:val="00D83140"/>
    <w:rsid w:val="00D83142"/>
    <w:rsid w:val="00D83444"/>
    <w:rsid w:val="00D83539"/>
    <w:rsid w:val="00D83560"/>
    <w:rsid w:val="00D83634"/>
    <w:rsid w:val="00D83EED"/>
    <w:rsid w:val="00D83F85"/>
    <w:rsid w:val="00D84154"/>
    <w:rsid w:val="00D841BC"/>
    <w:rsid w:val="00D842F2"/>
    <w:rsid w:val="00D84421"/>
    <w:rsid w:val="00D84435"/>
    <w:rsid w:val="00D84571"/>
    <w:rsid w:val="00D8476D"/>
    <w:rsid w:val="00D84799"/>
    <w:rsid w:val="00D848EB"/>
    <w:rsid w:val="00D84A30"/>
    <w:rsid w:val="00D84D4B"/>
    <w:rsid w:val="00D84DFA"/>
    <w:rsid w:val="00D85069"/>
    <w:rsid w:val="00D85103"/>
    <w:rsid w:val="00D85282"/>
    <w:rsid w:val="00D854B8"/>
    <w:rsid w:val="00D854EC"/>
    <w:rsid w:val="00D854FB"/>
    <w:rsid w:val="00D855F5"/>
    <w:rsid w:val="00D85645"/>
    <w:rsid w:val="00D8579D"/>
    <w:rsid w:val="00D85911"/>
    <w:rsid w:val="00D85912"/>
    <w:rsid w:val="00D85AF0"/>
    <w:rsid w:val="00D85BBD"/>
    <w:rsid w:val="00D86094"/>
    <w:rsid w:val="00D8612C"/>
    <w:rsid w:val="00D866AF"/>
    <w:rsid w:val="00D868C4"/>
    <w:rsid w:val="00D86EC4"/>
    <w:rsid w:val="00D86F75"/>
    <w:rsid w:val="00D87A62"/>
    <w:rsid w:val="00D90063"/>
    <w:rsid w:val="00D9030E"/>
    <w:rsid w:val="00D90B63"/>
    <w:rsid w:val="00D90BDF"/>
    <w:rsid w:val="00D90C9C"/>
    <w:rsid w:val="00D90DA6"/>
    <w:rsid w:val="00D90EB0"/>
    <w:rsid w:val="00D91416"/>
    <w:rsid w:val="00D9174A"/>
    <w:rsid w:val="00D91AC3"/>
    <w:rsid w:val="00D91CEC"/>
    <w:rsid w:val="00D91DAF"/>
    <w:rsid w:val="00D91DB5"/>
    <w:rsid w:val="00D921CC"/>
    <w:rsid w:val="00D9255C"/>
    <w:rsid w:val="00D92648"/>
    <w:rsid w:val="00D92832"/>
    <w:rsid w:val="00D92F8A"/>
    <w:rsid w:val="00D93026"/>
    <w:rsid w:val="00D9312E"/>
    <w:rsid w:val="00D934FC"/>
    <w:rsid w:val="00D93842"/>
    <w:rsid w:val="00D93A0D"/>
    <w:rsid w:val="00D93C81"/>
    <w:rsid w:val="00D93D2D"/>
    <w:rsid w:val="00D94023"/>
    <w:rsid w:val="00D94255"/>
    <w:rsid w:val="00D9428D"/>
    <w:rsid w:val="00D9435B"/>
    <w:rsid w:val="00D9464F"/>
    <w:rsid w:val="00D946BA"/>
    <w:rsid w:val="00D94CF3"/>
    <w:rsid w:val="00D94CF8"/>
    <w:rsid w:val="00D94D79"/>
    <w:rsid w:val="00D94EBE"/>
    <w:rsid w:val="00D95041"/>
    <w:rsid w:val="00D95121"/>
    <w:rsid w:val="00D95255"/>
    <w:rsid w:val="00D95388"/>
    <w:rsid w:val="00D9592E"/>
    <w:rsid w:val="00D95D56"/>
    <w:rsid w:val="00D95DF7"/>
    <w:rsid w:val="00D95E21"/>
    <w:rsid w:val="00D95E63"/>
    <w:rsid w:val="00D961B2"/>
    <w:rsid w:val="00D9644A"/>
    <w:rsid w:val="00D96513"/>
    <w:rsid w:val="00D966D9"/>
    <w:rsid w:val="00D96835"/>
    <w:rsid w:val="00D9696E"/>
    <w:rsid w:val="00D969B6"/>
    <w:rsid w:val="00D96E4A"/>
    <w:rsid w:val="00D97183"/>
    <w:rsid w:val="00D972FC"/>
    <w:rsid w:val="00D9747E"/>
    <w:rsid w:val="00D97631"/>
    <w:rsid w:val="00D97680"/>
    <w:rsid w:val="00D97BEB"/>
    <w:rsid w:val="00D97C5F"/>
    <w:rsid w:val="00D97EF9"/>
    <w:rsid w:val="00DA0197"/>
    <w:rsid w:val="00DA0203"/>
    <w:rsid w:val="00DA056D"/>
    <w:rsid w:val="00DA05C1"/>
    <w:rsid w:val="00DA06AE"/>
    <w:rsid w:val="00DA0759"/>
    <w:rsid w:val="00DA087C"/>
    <w:rsid w:val="00DA09DF"/>
    <w:rsid w:val="00DA0A68"/>
    <w:rsid w:val="00DA0ACF"/>
    <w:rsid w:val="00DA0C24"/>
    <w:rsid w:val="00DA0EB8"/>
    <w:rsid w:val="00DA11F3"/>
    <w:rsid w:val="00DA12B3"/>
    <w:rsid w:val="00DA142B"/>
    <w:rsid w:val="00DA15AC"/>
    <w:rsid w:val="00DA1725"/>
    <w:rsid w:val="00DA1DB2"/>
    <w:rsid w:val="00DA1E15"/>
    <w:rsid w:val="00DA1E83"/>
    <w:rsid w:val="00DA1FE7"/>
    <w:rsid w:val="00DA2246"/>
    <w:rsid w:val="00DA229E"/>
    <w:rsid w:val="00DA22E6"/>
    <w:rsid w:val="00DA23A6"/>
    <w:rsid w:val="00DA2478"/>
    <w:rsid w:val="00DA270A"/>
    <w:rsid w:val="00DA2E58"/>
    <w:rsid w:val="00DA2F26"/>
    <w:rsid w:val="00DA2F41"/>
    <w:rsid w:val="00DA2FDA"/>
    <w:rsid w:val="00DA33B6"/>
    <w:rsid w:val="00DA343B"/>
    <w:rsid w:val="00DA37A5"/>
    <w:rsid w:val="00DA3C45"/>
    <w:rsid w:val="00DA3D47"/>
    <w:rsid w:val="00DA43D6"/>
    <w:rsid w:val="00DA46FE"/>
    <w:rsid w:val="00DA4963"/>
    <w:rsid w:val="00DA49FC"/>
    <w:rsid w:val="00DA4DF5"/>
    <w:rsid w:val="00DA523B"/>
    <w:rsid w:val="00DA5269"/>
    <w:rsid w:val="00DA52F2"/>
    <w:rsid w:val="00DA53EF"/>
    <w:rsid w:val="00DA5A64"/>
    <w:rsid w:val="00DA5BD2"/>
    <w:rsid w:val="00DA5ED7"/>
    <w:rsid w:val="00DA5EDF"/>
    <w:rsid w:val="00DA62DB"/>
    <w:rsid w:val="00DA64AB"/>
    <w:rsid w:val="00DA65D9"/>
    <w:rsid w:val="00DA6694"/>
    <w:rsid w:val="00DA684D"/>
    <w:rsid w:val="00DA690B"/>
    <w:rsid w:val="00DA6971"/>
    <w:rsid w:val="00DA6A47"/>
    <w:rsid w:val="00DA6ACE"/>
    <w:rsid w:val="00DA6C00"/>
    <w:rsid w:val="00DA7028"/>
    <w:rsid w:val="00DA7310"/>
    <w:rsid w:val="00DA76BF"/>
    <w:rsid w:val="00DA79A4"/>
    <w:rsid w:val="00DB030F"/>
    <w:rsid w:val="00DB052C"/>
    <w:rsid w:val="00DB0717"/>
    <w:rsid w:val="00DB07FD"/>
    <w:rsid w:val="00DB105F"/>
    <w:rsid w:val="00DB1777"/>
    <w:rsid w:val="00DB1B29"/>
    <w:rsid w:val="00DB1CFC"/>
    <w:rsid w:val="00DB1E39"/>
    <w:rsid w:val="00DB1F65"/>
    <w:rsid w:val="00DB2203"/>
    <w:rsid w:val="00DB2D0E"/>
    <w:rsid w:val="00DB31C1"/>
    <w:rsid w:val="00DB3386"/>
    <w:rsid w:val="00DB34A0"/>
    <w:rsid w:val="00DB3782"/>
    <w:rsid w:val="00DB3B6D"/>
    <w:rsid w:val="00DB3E4F"/>
    <w:rsid w:val="00DB4072"/>
    <w:rsid w:val="00DB41C5"/>
    <w:rsid w:val="00DB43D2"/>
    <w:rsid w:val="00DB47AE"/>
    <w:rsid w:val="00DB47D3"/>
    <w:rsid w:val="00DB4B68"/>
    <w:rsid w:val="00DB4C1F"/>
    <w:rsid w:val="00DB4F9F"/>
    <w:rsid w:val="00DB5063"/>
    <w:rsid w:val="00DB50C0"/>
    <w:rsid w:val="00DB524F"/>
    <w:rsid w:val="00DB52E8"/>
    <w:rsid w:val="00DB59C3"/>
    <w:rsid w:val="00DB5B19"/>
    <w:rsid w:val="00DB6008"/>
    <w:rsid w:val="00DB6066"/>
    <w:rsid w:val="00DB607D"/>
    <w:rsid w:val="00DB6264"/>
    <w:rsid w:val="00DB631E"/>
    <w:rsid w:val="00DB64B1"/>
    <w:rsid w:val="00DB651B"/>
    <w:rsid w:val="00DB665D"/>
    <w:rsid w:val="00DB6A08"/>
    <w:rsid w:val="00DB6A0A"/>
    <w:rsid w:val="00DB6A9B"/>
    <w:rsid w:val="00DB6B82"/>
    <w:rsid w:val="00DB6BA2"/>
    <w:rsid w:val="00DB6DF0"/>
    <w:rsid w:val="00DB7167"/>
    <w:rsid w:val="00DB7636"/>
    <w:rsid w:val="00DB7716"/>
    <w:rsid w:val="00DB788E"/>
    <w:rsid w:val="00DB7BFB"/>
    <w:rsid w:val="00DC0010"/>
    <w:rsid w:val="00DC0098"/>
    <w:rsid w:val="00DC0196"/>
    <w:rsid w:val="00DC03C7"/>
    <w:rsid w:val="00DC0523"/>
    <w:rsid w:val="00DC0739"/>
    <w:rsid w:val="00DC0C14"/>
    <w:rsid w:val="00DC0D3C"/>
    <w:rsid w:val="00DC0E4D"/>
    <w:rsid w:val="00DC0EE6"/>
    <w:rsid w:val="00DC0FC3"/>
    <w:rsid w:val="00DC1296"/>
    <w:rsid w:val="00DC1421"/>
    <w:rsid w:val="00DC1443"/>
    <w:rsid w:val="00DC1696"/>
    <w:rsid w:val="00DC17BF"/>
    <w:rsid w:val="00DC17F3"/>
    <w:rsid w:val="00DC18C0"/>
    <w:rsid w:val="00DC1A8A"/>
    <w:rsid w:val="00DC1AAA"/>
    <w:rsid w:val="00DC1AE5"/>
    <w:rsid w:val="00DC1B22"/>
    <w:rsid w:val="00DC1B7A"/>
    <w:rsid w:val="00DC1FFF"/>
    <w:rsid w:val="00DC2032"/>
    <w:rsid w:val="00DC205E"/>
    <w:rsid w:val="00DC22FF"/>
    <w:rsid w:val="00DC28B1"/>
    <w:rsid w:val="00DC29A1"/>
    <w:rsid w:val="00DC2A13"/>
    <w:rsid w:val="00DC2A41"/>
    <w:rsid w:val="00DC2ADA"/>
    <w:rsid w:val="00DC3000"/>
    <w:rsid w:val="00DC3018"/>
    <w:rsid w:val="00DC3226"/>
    <w:rsid w:val="00DC3374"/>
    <w:rsid w:val="00DC33CF"/>
    <w:rsid w:val="00DC350D"/>
    <w:rsid w:val="00DC35C4"/>
    <w:rsid w:val="00DC36C6"/>
    <w:rsid w:val="00DC37CE"/>
    <w:rsid w:val="00DC3855"/>
    <w:rsid w:val="00DC39C9"/>
    <w:rsid w:val="00DC3AC6"/>
    <w:rsid w:val="00DC3AEB"/>
    <w:rsid w:val="00DC3B05"/>
    <w:rsid w:val="00DC3C33"/>
    <w:rsid w:val="00DC3C8C"/>
    <w:rsid w:val="00DC3DCA"/>
    <w:rsid w:val="00DC3F5A"/>
    <w:rsid w:val="00DC4020"/>
    <w:rsid w:val="00DC42F4"/>
    <w:rsid w:val="00DC4521"/>
    <w:rsid w:val="00DC474A"/>
    <w:rsid w:val="00DC4A8A"/>
    <w:rsid w:val="00DC4B6F"/>
    <w:rsid w:val="00DC4DAB"/>
    <w:rsid w:val="00DC4E83"/>
    <w:rsid w:val="00DC4EDE"/>
    <w:rsid w:val="00DC522D"/>
    <w:rsid w:val="00DC55DA"/>
    <w:rsid w:val="00DC5A19"/>
    <w:rsid w:val="00DC5CC6"/>
    <w:rsid w:val="00DC63BE"/>
    <w:rsid w:val="00DC6786"/>
    <w:rsid w:val="00DC6A93"/>
    <w:rsid w:val="00DC6CF4"/>
    <w:rsid w:val="00DC6CF8"/>
    <w:rsid w:val="00DC6DF2"/>
    <w:rsid w:val="00DC709D"/>
    <w:rsid w:val="00DC72F2"/>
    <w:rsid w:val="00DC73EC"/>
    <w:rsid w:val="00DC748C"/>
    <w:rsid w:val="00DC7675"/>
    <w:rsid w:val="00DC77B2"/>
    <w:rsid w:val="00DC7BFD"/>
    <w:rsid w:val="00DD012C"/>
    <w:rsid w:val="00DD0301"/>
    <w:rsid w:val="00DD0642"/>
    <w:rsid w:val="00DD0B0B"/>
    <w:rsid w:val="00DD0CB6"/>
    <w:rsid w:val="00DD0EE9"/>
    <w:rsid w:val="00DD0F39"/>
    <w:rsid w:val="00DD112D"/>
    <w:rsid w:val="00DD1218"/>
    <w:rsid w:val="00DD16E7"/>
    <w:rsid w:val="00DD182A"/>
    <w:rsid w:val="00DD18DA"/>
    <w:rsid w:val="00DD196C"/>
    <w:rsid w:val="00DD1A00"/>
    <w:rsid w:val="00DD1A7E"/>
    <w:rsid w:val="00DD1A91"/>
    <w:rsid w:val="00DD1B5A"/>
    <w:rsid w:val="00DD1BA3"/>
    <w:rsid w:val="00DD1D82"/>
    <w:rsid w:val="00DD1DA3"/>
    <w:rsid w:val="00DD1E10"/>
    <w:rsid w:val="00DD25C6"/>
    <w:rsid w:val="00DD2643"/>
    <w:rsid w:val="00DD2750"/>
    <w:rsid w:val="00DD276C"/>
    <w:rsid w:val="00DD278C"/>
    <w:rsid w:val="00DD29FA"/>
    <w:rsid w:val="00DD2A2B"/>
    <w:rsid w:val="00DD2BD8"/>
    <w:rsid w:val="00DD2DCE"/>
    <w:rsid w:val="00DD2FCB"/>
    <w:rsid w:val="00DD32E2"/>
    <w:rsid w:val="00DD3469"/>
    <w:rsid w:val="00DD34BB"/>
    <w:rsid w:val="00DD397E"/>
    <w:rsid w:val="00DD3985"/>
    <w:rsid w:val="00DD3CC9"/>
    <w:rsid w:val="00DD3DE4"/>
    <w:rsid w:val="00DD3E67"/>
    <w:rsid w:val="00DD4003"/>
    <w:rsid w:val="00DD43EA"/>
    <w:rsid w:val="00DD44C6"/>
    <w:rsid w:val="00DD453F"/>
    <w:rsid w:val="00DD484C"/>
    <w:rsid w:val="00DD498D"/>
    <w:rsid w:val="00DD4B4F"/>
    <w:rsid w:val="00DD4F9C"/>
    <w:rsid w:val="00DD5142"/>
    <w:rsid w:val="00DD52E5"/>
    <w:rsid w:val="00DD5527"/>
    <w:rsid w:val="00DD59D6"/>
    <w:rsid w:val="00DD5E33"/>
    <w:rsid w:val="00DD600F"/>
    <w:rsid w:val="00DD6062"/>
    <w:rsid w:val="00DD620B"/>
    <w:rsid w:val="00DD63E7"/>
    <w:rsid w:val="00DD6526"/>
    <w:rsid w:val="00DD677C"/>
    <w:rsid w:val="00DD6DC5"/>
    <w:rsid w:val="00DD6E0D"/>
    <w:rsid w:val="00DD6E2E"/>
    <w:rsid w:val="00DD725F"/>
    <w:rsid w:val="00DD77CD"/>
    <w:rsid w:val="00DD7869"/>
    <w:rsid w:val="00DD7910"/>
    <w:rsid w:val="00DD7CB5"/>
    <w:rsid w:val="00DD7E30"/>
    <w:rsid w:val="00DE0537"/>
    <w:rsid w:val="00DE074A"/>
    <w:rsid w:val="00DE0AC2"/>
    <w:rsid w:val="00DE0D30"/>
    <w:rsid w:val="00DE1252"/>
    <w:rsid w:val="00DE138A"/>
    <w:rsid w:val="00DE14CF"/>
    <w:rsid w:val="00DE15EE"/>
    <w:rsid w:val="00DE1ADE"/>
    <w:rsid w:val="00DE1B01"/>
    <w:rsid w:val="00DE1D7B"/>
    <w:rsid w:val="00DE1E82"/>
    <w:rsid w:val="00DE22E9"/>
    <w:rsid w:val="00DE232A"/>
    <w:rsid w:val="00DE2533"/>
    <w:rsid w:val="00DE25ED"/>
    <w:rsid w:val="00DE2985"/>
    <w:rsid w:val="00DE2C05"/>
    <w:rsid w:val="00DE2C98"/>
    <w:rsid w:val="00DE2CBF"/>
    <w:rsid w:val="00DE2D4C"/>
    <w:rsid w:val="00DE2DBE"/>
    <w:rsid w:val="00DE31C9"/>
    <w:rsid w:val="00DE37D2"/>
    <w:rsid w:val="00DE3931"/>
    <w:rsid w:val="00DE3D00"/>
    <w:rsid w:val="00DE3E29"/>
    <w:rsid w:val="00DE445E"/>
    <w:rsid w:val="00DE459D"/>
    <w:rsid w:val="00DE47D0"/>
    <w:rsid w:val="00DE4874"/>
    <w:rsid w:val="00DE4949"/>
    <w:rsid w:val="00DE4974"/>
    <w:rsid w:val="00DE4D0B"/>
    <w:rsid w:val="00DE4D35"/>
    <w:rsid w:val="00DE4E80"/>
    <w:rsid w:val="00DE519D"/>
    <w:rsid w:val="00DE589A"/>
    <w:rsid w:val="00DE5CEE"/>
    <w:rsid w:val="00DE5F44"/>
    <w:rsid w:val="00DE6164"/>
    <w:rsid w:val="00DE6171"/>
    <w:rsid w:val="00DE6364"/>
    <w:rsid w:val="00DE63FC"/>
    <w:rsid w:val="00DE65D9"/>
    <w:rsid w:val="00DE6735"/>
    <w:rsid w:val="00DE69AA"/>
    <w:rsid w:val="00DE69EC"/>
    <w:rsid w:val="00DE6B16"/>
    <w:rsid w:val="00DE6B4B"/>
    <w:rsid w:val="00DE6CFE"/>
    <w:rsid w:val="00DE73D2"/>
    <w:rsid w:val="00DE743F"/>
    <w:rsid w:val="00DE755F"/>
    <w:rsid w:val="00DE7AC2"/>
    <w:rsid w:val="00DE7C97"/>
    <w:rsid w:val="00DE7DF2"/>
    <w:rsid w:val="00DF00DD"/>
    <w:rsid w:val="00DF083D"/>
    <w:rsid w:val="00DF093A"/>
    <w:rsid w:val="00DF0AC3"/>
    <w:rsid w:val="00DF0E71"/>
    <w:rsid w:val="00DF0EE9"/>
    <w:rsid w:val="00DF0F10"/>
    <w:rsid w:val="00DF11BC"/>
    <w:rsid w:val="00DF13A2"/>
    <w:rsid w:val="00DF182A"/>
    <w:rsid w:val="00DF1B75"/>
    <w:rsid w:val="00DF1D42"/>
    <w:rsid w:val="00DF1EF0"/>
    <w:rsid w:val="00DF1F69"/>
    <w:rsid w:val="00DF2302"/>
    <w:rsid w:val="00DF2522"/>
    <w:rsid w:val="00DF2913"/>
    <w:rsid w:val="00DF29D1"/>
    <w:rsid w:val="00DF2C6D"/>
    <w:rsid w:val="00DF2E04"/>
    <w:rsid w:val="00DF3483"/>
    <w:rsid w:val="00DF3509"/>
    <w:rsid w:val="00DF379F"/>
    <w:rsid w:val="00DF39BE"/>
    <w:rsid w:val="00DF4122"/>
    <w:rsid w:val="00DF4124"/>
    <w:rsid w:val="00DF4162"/>
    <w:rsid w:val="00DF4314"/>
    <w:rsid w:val="00DF458D"/>
    <w:rsid w:val="00DF458F"/>
    <w:rsid w:val="00DF4977"/>
    <w:rsid w:val="00DF4C8F"/>
    <w:rsid w:val="00DF4D57"/>
    <w:rsid w:val="00DF4E23"/>
    <w:rsid w:val="00DF550E"/>
    <w:rsid w:val="00DF5A73"/>
    <w:rsid w:val="00DF5D9A"/>
    <w:rsid w:val="00DF5F13"/>
    <w:rsid w:val="00DF5F9E"/>
    <w:rsid w:val="00DF61F0"/>
    <w:rsid w:val="00DF63C4"/>
    <w:rsid w:val="00DF6459"/>
    <w:rsid w:val="00DF66A4"/>
    <w:rsid w:val="00DF67D8"/>
    <w:rsid w:val="00DF6C7C"/>
    <w:rsid w:val="00DF6E9C"/>
    <w:rsid w:val="00DF730A"/>
    <w:rsid w:val="00DF7504"/>
    <w:rsid w:val="00DF7866"/>
    <w:rsid w:val="00DF79A1"/>
    <w:rsid w:val="00DF79C0"/>
    <w:rsid w:val="00DF79F4"/>
    <w:rsid w:val="00DF7C79"/>
    <w:rsid w:val="00DF7D03"/>
    <w:rsid w:val="00DF7E7F"/>
    <w:rsid w:val="00E00909"/>
    <w:rsid w:val="00E009AE"/>
    <w:rsid w:val="00E00D15"/>
    <w:rsid w:val="00E00D6A"/>
    <w:rsid w:val="00E014A4"/>
    <w:rsid w:val="00E014E7"/>
    <w:rsid w:val="00E01501"/>
    <w:rsid w:val="00E01521"/>
    <w:rsid w:val="00E016EA"/>
    <w:rsid w:val="00E01C31"/>
    <w:rsid w:val="00E01F24"/>
    <w:rsid w:val="00E01FFC"/>
    <w:rsid w:val="00E0201A"/>
    <w:rsid w:val="00E0209B"/>
    <w:rsid w:val="00E020AB"/>
    <w:rsid w:val="00E02577"/>
    <w:rsid w:val="00E026B5"/>
    <w:rsid w:val="00E028BA"/>
    <w:rsid w:val="00E028FB"/>
    <w:rsid w:val="00E02958"/>
    <w:rsid w:val="00E029AC"/>
    <w:rsid w:val="00E02BA4"/>
    <w:rsid w:val="00E02C6D"/>
    <w:rsid w:val="00E02ED8"/>
    <w:rsid w:val="00E02F44"/>
    <w:rsid w:val="00E02FC6"/>
    <w:rsid w:val="00E03108"/>
    <w:rsid w:val="00E03201"/>
    <w:rsid w:val="00E035EE"/>
    <w:rsid w:val="00E0388A"/>
    <w:rsid w:val="00E03A41"/>
    <w:rsid w:val="00E03F87"/>
    <w:rsid w:val="00E041D8"/>
    <w:rsid w:val="00E04238"/>
    <w:rsid w:val="00E042C9"/>
    <w:rsid w:val="00E0431B"/>
    <w:rsid w:val="00E04330"/>
    <w:rsid w:val="00E04C76"/>
    <w:rsid w:val="00E04D87"/>
    <w:rsid w:val="00E04FFA"/>
    <w:rsid w:val="00E05304"/>
    <w:rsid w:val="00E05A48"/>
    <w:rsid w:val="00E05AE3"/>
    <w:rsid w:val="00E05BAD"/>
    <w:rsid w:val="00E05BE1"/>
    <w:rsid w:val="00E05E1D"/>
    <w:rsid w:val="00E0602A"/>
    <w:rsid w:val="00E061E0"/>
    <w:rsid w:val="00E065F7"/>
    <w:rsid w:val="00E068DB"/>
    <w:rsid w:val="00E0699C"/>
    <w:rsid w:val="00E069A8"/>
    <w:rsid w:val="00E069C8"/>
    <w:rsid w:val="00E06CB7"/>
    <w:rsid w:val="00E06CD7"/>
    <w:rsid w:val="00E06CE9"/>
    <w:rsid w:val="00E06CF8"/>
    <w:rsid w:val="00E06D94"/>
    <w:rsid w:val="00E06E7B"/>
    <w:rsid w:val="00E0704F"/>
    <w:rsid w:val="00E07606"/>
    <w:rsid w:val="00E07790"/>
    <w:rsid w:val="00E07893"/>
    <w:rsid w:val="00E078C4"/>
    <w:rsid w:val="00E07926"/>
    <w:rsid w:val="00E07B2D"/>
    <w:rsid w:val="00E07B3A"/>
    <w:rsid w:val="00E07D62"/>
    <w:rsid w:val="00E07DC6"/>
    <w:rsid w:val="00E102EB"/>
    <w:rsid w:val="00E107C6"/>
    <w:rsid w:val="00E1092E"/>
    <w:rsid w:val="00E10A48"/>
    <w:rsid w:val="00E10C58"/>
    <w:rsid w:val="00E1118C"/>
    <w:rsid w:val="00E117AC"/>
    <w:rsid w:val="00E1180D"/>
    <w:rsid w:val="00E118C7"/>
    <w:rsid w:val="00E11AD2"/>
    <w:rsid w:val="00E11B85"/>
    <w:rsid w:val="00E11CC2"/>
    <w:rsid w:val="00E11D5B"/>
    <w:rsid w:val="00E1208A"/>
    <w:rsid w:val="00E120AA"/>
    <w:rsid w:val="00E1210A"/>
    <w:rsid w:val="00E1221A"/>
    <w:rsid w:val="00E12430"/>
    <w:rsid w:val="00E1250E"/>
    <w:rsid w:val="00E127FF"/>
    <w:rsid w:val="00E1293D"/>
    <w:rsid w:val="00E12B48"/>
    <w:rsid w:val="00E12D6C"/>
    <w:rsid w:val="00E12E12"/>
    <w:rsid w:val="00E12F02"/>
    <w:rsid w:val="00E130BC"/>
    <w:rsid w:val="00E13252"/>
    <w:rsid w:val="00E13328"/>
    <w:rsid w:val="00E13433"/>
    <w:rsid w:val="00E134C8"/>
    <w:rsid w:val="00E135DF"/>
    <w:rsid w:val="00E13600"/>
    <w:rsid w:val="00E13715"/>
    <w:rsid w:val="00E137DA"/>
    <w:rsid w:val="00E13B7F"/>
    <w:rsid w:val="00E13E49"/>
    <w:rsid w:val="00E13F50"/>
    <w:rsid w:val="00E13F57"/>
    <w:rsid w:val="00E14001"/>
    <w:rsid w:val="00E14442"/>
    <w:rsid w:val="00E14553"/>
    <w:rsid w:val="00E14558"/>
    <w:rsid w:val="00E14CFB"/>
    <w:rsid w:val="00E14E1A"/>
    <w:rsid w:val="00E14E73"/>
    <w:rsid w:val="00E15723"/>
    <w:rsid w:val="00E15873"/>
    <w:rsid w:val="00E1597E"/>
    <w:rsid w:val="00E15D50"/>
    <w:rsid w:val="00E15E1B"/>
    <w:rsid w:val="00E1636A"/>
    <w:rsid w:val="00E16402"/>
    <w:rsid w:val="00E16713"/>
    <w:rsid w:val="00E167A8"/>
    <w:rsid w:val="00E168D8"/>
    <w:rsid w:val="00E16B04"/>
    <w:rsid w:val="00E16EC2"/>
    <w:rsid w:val="00E170C6"/>
    <w:rsid w:val="00E17208"/>
    <w:rsid w:val="00E17329"/>
    <w:rsid w:val="00E17522"/>
    <w:rsid w:val="00E177D9"/>
    <w:rsid w:val="00E1799B"/>
    <w:rsid w:val="00E17A3B"/>
    <w:rsid w:val="00E17E70"/>
    <w:rsid w:val="00E20808"/>
    <w:rsid w:val="00E20B35"/>
    <w:rsid w:val="00E20E2A"/>
    <w:rsid w:val="00E20E89"/>
    <w:rsid w:val="00E210B4"/>
    <w:rsid w:val="00E215DA"/>
    <w:rsid w:val="00E218F5"/>
    <w:rsid w:val="00E219F3"/>
    <w:rsid w:val="00E21CBA"/>
    <w:rsid w:val="00E21DDB"/>
    <w:rsid w:val="00E21F15"/>
    <w:rsid w:val="00E220C3"/>
    <w:rsid w:val="00E225C7"/>
    <w:rsid w:val="00E228EC"/>
    <w:rsid w:val="00E2293D"/>
    <w:rsid w:val="00E22985"/>
    <w:rsid w:val="00E22AA2"/>
    <w:rsid w:val="00E22B05"/>
    <w:rsid w:val="00E22CE6"/>
    <w:rsid w:val="00E22EBF"/>
    <w:rsid w:val="00E22FC4"/>
    <w:rsid w:val="00E230E5"/>
    <w:rsid w:val="00E2311F"/>
    <w:rsid w:val="00E23692"/>
    <w:rsid w:val="00E236D6"/>
    <w:rsid w:val="00E23982"/>
    <w:rsid w:val="00E23B4D"/>
    <w:rsid w:val="00E23D3B"/>
    <w:rsid w:val="00E23E76"/>
    <w:rsid w:val="00E23EFA"/>
    <w:rsid w:val="00E240F7"/>
    <w:rsid w:val="00E2459C"/>
    <w:rsid w:val="00E24AE1"/>
    <w:rsid w:val="00E24F42"/>
    <w:rsid w:val="00E25038"/>
    <w:rsid w:val="00E253DC"/>
    <w:rsid w:val="00E2546A"/>
    <w:rsid w:val="00E2549C"/>
    <w:rsid w:val="00E254A5"/>
    <w:rsid w:val="00E2575B"/>
    <w:rsid w:val="00E258C0"/>
    <w:rsid w:val="00E25B73"/>
    <w:rsid w:val="00E25FE8"/>
    <w:rsid w:val="00E26100"/>
    <w:rsid w:val="00E2647D"/>
    <w:rsid w:val="00E268A1"/>
    <w:rsid w:val="00E26944"/>
    <w:rsid w:val="00E26C19"/>
    <w:rsid w:val="00E26CD2"/>
    <w:rsid w:val="00E27097"/>
    <w:rsid w:val="00E279CE"/>
    <w:rsid w:val="00E27A7D"/>
    <w:rsid w:val="00E27CB1"/>
    <w:rsid w:val="00E27E57"/>
    <w:rsid w:val="00E301F6"/>
    <w:rsid w:val="00E3024A"/>
    <w:rsid w:val="00E304B6"/>
    <w:rsid w:val="00E30A17"/>
    <w:rsid w:val="00E30AE0"/>
    <w:rsid w:val="00E30CAB"/>
    <w:rsid w:val="00E30D6E"/>
    <w:rsid w:val="00E30EA8"/>
    <w:rsid w:val="00E30F5E"/>
    <w:rsid w:val="00E31090"/>
    <w:rsid w:val="00E311F3"/>
    <w:rsid w:val="00E317F2"/>
    <w:rsid w:val="00E31993"/>
    <w:rsid w:val="00E31A81"/>
    <w:rsid w:val="00E31D49"/>
    <w:rsid w:val="00E31EB8"/>
    <w:rsid w:val="00E31ED5"/>
    <w:rsid w:val="00E3205B"/>
    <w:rsid w:val="00E321AD"/>
    <w:rsid w:val="00E322F9"/>
    <w:rsid w:val="00E325A2"/>
    <w:rsid w:val="00E327FC"/>
    <w:rsid w:val="00E329D3"/>
    <w:rsid w:val="00E32A2B"/>
    <w:rsid w:val="00E32B3A"/>
    <w:rsid w:val="00E32D38"/>
    <w:rsid w:val="00E32DFA"/>
    <w:rsid w:val="00E32EB9"/>
    <w:rsid w:val="00E32F54"/>
    <w:rsid w:val="00E33385"/>
    <w:rsid w:val="00E33613"/>
    <w:rsid w:val="00E33755"/>
    <w:rsid w:val="00E338EF"/>
    <w:rsid w:val="00E33D96"/>
    <w:rsid w:val="00E33FFD"/>
    <w:rsid w:val="00E340AF"/>
    <w:rsid w:val="00E34252"/>
    <w:rsid w:val="00E344D5"/>
    <w:rsid w:val="00E34555"/>
    <w:rsid w:val="00E34640"/>
    <w:rsid w:val="00E34680"/>
    <w:rsid w:val="00E349AA"/>
    <w:rsid w:val="00E34CB6"/>
    <w:rsid w:val="00E34E61"/>
    <w:rsid w:val="00E34EF5"/>
    <w:rsid w:val="00E351E1"/>
    <w:rsid w:val="00E3532C"/>
    <w:rsid w:val="00E3534D"/>
    <w:rsid w:val="00E3547A"/>
    <w:rsid w:val="00E354A0"/>
    <w:rsid w:val="00E35ACF"/>
    <w:rsid w:val="00E35C86"/>
    <w:rsid w:val="00E35D5E"/>
    <w:rsid w:val="00E35D93"/>
    <w:rsid w:val="00E35DB0"/>
    <w:rsid w:val="00E35EC7"/>
    <w:rsid w:val="00E35EFF"/>
    <w:rsid w:val="00E361B1"/>
    <w:rsid w:val="00E365D0"/>
    <w:rsid w:val="00E368A0"/>
    <w:rsid w:val="00E36B8C"/>
    <w:rsid w:val="00E36C8D"/>
    <w:rsid w:val="00E36D58"/>
    <w:rsid w:val="00E375F1"/>
    <w:rsid w:val="00E376B1"/>
    <w:rsid w:val="00E37735"/>
    <w:rsid w:val="00E37947"/>
    <w:rsid w:val="00E37BE6"/>
    <w:rsid w:val="00E37C3F"/>
    <w:rsid w:val="00E37F94"/>
    <w:rsid w:val="00E37F95"/>
    <w:rsid w:val="00E40052"/>
    <w:rsid w:val="00E40325"/>
    <w:rsid w:val="00E40502"/>
    <w:rsid w:val="00E40690"/>
    <w:rsid w:val="00E40810"/>
    <w:rsid w:val="00E4098D"/>
    <w:rsid w:val="00E409FB"/>
    <w:rsid w:val="00E40B2D"/>
    <w:rsid w:val="00E40C5A"/>
    <w:rsid w:val="00E40E0F"/>
    <w:rsid w:val="00E415EF"/>
    <w:rsid w:val="00E41764"/>
    <w:rsid w:val="00E418CA"/>
    <w:rsid w:val="00E41C85"/>
    <w:rsid w:val="00E42339"/>
    <w:rsid w:val="00E4259A"/>
    <w:rsid w:val="00E42638"/>
    <w:rsid w:val="00E4265E"/>
    <w:rsid w:val="00E42709"/>
    <w:rsid w:val="00E42E42"/>
    <w:rsid w:val="00E42EBD"/>
    <w:rsid w:val="00E42F19"/>
    <w:rsid w:val="00E43052"/>
    <w:rsid w:val="00E4310F"/>
    <w:rsid w:val="00E4327D"/>
    <w:rsid w:val="00E43577"/>
    <w:rsid w:val="00E43978"/>
    <w:rsid w:val="00E43F27"/>
    <w:rsid w:val="00E43F92"/>
    <w:rsid w:val="00E4409E"/>
    <w:rsid w:val="00E44766"/>
    <w:rsid w:val="00E447BA"/>
    <w:rsid w:val="00E44AAD"/>
    <w:rsid w:val="00E44D64"/>
    <w:rsid w:val="00E451D7"/>
    <w:rsid w:val="00E451F6"/>
    <w:rsid w:val="00E4520B"/>
    <w:rsid w:val="00E458CC"/>
    <w:rsid w:val="00E4599E"/>
    <w:rsid w:val="00E45A71"/>
    <w:rsid w:val="00E45DA5"/>
    <w:rsid w:val="00E45EA9"/>
    <w:rsid w:val="00E45EAC"/>
    <w:rsid w:val="00E45EB3"/>
    <w:rsid w:val="00E45EE4"/>
    <w:rsid w:val="00E46A8F"/>
    <w:rsid w:val="00E46B65"/>
    <w:rsid w:val="00E46CF9"/>
    <w:rsid w:val="00E46F5F"/>
    <w:rsid w:val="00E46FA9"/>
    <w:rsid w:val="00E471CC"/>
    <w:rsid w:val="00E4761C"/>
    <w:rsid w:val="00E47678"/>
    <w:rsid w:val="00E47843"/>
    <w:rsid w:val="00E47856"/>
    <w:rsid w:val="00E47B05"/>
    <w:rsid w:val="00E5016B"/>
    <w:rsid w:val="00E5016E"/>
    <w:rsid w:val="00E50656"/>
    <w:rsid w:val="00E5087C"/>
    <w:rsid w:val="00E50880"/>
    <w:rsid w:val="00E50AB6"/>
    <w:rsid w:val="00E50BCF"/>
    <w:rsid w:val="00E50E0D"/>
    <w:rsid w:val="00E50E7A"/>
    <w:rsid w:val="00E50EF9"/>
    <w:rsid w:val="00E510EF"/>
    <w:rsid w:val="00E511D1"/>
    <w:rsid w:val="00E5137F"/>
    <w:rsid w:val="00E51496"/>
    <w:rsid w:val="00E5155F"/>
    <w:rsid w:val="00E517E8"/>
    <w:rsid w:val="00E518EF"/>
    <w:rsid w:val="00E51C2A"/>
    <w:rsid w:val="00E51D68"/>
    <w:rsid w:val="00E51E3A"/>
    <w:rsid w:val="00E520B9"/>
    <w:rsid w:val="00E52146"/>
    <w:rsid w:val="00E52291"/>
    <w:rsid w:val="00E52414"/>
    <w:rsid w:val="00E52682"/>
    <w:rsid w:val="00E52B3E"/>
    <w:rsid w:val="00E52BD6"/>
    <w:rsid w:val="00E5323A"/>
    <w:rsid w:val="00E533BD"/>
    <w:rsid w:val="00E534DA"/>
    <w:rsid w:val="00E535C2"/>
    <w:rsid w:val="00E53834"/>
    <w:rsid w:val="00E5385A"/>
    <w:rsid w:val="00E53B27"/>
    <w:rsid w:val="00E53E91"/>
    <w:rsid w:val="00E5402B"/>
    <w:rsid w:val="00E54042"/>
    <w:rsid w:val="00E5435D"/>
    <w:rsid w:val="00E544A3"/>
    <w:rsid w:val="00E54551"/>
    <w:rsid w:val="00E545B9"/>
    <w:rsid w:val="00E545BE"/>
    <w:rsid w:val="00E54963"/>
    <w:rsid w:val="00E54AF7"/>
    <w:rsid w:val="00E54BF3"/>
    <w:rsid w:val="00E54CD3"/>
    <w:rsid w:val="00E54DF4"/>
    <w:rsid w:val="00E54FC2"/>
    <w:rsid w:val="00E55391"/>
    <w:rsid w:val="00E55531"/>
    <w:rsid w:val="00E5554E"/>
    <w:rsid w:val="00E55AA0"/>
    <w:rsid w:val="00E55B47"/>
    <w:rsid w:val="00E55CFC"/>
    <w:rsid w:val="00E55D5E"/>
    <w:rsid w:val="00E55D92"/>
    <w:rsid w:val="00E55E0D"/>
    <w:rsid w:val="00E5642F"/>
    <w:rsid w:val="00E56476"/>
    <w:rsid w:val="00E564C0"/>
    <w:rsid w:val="00E56A59"/>
    <w:rsid w:val="00E56BDC"/>
    <w:rsid w:val="00E56E17"/>
    <w:rsid w:val="00E56F92"/>
    <w:rsid w:val="00E57188"/>
    <w:rsid w:val="00E571FB"/>
    <w:rsid w:val="00E57229"/>
    <w:rsid w:val="00E57275"/>
    <w:rsid w:val="00E572B9"/>
    <w:rsid w:val="00E573C6"/>
    <w:rsid w:val="00E57620"/>
    <w:rsid w:val="00E57A7D"/>
    <w:rsid w:val="00E57C14"/>
    <w:rsid w:val="00E57D9E"/>
    <w:rsid w:val="00E57E50"/>
    <w:rsid w:val="00E57F4D"/>
    <w:rsid w:val="00E60279"/>
    <w:rsid w:val="00E603D2"/>
    <w:rsid w:val="00E6045E"/>
    <w:rsid w:val="00E6046C"/>
    <w:rsid w:val="00E6050F"/>
    <w:rsid w:val="00E60847"/>
    <w:rsid w:val="00E608F7"/>
    <w:rsid w:val="00E60A2D"/>
    <w:rsid w:val="00E60A6A"/>
    <w:rsid w:val="00E60A6D"/>
    <w:rsid w:val="00E60CA2"/>
    <w:rsid w:val="00E60DA7"/>
    <w:rsid w:val="00E60DEF"/>
    <w:rsid w:val="00E60E73"/>
    <w:rsid w:val="00E60F17"/>
    <w:rsid w:val="00E610F2"/>
    <w:rsid w:val="00E61176"/>
    <w:rsid w:val="00E611D8"/>
    <w:rsid w:val="00E61270"/>
    <w:rsid w:val="00E61B15"/>
    <w:rsid w:val="00E61D0E"/>
    <w:rsid w:val="00E61E6A"/>
    <w:rsid w:val="00E61E7D"/>
    <w:rsid w:val="00E62042"/>
    <w:rsid w:val="00E6224A"/>
    <w:rsid w:val="00E62A96"/>
    <w:rsid w:val="00E62AD4"/>
    <w:rsid w:val="00E632E8"/>
    <w:rsid w:val="00E63352"/>
    <w:rsid w:val="00E63410"/>
    <w:rsid w:val="00E63521"/>
    <w:rsid w:val="00E6354F"/>
    <w:rsid w:val="00E63582"/>
    <w:rsid w:val="00E63AE4"/>
    <w:rsid w:val="00E63B49"/>
    <w:rsid w:val="00E63B93"/>
    <w:rsid w:val="00E63CE7"/>
    <w:rsid w:val="00E645CA"/>
    <w:rsid w:val="00E6489B"/>
    <w:rsid w:val="00E64A6B"/>
    <w:rsid w:val="00E64C9C"/>
    <w:rsid w:val="00E64D04"/>
    <w:rsid w:val="00E64D3E"/>
    <w:rsid w:val="00E64E9D"/>
    <w:rsid w:val="00E65587"/>
    <w:rsid w:val="00E65691"/>
    <w:rsid w:val="00E65DB9"/>
    <w:rsid w:val="00E660C1"/>
    <w:rsid w:val="00E664BC"/>
    <w:rsid w:val="00E66535"/>
    <w:rsid w:val="00E6669E"/>
    <w:rsid w:val="00E6674D"/>
    <w:rsid w:val="00E66842"/>
    <w:rsid w:val="00E66845"/>
    <w:rsid w:val="00E66901"/>
    <w:rsid w:val="00E66E5E"/>
    <w:rsid w:val="00E671D1"/>
    <w:rsid w:val="00E6729C"/>
    <w:rsid w:val="00E674E8"/>
    <w:rsid w:val="00E67A3E"/>
    <w:rsid w:val="00E67AAC"/>
    <w:rsid w:val="00E70026"/>
    <w:rsid w:val="00E701B6"/>
    <w:rsid w:val="00E706C2"/>
    <w:rsid w:val="00E70ED3"/>
    <w:rsid w:val="00E70F9F"/>
    <w:rsid w:val="00E71058"/>
    <w:rsid w:val="00E710C7"/>
    <w:rsid w:val="00E71328"/>
    <w:rsid w:val="00E714D2"/>
    <w:rsid w:val="00E71560"/>
    <w:rsid w:val="00E71587"/>
    <w:rsid w:val="00E715E0"/>
    <w:rsid w:val="00E71874"/>
    <w:rsid w:val="00E71933"/>
    <w:rsid w:val="00E71AF7"/>
    <w:rsid w:val="00E72367"/>
    <w:rsid w:val="00E72408"/>
    <w:rsid w:val="00E726E7"/>
    <w:rsid w:val="00E7295B"/>
    <w:rsid w:val="00E729B1"/>
    <w:rsid w:val="00E72DD4"/>
    <w:rsid w:val="00E72EE0"/>
    <w:rsid w:val="00E73404"/>
    <w:rsid w:val="00E7347B"/>
    <w:rsid w:val="00E736C5"/>
    <w:rsid w:val="00E73C86"/>
    <w:rsid w:val="00E73CB2"/>
    <w:rsid w:val="00E73E82"/>
    <w:rsid w:val="00E74163"/>
    <w:rsid w:val="00E742C9"/>
    <w:rsid w:val="00E7431A"/>
    <w:rsid w:val="00E74375"/>
    <w:rsid w:val="00E74376"/>
    <w:rsid w:val="00E744C4"/>
    <w:rsid w:val="00E74859"/>
    <w:rsid w:val="00E7493A"/>
    <w:rsid w:val="00E749F6"/>
    <w:rsid w:val="00E74D54"/>
    <w:rsid w:val="00E74E78"/>
    <w:rsid w:val="00E74F00"/>
    <w:rsid w:val="00E74FC9"/>
    <w:rsid w:val="00E7506A"/>
    <w:rsid w:val="00E750E1"/>
    <w:rsid w:val="00E75176"/>
    <w:rsid w:val="00E7525C"/>
    <w:rsid w:val="00E75350"/>
    <w:rsid w:val="00E75530"/>
    <w:rsid w:val="00E75752"/>
    <w:rsid w:val="00E75878"/>
    <w:rsid w:val="00E75AC4"/>
    <w:rsid w:val="00E75AF2"/>
    <w:rsid w:val="00E75B3E"/>
    <w:rsid w:val="00E75D76"/>
    <w:rsid w:val="00E75F7A"/>
    <w:rsid w:val="00E763EB"/>
    <w:rsid w:val="00E76569"/>
    <w:rsid w:val="00E767B0"/>
    <w:rsid w:val="00E76827"/>
    <w:rsid w:val="00E76831"/>
    <w:rsid w:val="00E769BF"/>
    <w:rsid w:val="00E76AAC"/>
    <w:rsid w:val="00E76BE3"/>
    <w:rsid w:val="00E76CBC"/>
    <w:rsid w:val="00E76CD3"/>
    <w:rsid w:val="00E76D6A"/>
    <w:rsid w:val="00E7764C"/>
    <w:rsid w:val="00E7771E"/>
    <w:rsid w:val="00E77B97"/>
    <w:rsid w:val="00E77DBB"/>
    <w:rsid w:val="00E77F00"/>
    <w:rsid w:val="00E80233"/>
    <w:rsid w:val="00E803ED"/>
    <w:rsid w:val="00E8043D"/>
    <w:rsid w:val="00E8043E"/>
    <w:rsid w:val="00E8047E"/>
    <w:rsid w:val="00E804E5"/>
    <w:rsid w:val="00E805AA"/>
    <w:rsid w:val="00E807FD"/>
    <w:rsid w:val="00E808B1"/>
    <w:rsid w:val="00E8096A"/>
    <w:rsid w:val="00E80A51"/>
    <w:rsid w:val="00E80D92"/>
    <w:rsid w:val="00E80E53"/>
    <w:rsid w:val="00E80F2E"/>
    <w:rsid w:val="00E81A7A"/>
    <w:rsid w:val="00E81B4D"/>
    <w:rsid w:val="00E81E5F"/>
    <w:rsid w:val="00E81E74"/>
    <w:rsid w:val="00E81EF1"/>
    <w:rsid w:val="00E823F2"/>
    <w:rsid w:val="00E82457"/>
    <w:rsid w:val="00E826F1"/>
    <w:rsid w:val="00E827AE"/>
    <w:rsid w:val="00E82A67"/>
    <w:rsid w:val="00E82A8E"/>
    <w:rsid w:val="00E82B6B"/>
    <w:rsid w:val="00E82C39"/>
    <w:rsid w:val="00E831EA"/>
    <w:rsid w:val="00E83325"/>
    <w:rsid w:val="00E8358F"/>
    <w:rsid w:val="00E83B0D"/>
    <w:rsid w:val="00E83C72"/>
    <w:rsid w:val="00E83F22"/>
    <w:rsid w:val="00E83FE5"/>
    <w:rsid w:val="00E8409E"/>
    <w:rsid w:val="00E842DC"/>
    <w:rsid w:val="00E84385"/>
    <w:rsid w:val="00E8462E"/>
    <w:rsid w:val="00E84678"/>
    <w:rsid w:val="00E84717"/>
    <w:rsid w:val="00E8492A"/>
    <w:rsid w:val="00E84A2A"/>
    <w:rsid w:val="00E84A52"/>
    <w:rsid w:val="00E84AE7"/>
    <w:rsid w:val="00E84CD9"/>
    <w:rsid w:val="00E84E4B"/>
    <w:rsid w:val="00E84E98"/>
    <w:rsid w:val="00E84FBC"/>
    <w:rsid w:val="00E85573"/>
    <w:rsid w:val="00E85599"/>
    <w:rsid w:val="00E8562E"/>
    <w:rsid w:val="00E85D53"/>
    <w:rsid w:val="00E85EC4"/>
    <w:rsid w:val="00E86000"/>
    <w:rsid w:val="00E86100"/>
    <w:rsid w:val="00E864DE"/>
    <w:rsid w:val="00E864F8"/>
    <w:rsid w:val="00E8656C"/>
    <w:rsid w:val="00E867B2"/>
    <w:rsid w:val="00E86D57"/>
    <w:rsid w:val="00E86D8F"/>
    <w:rsid w:val="00E86E91"/>
    <w:rsid w:val="00E879E5"/>
    <w:rsid w:val="00E87AF6"/>
    <w:rsid w:val="00E87C53"/>
    <w:rsid w:val="00E9002E"/>
    <w:rsid w:val="00E900A3"/>
    <w:rsid w:val="00E900AC"/>
    <w:rsid w:val="00E900D6"/>
    <w:rsid w:val="00E900F8"/>
    <w:rsid w:val="00E902AC"/>
    <w:rsid w:val="00E903BE"/>
    <w:rsid w:val="00E9080C"/>
    <w:rsid w:val="00E90990"/>
    <w:rsid w:val="00E90B05"/>
    <w:rsid w:val="00E90B1B"/>
    <w:rsid w:val="00E90EDB"/>
    <w:rsid w:val="00E911C8"/>
    <w:rsid w:val="00E913AA"/>
    <w:rsid w:val="00E91446"/>
    <w:rsid w:val="00E9170D"/>
    <w:rsid w:val="00E917D1"/>
    <w:rsid w:val="00E91B51"/>
    <w:rsid w:val="00E91BFE"/>
    <w:rsid w:val="00E91E83"/>
    <w:rsid w:val="00E92012"/>
    <w:rsid w:val="00E922F4"/>
    <w:rsid w:val="00E92529"/>
    <w:rsid w:val="00E926D6"/>
    <w:rsid w:val="00E928D9"/>
    <w:rsid w:val="00E929D5"/>
    <w:rsid w:val="00E92B95"/>
    <w:rsid w:val="00E92BA1"/>
    <w:rsid w:val="00E92C62"/>
    <w:rsid w:val="00E92E16"/>
    <w:rsid w:val="00E92E1D"/>
    <w:rsid w:val="00E9304D"/>
    <w:rsid w:val="00E9320C"/>
    <w:rsid w:val="00E9355D"/>
    <w:rsid w:val="00E935D9"/>
    <w:rsid w:val="00E937FC"/>
    <w:rsid w:val="00E9381A"/>
    <w:rsid w:val="00E93937"/>
    <w:rsid w:val="00E939AF"/>
    <w:rsid w:val="00E93B2E"/>
    <w:rsid w:val="00E93CDC"/>
    <w:rsid w:val="00E93D71"/>
    <w:rsid w:val="00E93EF2"/>
    <w:rsid w:val="00E944B0"/>
    <w:rsid w:val="00E94655"/>
    <w:rsid w:val="00E94AD1"/>
    <w:rsid w:val="00E94AE3"/>
    <w:rsid w:val="00E94B48"/>
    <w:rsid w:val="00E94DDE"/>
    <w:rsid w:val="00E95519"/>
    <w:rsid w:val="00E9559C"/>
    <w:rsid w:val="00E955E1"/>
    <w:rsid w:val="00E95693"/>
    <w:rsid w:val="00E95CBF"/>
    <w:rsid w:val="00E95CD2"/>
    <w:rsid w:val="00E96096"/>
    <w:rsid w:val="00E9638D"/>
    <w:rsid w:val="00E96552"/>
    <w:rsid w:val="00E96583"/>
    <w:rsid w:val="00E966D0"/>
    <w:rsid w:val="00E967BC"/>
    <w:rsid w:val="00E967C2"/>
    <w:rsid w:val="00E969D2"/>
    <w:rsid w:val="00E96E3B"/>
    <w:rsid w:val="00E970DB"/>
    <w:rsid w:val="00E971EB"/>
    <w:rsid w:val="00E9728C"/>
    <w:rsid w:val="00E974AC"/>
    <w:rsid w:val="00E974E8"/>
    <w:rsid w:val="00E97EDE"/>
    <w:rsid w:val="00E97F49"/>
    <w:rsid w:val="00E97F6A"/>
    <w:rsid w:val="00EA0018"/>
    <w:rsid w:val="00EA00BF"/>
    <w:rsid w:val="00EA0360"/>
    <w:rsid w:val="00EA03B8"/>
    <w:rsid w:val="00EA0581"/>
    <w:rsid w:val="00EA06A1"/>
    <w:rsid w:val="00EA0A20"/>
    <w:rsid w:val="00EA0D0A"/>
    <w:rsid w:val="00EA0EEB"/>
    <w:rsid w:val="00EA10BD"/>
    <w:rsid w:val="00EA1147"/>
    <w:rsid w:val="00EA12D0"/>
    <w:rsid w:val="00EA16EB"/>
    <w:rsid w:val="00EA18E9"/>
    <w:rsid w:val="00EA1CC7"/>
    <w:rsid w:val="00EA1D14"/>
    <w:rsid w:val="00EA1D16"/>
    <w:rsid w:val="00EA1E8A"/>
    <w:rsid w:val="00EA1F00"/>
    <w:rsid w:val="00EA2022"/>
    <w:rsid w:val="00EA2092"/>
    <w:rsid w:val="00EA2184"/>
    <w:rsid w:val="00EA2240"/>
    <w:rsid w:val="00EA225F"/>
    <w:rsid w:val="00EA241C"/>
    <w:rsid w:val="00EA2488"/>
    <w:rsid w:val="00EA254C"/>
    <w:rsid w:val="00EA27A1"/>
    <w:rsid w:val="00EA29C6"/>
    <w:rsid w:val="00EA310B"/>
    <w:rsid w:val="00EA312B"/>
    <w:rsid w:val="00EA3369"/>
    <w:rsid w:val="00EA34F6"/>
    <w:rsid w:val="00EA35EE"/>
    <w:rsid w:val="00EA3AEF"/>
    <w:rsid w:val="00EA3B98"/>
    <w:rsid w:val="00EA4256"/>
    <w:rsid w:val="00EA4262"/>
    <w:rsid w:val="00EA44BF"/>
    <w:rsid w:val="00EA4543"/>
    <w:rsid w:val="00EA4609"/>
    <w:rsid w:val="00EA461C"/>
    <w:rsid w:val="00EA4980"/>
    <w:rsid w:val="00EA4BE7"/>
    <w:rsid w:val="00EA4F35"/>
    <w:rsid w:val="00EA5202"/>
    <w:rsid w:val="00EA5248"/>
    <w:rsid w:val="00EA5285"/>
    <w:rsid w:val="00EA533D"/>
    <w:rsid w:val="00EA5AA7"/>
    <w:rsid w:val="00EA5B4C"/>
    <w:rsid w:val="00EA5BE4"/>
    <w:rsid w:val="00EA5C70"/>
    <w:rsid w:val="00EA5C8E"/>
    <w:rsid w:val="00EA5CF0"/>
    <w:rsid w:val="00EA5DD4"/>
    <w:rsid w:val="00EA6047"/>
    <w:rsid w:val="00EA61A4"/>
    <w:rsid w:val="00EA6516"/>
    <w:rsid w:val="00EA659F"/>
    <w:rsid w:val="00EA663B"/>
    <w:rsid w:val="00EA67DB"/>
    <w:rsid w:val="00EA683D"/>
    <w:rsid w:val="00EA6881"/>
    <w:rsid w:val="00EA6972"/>
    <w:rsid w:val="00EA6AB9"/>
    <w:rsid w:val="00EA6B62"/>
    <w:rsid w:val="00EA728D"/>
    <w:rsid w:val="00EA747D"/>
    <w:rsid w:val="00EA74BF"/>
    <w:rsid w:val="00EA7946"/>
    <w:rsid w:val="00EA7A6D"/>
    <w:rsid w:val="00EA7B1B"/>
    <w:rsid w:val="00EA7D1C"/>
    <w:rsid w:val="00EB0045"/>
    <w:rsid w:val="00EB00E9"/>
    <w:rsid w:val="00EB00EB"/>
    <w:rsid w:val="00EB06F0"/>
    <w:rsid w:val="00EB09D9"/>
    <w:rsid w:val="00EB0DC0"/>
    <w:rsid w:val="00EB0F47"/>
    <w:rsid w:val="00EB11B8"/>
    <w:rsid w:val="00EB16AA"/>
    <w:rsid w:val="00EB171D"/>
    <w:rsid w:val="00EB1CBC"/>
    <w:rsid w:val="00EB1E08"/>
    <w:rsid w:val="00EB216B"/>
    <w:rsid w:val="00EB253D"/>
    <w:rsid w:val="00EB2751"/>
    <w:rsid w:val="00EB277C"/>
    <w:rsid w:val="00EB2EEB"/>
    <w:rsid w:val="00EB34B3"/>
    <w:rsid w:val="00EB36DC"/>
    <w:rsid w:val="00EB384A"/>
    <w:rsid w:val="00EB38E0"/>
    <w:rsid w:val="00EB3927"/>
    <w:rsid w:val="00EB398D"/>
    <w:rsid w:val="00EB39B3"/>
    <w:rsid w:val="00EB3B3B"/>
    <w:rsid w:val="00EB3C61"/>
    <w:rsid w:val="00EB3C72"/>
    <w:rsid w:val="00EB3FE4"/>
    <w:rsid w:val="00EB41EA"/>
    <w:rsid w:val="00EB424B"/>
    <w:rsid w:val="00EB45AE"/>
    <w:rsid w:val="00EB480B"/>
    <w:rsid w:val="00EB49F7"/>
    <w:rsid w:val="00EB4A0D"/>
    <w:rsid w:val="00EB4ABB"/>
    <w:rsid w:val="00EB4AD4"/>
    <w:rsid w:val="00EB4E5B"/>
    <w:rsid w:val="00EB53FB"/>
    <w:rsid w:val="00EB5568"/>
    <w:rsid w:val="00EB55A4"/>
    <w:rsid w:val="00EB58A6"/>
    <w:rsid w:val="00EB59A7"/>
    <w:rsid w:val="00EB5BC2"/>
    <w:rsid w:val="00EB5E13"/>
    <w:rsid w:val="00EB5F9F"/>
    <w:rsid w:val="00EB6220"/>
    <w:rsid w:val="00EB6426"/>
    <w:rsid w:val="00EB66A5"/>
    <w:rsid w:val="00EB694D"/>
    <w:rsid w:val="00EB699C"/>
    <w:rsid w:val="00EB69CC"/>
    <w:rsid w:val="00EB6C76"/>
    <w:rsid w:val="00EB6DC0"/>
    <w:rsid w:val="00EB6E0A"/>
    <w:rsid w:val="00EB71F5"/>
    <w:rsid w:val="00EB73E4"/>
    <w:rsid w:val="00EB77A0"/>
    <w:rsid w:val="00EB781E"/>
    <w:rsid w:val="00EB7852"/>
    <w:rsid w:val="00EB7B05"/>
    <w:rsid w:val="00EB7C9C"/>
    <w:rsid w:val="00EB7DCC"/>
    <w:rsid w:val="00EC0045"/>
    <w:rsid w:val="00EC006C"/>
    <w:rsid w:val="00EC04B9"/>
    <w:rsid w:val="00EC0547"/>
    <w:rsid w:val="00EC0D98"/>
    <w:rsid w:val="00EC0DBA"/>
    <w:rsid w:val="00EC1028"/>
    <w:rsid w:val="00EC1160"/>
    <w:rsid w:val="00EC1350"/>
    <w:rsid w:val="00EC13CA"/>
    <w:rsid w:val="00EC14BC"/>
    <w:rsid w:val="00EC1516"/>
    <w:rsid w:val="00EC1E3F"/>
    <w:rsid w:val="00EC2282"/>
    <w:rsid w:val="00EC23E0"/>
    <w:rsid w:val="00EC2734"/>
    <w:rsid w:val="00EC274D"/>
    <w:rsid w:val="00EC2819"/>
    <w:rsid w:val="00EC2BCD"/>
    <w:rsid w:val="00EC2D0F"/>
    <w:rsid w:val="00EC3235"/>
    <w:rsid w:val="00EC378C"/>
    <w:rsid w:val="00EC38FB"/>
    <w:rsid w:val="00EC3A91"/>
    <w:rsid w:val="00EC3B7B"/>
    <w:rsid w:val="00EC3ED8"/>
    <w:rsid w:val="00EC40A4"/>
    <w:rsid w:val="00EC40CB"/>
    <w:rsid w:val="00EC40D2"/>
    <w:rsid w:val="00EC42B3"/>
    <w:rsid w:val="00EC43D8"/>
    <w:rsid w:val="00EC49AD"/>
    <w:rsid w:val="00EC49B4"/>
    <w:rsid w:val="00EC4D79"/>
    <w:rsid w:val="00EC4EA0"/>
    <w:rsid w:val="00EC4FE5"/>
    <w:rsid w:val="00EC5374"/>
    <w:rsid w:val="00EC5396"/>
    <w:rsid w:val="00EC54DD"/>
    <w:rsid w:val="00EC59C6"/>
    <w:rsid w:val="00EC5D86"/>
    <w:rsid w:val="00EC5FE8"/>
    <w:rsid w:val="00EC60D5"/>
    <w:rsid w:val="00EC60E5"/>
    <w:rsid w:val="00EC611C"/>
    <w:rsid w:val="00EC645C"/>
    <w:rsid w:val="00EC6B9E"/>
    <w:rsid w:val="00EC6EAF"/>
    <w:rsid w:val="00EC6F6B"/>
    <w:rsid w:val="00EC6FFA"/>
    <w:rsid w:val="00EC701F"/>
    <w:rsid w:val="00EC7171"/>
    <w:rsid w:val="00EC71E5"/>
    <w:rsid w:val="00EC71FE"/>
    <w:rsid w:val="00EC7460"/>
    <w:rsid w:val="00EC75EF"/>
    <w:rsid w:val="00EC75F6"/>
    <w:rsid w:val="00EC79B7"/>
    <w:rsid w:val="00EC7C6D"/>
    <w:rsid w:val="00EC7C9B"/>
    <w:rsid w:val="00EC7D90"/>
    <w:rsid w:val="00EC7EBB"/>
    <w:rsid w:val="00ED01BD"/>
    <w:rsid w:val="00ED0515"/>
    <w:rsid w:val="00ED0666"/>
    <w:rsid w:val="00ED0679"/>
    <w:rsid w:val="00ED06A1"/>
    <w:rsid w:val="00ED06A8"/>
    <w:rsid w:val="00ED0922"/>
    <w:rsid w:val="00ED0B5D"/>
    <w:rsid w:val="00ED0BC7"/>
    <w:rsid w:val="00ED1209"/>
    <w:rsid w:val="00ED14E2"/>
    <w:rsid w:val="00ED17D9"/>
    <w:rsid w:val="00ED1A12"/>
    <w:rsid w:val="00ED1A49"/>
    <w:rsid w:val="00ED1B31"/>
    <w:rsid w:val="00ED1BDF"/>
    <w:rsid w:val="00ED1BFF"/>
    <w:rsid w:val="00ED1C33"/>
    <w:rsid w:val="00ED1DB7"/>
    <w:rsid w:val="00ED1F7B"/>
    <w:rsid w:val="00ED2249"/>
    <w:rsid w:val="00ED228A"/>
    <w:rsid w:val="00ED24E2"/>
    <w:rsid w:val="00ED25DF"/>
    <w:rsid w:val="00ED2690"/>
    <w:rsid w:val="00ED2895"/>
    <w:rsid w:val="00ED2A54"/>
    <w:rsid w:val="00ED2B3E"/>
    <w:rsid w:val="00ED2C4F"/>
    <w:rsid w:val="00ED2E3E"/>
    <w:rsid w:val="00ED2FBC"/>
    <w:rsid w:val="00ED2FD6"/>
    <w:rsid w:val="00ED33F7"/>
    <w:rsid w:val="00ED3A7F"/>
    <w:rsid w:val="00ED3DB2"/>
    <w:rsid w:val="00ED3EC8"/>
    <w:rsid w:val="00ED3F07"/>
    <w:rsid w:val="00ED421D"/>
    <w:rsid w:val="00ED428B"/>
    <w:rsid w:val="00ED457C"/>
    <w:rsid w:val="00ED4827"/>
    <w:rsid w:val="00ED48AC"/>
    <w:rsid w:val="00ED48B8"/>
    <w:rsid w:val="00ED4B28"/>
    <w:rsid w:val="00ED4CB4"/>
    <w:rsid w:val="00ED4D36"/>
    <w:rsid w:val="00ED4FAA"/>
    <w:rsid w:val="00ED5141"/>
    <w:rsid w:val="00ED53EA"/>
    <w:rsid w:val="00ED53F0"/>
    <w:rsid w:val="00ED5A72"/>
    <w:rsid w:val="00ED5B86"/>
    <w:rsid w:val="00ED5DA1"/>
    <w:rsid w:val="00ED628D"/>
    <w:rsid w:val="00ED62B5"/>
    <w:rsid w:val="00ED66D0"/>
    <w:rsid w:val="00ED67B0"/>
    <w:rsid w:val="00ED6801"/>
    <w:rsid w:val="00ED6AE3"/>
    <w:rsid w:val="00ED6C26"/>
    <w:rsid w:val="00ED6CC4"/>
    <w:rsid w:val="00ED6DA0"/>
    <w:rsid w:val="00ED6FDA"/>
    <w:rsid w:val="00ED711E"/>
    <w:rsid w:val="00ED7134"/>
    <w:rsid w:val="00ED7153"/>
    <w:rsid w:val="00ED762B"/>
    <w:rsid w:val="00ED76DB"/>
    <w:rsid w:val="00ED783C"/>
    <w:rsid w:val="00ED78A3"/>
    <w:rsid w:val="00ED7A42"/>
    <w:rsid w:val="00ED7A63"/>
    <w:rsid w:val="00EE001E"/>
    <w:rsid w:val="00EE01B5"/>
    <w:rsid w:val="00EE03B7"/>
    <w:rsid w:val="00EE0760"/>
    <w:rsid w:val="00EE0905"/>
    <w:rsid w:val="00EE0AB2"/>
    <w:rsid w:val="00EE0AD3"/>
    <w:rsid w:val="00EE0B94"/>
    <w:rsid w:val="00EE0C90"/>
    <w:rsid w:val="00EE0FE7"/>
    <w:rsid w:val="00EE1182"/>
    <w:rsid w:val="00EE187C"/>
    <w:rsid w:val="00EE19CC"/>
    <w:rsid w:val="00EE19D1"/>
    <w:rsid w:val="00EE1A37"/>
    <w:rsid w:val="00EE1DBF"/>
    <w:rsid w:val="00EE1FFD"/>
    <w:rsid w:val="00EE2053"/>
    <w:rsid w:val="00EE206B"/>
    <w:rsid w:val="00EE24A6"/>
    <w:rsid w:val="00EE2711"/>
    <w:rsid w:val="00EE2ACF"/>
    <w:rsid w:val="00EE2DC8"/>
    <w:rsid w:val="00EE2E45"/>
    <w:rsid w:val="00EE2E85"/>
    <w:rsid w:val="00EE3094"/>
    <w:rsid w:val="00EE364E"/>
    <w:rsid w:val="00EE3E11"/>
    <w:rsid w:val="00EE3EF8"/>
    <w:rsid w:val="00EE402F"/>
    <w:rsid w:val="00EE4250"/>
    <w:rsid w:val="00EE4560"/>
    <w:rsid w:val="00EE461E"/>
    <w:rsid w:val="00EE4661"/>
    <w:rsid w:val="00EE46A8"/>
    <w:rsid w:val="00EE48A4"/>
    <w:rsid w:val="00EE4A95"/>
    <w:rsid w:val="00EE4EF2"/>
    <w:rsid w:val="00EE5122"/>
    <w:rsid w:val="00EE5414"/>
    <w:rsid w:val="00EE5BA0"/>
    <w:rsid w:val="00EE5CAF"/>
    <w:rsid w:val="00EE5CBF"/>
    <w:rsid w:val="00EE5F15"/>
    <w:rsid w:val="00EE5FD1"/>
    <w:rsid w:val="00EE6048"/>
    <w:rsid w:val="00EE60CA"/>
    <w:rsid w:val="00EE6325"/>
    <w:rsid w:val="00EE66E1"/>
    <w:rsid w:val="00EE68B9"/>
    <w:rsid w:val="00EE69D5"/>
    <w:rsid w:val="00EE6BCB"/>
    <w:rsid w:val="00EE6F3A"/>
    <w:rsid w:val="00EE7054"/>
    <w:rsid w:val="00EE7072"/>
    <w:rsid w:val="00EE70D3"/>
    <w:rsid w:val="00EE7323"/>
    <w:rsid w:val="00EE7631"/>
    <w:rsid w:val="00EE7639"/>
    <w:rsid w:val="00EE7A96"/>
    <w:rsid w:val="00EE7AD6"/>
    <w:rsid w:val="00EE7BB5"/>
    <w:rsid w:val="00EF0205"/>
    <w:rsid w:val="00EF0228"/>
    <w:rsid w:val="00EF03AB"/>
    <w:rsid w:val="00EF068F"/>
    <w:rsid w:val="00EF0D32"/>
    <w:rsid w:val="00EF0D8B"/>
    <w:rsid w:val="00EF0E08"/>
    <w:rsid w:val="00EF0EA1"/>
    <w:rsid w:val="00EF106D"/>
    <w:rsid w:val="00EF1117"/>
    <w:rsid w:val="00EF1164"/>
    <w:rsid w:val="00EF12BB"/>
    <w:rsid w:val="00EF1717"/>
    <w:rsid w:val="00EF1867"/>
    <w:rsid w:val="00EF197B"/>
    <w:rsid w:val="00EF1BDC"/>
    <w:rsid w:val="00EF1D3B"/>
    <w:rsid w:val="00EF1DF6"/>
    <w:rsid w:val="00EF206D"/>
    <w:rsid w:val="00EF212C"/>
    <w:rsid w:val="00EF2182"/>
    <w:rsid w:val="00EF237B"/>
    <w:rsid w:val="00EF2832"/>
    <w:rsid w:val="00EF2B3C"/>
    <w:rsid w:val="00EF2BEB"/>
    <w:rsid w:val="00EF2FCC"/>
    <w:rsid w:val="00EF3674"/>
    <w:rsid w:val="00EF3E5F"/>
    <w:rsid w:val="00EF3F0D"/>
    <w:rsid w:val="00EF4042"/>
    <w:rsid w:val="00EF405F"/>
    <w:rsid w:val="00EF4181"/>
    <w:rsid w:val="00EF4252"/>
    <w:rsid w:val="00EF428F"/>
    <w:rsid w:val="00EF429A"/>
    <w:rsid w:val="00EF446B"/>
    <w:rsid w:val="00EF466F"/>
    <w:rsid w:val="00EF4847"/>
    <w:rsid w:val="00EF484F"/>
    <w:rsid w:val="00EF4A1B"/>
    <w:rsid w:val="00EF4AE1"/>
    <w:rsid w:val="00EF5221"/>
    <w:rsid w:val="00EF5286"/>
    <w:rsid w:val="00EF5467"/>
    <w:rsid w:val="00EF54BE"/>
    <w:rsid w:val="00EF553F"/>
    <w:rsid w:val="00EF567B"/>
    <w:rsid w:val="00EF56B5"/>
    <w:rsid w:val="00EF5848"/>
    <w:rsid w:val="00EF591E"/>
    <w:rsid w:val="00EF5A8C"/>
    <w:rsid w:val="00EF5C80"/>
    <w:rsid w:val="00EF5CC2"/>
    <w:rsid w:val="00EF5F45"/>
    <w:rsid w:val="00EF6043"/>
    <w:rsid w:val="00EF63B6"/>
    <w:rsid w:val="00EF63D6"/>
    <w:rsid w:val="00EF63FD"/>
    <w:rsid w:val="00EF646D"/>
    <w:rsid w:val="00EF6717"/>
    <w:rsid w:val="00EF68AF"/>
    <w:rsid w:val="00EF6964"/>
    <w:rsid w:val="00EF6A6D"/>
    <w:rsid w:val="00EF6C00"/>
    <w:rsid w:val="00EF6EB3"/>
    <w:rsid w:val="00EF70A8"/>
    <w:rsid w:val="00EF74E7"/>
    <w:rsid w:val="00EF75A4"/>
    <w:rsid w:val="00EF7754"/>
    <w:rsid w:val="00EF7857"/>
    <w:rsid w:val="00EF7A59"/>
    <w:rsid w:val="00EF7A7C"/>
    <w:rsid w:val="00EF7B51"/>
    <w:rsid w:val="00EF7C6F"/>
    <w:rsid w:val="00F00084"/>
    <w:rsid w:val="00F002CC"/>
    <w:rsid w:val="00F002D5"/>
    <w:rsid w:val="00F00474"/>
    <w:rsid w:val="00F008E2"/>
    <w:rsid w:val="00F0092A"/>
    <w:rsid w:val="00F00B65"/>
    <w:rsid w:val="00F00F8F"/>
    <w:rsid w:val="00F00FD4"/>
    <w:rsid w:val="00F01024"/>
    <w:rsid w:val="00F01087"/>
    <w:rsid w:val="00F0111B"/>
    <w:rsid w:val="00F011A5"/>
    <w:rsid w:val="00F01251"/>
    <w:rsid w:val="00F0187D"/>
    <w:rsid w:val="00F018B8"/>
    <w:rsid w:val="00F01B62"/>
    <w:rsid w:val="00F01BEF"/>
    <w:rsid w:val="00F01CBF"/>
    <w:rsid w:val="00F01F82"/>
    <w:rsid w:val="00F02164"/>
    <w:rsid w:val="00F02326"/>
    <w:rsid w:val="00F02956"/>
    <w:rsid w:val="00F02A35"/>
    <w:rsid w:val="00F02B0C"/>
    <w:rsid w:val="00F02B40"/>
    <w:rsid w:val="00F02D13"/>
    <w:rsid w:val="00F02DA5"/>
    <w:rsid w:val="00F02F17"/>
    <w:rsid w:val="00F0315B"/>
    <w:rsid w:val="00F03478"/>
    <w:rsid w:val="00F0352D"/>
    <w:rsid w:val="00F03840"/>
    <w:rsid w:val="00F03A5E"/>
    <w:rsid w:val="00F03A7D"/>
    <w:rsid w:val="00F040A3"/>
    <w:rsid w:val="00F041AF"/>
    <w:rsid w:val="00F04563"/>
    <w:rsid w:val="00F04A14"/>
    <w:rsid w:val="00F04B45"/>
    <w:rsid w:val="00F0508A"/>
    <w:rsid w:val="00F051B4"/>
    <w:rsid w:val="00F05449"/>
    <w:rsid w:val="00F0581D"/>
    <w:rsid w:val="00F05B4D"/>
    <w:rsid w:val="00F05BD1"/>
    <w:rsid w:val="00F05C04"/>
    <w:rsid w:val="00F05D9B"/>
    <w:rsid w:val="00F05DC2"/>
    <w:rsid w:val="00F05FAF"/>
    <w:rsid w:val="00F06075"/>
    <w:rsid w:val="00F062D8"/>
    <w:rsid w:val="00F06428"/>
    <w:rsid w:val="00F068BC"/>
    <w:rsid w:val="00F0692D"/>
    <w:rsid w:val="00F069FB"/>
    <w:rsid w:val="00F06AF2"/>
    <w:rsid w:val="00F06BAE"/>
    <w:rsid w:val="00F06D7F"/>
    <w:rsid w:val="00F06E0B"/>
    <w:rsid w:val="00F071E5"/>
    <w:rsid w:val="00F07291"/>
    <w:rsid w:val="00F072A0"/>
    <w:rsid w:val="00F0767E"/>
    <w:rsid w:val="00F07B63"/>
    <w:rsid w:val="00F07C62"/>
    <w:rsid w:val="00F102F1"/>
    <w:rsid w:val="00F10B53"/>
    <w:rsid w:val="00F10DFD"/>
    <w:rsid w:val="00F10E03"/>
    <w:rsid w:val="00F10E57"/>
    <w:rsid w:val="00F10FEA"/>
    <w:rsid w:val="00F11601"/>
    <w:rsid w:val="00F1177C"/>
    <w:rsid w:val="00F1181F"/>
    <w:rsid w:val="00F11A9E"/>
    <w:rsid w:val="00F11B3E"/>
    <w:rsid w:val="00F12073"/>
    <w:rsid w:val="00F12262"/>
    <w:rsid w:val="00F125FE"/>
    <w:rsid w:val="00F128D7"/>
    <w:rsid w:val="00F12CE2"/>
    <w:rsid w:val="00F13142"/>
    <w:rsid w:val="00F1314B"/>
    <w:rsid w:val="00F132CA"/>
    <w:rsid w:val="00F13595"/>
    <w:rsid w:val="00F13753"/>
    <w:rsid w:val="00F13878"/>
    <w:rsid w:val="00F13A99"/>
    <w:rsid w:val="00F13A9B"/>
    <w:rsid w:val="00F14197"/>
    <w:rsid w:val="00F143E2"/>
    <w:rsid w:val="00F144C0"/>
    <w:rsid w:val="00F145EB"/>
    <w:rsid w:val="00F146F1"/>
    <w:rsid w:val="00F146F9"/>
    <w:rsid w:val="00F14A7D"/>
    <w:rsid w:val="00F14D06"/>
    <w:rsid w:val="00F14F5E"/>
    <w:rsid w:val="00F15016"/>
    <w:rsid w:val="00F15038"/>
    <w:rsid w:val="00F150DD"/>
    <w:rsid w:val="00F15214"/>
    <w:rsid w:val="00F154B4"/>
    <w:rsid w:val="00F156BD"/>
    <w:rsid w:val="00F157B4"/>
    <w:rsid w:val="00F15ADF"/>
    <w:rsid w:val="00F15DDD"/>
    <w:rsid w:val="00F1640D"/>
    <w:rsid w:val="00F165A9"/>
    <w:rsid w:val="00F1690B"/>
    <w:rsid w:val="00F16A0D"/>
    <w:rsid w:val="00F16A1C"/>
    <w:rsid w:val="00F16E4D"/>
    <w:rsid w:val="00F16E9C"/>
    <w:rsid w:val="00F170D2"/>
    <w:rsid w:val="00F17186"/>
    <w:rsid w:val="00F17325"/>
    <w:rsid w:val="00F17645"/>
    <w:rsid w:val="00F17A12"/>
    <w:rsid w:val="00F17B5A"/>
    <w:rsid w:val="00F17BF3"/>
    <w:rsid w:val="00F17C5A"/>
    <w:rsid w:val="00F17D0E"/>
    <w:rsid w:val="00F17F8C"/>
    <w:rsid w:val="00F17FA7"/>
    <w:rsid w:val="00F20143"/>
    <w:rsid w:val="00F2030D"/>
    <w:rsid w:val="00F206FD"/>
    <w:rsid w:val="00F20830"/>
    <w:rsid w:val="00F21082"/>
    <w:rsid w:val="00F2168B"/>
    <w:rsid w:val="00F216E0"/>
    <w:rsid w:val="00F2178F"/>
    <w:rsid w:val="00F218C5"/>
    <w:rsid w:val="00F219EE"/>
    <w:rsid w:val="00F21A4A"/>
    <w:rsid w:val="00F21AFE"/>
    <w:rsid w:val="00F21B36"/>
    <w:rsid w:val="00F21B4C"/>
    <w:rsid w:val="00F21CAB"/>
    <w:rsid w:val="00F22070"/>
    <w:rsid w:val="00F2273B"/>
    <w:rsid w:val="00F22A68"/>
    <w:rsid w:val="00F22BBC"/>
    <w:rsid w:val="00F22CCA"/>
    <w:rsid w:val="00F230CF"/>
    <w:rsid w:val="00F2334C"/>
    <w:rsid w:val="00F23522"/>
    <w:rsid w:val="00F2363A"/>
    <w:rsid w:val="00F236D6"/>
    <w:rsid w:val="00F23DC1"/>
    <w:rsid w:val="00F23EBE"/>
    <w:rsid w:val="00F23ED6"/>
    <w:rsid w:val="00F23F16"/>
    <w:rsid w:val="00F23F2F"/>
    <w:rsid w:val="00F240B2"/>
    <w:rsid w:val="00F24166"/>
    <w:rsid w:val="00F241B1"/>
    <w:rsid w:val="00F24252"/>
    <w:rsid w:val="00F242EF"/>
    <w:rsid w:val="00F24370"/>
    <w:rsid w:val="00F24B2F"/>
    <w:rsid w:val="00F24BEB"/>
    <w:rsid w:val="00F24C2C"/>
    <w:rsid w:val="00F24C82"/>
    <w:rsid w:val="00F24E9E"/>
    <w:rsid w:val="00F24F03"/>
    <w:rsid w:val="00F25379"/>
    <w:rsid w:val="00F2539B"/>
    <w:rsid w:val="00F2550C"/>
    <w:rsid w:val="00F257AB"/>
    <w:rsid w:val="00F25BB3"/>
    <w:rsid w:val="00F25FCC"/>
    <w:rsid w:val="00F2614F"/>
    <w:rsid w:val="00F262C2"/>
    <w:rsid w:val="00F2636E"/>
    <w:rsid w:val="00F2667E"/>
    <w:rsid w:val="00F267DD"/>
    <w:rsid w:val="00F26944"/>
    <w:rsid w:val="00F269D1"/>
    <w:rsid w:val="00F26CA6"/>
    <w:rsid w:val="00F26D78"/>
    <w:rsid w:val="00F26E5D"/>
    <w:rsid w:val="00F27539"/>
    <w:rsid w:val="00F275BD"/>
    <w:rsid w:val="00F27769"/>
    <w:rsid w:val="00F278B4"/>
    <w:rsid w:val="00F27949"/>
    <w:rsid w:val="00F27A3F"/>
    <w:rsid w:val="00F27ACE"/>
    <w:rsid w:val="00F27DF3"/>
    <w:rsid w:val="00F27F10"/>
    <w:rsid w:val="00F30074"/>
    <w:rsid w:val="00F30591"/>
    <w:rsid w:val="00F30616"/>
    <w:rsid w:val="00F30692"/>
    <w:rsid w:val="00F30883"/>
    <w:rsid w:val="00F30A61"/>
    <w:rsid w:val="00F30A7F"/>
    <w:rsid w:val="00F30B76"/>
    <w:rsid w:val="00F30E63"/>
    <w:rsid w:val="00F31024"/>
    <w:rsid w:val="00F310FA"/>
    <w:rsid w:val="00F3118C"/>
    <w:rsid w:val="00F31647"/>
    <w:rsid w:val="00F3170C"/>
    <w:rsid w:val="00F3178D"/>
    <w:rsid w:val="00F317DB"/>
    <w:rsid w:val="00F31841"/>
    <w:rsid w:val="00F31CA0"/>
    <w:rsid w:val="00F32115"/>
    <w:rsid w:val="00F32134"/>
    <w:rsid w:val="00F32243"/>
    <w:rsid w:val="00F327C5"/>
    <w:rsid w:val="00F328D2"/>
    <w:rsid w:val="00F32A5A"/>
    <w:rsid w:val="00F32CCD"/>
    <w:rsid w:val="00F32E0C"/>
    <w:rsid w:val="00F32EC2"/>
    <w:rsid w:val="00F33073"/>
    <w:rsid w:val="00F3330B"/>
    <w:rsid w:val="00F335B9"/>
    <w:rsid w:val="00F33750"/>
    <w:rsid w:val="00F3381E"/>
    <w:rsid w:val="00F3384A"/>
    <w:rsid w:val="00F33B20"/>
    <w:rsid w:val="00F33B73"/>
    <w:rsid w:val="00F33CF2"/>
    <w:rsid w:val="00F33E0E"/>
    <w:rsid w:val="00F3404B"/>
    <w:rsid w:val="00F341EA"/>
    <w:rsid w:val="00F3437C"/>
    <w:rsid w:val="00F343D5"/>
    <w:rsid w:val="00F3478D"/>
    <w:rsid w:val="00F347BD"/>
    <w:rsid w:val="00F3490F"/>
    <w:rsid w:val="00F349E9"/>
    <w:rsid w:val="00F34B9F"/>
    <w:rsid w:val="00F34CD4"/>
    <w:rsid w:val="00F34D53"/>
    <w:rsid w:val="00F34F77"/>
    <w:rsid w:val="00F3506B"/>
    <w:rsid w:val="00F35402"/>
    <w:rsid w:val="00F3554F"/>
    <w:rsid w:val="00F355C4"/>
    <w:rsid w:val="00F356BA"/>
    <w:rsid w:val="00F3573C"/>
    <w:rsid w:val="00F35F36"/>
    <w:rsid w:val="00F36250"/>
    <w:rsid w:val="00F366BE"/>
    <w:rsid w:val="00F36D67"/>
    <w:rsid w:val="00F36DF0"/>
    <w:rsid w:val="00F36E39"/>
    <w:rsid w:val="00F37227"/>
    <w:rsid w:val="00F373FA"/>
    <w:rsid w:val="00F37F31"/>
    <w:rsid w:val="00F40155"/>
    <w:rsid w:val="00F40237"/>
    <w:rsid w:val="00F407F4"/>
    <w:rsid w:val="00F40B19"/>
    <w:rsid w:val="00F4113D"/>
    <w:rsid w:val="00F4115A"/>
    <w:rsid w:val="00F41666"/>
    <w:rsid w:val="00F418F5"/>
    <w:rsid w:val="00F41D7E"/>
    <w:rsid w:val="00F41E5F"/>
    <w:rsid w:val="00F41F77"/>
    <w:rsid w:val="00F4207B"/>
    <w:rsid w:val="00F4230D"/>
    <w:rsid w:val="00F42582"/>
    <w:rsid w:val="00F4266F"/>
    <w:rsid w:val="00F428E2"/>
    <w:rsid w:val="00F4291F"/>
    <w:rsid w:val="00F429D9"/>
    <w:rsid w:val="00F429E8"/>
    <w:rsid w:val="00F42CBE"/>
    <w:rsid w:val="00F42D50"/>
    <w:rsid w:val="00F42F1E"/>
    <w:rsid w:val="00F42FA0"/>
    <w:rsid w:val="00F438BC"/>
    <w:rsid w:val="00F4399F"/>
    <w:rsid w:val="00F43A1A"/>
    <w:rsid w:val="00F43F9E"/>
    <w:rsid w:val="00F44114"/>
    <w:rsid w:val="00F442A6"/>
    <w:rsid w:val="00F44448"/>
    <w:rsid w:val="00F444EB"/>
    <w:rsid w:val="00F44593"/>
    <w:rsid w:val="00F4473E"/>
    <w:rsid w:val="00F4489A"/>
    <w:rsid w:val="00F44A65"/>
    <w:rsid w:val="00F44CAB"/>
    <w:rsid w:val="00F4516D"/>
    <w:rsid w:val="00F451EB"/>
    <w:rsid w:val="00F4523A"/>
    <w:rsid w:val="00F45349"/>
    <w:rsid w:val="00F453C3"/>
    <w:rsid w:val="00F454DF"/>
    <w:rsid w:val="00F4563F"/>
    <w:rsid w:val="00F4569F"/>
    <w:rsid w:val="00F45828"/>
    <w:rsid w:val="00F4592E"/>
    <w:rsid w:val="00F45B46"/>
    <w:rsid w:val="00F45C2B"/>
    <w:rsid w:val="00F45D98"/>
    <w:rsid w:val="00F45DE1"/>
    <w:rsid w:val="00F45DF0"/>
    <w:rsid w:val="00F45EF7"/>
    <w:rsid w:val="00F45F0F"/>
    <w:rsid w:val="00F46038"/>
    <w:rsid w:val="00F46263"/>
    <w:rsid w:val="00F462D6"/>
    <w:rsid w:val="00F46311"/>
    <w:rsid w:val="00F46431"/>
    <w:rsid w:val="00F46954"/>
    <w:rsid w:val="00F46DA9"/>
    <w:rsid w:val="00F471BD"/>
    <w:rsid w:val="00F471E5"/>
    <w:rsid w:val="00F47424"/>
    <w:rsid w:val="00F47691"/>
    <w:rsid w:val="00F47875"/>
    <w:rsid w:val="00F50177"/>
    <w:rsid w:val="00F502D6"/>
    <w:rsid w:val="00F50635"/>
    <w:rsid w:val="00F50703"/>
    <w:rsid w:val="00F50872"/>
    <w:rsid w:val="00F508CC"/>
    <w:rsid w:val="00F50E31"/>
    <w:rsid w:val="00F50ED6"/>
    <w:rsid w:val="00F51265"/>
    <w:rsid w:val="00F5156F"/>
    <w:rsid w:val="00F51A37"/>
    <w:rsid w:val="00F51DE6"/>
    <w:rsid w:val="00F51ECB"/>
    <w:rsid w:val="00F51FA3"/>
    <w:rsid w:val="00F525E3"/>
    <w:rsid w:val="00F526DD"/>
    <w:rsid w:val="00F526E9"/>
    <w:rsid w:val="00F52846"/>
    <w:rsid w:val="00F528A4"/>
    <w:rsid w:val="00F529C3"/>
    <w:rsid w:val="00F52CC8"/>
    <w:rsid w:val="00F52F16"/>
    <w:rsid w:val="00F52FE5"/>
    <w:rsid w:val="00F53B94"/>
    <w:rsid w:val="00F54011"/>
    <w:rsid w:val="00F54252"/>
    <w:rsid w:val="00F54325"/>
    <w:rsid w:val="00F543A6"/>
    <w:rsid w:val="00F54597"/>
    <w:rsid w:val="00F54805"/>
    <w:rsid w:val="00F54842"/>
    <w:rsid w:val="00F5491B"/>
    <w:rsid w:val="00F54E23"/>
    <w:rsid w:val="00F55169"/>
    <w:rsid w:val="00F553F1"/>
    <w:rsid w:val="00F55409"/>
    <w:rsid w:val="00F55440"/>
    <w:rsid w:val="00F555F2"/>
    <w:rsid w:val="00F55D51"/>
    <w:rsid w:val="00F55EF9"/>
    <w:rsid w:val="00F56605"/>
    <w:rsid w:val="00F566DA"/>
    <w:rsid w:val="00F5676B"/>
    <w:rsid w:val="00F56CD4"/>
    <w:rsid w:val="00F57039"/>
    <w:rsid w:val="00F57364"/>
    <w:rsid w:val="00F57514"/>
    <w:rsid w:val="00F57971"/>
    <w:rsid w:val="00F5797D"/>
    <w:rsid w:val="00F57B9C"/>
    <w:rsid w:val="00F57DDE"/>
    <w:rsid w:val="00F57F9E"/>
    <w:rsid w:val="00F60778"/>
    <w:rsid w:val="00F6079A"/>
    <w:rsid w:val="00F607CE"/>
    <w:rsid w:val="00F60F7D"/>
    <w:rsid w:val="00F61030"/>
    <w:rsid w:val="00F61181"/>
    <w:rsid w:val="00F614BF"/>
    <w:rsid w:val="00F61585"/>
    <w:rsid w:val="00F62148"/>
    <w:rsid w:val="00F6223A"/>
    <w:rsid w:val="00F62494"/>
    <w:rsid w:val="00F62584"/>
    <w:rsid w:val="00F62909"/>
    <w:rsid w:val="00F62F88"/>
    <w:rsid w:val="00F630E4"/>
    <w:rsid w:val="00F6335E"/>
    <w:rsid w:val="00F63520"/>
    <w:rsid w:val="00F63A3A"/>
    <w:rsid w:val="00F64121"/>
    <w:rsid w:val="00F6444E"/>
    <w:rsid w:val="00F646DE"/>
    <w:rsid w:val="00F64B8F"/>
    <w:rsid w:val="00F64BB0"/>
    <w:rsid w:val="00F64C2F"/>
    <w:rsid w:val="00F64C81"/>
    <w:rsid w:val="00F64EA0"/>
    <w:rsid w:val="00F64EDF"/>
    <w:rsid w:val="00F653B5"/>
    <w:rsid w:val="00F6555C"/>
    <w:rsid w:val="00F65626"/>
    <w:rsid w:val="00F6573B"/>
    <w:rsid w:val="00F657C1"/>
    <w:rsid w:val="00F658F7"/>
    <w:rsid w:val="00F65B87"/>
    <w:rsid w:val="00F65C7B"/>
    <w:rsid w:val="00F661DF"/>
    <w:rsid w:val="00F66517"/>
    <w:rsid w:val="00F6662F"/>
    <w:rsid w:val="00F668B3"/>
    <w:rsid w:val="00F6729F"/>
    <w:rsid w:val="00F67355"/>
    <w:rsid w:val="00F67617"/>
    <w:rsid w:val="00F67638"/>
    <w:rsid w:val="00F677B8"/>
    <w:rsid w:val="00F67814"/>
    <w:rsid w:val="00F678B5"/>
    <w:rsid w:val="00F678C0"/>
    <w:rsid w:val="00F67D7D"/>
    <w:rsid w:val="00F70208"/>
    <w:rsid w:val="00F7020E"/>
    <w:rsid w:val="00F7023E"/>
    <w:rsid w:val="00F70706"/>
    <w:rsid w:val="00F70898"/>
    <w:rsid w:val="00F70A50"/>
    <w:rsid w:val="00F70B8B"/>
    <w:rsid w:val="00F70C20"/>
    <w:rsid w:val="00F7105D"/>
    <w:rsid w:val="00F7154A"/>
    <w:rsid w:val="00F71803"/>
    <w:rsid w:val="00F718D7"/>
    <w:rsid w:val="00F719D1"/>
    <w:rsid w:val="00F71C2A"/>
    <w:rsid w:val="00F71C85"/>
    <w:rsid w:val="00F7206F"/>
    <w:rsid w:val="00F72594"/>
    <w:rsid w:val="00F725BC"/>
    <w:rsid w:val="00F72720"/>
    <w:rsid w:val="00F72A7D"/>
    <w:rsid w:val="00F72B34"/>
    <w:rsid w:val="00F7339B"/>
    <w:rsid w:val="00F733FC"/>
    <w:rsid w:val="00F734EA"/>
    <w:rsid w:val="00F73712"/>
    <w:rsid w:val="00F73768"/>
    <w:rsid w:val="00F73B4F"/>
    <w:rsid w:val="00F73C8F"/>
    <w:rsid w:val="00F74683"/>
    <w:rsid w:val="00F74888"/>
    <w:rsid w:val="00F74A44"/>
    <w:rsid w:val="00F74D50"/>
    <w:rsid w:val="00F7511F"/>
    <w:rsid w:val="00F7530B"/>
    <w:rsid w:val="00F755C0"/>
    <w:rsid w:val="00F7560F"/>
    <w:rsid w:val="00F75BA0"/>
    <w:rsid w:val="00F7604B"/>
    <w:rsid w:val="00F7620B"/>
    <w:rsid w:val="00F76297"/>
    <w:rsid w:val="00F762C8"/>
    <w:rsid w:val="00F76342"/>
    <w:rsid w:val="00F767DF"/>
    <w:rsid w:val="00F76C62"/>
    <w:rsid w:val="00F76D66"/>
    <w:rsid w:val="00F76EED"/>
    <w:rsid w:val="00F7701B"/>
    <w:rsid w:val="00F771C4"/>
    <w:rsid w:val="00F773BD"/>
    <w:rsid w:val="00F7775A"/>
    <w:rsid w:val="00F77BE5"/>
    <w:rsid w:val="00F77C28"/>
    <w:rsid w:val="00F77E06"/>
    <w:rsid w:val="00F77EB7"/>
    <w:rsid w:val="00F8079B"/>
    <w:rsid w:val="00F8083E"/>
    <w:rsid w:val="00F80D0F"/>
    <w:rsid w:val="00F810C3"/>
    <w:rsid w:val="00F81192"/>
    <w:rsid w:val="00F81B99"/>
    <w:rsid w:val="00F81BAD"/>
    <w:rsid w:val="00F81CB3"/>
    <w:rsid w:val="00F81DF7"/>
    <w:rsid w:val="00F81EE1"/>
    <w:rsid w:val="00F8207F"/>
    <w:rsid w:val="00F820B9"/>
    <w:rsid w:val="00F821BA"/>
    <w:rsid w:val="00F82528"/>
    <w:rsid w:val="00F82AEE"/>
    <w:rsid w:val="00F82C50"/>
    <w:rsid w:val="00F83402"/>
    <w:rsid w:val="00F8350A"/>
    <w:rsid w:val="00F83627"/>
    <w:rsid w:val="00F8378F"/>
    <w:rsid w:val="00F8385B"/>
    <w:rsid w:val="00F83A56"/>
    <w:rsid w:val="00F83B05"/>
    <w:rsid w:val="00F83CF7"/>
    <w:rsid w:val="00F83DC3"/>
    <w:rsid w:val="00F83F23"/>
    <w:rsid w:val="00F83FD2"/>
    <w:rsid w:val="00F84246"/>
    <w:rsid w:val="00F84307"/>
    <w:rsid w:val="00F84738"/>
    <w:rsid w:val="00F8487B"/>
    <w:rsid w:val="00F848F6"/>
    <w:rsid w:val="00F84966"/>
    <w:rsid w:val="00F84A16"/>
    <w:rsid w:val="00F84A86"/>
    <w:rsid w:val="00F84AB5"/>
    <w:rsid w:val="00F84C0C"/>
    <w:rsid w:val="00F84EAB"/>
    <w:rsid w:val="00F84F35"/>
    <w:rsid w:val="00F85094"/>
    <w:rsid w:val="00F851AB"/>
    <w:rsid w:val="00F85531"/>
    <w:rsid w:val="00F85772"/>
    <w:rsid w:val="00F859DF"/>
    <w:rsid w:val="00F85C00"/>
    <w:rsid w:val="00F860DA"/>
    <w:rsid w:val="00F861E8"/>
    <w:rsid w:val="00F8634E"/>
    <w:rsid w:val="00F86429"/>
    <w:rsid w:val="00F8645A"/>
    <w:rsid w:val="00F86706"/>
    <w:rsid w:val="00F86906"/>
    <w:rsid w:val="00F86C6E"/>
    <w:rsid w:val="00F86E7D"/>
    <w:rsid w:val="00F8730C"/>
    <w:rsid w:val="00F874AA"/>
    <w:rsid w:val="00F87680"/>
    <w:rsid w:val="00F8786A"/>
    <w:rsid w:val="00F87C98"/>
    <w:rsid w:val="00F87E90"/>
    <w:rsid w:val="00F87F4F"/>
    <w:rsid w:val="00F90096"/>
    <w:rsid w:val="00F90115"/>
    <w:rsid w:val="00F9015D"/>
    <w:rsid w:val="00F9027D"/>
    <w:rsid w:val="00F90429"/>
    <w:rsid w:val="00F905C2"/>
    <w:rsid w:val="00F907E6"/>
    <w:rsid w:val="00F909CB"/>
    <w:rsid w:val="00F90C1B"/>
    <w:rsid w:val="00F90C46"/>
    <w:rsid w:val="00F90DB2"/>
    <w:rsid w:val="00F910C6"/>
    <w:rsid w:val="00F91257"/>
    <w:rsid w:val="00F914A5"/>
    <w:rsid w:val="00F914CD"/>
    <w:rsid w:val="00F917F0"/>
    <w:rsid w:val="00F91856"/>
    <w:rsid w:val="00F91B26"/>
    <w:rsid w:val="00F91B6E"/>
    <w:rsid w:val="00F91FB4"/>
    <w:rsid w:val="00F91FBD"/>
    <w:rsid w:val="00F92065"/>
    <w:rsid w:val="00F921F1"/>
    <w:rsid w:val="00F92252"/>
    <w:rsid w:val="00F925F4"/>
    <w:rsid w:val="00F927C2"/>
    <w:rsid w:val="00F92868"/>
    <w:rsid w:val="00F92A31"/>
    <w:rsid w:val="00F92CC7"/>
    <w:rsid w:val="00F92CD4"/>
    <w:rsid w:val="00F92D86"/>
    <w:rsid w:val="00F92DCF"/>
    <w:rsid w:val="00F92FCC"/>
    <w:rsid w:val="00F93217"/>
    <w:rsid w:val="00F93382"/>
    <w:rsid w:val="00F934BD"/>
    <w:rsid w:val="00F93EA5"/>
    <w:rsid w:val="00F93F09"/>
    <w:rsid w:val="00F947B9"/>
    <w:rsid w:val="00F94945"/>
    <w:rsid w:val="00F949DA"/>
    <w:rsid w:val="00F94E87"/>
    <w:rsid w:val="00F9517F"/>
    <w:rsid w:val="00F95336"/>
    <w:rsid w:val="00F954DA"/>
    <w:rsid w:val="00F95522"/>
    <w:rsid w:val="00F95596"/>
    <w:rsid w:val="00F95759"/>
    <w:rsid w:val="00F95C0F"/>
    <w:rsid w:val="00F95DAE"/>
    <w:rsid w:val="00F95DE9"/>
    <w:rsid w:val="00F9627E"/>
    <w:rsid w:val="00F963A7"/>
    <w:rsid w:val="00F96538"/>
    <w:rsid w:val="00F96742"/>
    <w:rsid w:val="00F969CB"/>
    <w:rsid w:val="00F96ADF"/>
    <w:rsid w:val="00F97322"/>
    <w:rsid w:val="00F97449"/>
    <w:rsid w:val="00F9769D"/>
    <w:rsid w:val="00F97783"/>
    <w:rsid w:val="00F9788C"/>
    <w:rsid w:val="00F978B9"/>
    <w:rsid w:val="00F979A1"/>
    <w:rsid w:val="00FA008F"/>
    <w:rsid w:val="00FA00D8"/>
    <w:rsid w:val="00FA02AC"/>
    <w:rsid w:val="00FA02D5"/>
    <w:rsid w:val="00FA048E"/>
    <w:rsid w:val="00FA0A64"/>
    <w:rsid w:val="00FA0B91"/>
    <w:rsid w:val="00FA0BE7"/>
    <w:rsid w:val="00FA0D4F"/>
    <w:rsid w:val="00FA1133"/>
    <w:rsid w:val="00FA12D5"/>
    <w:rsid w:val="00FA13EC"/>
    <w:rsid w:val="00FA17F3"/>
    <w:rsid w:val="00FA1902"/>
    <w:rsid w:val="00FA1C03"/>
    <w:rsid w:val="00FA1F91"/>
    <w:rsid w:val="00FA1FB6"/>
    <w:rsid w:val="00FA2065"/>
    <w:rsid w:val="00FA231E"/>
    <w:rsid w:val="00FA2320"/>
    <w:rsid w:val="00FA2728"/>
    <w:rsid w:val="00FA2AF9"/>
    <w:rsid w:val="00FA2D99"/>
    <w:rsid w:val="00FA2E10"/>
    <w:rsid w:val="00FA3146"/>
    <w:rsid w:val="00FA31E1"/>
    <w:rsid w:val="00FA321A"/>
    <w:rsid w:val="00FA3238"/>
    <w:rsid w:val="00FA32ED"/>
    <w:rsid w:val="00FA3370"/>
    <w:rsid w:val="00FA377B"/>
    <w:rsid w:val="00FA3BD1"/>
    <w:rsid w:val="00FA3C53"/>
    <w:rsid w:val="00FA4083"/>
    <w:rsid w:val="00FA44C1"/>
    <w:rsid w:val="00FA44D9"/>
    <w:rsid w:val="00FA4536"/>
    <w:rsid w:val="00FA469C"/>
    <w:rsid w:val="00FA4729"/>
    <w:rsid w:val="00FA47D5"/>
    <w:rsid w:val="00FA494D"/>
    <w:rsid w:val="00FA512F"/>
    <w:rsid w:val="00FA52D8"/>
    <w:rsid w:val="00FA56FE"/>
    <w:rsid w:val="00FA5962"/>
    <w:rsid w:val="00FA5AE7"/>
    <w:rsid w:val="00FA5BC7"/>
    <w:rsid w:val="00FA5F0F"/>
    <w:rsid w:val="00FA608F"/>
    <w:rsid w:val="00FA6118"/>
    <w:rsid w:val="00FA650F"/>
    <w:rsid w:val="00FA66F4"/>
    <w:rsid w:val="00FA676C"/>
    <w:rsid w:val="00FA6B2E"/>
    <w:rsid w:val="00FA6D54"/>
    <w:rsid w:val="00FA711A"/>
    <w:rsid w:val="00FA71D1"/>
    <w:rsid w:val="00FA725A"/>
    <w:rsid w:val="00FA782C"/>
    <w:rsid w:val="00FA7907"/>
    <w:rsid w:val="00FB01CF"/>
    <w:rsid w:val="00FB02AF"/>
    <w:rsid w:val="00FB044F"/>
    <w:rsid w:val="00FB06C6"/>
    <w:rsid w:val="00FB07AD"/>
    <w:rsid w:val="00FB0930"/>
    <w:rsid w:val="00FB0C8F"/>
    <w:rsid w:val="00FB0FD8"/>
    <w:rsid w:val="00FB122B"/>
    <w:rsid w:val="00FB146C"/>
    <w:rsid w:val="00FB155E"/>
    <w:rsid w:val="00FB16BA"/>
    <w:rsid w:val="00FB1825"/>
    <w:rsid w:val="00FB192E"/>
    <w:rsid w:val="00FB193A"/>
    <w:rsid w:val="00FB1B1B"/>
    <w:rsid w:val="00FB1C08"/>
    <w:rsid w:val="00FB2031"/>
    <w:rsid w:val="00FB20BC"/>
    <w:rsid w:val="00FB21C7"/>
    <w:rsid w:val="00FB240A"/>
    <w:rsid w:val="00FB2AB7"/>
    <w:rsid w:val="00FB3052"/>
    <w:rsid w:val="00FB32E2"/>
    <w:rsid w:val="00FB33A5"/>
    <w:rsid w:val="00FB33FF"/>
    <w:rsid w:val="00FB3462"/>
    <w:rsid w:val="00FB349B"/>
    <w:rsid w:val="00FB365E"/>
    <w:rsid w:val="00FB3682"/>
    <w:rsid w:val="00FB3A12"/>
    <w:rsid w:val="00FB3A5B"/>
    <w:rsid w:val="00FB3B67"/>
    <w:rsid w:val="00FB3DE7"/>
    <w:rsid w:val="00FB3F58"/>
    <w:rsid w:val="00FB4139"/>
    <w:rsid w:val="00FB42E9"/>
    <w:rsid w:val="00FB455D"/>
    <w:rsid w:val="00FB46C7"/>
    <w:rsid w:val="00FB4BC7"/>
    <w:rsid w:val="00FB4FE5"/>
    <w:rsid w:val="00FB5129"/>
    <w:rsid w:val="00FB5466"/>
    <w:rsid w:val="00FB54EE"/>
    <w:rsid w:val="00FB5514"/>
    <w:rsid w:val="00FB5564"/>
    <w:rsid w:val="00FB57C7"/>
    <w:rsid w:val="00FB580A"/>
    <w:rsid w:val="00FB60AE"/>
    <w:rsid w:val="00FB6382"/>
    <w:rsid w:val="00FB663A"/>
    <w:rsid w:val="00FB6780"/>
    <w:rsid w:val="00FB6DCD"/>
    <w:rsid w:val="00FB6E4B"/>
    <w:rsid w:val="00FB6E78"/>
    <w:rsid w:val="00FB6ECD"/>
    <w:rsid w:val="00FB7002"/>
    <w:rsid w:val="00FB70C7"/>
    <w:rsid w:val="00FB7275"/>
    <w:rsid w:val="00FB75AA"/>
    <w:rsid w:val="00FB76F5"/>
    <w:rsid w:val="00FB770D"/>
    <w:rsid w:val="00FB77A3"/>
    <w:rsid w:val="00FB7860"/>
    <w:rsid w:val="00FB7B0A"/>
    <w:rsid w:val="00FB7BE7"/>
    <w:rsid w:val="00FB7CBF"/>
    <w:rsid w:val="00FC035C"/>
    <w:rsid w:val="00FC0472"/>
    <w:rsid w:val="00FC05EF"/>
    <w:rsid w:val="00FC0871"/>
    <w:rsid w:val="00FC0947"/>
    <w:rsid w:val="00FC0F01"/>
    <w:rsid w:val="00FC12A4"/>
    <w:rsid w:val="00FC1483"/>
    <w:rsid w:val="00FC1637"/>
    <w:rsid w:val="00FC171F"/>
    <w:rsid w:val="00FC19DC"/>
    <w:rsid w:val="00FC1A4A"/>
    <w:rsid w:val="00FC1F01"/>
    <w:rsid w:val="00FC215D"/>
    <w:rsid w:val="00FC2444"/>
    <w:rsid w:val="00FC2669"/>
    <w:rsid w:val="00FC2839"/>
    <w:rsid w:val="00FC28D5"/>
    <w:rsid w:val="00FC293E"/>
    <w:rsid w:val="00FC2C72"/>
    <w:rsid w:val="00FC2CC6"/>
    <w:rsid w:val="00FC2D23"/>
    <w:rsid w:val="00FC2F2F"/>
    <w:rsid w:val="00FC3068"/>
    <w:rsid w:val="00FC346F"/>
    <w:rsid w:val="00FC3DDD"/>
    <w:rsid w:val="00FC3DF6"/>
    <w:rsid w:val="00FC3F83"/>
    <w:rsid w:val="00FC3FA5"/>
    <w:rsid w:val="00FC41A0"/>
    <w:rsid w:val="00FC49A6"/>
    <w:rsid w:val="00FC49FF"/>
    <w:rsid w:val="00FC4B91"/>
    <w:rsid w:val="00FC4CE2"/>
    <w:rsid w:val="00FC4EA8"/>
    <w:rsid w:val="00FC525F"/>
    <w:rsid w:val="00FC52E8"/>
    <w:rsid w:val="00FC52F8"/>
    <w:rsid w:val="00FC53EA"/>
    <w:rsid w:val="00FC5463"/>
    <w:rsid w:val="00FC55B5"/>
    <w:rsid w:val="00FC5691"/>
    <w:rsid w:val="00FC575F"/>
    <w:rsid w:val="00FC5AAB"/>
    <w:rsid w:val="00FC5AF7"/>
    <w:rsid w:val="00FC5E24"/>
    <w:rsid w:val="00FC6528"/>
    <w:rsid w:val="00FC6762"/>
    <w:rsid w:val="00FC67DF"/>
    <w:rsid w:val="00FC67FF"/>
    <w:rsid w:val="00FC6810"/>
    <w:rsid w:val="00FC7010"/>
    <w:rsid w:val="00FC70F9"/>
    <w:rsid w:val="00FC73A8"/>
    <w:rsid w:val="00FC7638"/>
    <w:rsid w:val="00FC7923"/>
    <w:rsid w:val="00FC7A39"/>
    <w:rsid w:val="00FC7B9C"/>
    <w:rsid w:val="00FC7D78"/>
    <w:rsid w:val="00FC7F7C"/>
    <w:rsid w:val="00FD0089"/>
    <w:rsid w:val="00FD00D3"/>
    <w:rsid w:val="00FD05E4"/>
    <w:rsid w:val="00FD06C2"/>
    <w:rsid w:val="00FD0887"/>
    <w:rsid w:val="00FD08EC"/>
    <w:rsid w:val="00FD0A41"/>
    <w:rsid w:val="00FD0AD3"/>
    <w:rsid w:val="00FD0D86"/>
    <w:rsid w:val="00FD1063"/>
    <w:rsid w:val="00FD1105"/>
    <w:rsid w:val="00FD1193"/>
    <w:rsid w:val="00FD12CC"/>
    <w:rsid w:val="00FD15C9"/>
    <w:rsid w:val="00FD1758"/>
    <w:rsid w:val="00FD1AB0"/>
    <w:rsid w:val="00FD1BF3"/>
    <w:rsid w:val="00FD2087"/>
    <w:rsid w:val="00FD2A0A"/>
    <w:rsid w:val="00FD2D2C"/>
    <w:rsid w:val="00FD2F37"/>
    <w:rsid w:val="00FD2F95"/>
    <w:rsid w:val="00FD3039"/>
    <w:rsid w:val="00FD32BE"/>
    <w:rsid w:val="00FD360D"/>
    <w:rsid w:val="00FD3A1E"/>
    <w:rsid w:val="00FD3A4C"/>
    <w:rsid w:val="00FD3AB8"/>
    <w:rsid w:val="00FD3AFB"/>
    <w:rsid w:val="00FD4106"/>
    <w:rsid w:val="00FD42DA"/>
    <w:rsid w:val="00FD4387"/>
    <w:rsid w:val="00FD4582"/>
    <w:rsid w:val="00FD47E0"/>
    <w:rsid w:val="00FD4A49"/>
    <w:rsid w:val="00FD4AA1"/>
    <w:rsid w:val="00FD4CB8"/>
    <w:rsid w:val="00FD4D6B"/>
    <w:rsid w:val="00FD4D99"/>
    <w:rsid w:val="00FD4E4C"/>
    <w:rsid w:val="00FD5207"/>
    <w:rsid w:val="00FD530F"/>
    <w:rsid w:val="00FD5419"/>
    <w:rsid w:val="00FD5505"/>
    <w:rsid w:val="00FD55BA"/>
    <w:rsid w:val="00FD5635"/>
    <w:rsid w:val="00FD5769"/>
    <w:rsid w:val="00FD57FA"/>
    <w:rsid w:val="00FD589B"/>
    <w:rsid w:val="00FD5E05"/>
    <w:rsid w:val="00FD5E8B"/>
    <w:rsid w:val="00FD5EDD"/>
    <w:rsid w:val="00FD61C8"/>
    <w:rsid w:val="00FD645B"/>
    <w:rsid w:val="00FD6477"/>
    <w:rsid w:val="00FD64B9"/>
    <w:rsid w:val="00FD652E"/>
    <w:rsid w:val="00FD65EE"/>
    <w:rsid w:val="00FD6652"/>
    <w:rsid w:val="00FD671D"/>
    <w:rsid w:val="00FD6A46"/>
    <w:rsid w:val="00FD6F42"/>
    <w:rsid w:val="00FD7000"/>
    <w:rsid w:val="00FD7087"/>
    <w:rsid w:val="00FD70A9"/>
    <w:rsid w:val="00FD721D"/>
    <w:rsid w:val="00FD7296"/>
    <w:rsid w:val="00FD761E"/>
    <w:rsid w:val="00FD77A0"/>
    <w:rsid w:val="00FD7AB7"/>
    <w:rsid w:val="00FD7B59"/>
    <w:rsid w:val="00FD7BD8"/>
    <w:rsid w:val="00FD7E31"/>
    <w:rsid w:val="00FE00AA"/>
    <w:rsid w:val="00FE03D0"/>
    <w:rsid w:val="00FE0597"/>
    <w:rsid w:val="00FE05F0"/>
    <w:rsid w:val="00FE0CA2"/>
    <w:rsid w:val="00FE0F89"/>
    <w:rsid w:val="00FE1186"/>
    <w:rsid w:val="00FE147D"/>
    <w:rsid w:val="00FE1505"/>
    <w:rsid w:val="00FE16F9"/>
    <w:rsid w:val="00FE1710"/>
    <w:rsid w:val="00FE1804"/>
    <w:rsid w:val="00FE1869"/>
    <w:rsid w:val="00FE1ADC"/>
    <w:rsid w:val="00FE1BBF"/>
    <w:rsid w:val="00FE1F9F"/>
    <w:rsid w:val="00FE2056"/>
    <w:rsid w:val="00FE2255"/>
    <w:rsid w:val="00FE234C"/>
    <w:rsid w:val="00FE23A8"/>
    <w:rsid w:val="00FE2640"/>
    <w:rsid w:val="00FE2905"/>
    <w:rsid w:val="00FE2AC4"/>
    <w:rsid w:val="00FE2DD5"/>
    <w:rsid w:val="00FE2FB2"/>
    <w:rsid w:val="00FE311C"/>
    <w:rsid w:val="00FE32C8"/>
    <w:rsid w:val="00FE344B"/>
    <w:rsid w:val="00FE37E6"/>
    <w:rsid w:val="00FE3A54"/>
    <w:rsid w:val="00FE3FED"/>
    <w:rsid w:val="00FE4121"/>
    <w:rsid w:val="00FE420B"/>
    <w:rsid w:val="00FE43B8"/>
    <w:rsid w:val="00FE4425"/>
    <w:rsid w:val="00FE46AF"/>
    <w:rsid w:val="00FE4810"/>
    <w:rsid w:val="00FE49C1"/>
    <w:rsid w:val="00FE49E2"/>
    <w:rsid w:val="00FE4F8C"/>
    <w:rsid w:val="00FE4FB6"/>
    <w:rsid w:val="00FE513C"/>
    <w:rsid w:val="00FE5179"/>
    <w:rsid w:val="00FE5276"/>
    <w:rsid w:val="00FE52C5"/>
    <w:rsid w:val="00FE5386"/>
    <w:rsid w:val="00FE5602"/>
    <w:rsid w:val="00FE5823"/>
    <w:rsid w:val="00FE5911"/>
    <w:rsid w:val="00FE5934"/>
    <w:rsid w:val="00FE59F5"/>
    <w:rsid w:val="00FE5C32"/>
    <w:rsid w:val="00FE5CB2"/>
    <w:rsid w:val="00FE5D78"/>
    <w:rsid w:val="00FE5DA0"/>
    <w:rsid w:val="00FE5E03"/>
    <w:rsid w:val="00FE5EC5"/>
    <w:rsid w:val="00FE6173"/>
    <w:rsid w:val="00FE626A"/>
    <w:rsid w:val="00FE6299"/>
    <w:rsid w:val="00FE6413"/>
    <w:rsid w:val="00FE64BA"/>
    <w:rsid w:val="00FE6549"/>
    <w:rsid w:val="00FE6731"/>
    <w:rsid w:val="00FE67F1"/>
    <w:rsid w:val="00FE6937"/>
    <w:rsid w:val="00FE69A2"/>
    <w:rsid w:val="00FE6D53"/>
    <w:rsid w:val="00FE6D80"/>
    <w:rsid w:val="00FE6DF9"/>
    <w:rsid w:val="00FE6E04"/>
    <w:rsid w:val="00FE7076"/>
    <w:rsid w:val="00FE70B8"/>
    <w:rsid w:val="00FE7387"/>
    <w:rsid w:val="00FE766C"/>
    <w:rsid w:val="00FE7716"/>
    <w:rsid w:val="00FE7844"/>
    <w:rsid w:val="00FE78C6"/>
    <w:rsid w:val="00FE79A4"/>
    <w:rsid w:val="00FE7EE9"/>
    <w:rsid w:val="00FE7F1A"/>
    <w:rsid w:val="00FF003C"/>
    <w:rsid w:val="00FF028E"/>
    <w:rsid w:val="00FF0294"/>
    <w:rsid w:val="00FF0440"/>
    <w:rsid w:val="00FF05BF"/>
    <w:rsid w:val="00FF070D"/>
    <w:rsid w:val="00FF088D"/>
    <w:rsid w:val="00FF0945"/>
    <w:rsid w:val="00FF0966"/>
    <w:rsid w:val="00FF096D"/>
    <w:rsid w:val="00FF09CE"/>
    <w:rsid w:val="00FF0D85"/>
    <w:rsid w:val="00FF0D9F"/>
    <w:rsid w:val="00FF10D8"/>
    <w:rsid w:val="00FF1255"/>
    <w:rsid w:val="00FF175E"/>
    <w:rsid w:val="00FF17D4"/>
    <w:rsid w:val="00FF17F4"/>
    <w:rsid w:val="00FF1829"/>
    <w:rsid w:val="00FF18F2"/>
    <w:rsid w:val="00FF1908"/>
    <w:rsid w:val="00FF199F"/>
    <w:rsid w:val="00FF1A77"/>
    <w:rsid w:val="00FF1C21"/>
    <w:rsid w:val="00FF1CF3"/>
    <w:rsid w:val="00FF203C"/>
    <w:rsid w:val="00FF20C4"/>
    <w:rsid w:val="00FF21BB"/>
    <w:rsid w:val="00FF23E4"/>
    <w:rsid w:val="00FF242E"/>
    <w:rsid w:val="00FF26BA"/>
    <w:rsid w:val="00FF2887"/>
    <w:rsid w:val="00FF28C7"/>
    <w:rsid w:val="00FF296C"/>
    <w:rsid w:val="00FF299F"/>
    <w:rsid w:val="00FF2A0F"/>
    <w:rsid w:val="00FF2E13"/>
    <w:rsid w:val="00FF2EAF"/>
    <w:rsid w:val="00FF2EC6"/>
    <w:rsid w:val="00FF30BA"/>
    <w:rsid w:val="00FF3139"/>
    <w:rsid w:val="00FF318E"/>
    <w:rsid w:val="00FF3319"/>
    <w:rsid w:val="00FF3C00"/>
    <w:rsid w:val="00FF3CAA"/>
    <w:rsid w:val="00FF3F6C"/>
    <w:rsid w:val="00FF40C7"/>
    <w:rsid w:val="00FF420F"/>
    <w:rsid w:val="00FF42BC"/>
    <w:rsid w:val="00FF4339"/>
    <w:rsid w:val="00FF48A8"/>
    <w:rsid w:val="00FF497D"/>
    <w:rsid w:val="00FF49AC"/>
    <w:rsid w:val="00FF4AC4"/>
    <w:rsid w:val="00FF4AFB"/>
    <w:rsid w:val="00FF4C5E"/>
    <w:rsid w:val="00FF4D9B"/>
    <w:rsid w:val="00FF5075"/>
    <w:rsid w:val="00FF54CE"/>
    <w:rsid w:val="00FF54D3"/>
    <w:rsid w:val="00FF571A"/>
    <w:rsid w:val="00FF59F7"/>
    <w:rsid w:val="00FF5AE6"/>
    <w:rsid w:val="00FF5B16"/>
    <w:rsid w:val="00FF5BA0"/>
    <w:rsid w:val="00FF5D26"/>
    <w:rsid w:val="00FF5DF9"/>
    <w:rsid w:val="00FF6179"/>
    <w:rsid w:val="00FF628B"/>
    <w:rsid w:val="00FF644F"/>
    <w:rsid w:val="00FF647C"/>
    <w:rsid w:val="00FF64A0"/>
    <w:rsid w:val="00FF6729"/>
    <w:rsid w:val="00FF67D2"/>
    <w:rsid w:val="00FF6D86"/>
    <w:rsid w:val="00FF6E93"/>
    <w:rsid w:val="00FF7022"/>
    <w:rsid w:val="00FF72F3"/>
    <w:rsid w:val="00FF730C"/>
    <w:rsid w:val="00FF74DA"/>
    <w:rsid w:val="00FF7540"/>
    <w:rsid w:val="00FF7902"/>
    <w:rsid w:val="00FF7910"/>
    <w:rsid w:val="00FF7B04"/>
    <w:rsid w:val="00FF7F22"/>
    <w:rsid w:val="02637FD4"/>
    <w:rsid w:val="02689F3A"/>
    <w:rsid w:val="02867AEB"/>
    <w:rsid w:val="086870C4"/>
    <w:rsid w:val="0917456C"/>
    <w:rsid w:val="0917875B"/>
    <w:rsid w:val="097EB56C"/>
    <w:rsid w:val="0A0F628B"/>
    <w:rsid w:val="0B1C5616"/>
    <w:rsid w:val="0C74693C"/>
    <w:rsid w:val="0D8DAAE9"/>
    <w:rsid w:val="10D24AFF"/>
    <w:rsid w:val="10E2057F"/>
    <w:rsid w:val="11FF130E"/>
    <w:rsid w:val="153F4F17"/>
    <w:rsid w:val="162B8EDD"/>
    <w:rsid w:val="16849096"/>
    <w:rsid w:val="16C96DAE"/>
    <w:rsid w:val="176A6055"/>
    <w:rsid w:val="186872A5"/>
    <w:rsid w:val="18B0DB06"/>
    <w:rsid w:val="1972ED67"/>
    <w:rsid w:val="1991088F"/>
    <w:rsid w:val="1B8BF683"/>
    <w:rsid w:val="1BF6F351"/>
    <w:rsid w:val="1D77622D"/>
    <w:rsid w:val="1E02B5EF"/>
    <w:rsid w:val="1F03EDE5"/>
    <w:rsid w:val="1F42D215"/>
    <w:rsid w:val="241D8662"/>
    <w:rsid w:val="2465E712"/>
    <w:rsid w:val="251D4C5B"/>
    <w:rsid w:val="2572FACF"/>
    <w:rsid w:val="271AFE96"/>
    <w:rsid w:val="2736A8B4"/>
    <w:rsid w:val="27C80F4B"/>
    <w:rsid w:val="2871CD6B"/>
    <w:rsid w:val="289FA31E"/>
    <w:rsid w:val="293D376E"/>
    <w:rsid w:val="2A373C60"/>
    <w:rsid w:val="2B9FABD4"/>
    <w:rsid w:val="2C9B3B84"/>
    <w:rsid w:val="2D0AAE34"/>
    <w:rsid w:val="2D6576AB"/>
    <w:rsid w:val="2D8C96CC"/>
    <w:rsid w:val="2F8EBB57"/>
    <w:rsid w:val="308B51E4"/>
    <w:rsid w:val="343A2537"/>
    <w:rsid w:val="34931E7D"/>
    <w:rsid w:val="349DF08B"/>
    <w:rsid w:val="35926EEF"/>
    <w:rsid w:val="38E092AB"/>
    <w:rsid w:val="396C76E4"/>
    <w:rsid w:val="39A4DC6B"/>
    <w:rsid w:val="3A3752F8"/>
    <w:rsid w:val="3AAB2ACF"/>
    <w:rsid w:val="3AF6623C"/>
    <w:rsid w:val="3B9A01ED"/>
    <w:rsid w:val="3D10D18A"/>
    <w:rsid w:val="401698CA"/>
    <w:rsid w:val="4097D33D"/>
    <w:rsid w:val="40CAA49C"/>
    <w:rsid w:val="427B7BC7"/>
    <w:rsid w:val="428FD8E5"/>
    <w:rsid w:val="42DCF2E9"/>
    <w:rsid w:val="43FF7922"/>
    <w:rsid w:val="4495CF91"/>
    <w:rsid w:val="44CB141F"/>
    <w:rsid w:val="454C5978"/>
    <w:rsid w:val="4565CAE5"/>
    <w:rsid w:val="45833B3A"/>
    <w:rsid w:val="45958CE2"/>
    <w:rsid w:val="486C3F13"/>
    <w:rsid w:val="489F30BE"/>
    <w:rsid w:val="48D8DF74"/>
    <w:rsid w:val="48D9F860"/>
    <w:rsid w:val="48E9A283"/>
    <w:rsid w:val="4A25779B"/>
    <w:rsid w:val="4A5F11F1"/>
    <w:rsid w:val="4C4A3BF3"/>
    <w:rsid w:val="4CDF6836"/>
    <w:rsid w:val="4E0B6891"/>
    <w:rsid w:val="4E40628A"/>
    <w:rsid w:val="4EE37734"/>
    <w:rsid w:val="4F3D034C"/>
    <w:rsid w:val="504E844A"/>
    <w:rsid w:val="52437F2A"/>
    <w:rsid w:val="52602811"/>
    <w:rsid w:val="52A2A7CF"/>
    <w:rsid w:val="52BDBF39"/>
    <w:rsid w:val="53477A3C"/>
    <w:rsid w:val="53515842"/>
    <w:rsid w:val="53E13942"/>
    <w:rsid w:val="5497E6AA"/>
    <w:rsid w:val="54EE87BA"/>
    <w:rsid w:val="5522FD80"/>
    <w:rsid w:val="5586307C"/>
    <w:rsid w:val="56F6C0D7"/>
    <w:rsid w:val="587CD666"/>
    <w:rsid w:val="58CE4FF9"/>
    <w:rsid w:val="5AE617D6"/>
    <w:rsid w:val="5FBC5E49"/>
    <w:rsid w:val="62441060"/>
    <w:rsid w:val="625C4EF3"/>
    <w:rsid w:val="626BFD68"/>
    <w:rsid w:val="63F997AB"/>
    <w:rsid w:val="64CB6CFB"/>
    <w:rsid w:val="65A3E729"/>
    <w:rsid w:val="65C71EF8"/>
    <w:rsid w:val="65D25FB8"/>
    <w:rsid w:val="66F3A257"/>
    <w:rsid w:val="67A7349C"/>
    <w:rsid w:val="67AACD95"/>
    <w:rsid w:val="682081F8"/>
    <w:rsid w:val="69293313"/>
    <w:rsid w:val="6950E84C"/>
    <w:rsid w:val="6DA88628"/>
    <w:rsid w:val="6DCF3433"/>
    <w:rsid w:val="6E86909E"/>
    <w:rsid w:val="6F16BD94"/>
    <w:rsid w:val="6F85FB04"/>
    <w:rsid w:val="706CF0A6"/>
    <w:rsid w:val="708CD2FD"/>
    <w:rsid w:val="7119F273"/>
    <w:rsid w:val="719C9BB0"/>
    <w:rsid w:val="728A4730"/>
    <w:rsid w:val="746D9933"/>
    <w:rsid w:val="747763FE"/>
    <w:rsid w:val="75E15C5F"/>
    <w:rsid w:val="76C99F3C"/>
    <w:rsid w:val="76DB96C3"/>
    <w:rsid w:val="76F3F6DD"/>
    <w:rsid w:val="786B733D"/>
    <w:rsid w:val="79FB6819"/>
    <w:rsid w:val="7AAF7025"/>
    <w:rsid w:val="7B77BAAB"/>
    <w:rsid w:val="7C4659BA"/>
    <w:rsid w:val="7D133047"/>
    <w:rsid w:val="7D68E5D1"/>
    <w:rsid w:val="7DDF6889"/>
    <w:rsid w:val="7E3B1607"/>
    <w:rsid w:val="7F5DEDB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3EE0D2"/>
  <w15:docId w15:val="{FAD6D523-E7D5-40CA-88FA-D4E6D4B2AF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4"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3"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8"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96" w:qFormat="1"/>
    <w:lsdException w:name="List 2" w:semiHidden="1" w:unhideWhenUsed="1"/>
    <w:lsdException w:name="List 3" w:semiHidden="1" w:unhideWhenUsed="1"/>
    <w:lsdException w:name="List 4" w:semiHidden="1" w:unhideWhenUsed="1"/>
    <w:lsdException w:name="List 5" w:semiHidden="1" w:unhideWhenUsed="1"/>
    <w:lsdException w:name="List Bullet 2" w:qFormat="1"/>
    <w:lsdException w:name="List Bullet 3"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uiPriority="37"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locked="1" w:uiPriority="46"/>
    <w:lsdException w:name="Grid Table 2 Accent 1" w:locked="1" w:uiPriority="47"/>
    <w:lsdException w:name="Grid Table 3 Accent 1" w:locked="1" w:uiPriority="48"/>
    <w:lsdException w:name="Grid Table 4 Accent 1" w:locked="1" w:uiPriority="49"/>
    <w:lsdException w:name="Grid Table 5 Dark Accent 1" w:locked="1" w:uiPriority="50"/>
    <w:lsdException w:name="Grid Table 6 Colorful Accent 1" w:locked="1" w:uiPriority="51"/>
    <w:lsdException w:name="Grid Table 7 Colorful Accent 1" w:locked="1" w:uiPriority="52"/>
    <w:lsdException w:name="Grid Table 1 Light Accent 2" w:locked="1" w:uiPriority="46"/>
    <w:lsdException w:name="Grid Table 2 Accent 2" w:locked="1" w:uiPriority="47"/>
    <w:lsdException w:name="Grid Table 3 Accent 2" w:locked="1" w:uiPriority="48"/>
    <w:lsdException w:name="Grid Table 4 Accent 2" w:locked="1" w:uiPriority="49"/>
    <w:lsdException w:name="Grid Table 5 Dark Accent 2" w:locked="1" w:uiPriority="50"/>
    <w:lsdException w:name="Grid Table 6 Colorful Accent 2" w:locked="1" w:uiPriority="51"/>
    <w:lsdException w:name="Grid Table 7 Colorful Accent 2" w:locked="1" w:uiPriority="52"/>
    <w:lsdException w:name="Grid Table 1 Light Accent 3" w:locked="1" w:uiPriority="46"/>
    <w:lsdException w:name="Grid Table 2 Accent 3" w:locked="1" w:uiPriority="47"/>
    <w:lsdException w:name="Grid Table 3 Accent 3" w:locked="1" w:uiPriority="48"/>
    <w:lsdException w:name="Grid Table 4 Accent 3" w:locked="1" w:uiPriority="49"/>
    <w:lsdException w:name="Grid Table 5 Dark Accent 3" w:locked="1" w:uiPriority="50"/>
    <w:lsdException w:name="Grid Table 6 Colorful Accent 3" w:locked="1" w:uiPriority="51"/>
    <w:lsdException w:name="Grid Table 7 Colorful Accent 3" w:locked="1" w:uiPriority="52"/>
    <w:lsdException w:name="Grid Table 1 Light Accent 4" w:locked="1" w:uiPriority="46"/>
    <w:lsdException w:name="Grid Table 2 Accent 4" w:locked="1" w:uiPriority="47"/>
    <w:lsdException w:name="Grid Table 3 Accent 4" w:locked="1" w:uiPriority="48"/>
    <w:lsdException w:name="Grid Table 4 Accent 4" w:locked="1" w:uiPriority="49"/>
    <w:lsdException w:name="Grid Table 5 Dark Accent 4" w:locked="1" w:uiPriority="50"/>
    <w:lsdException w:name="Grid Table 6 Colorful Accent 4" w:locked="1" w:uiPriority="51"/>
    <w:lsdException w:name="Grid Table 7 Colorful Accent 4" w:locked="1"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locked="1" w:uiPriority="46"/>
    <w:lsdException w:name="Grid Table 2 Accent 6" w:locked="1" w:uiPriority="47"/>
    <w:lsdException w:name="Grid Table 3 Accent 6" w:locked="1" w:uiPriority="48"/>
    <w:lsdException w:name="Grid Table 4 Accent 6" w:locked="1" w:uiPriority="49"/>
    <w:lsdException w:name="Grid Table 5 Dark Accent 6" w:locked="1" w:uiPriority="50"/>
    <w:lsdException w:name="Grid Table 6 Colorful Accent 6" w:locked="1" w:uiPriority="51"/>
    <w:lsdException w:name="Grid Table 7 Colorful Accent 6" w:locked="1"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locked="1" w:uiPriority="46"/>
    <w:lsdException w:name="List Table 2 Accent 1" w:locked="1" w:uiPriority="47"/>
    <w:lsdException w:name="List Table 3 Accent 1" w:locked="1" w:uiPriority="48"/>
    <w:lsdException w:name="List Table 4 Accent 1" w:locked="1" w:uiPriority="49"/>
    <w:lsdException w:name="List Table 5 Dark Accent 1" w:locked="1" w:uiPriority="50"/>
    <w:lsdException w:name="List Table 6 Colorful Accent 1" w:locked="1" w:uiPriority="51"/>
    <w:lsdException w:name="List Table 7 Colorful Accent 1" w:locked="1" w:uiPriority="52"/>
    <w:lsdException w:name="List Table 1 Light Accent 2" w:locked="1" w:uiPriority="46"/>
    <w:lsdException w:name="List Table 2 Accent 2" w:locked="1" w:uiPriority="47"/>
    <w:lsdException w:name="List Table 3 Accent 2" w:locked="1" w:uiPriority="48"/>
    <w:lsdException w:name="List Table 4 Accent 2" w:locked="1" w:uiPriority="49"/>
    <w:lsdException w:name="List Table 5 Dark Accent 2" w:locked="1" w:uiPriority="50"/>
    <w:lsdException w:name="List Table 6 Colorful Accent 2" w:locked="1" w:uiPriority="51"/>
    <w:lsdException w:name="List Table 7 Colorful Accent 2" w:locked="1" w:uiPriority="52"/>
    <w:lsdException w:name="List Table 1 Light Accent 3" w:locked="1" w:uiPriority="46"/>
    <w:lsdException w:name="List Table 2 Accent 3" w:locked="1" w:uiPriority="47"/>
    <w:lsdException w:name="List Table 3 Accent 3" w:locked="1" w:uiPriority="48"/>
    <w:lsdException w:name="List Table 4 Accent 3" w:locked="1" w:uiPriority="49"/>
    <w:lsdException w:name="List Table 5 Dark Accent 3" w:locked="1" w:uiPriority="50"/>
    <w:lsdException w:name="List Table 6 Colorful Accent 3" w:locked="1" w:uiPriority="51"/>
    <w:lsdException w:name="List Table 7 Colorful Accent 3" w:locked="1" w:uiPriority="52"/>
    <w:lsdException w:name="List Table 1 Light Accent 4" w:locked="1" w:uiPriority="46"/>
    <w:lsdException w:name="List Table 2 Accent 4" w:locked="1" w:uiPriority="47"/>
    <w:lsdException w:name="List Table 3 Accent 4" w:locked="1" w:uiPriority="48"/>
    <w:lsdException w:name="List Table 4 Accent 4" w:locked="1" w:uiPriority="49"/>
    <w:lsdException w:name="List Table 5 Dark Accent 4" w:locked="1" w:uiPriority="50"/>
    <w:lsdException w:name="List Table 6 Colorful Accent 4" w:locked="1" w:uiPriority="51"/>
    <w:lsdException w:name="List Table 7 Colorful Accent 4" w:locked="1"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locked="1" w:uiPriority="46"/>
    <w:lsdException w:name="List Table 2 Accent 6" w:locked="1" w:uiPriority="47"/>
    <w:lsdException w:name="List Table 3 Accent 6" w:locked="1" w:uiPriority="48"/>
    <w:lsdException w:name="List Table 4 Accent 6" w:locked="1" w:uiPriority="49"/>
    <w:lsdException w:name="List Table 5 Dark Accent 6" w:locked="1" w:uiPriority="50"/>
    <w:lsdException w:name="List Table 6 Colorful Accent 6" w:locked="1" w:uiPriority="51"/>
    <w:lsdException w:name="List Table 7 Colorful Accent 6" w:locked="1"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
    <w:qFormat/>
    <w:rsid w:val="00E77B97"/>
    <w:pPr>
      <w:spacing w:after="0" w:line="240" w:lineRule="auto"/>
    </w:pPr>
    <w:rPr>
      <w:rFonts w:ascii="Arial" w:eastAsiaTheme="minorHAnsi" w:hAnsi="Arial"/>
      <w:sz w:val="20"/>
      <w:szCs w:val="18"/>
    </w:rPr>
  </w:style>
  <w:style w:type="paragraph" w:styleId="Heading1">
    <w:name w:val="heading 1"/>
    <w:basedOn w:val="Normal"/>
    <w:next w:val="Body"/>
    <w:link w:val="Heading1Char"/>
    <w:uiPriority w:val="9"/>
    <w:qFormat/>
    <w:rsid w:val="00F54842"/>
    <w:pPr>
      <w:pageBreakBefore/>
      <w:numPr>
        <w:numId w:val="3"/>
      </w:numPr>
      <w:spacing w:after="240"/>
      <w:ind w:left="851"/>
      <w:outlineLvl w:val="0"/>
    </w:pPr>
    <w:rPr>
      <w:color w:val="00399B" w:themeColor="text2" w:themeShade="BF"/>
      <w:sz w:val="40"/>
      <w:szCs w:val="40"/>
    </w:rPr>
  </w:style>
  <w:style w:type="paragraph" w:styleId="Heading2">
    <w:name w:val="heading 2"/>
    <w:basedOn w:val="Normal"/>
    <w:next w:val="Body"/>
    <w:link w:val="Heading2Char"/>
    <w:uiPriority w:val="9"/>
    <w:qFormat/>
    <w:rsid w:val="00A60A4E"/>
    <w:pPr>
      <w:keepNext/>
      <w:keepLines/>
      <w:numPr>
        <w:ilvl w:val="1"/>
        <w:numId w:val="3"/>
      </w:numPr>
      <w:spacing w:before="240" w:after="120"/>
      <w:outlineLvl w:val="1"/>
    </w:pPr>
    <w:rPr>
      <w:rFonts w:eastAsiaTheme="majorEastAsia" w:cs="Arial"/>
      <w:color w:val="004DCF" w:themeColor="text2"/>
      <w:sz w:val="32"/>
      <w:szCs w:val="32"/>
    </w:rPr>
  </w:style>
  <w:style w:type="paragraph" w:styleId="Heading3">
    <w:name w:val="heading 3"/>
    <w:basedOn w:val="Normal"/>
    <w:next w:val="Body"/>
    <w:link w:val="Heading3Char"/>
    <w:uiPriority w:val="9"/>
    <w:qFormat/>
    <w:rsid w:val="005B0799"/>
    <w:pPr>
      <w:keepNext/>
      <w:keepLines/>
      <w:numPr>
        <w:ilvl w:val="2"/>
        <w:numId w:val="3"/>
      </w:numPr>
      <w:spacing w:before="240" w:after="120"/>
      <w:ind w:left="851"/>
      <w:outlineLvl w:val="2"/>
    </w:pPr>
    <w:rPr>
      <w:rFonts w:eastAsiaTheme="majorEastAsia" w:cs="Arial"/>
      <w:color w:val="004DCF" w:themeColor="text2"/>
      <w:sz w:val="28"/>
      <w:szCs w:val="28"/>
    </w:rPr>
  </w:style>
  <w:style w:type="paragraph" w:styleId="Heading4">
    <w:name w:val="heading 4"/>
    <w:basedOn w:val="Normal"/>
    <w:next w:val="Body"/>
    <w:link w:val="Heading4Char"/>
    <w:uiPriority w:val="3"/>
    <w:qFormat/>
    <w:rsid w:val="00DD677C"/>
    <w:pPr>
      <w:keepNext/>
      <w:spacing w:before="240" w:after="120"/>
      <w:outlineLvl w:val="3"/>
    </w:pPr>
    <w:rPr>
      <w:color w:val="525F0C" w:themeColor="accent1"/>
      <w:sz w:val="22"/>
      <w:szCs w:val="21"/>
      <w:u w:val="single"/>
    </w:rPr>
  </w:style>
  <w:style w:type="paragraph" w:styleId="Heading5">
    <w:name w:val="heading 5"/>
    <w:basedOn w:val="Normal"/>
    <w:next w:val="Body"/>
    <w:link w:val="Heading5Char"/>
    <w:uiPriority w:val="3"/>
    <w:qFormat/>
    <w:rsid w:val="00DD677C"/>
    <w:pPr>
      <w:keepNext/>
      <w:spacing w:before="240" w:after="120"/>
      <w:outlineLvl w:val="4"/>
    </w:pPr>
    <w:rPr>
      <w:color w:val="525F0C" w:themeColor="accent1"/>
      <w:szCs w:val="20"/>
    </w:rPr>
  </w:style>
  <w:style w:type="paragraph" w:styleId="Heading6">
    <w:name w:val="heading 6"/>
    <w:basedOn w:val="Normal"/>
    <w:next w:val="Normal"/>
    <w:link w:val="Heading6Char"/>
    <w:uiPriority w:val="9"/>
    <w:unhideWhenUsed/>
    <w:rsid w:val="00DD677C"/>
    <w:pPr>
      <w:keepNext/>
      <w:keepLines/>
      <w:spacing w:before="40"/>
      <w:outlineLvl w:val="5"/>
    </w:pPr>
    <w:rPr>
      <w:rFonts w:asciiTheme="majorHAnsi" w:eastAsiaTheme="majorEastAsia" w:hAnsiTheme="majorHAnsi" w:cstheme="majorBidi"/>
      <w:i/>
      <w:iCs/>
      <w:caps/>
      <w:color w:val="292F06" w:themeColor="accent1" w:themeShade="80"/>
    </w:rPr>
  </w:style>
  <w:style w:type="paragraph" w:styleId="Heading7">
    <w:name w:val="heading 7"/>
    <w:basedOn w:val="Normal"/>
    <w:next w:val="Normal"/>
    <w:link w:val="Heading7Char"/>
    <w:uiPriority w:val="9"/>
    <w:unhideWhenUsed/>
    <w:rsid w:val="00DD677C"/>
    <w:pPr>
      <w:keepNext/>
      <w:keepLines/>
      <w:spacing w:before="40"/>
      <w:outlineLvl w:val="6"/>
    </w:pPr>
    <w:rPr>
      <w:rFonts w:asciiTheme="majorHAnsi" w:eastAsiaTheme="majorEastAsia" w:hAnsiTheme="majorHAnsi" w:cstheme="majorBidi"/>
      <w:b/>
      <w:bCs/>
      <w:color w:val="292F06" w:themeColor="accent1" w:themeShade="80"/>
    </w:rPr>
  </w:style>
  <w:style w:type="paragraph" w:styleId="Heading8">
    <w:name w:val="heading 8"/>
    <w:basedOn w:val="Normal"/>
    <w:next w:val="Normal"/>
    <w:link w:val="Heading8Char"/>
    <w:uiPriority w:val="9"/>
    <w:semiHidden/>
    <w:unhideWhenUsed/>
    <w:rsid w:val="00DD677C"/>
    <w:pPr>
      <w:keepNext/>
      <w:keepLines/>
      <w:spacing w:before="40"/>
      <w:outlineLvl w:val="7"/>
    </w:pPr>
    <w:rPr>
      <w:rFonts w:asciiTheme="majorHAnsi" w:eastAsiaTheme="majorEastAsia" w:hAnsiTheme="majorHAnsi" w:cstheme="majorBidi"/>
      <w:b/>
      <w:bCs/>
      <w:i/>
      <w:iCs/>
      <w:color w:val="292F06" w:themeColor="accent1" w:themeShade="80"/>
    </w:rPr>
  </w:style>
  <w:style w:type="paragraph" w:styleId="Heading9">
    <w:name w:val="heading 9"/>
    <w:basedOn w:val="Normal"/>
    <w:next w:val="Normal"/>
    <w:link w:val="Heading9Char"/>
    <w:uiPriority w:val="9"/>
    <w:semiHidden/>
    <w:unhideWhenUsed/>
    <w:qFormat/>
    <w:rsid w:val="00DD677C"/>
    <w:pPr>
      <w:keepNext/>
      <w:keepLines/>
      <w:spacing w:before="40"/>
      <w:outlineLvl w:val="8"/>
    </w:pPr>
    <w:rPr>
      <w:rFonts w:asciiTheme="majorHAnsi" w:eastAsiaTheme="majorEastAsia" w:hAnsiTheme="majorHAnsi" w:cstheme="majorBidi"/>
      <w:i/>
      <w:iCs/>
      <w:color w:val="292F06"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Indent">
    <w:name w:val="Body Indent"/>
    <w:basedOn w:val="Body"/>
    <w:next w:val="Body"/>
    <w:qFormat/>
    <w:rsid w:val="00DD677C"/>
    <w:pPr>
      <w:ind w:left="851"/>
    </w:pPr>
  </w:style>
  <w:style w:type="paragraph" w:styleId="BodyText">
    <w:name w:val="Body Text"/>
    <w:basedOn w:val="Normal"/>
    <w:link w:val="BodyTextChar"/>
    <w:uiPriority w:val="99"/>
    <w:qFormat/>
    <w:rsid w:val="001F6957"/>
    <w:pPr>
      <w:spacing w:before="140" w:after="140" w:line="276" w:lineRule="auto"/>
    </w:pPr>
  </w:style>
  <w:style w:type="paragraph" w:styleId="Title">
    <w:name w:val="Title"/>
    <w:basedOn w:val="Body"/>
    <w:next w:val="Body"/>
    <w:link w:val="TitleChar"/>
    <w:uiPriority w:val="10"/>
    <w:qFormat/>
    <w:rsid w:val="00A60A4E"/>
    <w:pPr>
      <w:spacing w:before="0" w:after="0" w:line="240" w:lineRule="auto"/>
      <w:ind w:left="397"/>
    </w:pPr>
    <w:rPr>
      <w:color w:val="00399B" w:themeColor="text2" w:themeShade="BF"/>
      <w:sz w:val="76"/>
      <w:szCs w:val="76"/>
    </w:rPr>
  </w:style>
  <w:style w:type="character" w:customStyle="1" w:styleId="TitleChar">
    <w:name w:val="Title Char"/>
    <w:basedOn w:val="DefaultParagraphFont"/>
    <w:link w:val="Title"/>
    <w:uiPriority w:val="10"/>
    <w:rsid w:val="00A60A4E"/>
    <w:rPr>
      <w:rFonts w:ascii="Arial" w:eastAsia="Times New Roman" w:hAnsi="Arial" w:cs="Times New Roman"/>
      <w:color w:val="00399B" w:themeColor="text2" w:themeShade="BF"/>
      <w:sz w:val="76"/>
      <w:szCs w:val="76"/>
    </w:rPr>
  </w:style>
  <w:style w:type="paragraph" w:customStyle="1" w:styleId="MajorHeading">
    <w:name w:val="Major Heading"/>
    <w:basedOn w:val="Normal"/>
    <w:next w:val="Normal"/>
    <w:link w:val="MajorHeadingChar"/>
    <w:uiPriority w:val="3"/>
    <w:qFormat/>
    <w:rsid w:val="00A60A4E"/>
    <w:pPr>
      <w:pageBreakBefore/>
      <w:spacing w:after="240"/>
      <w:outlineLvl w:val="0"/>
    </w:pPr>
    <w:rPr>
      <w:color w:val="00399B" w:themeColor="text2" w:themeShade="BF"/>
      <w:sz w:val="40"/>
      <w:szCs w:val="40"/>
    </w:rPr>
  </w:style>
  <w:style w:type="character" w:customStyle="1" w:styleId="MajorHeadingChar">
    <w:name w:val="Major Heading Char"/>
    <w:basedOn w:val="DefaultParagraphFont"/>
    <w:link w:val="MajorHeading"/>
    <w:uiPriority w:val="3"/>
    <w:rsid w:val="00A60A4E"/>
    <w:rPr>
      <w:rFonts w:ascii="Arial" w:eastAsiaTheme="minorHAnsi" w:hAnsi="Arial"/>
      <w:color w:val="00399B" w:themeColor="text2" w:themeShade="BF"/>
      <w:sz w:val="40"/>
      <w:szCs w:val="40"/>
    </w:rPr>
  </w:style>
  <w:style w:type="paragraph" w:styleId="NoSpacing">
    <w:name w:val="No Spacing"/>
    <w:uiPriority w:val="1"/>
    <w:qFormat/>
    <w:rsid w:val="00DD677C"/>
    <w:pPr>
      <w:spacing w:after="0" w:line="240" w:lineRule="auto"/>
    </w:pPr>
    <w:rPr>
      <w:rFonts w:ascii="Arial" w:eastAsiaTheme="minorHAnsi" w:hAnsi="Arial"/>
      <w:sz w:val="20"/>
      <w:szCs w:val="18"/>
    </w:rPr>
  </w:style>
  <w:style w:type="paragraph" w:styleId="Header">
    <w:name w:val="header"/>
    <w:basedOn w:val="Normal"/>
    <w:link w:val="HeaderChar"/>
    <w:uiPriority w:val="99"/>
    <w:unhideWhenUsed/>
    <w:rsid w:val="00DD677C"/>
    <w:pPr>
      <w:tabs>
        <w:tab w:val="center" w:pos="4513"/>
        <w:tab w:val="right" w:pos="9026"/>
      </w:tabs>
    </w:pPr>
  </w:style>
  <w:style w:type="character" w:customStyle="1" w:styleId="HeaderChar">
    <w:name w:val="Header Char"/>
    <w:basedOn w:val="DefaultParagraphFont"/>
    <w:link w:val="Header"/>
    <w:uiPriority w:val="99"/>
    <w:rsid w:val="00DD677C"/>
    <w:rPr>
      <w:rFonts w:ascii="Arial" w:eastAsiaTheme="minorHAnsi" w:hAnsi="Arial"/>
      <w:sz w:val="20"/>
      <w:szCs w:val="18"/>
    </w:rPr>
  </w:style>
  <w:style w:type="paragraph" w:styleId="Footer">
    <w:name w:val="footer"/>
    <w:basedOn w:val="Normal"/>
    <w:link w:val="FooterChar"/>
    <w:uiPriority w:val="99"/>
    <w:unhideWhenUsed/>
    <w:rsid w:val="00DD677C"/>
    <w:pPr>
      <w:tabs>
        <w:tab w:val="center" w:pos="4513"/>
        <w:tab w:val="right" w:pos="9026"/>
      </w:tabs>
    </w:pPr>
  </w:style>
  <w:style w:type="character" w:customStyle="1" w:styleId="FooterChar">
    <w:name w:val="Footer Char"/>
    <w:basedOn w:val="DefaultParagraphFont"/>
    <w:link w:val="Footer"/>
    <w:uiPriority w:val="99"/>
    <w:rsid w:val="00DD677C"/>
    <w:rPr>
      <w:rFonts w:ascii="Arial" w:eastAsiaTheme="minorHAnsi" w:hAnsi="Arial"/>
      <w:sz w:val="20"/>
      <w:szCs w:val="18"/>
    </w:rPr>
  </w:style>
  <w:style w:type="paragraph" w:customStyle="1" w:styleId="SubHeading1">
    <w:name w:val="Sub Heading 1"/>
    <w:basedOn w:val="Normal"/>
    <w:next w:val="Body"/>
    <w:link w:val="SubHeading1Char"/>
    <w:uiPriority w:val="3"/>
    <w:qFormat/>
    <w:rsid w:val="00A60A4E"/>
    <w:pPr>
      <w:keepNext/>
      <w:spacing w:before="120" w:after="120"/>
    </w:pPr>
    <w:rPr>
      <w:bCs/>
      <w:color w:val="004DCF" w:themeColor="text2"/>
      <w:sz w:val="32"/>
      <w:szCs w:val="32"/>
    </w:rPr>
  </w:style>
  <w:style w:type="character" w:customStyle="1" w:styleId="SubHeading1Char">
    <w:name w:val="Sub Heading 1 Char"/>
    <w:basedOn w:val="DefaultParagraphFont"/>
    <w:link w:val="SubHeading1"/>
    <w:uiPriority w:val="3"/>
    <w:rsid w:val="00A60A4E"/>
    <w:rPr>
      <w:rFonts w:ascii="Arial" w:eastAsiaTheme="minorHAnsi" w:hAnsi="Arial"/>
      <w:bCs/>
      <w:color w:val="004DCF" w:themeColor="text2"/>
      <w:sz w:val="32"/>
      <w:szCs w:val="32"/>
    </w:rPr>
  </w:style>
  <w:style w:type="paragraph" w:styleId="TOC1">
    <w:name w:val="toc 1"/>
    <w:basedOn w:val="Normal"/>
    <w:next w:val="Normal"/>
    <w:autoRedefine/>
    <w:uiPriority w:val="39"/>
    <w:unhideWhenUsed/>
    <w:qFormat/>
    <w:rsid w:val="00DD677C"/>
    <w:pPr>
      <w:tabs>
        <w:tab w:val="right" w:leader="dot" w:pos="9638"/>
      </w:tabs>
      <w:spacing w:before="120" w:after="120"/>
      <w:ind w:left="567" w:hanging="567"/>
    </w:pPr>
    <w:rPr>
      <w:rFonts w:eastAsia="Times New Roman" w:cs="Times New Roman"/>
      <w:b/>
      <w:noProof/>
      <w:szCs w:val="20"/>
    </w:rPr>
  </w:style>
  <w:style w:type="paragraph" w:styleId="TOC2">
    <w:name w:val="toc 2"/>
    <w:basedOn w:val="Normal"/>
    <w:next w:val="Normal"/>
    <w:link w:val="TOC2Char"/>
    <w:uiPriority w:val="39"/>
    <w:unhideWhenUsed/>
    <w:qFormat/>
    <w:rsid w:val="00DD677C"/>
    <w:pPr>
      <w:tabs>
        <w:tab w:val="left" w:pos="1134"/>
        <w:tab w:val="right" w:leader="dot" w:pos="9638"/>
      </w:tabs>
      <w:spacing w:before="60" w:after="60"/>
      <w:ind w:left="1134" w:hanging="567"/>
    </w:pPr>
    <w:rPr>
      <w:rFonts w:eastAsia="Times New Roman" w:cs="Times New Roman"/>
      <w:noProof/>
      <w:szCs w:val="20"/>
    </w:rPr>
  </w:style>
  <w:style w:type="character" w:customStyle="1" w:styleId="TOC2Char">
    <w:name w:val="TOC 2 Char"/>
    <w:basedOn w:val="DefaultParagraphFont"/>
    <w:link w:val="TOC2"/>
    <w:uiPriority w:val="39"/>
    <w:rsid w:val="00DD677C"/>
    <w:rPr>
      <w:rFonts w:ascii="Arial" w:eastAsia="Times New Roman" w:hAnsi="Arial" w:cs="Times New Roman"/>
      <w:noProof/>
      <w:sz w:val="20"/>
      <w:szCs w:val="20"/>
    </w:rPr>
  </w:style>
  <w:style w:type="paragraph" w:styleId="TOC3">
    <w:name w:val="toc 3"/>
    <w:basedOn w:val="Normal"/>
    <w:next w:val="Normal"/>
    <w:uiPriority w:val="39"/>
    <w:unhideWhenUsed/>
    <w:qFormat/>
    <w:rsid w:val="00DD677C"/>
    <w:pPr>
      <w:tabs>
        <w:tab w:val="left" w:pos="1843"/>
        <w:tab w:val="right" w:leader="dot" w:pos="9638"/>
      </w:tabs>
      <w:spacing w:before="60" w:after="60"/>
      <w:ind w:left="1843" w:hanging="709"/>
    </w:pPr>
    <w:rPr>
      <w:rFonts w:eastAsia="Times New Roman" w:cs="Times New Roman"/>
      <w:noProof/>
      <w:szCs w:val="20"/>
    </w:rPr>
  </w:style>
  <w:style w:type="character" w:styleId="Hyperlink">
    <w:name w:val="Hyperlink"/>
    <w:basedOn w:val="DefaultParagraphFont"/>
    <w:uiPriority w:val="99"/>
    <w:unhideWhenUsed/>
    <w:rsid w:val="00DD677C"/>
    <w:rPr>
      <w:color w:val="000000" w:themeColor="text1"/>
      <w:u w:val="single"/>
    </w:rPr>
  </w:style>
  <w:style w:type="paragraph" w:styleId="TableofFigures">
    <w:name w:val="table of figures"/>
    <w:basedOn w:val="Normal"/>
    <w:next w:val="Normal"/>
    <w:uiPriority w:val="99"/>
    <w:unhideWhenUsed/>
    <w:rsid w:val="00DD677C"/>
    <w:pPr>
      <w:spacing w:before="60" w:after="60"/>
      <w:ind w:left="1134" w:right="567" w:hanging="1134"/>
    </w:pPr>
    <w:rPr>
      <w:color w:val="000000" w:themeColor="text1"/>
    </w:rPr>
  </w:style>
  <w:style w:type="paragraph" w:customStyle="1" w:styleId="Subheading2">
    <w:name w:val="Sub heading 2"/>
    <w:basedOn w:val="SubHeading1"/>
    <w:next w:val="Body"/>
    <w:link w:val="Subheading2Char"/>
    <w:uiPriority w:val="3"/>
    <w:qFormat/>
    <w:rsid w:val="00A60A4E"/>
    <w:rPr>
      <w:color w:val="3D4709" w:themeColor="accent1" w:themeShade="BF"/>
      <w:sz w:val="24"/>
      <w:szCs w:val="24"/>
    </w:rPr>
  </w:style>
  <w:style w:type="character" w:customStyle="1" w:styleId="Subheading2Char">
    <w:name w:val="Sub heading 2 Char"/>
    <w:basedOn w:val="SubHeading1Char"/>
    <w:link w:val="Subheading2"/>
    <w:uiPriority w:val="3"/>
    <w:rsid w:val="00A60A4E"/>
    <w:rPr>
      <w:rFonts w:ascii="Arial" w:eastAsiaTheme="minorHAnsi" w:hAnsi="Arial"/>
      <w:bCs/>
      <w:color w:val="3D4709" w:themeColor="accent1" w:themeShade="BF"/>
      <w:sz w:val="24"/>
      <w:szCs w:val="24"/>
    </w:rPr>
  </w:style>
  <w:style w:type="paragraph" w:styleId="Subtitle">
    <w:name w:val="Subtitle"/>
    <w:basedOn w:val="Body"/>
    <w:next w:val="Body"/>
    <w:link w:val="SubtitleChar"/>
    <w:uiPriority w:val="10"/>
    <w:qFormat/>
    <w:rsid w:val="00A60A4E"/>
    <w:pPr>
      <w:spacing w:before="0" w:after="0" w:line="240" w:lineRule="auto"/>
      <w:ind w:left="397"/>
    </w:pPr>
    <w:rPr>
      <w:color w:val="004DCF" w:themeColor="text2"/>
      <w:sz w:val="36"/>
      <w:szCs w:val="36"/>
    </w:rPr>
  </w:style>
  <w:style w:type="character" w:customStyle="1" w:styleId="SubtitleChar">
    <w:name w:val="Subtitle Char"/>
    <w:basedOn w:val="DefaultParagraphFont"/>
    <w:link w:val="Subtitle"/>
    <w:uiPriority w:val="10"/>
    <w:rsid w:val="00A60A4E"/>
    <w:rPr>
      <w:rFonts w:ascii="Arial" w:eastAsia="Times New Roman" w:hAnsi="Arial" w:cs="Times New Roman"/>
      <w:color w:val="004DCF" w:themeColor="text2"/>
      <w:sz w:val="36"/>
      <w:szCs w:val="36"/>
    </w:rPr>
  </w:style>
  <w:style w:type="paragraph" w:customStyle="1" w:styleId="BaseFigureNotes">
    <w:name w:val="Base Figure Notes"/>
    <w:basedOn w:val="Normal"/>
    <w:next w:val="Normal"/>
    <w:uiPriority w:val="7"/>
    <w:qFormat/>
    <w:rsid w:val="00DD677C"/>
    <w:pPr>
      <w:spacing w:before="60"/>
    </w:pPr>
    <w:rPr>
      <w:sz w:val="18"/>
    </w:rPr>
  </w:style>
  <w:style w:type="character" w:customStyle="1" w:styleId="Heading1Char">
    <w:name w:val="Heading 1 Char"/>
    <w:basedOn w:val="DefaultParagraphFont"/>
    <w:link w:val="Heading1"/>
    <w:uiPriority w:val="9"/>
    <w:rsid w:val="00F54842"/>
    <w:rPr>
      <w:rFonts w:ascii="Arial" w:eastAsiaTheme="minorHAnsi" w:hAnsi="Arial"/>
      <w:color w:val="00399B" w:themeColor="text2" w:themeShade="BF"/>
      <w:sz w:val="40"/>
      <w:szCs w:val="40"/>
    </w:rPr>
  </w:style>
  <w:style w:type="character" w:customStyle="1" w:styleId="Heading2Char">
    <w:name w:val="Heading 2 Char"/>
    <w:basedOn w:val="DefaultParagraphFont"/>
    <w:link w:val="Heading2"/>
    <w:uiPriority w:val="9"/>
    <w:rsid w:val="00A60A4E"/>
    <w:rPr>
      <w:rFonts w:ascii="Arial" w:eastAsiaTheme="majorEastAsia" w:hAnsi="Arial" w:cs="Arial"/>
      <w:color w:val="004DCF" w:themeColor="text2"/>
      <w:sz w:val="32"/>
      <w:szCs w:val="32"/>
    </w:rPr>
  </w:style>
  <w:style w:type="character" w:customStyle="1" w:styleId="Heading3Char">
    <w:name w:val="Heading 3 Char"/>
    <w:basedOn w:val="DefaultParagraphFont"/>
    <w:link w:val="Heading3"/>
    <w:uiPriority w:val="9"/>
    <w:rsid w:val="00A60A4E"/>
    <w:rPr>
      <w:rFonts w:ascii="Arial" w:eastAsiaTheme="majorEastAsia" w:hAnsi="Arial" w:cs="Arial"/>
      <w:color w:val="004DCF" w:themeColor="text2"/>
      <w:sz w:val="28"/>
      <w:szCs w:val="28"/>
    </w:rPr>
  </w:style>
  <w:style w:type="paragraph" w:styleId="Caption">
    <w:name w:val="caption"/>
    <w:basedOn w:val="Quote2"/>
    <w:next w:val="Body"/>
    <w:link w:val="CaptionChar"/>
    <w:autoRedefine/>
    <w:uiPriority w:val="8"/>
    <w:qFormat/>
    <w:rsid w:val="00695177"/>
    <w:pPr>
      <w:keepNext/>
      <w:tabs>
        <w:tab w:val="left" w:pos="1134"/>
      </w:tabs>
      <w:spacing w:after="120"/>
      <w:ind w:right="0" w:hanging="1134"/>
      <w:jc w:val="left"/>
    </w:pPr>
    <w:rPr>
      <w:rFonts w:ascii="Arial" w:hAnsi="Arial" w:cs="Arial"/>
      <w:b/>
      <w:color w:val="auto"/>
      <w:sz w:val="21"/>
      <w:szCs w:val="21"/>
    </w:rPr>
  </w:style>
  <w:style w:type="table" w:styleId="GridTable2-Accent1">
    <w:name w:val="Grid Table 2 Accent 1"/>
    <w:basedOn w:val="TableNormal"/>
    <w:uiPriority w:val="47"/>
    <w:locked/>
    <w:rsid w:val="00DD677C"/>
    <w:pPr>
      <w:spacing w:after="0" w:line="240" w:lineRule="auto"/>
    </w:pPr>
    <w:rPr>
      <w:rFonts w:ascii="Arial" w:eastAsiaTheme="minorHAnsi" w:hAnsi="Arial"/>
    </w:rPr>
    <w:tblPr>
      <w:tblStyleRowBandSize w:val="1"/>
      <w:tblStyleColBandSize w:val="1"/>
      <w:tblBorders>
        <w:top w:val="single" w:sz="2" w:space="0" w:color="C6E328" w:themeColor="accent1" w:themeTint="99"/>
        <w:bottom w:val="single" w:sz="2" w:space="0" w:color="C6E328" w:themeColor="accent1" w:themeTint="99"/>
        <w:insideH w:val="single" w:sz="2" w:space="0" w:color="C6E328" w:themeColor="accent1" w:themeTint="99"/>
        <w:insideV w:val="single" w:sz="2" w:space="0" w:color="C6E328" w:themeColor="accent1" w:themeTint="99"/>
      </w:tblBorders>
    </w:tblPr>
    <w:tblStylePr w:type="firstRow">
      <w:pPr>
        <w:jc w:val="left"/>
      </w:pPr>
      <w:rPr>
        <w:b/>
        <w:bCs/>
      </w:rPr>
      <w:tblPr/>
      <w:tcPr>
        <w:tcBorders>
          <w:top w:val="nil"/>
          <w:bottom w:val="single" w:sz="12" w:space="0" w:color="C6E328" w:themeColor="accent1" w:themeTint="99"/>
          <w:insideH w:val="nil"/>
          <w:insideV w:val="nil"/>
        </w:tcBorders>
        <w:shd w:val="clear" w:color="auto" w:fill="FFFFFF" w:themeFill="background1"/>
        <w:vAlign w:val="bottom"/>
      </w:tcPr>
    </w:tblStylePr>
    <w:tblStylePr w:type="lastRow">
      <w:rPr>
        <w:b/>
        <w:bCs/>
      </w:rPr>
      <w:tblPr/>
      <w:tcPr>
        <w:tcBorders>
          <w:top w:val="double" w:sz="2" w:space="0" w:color="C6E328"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CF6B7" w:themeFill="accent1" w:themeFillTint="33"/>
      </w:tcPr>
    </w:tblStylePr>
    <w:tblStylePr w:type="band1Horz">
      <w:tblPr/>
      <w:tcPr>
        <w:shd w:val="clear" w:color="auto" w:fill="ECF6B7" w:themeFill="accent1" w:themeFillTint="33"/>
      </w:tcPr>
    </w:tblStylePr>
  </w:style>
  <w:style w:type="paragraph" w:styleId="FootnoteText">
    <w:name w:val="footnote text"/>
    <w:aliases w:val="Char, Char"/>
    <w:basedOn w:val="Normal"/>
    <w:link w:val="FootnoteTextChar"/>
    <w:uiPriority w:val="99"/>
    <w:rsid w:val="001F6957"/>
    <w:rPr>
      <w:rFonts w:eastAsia="Times New Roman" w:cs="Times New Roman"/>
      <w:sz w:val="16"/>
      <w:szCs w:val="20"/>
      <w:lang w:val="en-US"/>
    </w:rPr>
  </w:style>
  <w:style w:type="character" w:customStyle="1" w:styleId="FootnoteTextChar">
    <w:name w:val="Footnote Text Char"/>
    <w:aliases w:val="Char Char, Char Char"/>
    <w:basedOn w:val="DefaultParagraphFont"/>
    <w:link w:val="FootnoteText"/>
    <w:uiPriority w:val="99"/>
    <w:rsid w:val="001F6957"/>
    <w:rPr>
      <w:rFonts w:ascii="Arial" w:eastAsia="Times New Roman" w:hAnsi="Arial" w:cs="Times New Roman"/>
      <w:sz w:val="16"/>
      <w:szCs w:val="20"/>
      <w:lang w:val="en-US"/>
    </w:rPr>
  </w:style>
  <w:style w:type="character" w:styleId="FootnoteReference">
    <w:name w:val="footnote reference"/>
    <w:uiPriority w:val="99"/>
    <w:rsid w:val="001F6957"/>
    <w:rPr>
      <w:rFonts w:ascii="Arial" w:hAnsi="Arial"/>
      <w:sz w:val="16"/>
      <w:vertAlign w:val="superscript"/>
    </w:rPr>
  </w:style>
  <w:style w:type="table" w:styleId="GridTable2-Accent2">
    <w:name w:val="Grid Table 2 Accent 2"/>
    <w:basedOn w:val="TableNormal"/>
    <w:uiPriority w:val="47"/>
    <w:locked/>
    <w:rsid w:val="00DD677C"/>
    <w:pPr>
      <w:spacing w:after="0" w:line="240" w:lineRule="auto"/>
    </w:pPr>
    <w:rPr>
      <w:rFonts w:ascii="Arial" w:eastAsiaTheme="minorHAnsi" w:hAnsi="Arial"/>
      <w:sz w:val="18"/>
    </w:rPr>
    <w:tblPr>
      <w:tblStyleRowBandSize w:val="1"/>
      <w:tblStyleColBandSize w:val="1"/>
      <w:tblBorders>
        <w:top w:val="single" w:sz="2" w:space="0" w:color="CAB04D" w:themeColor="accent2" w:themeTint="99"/>
        <w:bottom w:val="single" w:sz="2" w:space="0" w:color="CAB04D" w:themeColor="accent2" w:themeTint="99"/>
        <w:insideH w:val="single" w:sz="2" w:space="0" w:color="CAB04D" w:themeColor="accent2" w:themeTint="99"/>
        <w:insideV w:val="single" w:sz="2" w:space="0" w:color="CAB04D" w:themeColor="accent2" w:themeTint="99"/>
      </w:tblBorders>
    </w:tblPr>
    <w:tblStylePr w:type="firstRow">
      <w:pPr>
        <w:jc w:val="left"/>
      </w:pPr>
      <w:rPr>
        <w:b/>
        <w:bCs/>
      </w:rPr>
      <w:tblPr/>
      <w:tcPr>
        <w:tcBorders>
          <w:top w:val="nil"/>
          <w:bottom w:val="single" w:sz="12" w:space="0" w:color="CAB04D" w:themeColor="accent2" w:themeTint="99"/>
          <w:insideH w:val="nil"/>
          <w:insideV w:val="nil"/>
        </w:tcBorders>
        <w:shd w:val="clear" w:color="auto" w:fill="FFFFFF" w:themeFill="background1"/>
        <w:vAlign w:val="bottom"/>
      </w:tcPr>
    </w:tblStylePr>
    <w:tblStylePr w:type="lastRow">
      <w:rPr>
        <w:b/>
        <w:bCs/>
      </w:rPr>
      <w:tblPr/>
      <w:tcPr>
        <w:tcBorders>
          <w:top w:val="double" w:sz="2" w:space="0" w:color="CAB04D"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4C3" w:themeFill="accent2" w:themeFillTint="33"/>
      </w:tcPr>
    </w:tblStylePr>
    <w:tblStylePr w:type="band1Horz">
      <w:tblPr/>
      <w:tcPr>
        <w:shd w:val="clear" w:color="auto" w:fill="EDE4C3" w:themeFill="accent2" w:themeFillTint="33"/>
      </w:tcPr>
    </w:tblStylePr>
  </w:style>
  <w:style w:type="character" w:customStyle="1" w:styleId="CaptionChar">
    <w:name w:val="Caption Char"/>
    <w:basedOn w:val="DefaultParagraphFont"/>
    <w:link w:val="Caption"/>
    <w:uiPriority w:val="8"/>
    <w:rsid w:val="00695177"/>
    <w:rPr>
      <w:rFonts w:ascii="Arial" w:eastAsia="Times New Roman" w:hAnsi="Arial" w:cs="Arial"/>
      <w:b/>
      <w:bCs/>
      <w:sz w:val="21"/>
      <w:szCs w:val="21"/>
      <w:lang w:eastAsia="en-AU"/>
    </w:rPr>
  </w:style>
  <w:style w:type="table" w:styleId="GridTable2-Accent3">
    <w:name w:val="Grid Table 2 Accent 3"/>
    <w:basedOn w:val="TableNormal"/>
    <w:uiPriority w:val="47"/>
    <w:locked/>
    <w:rsid w:val="00DD677C"/>
    <w:pPr>
      <w:spacing w:after="0" w:line="240" w:lineRule="auto"/>
    </w:pPr>
    <w:rPr>
      <w:rFonts w:ascii="Arial" w:eastAsiaTheme="minorHAnsi" w:hAnsi="Arial"/>
      <w:sz w:val="18"/>
    </w:rPr>
    <w:tblPr>
      <w:tblStyleRowBandSize w:val="1"/>
      <w:tblStyleColBandSize w:val="1"/>
      <w:tblBorders>
        <w:top w:val="single" w:sz="2" w:space="0" w:color="DD8252" w:themeColor="accent3" w:themeTint="99"/>
        <w:bottom w:val="single" w:sz="2" w:space="0" w:color="DD8252" w:themeColor="accent3" w:themeTint="99"/>
        <w:insideH w:val="single" w:sz="2" w:space="0" w:color="DD8252" w:themeColor="accent3" w:themeTint="99"/>
        <w:insideV w:val="single" w:sz="2" w:space="0" w:color="DD8252" w:themeColor="accent3" w:themeTint="99"/>
      </w:tblBorders>
    </w:tblPr>
    <w:tblStylePr w:type="firstRow">
      <w:pPr>
        <w:jc w:val="left"/>
      </w:pPr>
      <w:rPr>
        <w:b/>
        <w:bCs/>
      </w:rPr>
      <w:tblPr/>
      <w:tcPr>
        <w:tcBorders>
          <w:top w:val="nil"/>
          <w:bottom w:val="single" w:sz="12" w:space="0" w:color="DD8252" w:themeColor="accent3" w:themeTint="99"/>
          <w:insideH w:val="nil"/>
          <w:insideV w:val="nil"/>
        </w:tcBorders>
        <w:shd w:val="clear" w:color="auto" w:fill="FFFFFF" w:themeFill="background1"/>
        <w:vAlign w:val="bottom"/>
      </w:tcPr>
    </w:tblStylePr>
    <w:tblStylePr w:type="lastRow">
      <w:rPr>
        <w:b/>
        <w:bCs/>
      </w:rPr>
      <w:tblPr/>
      <w:tcPr>
        <w:tcBorders>
          <w:top w:val="double" w:sz="2" w:space="0" w:color="DD8252"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D5C5" w:themeFill="accent3" w:themeFillTint="33"/>
      </w:tcPr>
    </w:tblStylePr>
    <w:tblStylePr w:type="band1Horz">
      <w:tblPr/>
      <w:tcPr>
        <w:shd w:val="clear" w:color="auto" w:fill="F4D5C5" w:themeFill="accent3" w:themeFillTint="33"/>
      </w:tcPr>
    </w:tblStylePr>
  </w:style>
  <w:style w:type="character" w:customStyle="1" w:styleId="Heading4Char">
    <w:name w:val="Heading 4 Char"/>
    <w:basedOn w:val="DefaultParagraphFont"/>
    <w:link w:val="Heading4"/>
    <w:uiPriority w:val="3"/>
    <w:rsid w:val="00DD677C"/>
    <w:rPr>
      <w:rFonts w:ascii="Arial" w:eastAsiaTheme="minorHAnsi" w:hAnsi="Arial"/>
      <w:color w:val="525F0C" w:themeColor="accent1"/>
      <w:szCs w:val="21"/>
      <w:u w:val="single"/>
    </w:rPr>
  </w:style>
  <w:style w:type="character" w:customStyle="1" w:styleId="Heading5Char">
    <w:name w:val="Heading 5 Char"/>
    <w:basedOn w:val="DefaultParagraphFont"/>
    <w:link w:val="Heading5"/>
    <w:uiPriority w:val="3"/>
    <w:rsid w:val="00DD677C"/>
    <w:rPr>
      <w:rFonts w:ascii="Arial" w:eastAsiaTheme="minorHAnsi" w:hAnsi="Arial"/>
      <w:color w:val="525F0C" w:themeColor="accent1"/>
      <w:sz w:val="20"/>
      <w:szCs w:val="20"/>
    </w:rPr>
  </w:style>
  <w:style w:type="table" w:styleId="GridTable3-Accent1">
    <w:name w:val="Grid Table 3 Accent 1"/>
    <w:basedOn w:val="TableNormal"/>
    <w:uiPriority w:val="48"/>
    <w:locked/>
    <w:rsid w:val="00DD677C"/>
    <w:pPr>
      <w:spacing w:after="0" w:line="240" w:lineRule="auto"/>
    </w:pPr>
    <w:rPr>
      <w:rFonts w:ascii="Arial" w:eastAsiaTheme="minorHAnsi" w:hAnsi="Arial"/>
      <w:sz w:val="18"/>
    </w:rPr>
    <w:tblPr>
      <w:tblStyleRowBandSize w:val="1"/>
      <w:tblStyleColBandSize w:val="1"/>
      <w:tblBorders>
        <w:top w:val="single" w:sz="4" w:space="0" w:color="C6E328" w:themeColor="accent1" w:themeTint="99"/>
        <w:left w:val="single" w:sz="4" w:space="0" w:color="C6E328" w:themeColor="accent1" w:themeTint="99"/>
        <w:bottom w:val="single" w:sz="4" w:space="0" w:color="C6E328" w:themeColor="accent1" w:themeTint="99"/>
        <w:right w:val="single" w:sz="4" w:space="0" w:color="C6E328" w:themeColor="accent1" w:themeTint="99"/>
        <w:insideH w:val="single" w:sz="4" w:space="0" w:color="C6E328" w:themeColor="accent1" w:themeTint="99"/>
        <w:insideV w:val="single" w:sz="4" w:space="0" w:color="C6E328" w:themeColor="accent1"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F6B7" w:themeFill="accent1" w:themeFillTint="33"/>
      </w:tcPr>
    </w:tblStylePr>
    <w:tblStylePr w:type="band1Horz">
      <w:tblPr/>
      <w:tcPr>
        <w:shd w:val="clear" w:color="auto" w:fill="ECF6B7" w:themeFill="accent1" w:themeFillTint="33"/>
      </w:tcPr>
    </w:tblStylePr>
    <w:tblStylePr w:type="neCell">
      <w:tblPr/>
      <w:tcPr>
        <w:tcBorders>
          <w:bottom w:val="single" w:sz="4" w:space="0" w:color="C6E328" w:themeColor="accent1" w:themeTint="99"/>
        </w:tcBorders>
      </w:tcPr>
    </w:tblStylePr>
    <w:tblStylePr w:type="nwCell">
      <w:tblPr/>
      <w:tcPr>
        <w:tcBorders>
          <w:bottom w:val="single" w:sz="4" w:space="0" w:color="C6E328" w:themeColor="accent1" w:themeTint="99"/>
        </w:tcBorders>
      </w:tcPr>
    </w:tblStylePr>
    <w:tblStylePr w:type="seCell">
      <w:tblPr/>
      <w:tcPr>
        <w:tcBorders>
          <w:top w:val="single" w:sz="4" w:space="0" w:color="C6E328" w:themeColor="accent1" w:themeTint="99"/>
        </w:tcBorders>
      </w:tcPr>
    </w:tblStylePr>
    <w:tblStylePr w:type="swCell">
      <w:tblPr/>
      <w:tcPr>
        <w:tcBorders>
          <w:top w:val="single" w:sz="4" w:space="0" w:color="C6E328" w:themeColor="accent1" w:themeTint="99"/>
        </w:tcBorders>
      </w:tcPr>
    </w:tblStylePr>
  </w:style>
  <w:style w:type="table" w:styleId="GridTable3-Accent2">
    <w:name w:val="Grid Table 3 Accent 2"/>
    <w:basedOn w:val="TableNormal"/>
    <w:uiPriority w:val="48"/>
    <w:locked/>
    <w:rsid w:val="00DD677C"/>
    <w:pPr>
      <w:spacing w:after="0" w:line="240" w:lineRule="auto"/>
    </w:pPr>
    <w:rPr>
      <w:rFonts w:ascii="Arial" w:eastAsiaTheme="minorHAnsi" w:hAnsi="Arial"/>
      <w:sz w:val="18"/>
    </w:rPr>
    <w:tblPr>
      <w:tblStyleRowBandSize w:val="1"/>
      <w:tblStyleColBandSize w:val="1"/>
      <w:tblBorders>
        <w:top w:val="single" w:sz="4" w:space="0" w:color="CAB04D" w:themeColor="accent2" w:themeTint="99"/>
        <w:left w:val="single" w:sz="4" w:space="0" w:color="CAB04D" w:themeColor="accent2" w:themeTint="99"/>
        <w:bottom w:val="single" w:sz="4" w:space="0" w:color="CAB04D" w:themeColor="accent2" w:themeTint="99"/>
        <w:right w:val="single" w:sz="4" w:space="0" w:color="CAB04D" w:themeColor="accent2" w:themeTint="99"/>
        <w:insideH w:val="single" w:sz="4" w:space="0" w:color="CAB04D" w:themeColor="accent2" w:themeTint="99"/>
        <w:insideV w:val="single" w:sz="4" w:space="0" w:color="CAB04D" w:themeColor="accent2"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4C3" w:themeFill="accent2" w:themeFillTint="33"/>
      </w:tcPr>
    </w:tblStylePr>
    <w:tblStylePr w:type="band1Horz">
      <w:tblPr/>
      <w:tcPr>
        <w:shd w:val="clear" w:color="auto" w:fill="EDE4C3" w:themeFill="accent2" w:themeFillTint="33"/>
      </w:tcPr>
    </w:tblStylePr>
    <w:tblStylePr w:type="neCell">
      <w:tblPr/>
      <w:tcPr>
        <w:tcBorders>
          <w:bottom w:val="single" w:sz="4" w:space="0" w:color="CAB04D" w:themeColor="accent2" w:themeTint="99"/>
        </w:tcBorders>
      </w:tcPr>
    </w:tblStylePr>
    <w:tblStylePr w:type="nwCell">
      <w:tblPr/>
      <w:tcPr>
        <w:tcBorders>
          <w:bottom w:val="single" w:sz="4" w:space="0" w:color="CAB04D" w:themeColor="accent2" w:themeTint="99"/>
        </w:tcBorders>
      </w:tcPr>
    </w:tblStylePr>
    <w:tblStylePr w:type="seCell">
      <w:tblPr/>
      <w:tcPr>
        <w:tcBorders>
          <w:top w:val="single" w:sz="4" w:space="0" w:color="CAB04D" w:themeColor="accent2" w:themeTint="99"/>
        </w:tcBorders>
      </w:tcPr>
    </w:tblStylePr>
    <w:tblStylePr w:type="swCell">
      <w:tblPr/>
      <w:tcPr>
        <w:tcBorders>
          <w:top w:val="single" w:sz="4" w:space="0" w:color="CAB04D" w:themeColor="accent2" w:themeTint="99"/>
        </w:tcBorders>
      </w:tcPr>
    </w:tblStylePr>
  </w:style>
  <w:style w:type="table" w:styleId="GridTable3-Accent6">
    <w:name w:val="Grid Table 3 Accent 6"/>
    <w:basedOn w:val="TableNormal"/>
    <w:uiPriority w:val="48"/>
    <w:locked/>
    <w:rsid w:val="00DD677C"/>
    <w:pPr>
      <w:spacing w:after="0" w:line="240" w:lineRule="auto"/>
    </w:pPr>
    <w:rPr>
      <w:rFonts w:ascii="Arial" w:eastAsiaTheme="minorHAnsi" w:hAnsi="Arial"/>
      <w:sz w:val="18"/>
    </w:rPr>
    <w:tblPr>
      <w:tblStyleRowBandSize w:val="1"/>
      <w:tblStyleColBandSize w:val="1"/>
      <w:tblBorders>
        <w:top w:val="single" w:sz="4" w:space="0" w:color="A88EAF" w:themeColor="accent6" w:themeTint="99"/>
        <w:left w:val="single" w:sz="4" w:space="0" w:color="A88EAF" w:themeColor="accent6" w:themeTint="99"/>
        <w:bottom w:val="single" w:sz="4" w:space="0" w:color="A88EAF" w:themeColor="accent6" w:themeTint="99"/>
        <w:right w:val="single" w:sz="4" w:space="0" w:color="A88EAF" w:themeColor="accent6" w:themeTint="99"/>
        <w:insideH w:val="single" w:sz="4" w:space="0" w:color="A88EAF" w:themeColor="accent6" w:themeTint="99"/>
        <w:insideV w:val="single" w:sz="4" w:space="0" w:color="A88EAF" w:themeColor="accent6"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D9E4" w:themeFill="accent6" w:themeFillTint="33"/>
      </w:tcPr>
    </w:tblStylePr>
    <w:tblStylePr w:type="band1Horz">
      <w:tblPr/>
      <w:tcPr>
        <w:shd w:val="clear" w:color="auto" w:fill="E2D9E4" w:themeFill="accent6" w:themeFillTint="33"/>
      </w:tcPr>
    </w:tblStylePr>
    <w:tblStylePr w:type="neCell">
      <w:tblPr/>
      <w:tcPr>
        <w:tcBorders>
          <w:bottom w:val="single" w:sz="4" w:space="0" w:color="A88EAF" w:themeColor="accent6" w:themeTint="99"/>
        </w:tcBorders>
      </w:tcPr>
    </w:tblStylePr>
    <w:tblStylePr w:type="nwCell">
      <w:tblPr/>
      <w:tcPr>
        <w:tcBorders>
          <w:bottom w:val="single" w:sz="4" w:space="0" w:color="A88EAF" w:themeColor="accent6" w:themeTint="99"/>
        </w:tcBorders>
      </w:tcPr>
    </w:tblStylePr>
    <w:tblStylePr w:type="seCell">
      <w:tblPr/>
      <w:tcPr>
        <w:tcBorders>
          <w:top w:val="single" w:sz="4" w:space="0" w:color="A88EAF" w:themeColor="accent6" w:themeTint="99"/>
        </w:tcBorders>
      </w:tcPr>
    </w:tblStylePr>
    <w:tblStylePr w:type="swCell">
      <w:tblPr/>
      <w:tcPr>
        <w:tcBorders>
          <w:top w:val="single" w:sz="4" w:space="0" w:color="A88EAF" w:themeColor="accent6" w:themeTint="99"/>
        </w:tcBorders>
      </w:tcPr>
    </w:tblStylePr>
  </w:style>
  <w:style w:type="character" w:styleId="BookTitle">
    <w:name w:val="Book Title"/>
    <w:basedOn w:val="DefaultParagraphFont"/>
    <w:uiPriority w:val="33"/>
    <w:qFormat/>
    <w:rsid w:val="00DD677C"/>
    <w:rPr>
      <w:rFonts w:ascii="Arial" w:hAnsi="Arial"/>
      <w:iCs/>
      <w:color w:val="auto"/>
      <w:spacing w:val="5"/>
      <w:sz w:val="20"/>
      <w:szCs w:val="20"/>
    </w:rPr>
  </w:style>
  <w:style w:type="paragraph" w:styleId="ListBullet">
    <w:name w:val="List Bullet"/>
    <w:basedOn w:val="Normal"/>
    <w:uiPriority w:val="1"/>
    <w:qFormat/>
    <w:rsid w:val="00DD677C"/>
    <w:pPr>
      <w:numPr>
        <w:numId w:val="4"/>
      </w:numPr>
      <w:spacing w:before="60" w:after="60" w:line="300" w:lineRule="auto"/>
    </w:pPr>
  </w:style>
  <w:style w:type="paragraph" w:styleId="ListBullet2">
    <w:name w:val="List Bullet 2"/>
    <w:basedOn w:val="Normal"/>
    <w:uiPriority w:val="1"/>
    <w:qFormat/>
    <w:rsid w:val="00DD677C"/>
    <w:pPr>
      <w:numPr>
        <w:numId w:val="5"/>
      </w:numPr>
      <w:spacing w:before="60" w:after="60" w:line="300" w:lineRule="auto"/>
    </w:pPr>
  </w:style>
  <w:style w:type="table" w:styleId="GridTable4">
    <w:name w:val="Grid Table 4"/>
    <w:basedOn w:val="TableNormal"/>
    <w:uiPriority w:val="49"/>
    <w:rsid w:val="00DD677C"/>
    <w:pPr>
      <w:spacing w:after="0" w:line="240" w:lineRule="auto"/>
    </w:pPr>
    <w:rPr>
      <w:rFonts w:ascii="Arial" w:eastAsiaTheme="minorHAnsi" w:hAnsi="Arial"/>
      <w:sz w:val="18"/>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pPr>
        <w:jc w:val="left"/>
      </w:pPr>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vAlign w:val="bottom"/>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ListBullet3">
    <w:name w:val="List Bullet 3"/>
    <w:basedOn w:val="Normal"/>
    <w:uiPriority w:val="1"/>
    <w:qFormat/>
    <w:rsid w:val="00DD677C"/>
    <w:pPr>
      <w:numPr>
        <w:numId w:val="6"/>
      </w:numPr>
      <w:spacing w:before="60" w:after="60" w:line="300" w:lineRule="auto"/>
    </w:pPr>
  </w:style>
  <w:style w:type="table" w:styleId="GridTable4-Accent1">
    <w:name w:val="Grid Table 4 Accent 1"/>
    <w:basedOn w:val="TableNormal"/>
    <w:uiPriority w:val="49"/>
    <w:locked/>
    <w:rsid w:val="00DD677C"/>
    <w:pPr>
      <w:spacing w:after="0" w:line="240" w:lineRule="auto"/>
    </w:pPr>
    <w:rPr>
      <w:rFonts w:ascii="Arial" w:eastAsiaTheme="minorHAnsi" w:hAnsi="Arial"/>
      <w:sz w:val="18"/>
    </w:rPr>
    <w:tblPr>
      <w:tblStyleRowBandSize w:val="1"/>
      <w:tblStyleColBandSize w:val="1"/>
      <w:tblBorders>
        <w:top w:val="single" w:sz="4" w:space="0" w:color="D9ED6F" w:themeColor="accent1" w:themeTint="66"/>
        <w:left w:val="single" w:sz="4" w:space="0" w:color="D9ED6F" w:themeColor="accent1" w:themeTint="66"/>
        <w:bottom w:val="single" w:sz="4" w:space="0" w:color="D9ED6F" w:themeColor="accent1" w:themeTint="66"/>
        <w:right w:val="single" w:sz="4" w:space="0" w:color="D9ED6F" w:themeColor="accent1" w:themeTint="66"/>
        <w:insideH w:val="single" w:sz="4" w:space="0" w:color="D9ED6F" w:themeColor="accent1" w:themeTint="66"/>
        <w:insideV w:val="single" w:sz="4" w:space="0" w:color="D9ED6F" w:themeColor="accent1" w:themeTint="66"/>
      </w:tblBorders>
    </w:tblPr>
    <w:tcPr>
      <w:vAlign w:val="bottom"/>
    </w:tcPr>
    <w:tblStylePr w:type="firstRow">
      <w:pPr>
        <w:jc w:val="left"/>
      </w:pPr>
      <w:rPr>
        <w:b/>
        <w:bCs/>
        <w:color w:val="FFFFFF" w:themeColor="background1"/>
      </w:rPr>
      <w:tblPr/>
      <w:tcPr>
        <w:shd w:val="clear" w:color="auto" w:fill="525F0C" w:themeFill="accent1"/>
      </w:tcPr>
    </w:tblStylePr>
    <w:tblStylePr w:type="lastRow">
      <w:rPr>
        <w:b/>
        <w:bCs/>
      </w:rPr>
      <w:tblPr/>
      <w:tcPr>
        <w:tcBorders>
          <w:top w:val="double" w:sz="4" w:space="0" w:color="525F0C" w:themeColor="accent1"/>
        </w:tcBorders>
      </w:tcPr>
    </w:tblStylePr>
    <w:tblStylePr w:type="firstCol">
      <w:rPr>
        <w:b/>
        <w:bCs/>
      </w:rPr>
    </w:tblStylePr>
    <w:tblStylePr w:type="lastCol">
      <w:rPr>
        <w:b/>
        <w:bCs/>
      </w:rPr>
    </w:tblStylePr>
    <w:tblStylePr w:type="band1Vert">
      <w:tblPr/>
      <w:tcPr>
        <w:shd w:val="clear" w:color="auto" w:fill="ECF6B7" w:themeFill="accent1" w:themeFillTint="33"/>
      </w:tcPr>
    </w:tblStylePr>
    <w:tblStylePr w:type="band1Horz">
      <w:tblPr/>
      <w:tcPr>
        <w:shd w:val="clear" w:color="auto" w:fill="ECF6B7" w:themeFill="accent1" w:themeFillTint="33"/>
      </w:tcPr>
    </w:tblStylePr>
  </w:style>
  <w:style w:type="table" w:styleId="GridTable4-Accent2">
    <w:name w:val="Grid Table 4 Accent 2"/>
    <w:basedOn w:val="TableNormal"/>
    <w:uiPriority w:val="49"/>
    <w:locked/>
    <w:rsid w:val="00DD677C"/>
    <w:pPr>
      <w:spacing w:after="0" w:line="240" w:lineRule="auto"/>
    </w:pPr>
    <w:rPr>
      <w:rFonts w:ascii="Arial" w:eastAsiaTheme="minorHAnsi" w:hAnsi="Arial"/>
      <w:sz w:val="18"/>
    </w:rPr>
    <w:tblPr>
      <w:tblStyleRowBandSize w:val="1"/>
      <w:tblStyleColBandSize w:val="1"/>
      <w:tblBorders>
        <w:top w:val="single" w:sz="4" w:space="0" w:color="CAB04D" w:themeColor="accent2" w:themeTint="99"/>
        <w:left w:val="single" w:sz="4" w:space="0" w:color="CAB04D" w:themeColor="accent2" w:themeTint="99"/>
        <w:bottom w:val="single" w:sz="4" w:space="0" w:color="CAB04D" w:themeColor="accent2" w:themeTint="99"/>
        <w:right w:val="single" w:sz="4" w:space="0" w:color="CAB04D" w:themeColor="accent2" w:themeTint="99"/>
        <w:insideH w:val="single" w:sz="4" w:space="0" w:color="CAB04D" w:themeColor="accent2" w:themeTint="99"/>
        <w:insideV w:val="single" w:sz="4" w:space="0" w:color="CAB04D" w:themeColor="accent2" w:themeTint="99"/>
      </w:tblBorders>
    </w:tblPr>
    <w:tblStylePr w:type="firstRow">
      <w:pPr>
        <w:jc w:val="left"/>
      </w:pPr>
      <w:rPr>
        <w:b/>
        <w:bCs/>
        <w:color w:val="FFFFFF" w:themeColor="background1"/>
      </w:rPr>
      <w:tblPr/>
      <w:tcPr>
        <w:tcBorders>
          <w:top w:val="single" w:sz="4" w:space="0" w:color="61531D" w:themeColor="accent2"/>
          <w:left w:val="single" w:sz="4" w:space="0" w:color="61531D" w:themeColor="accent2"/>
          <w:bottom w:val="single" w:sz="4" w:space="0" w:color="61531D" w:themeColor="accent2"/>
          <w:right w:val="single" w:sz="4" w:space="0" w:color="61531D" w:themeColor="accent2"/>
          <w:insideH w:val="nil"/>
          <w:insideV w:val="nil"/>
        </w:tcBorders>
        <w:shd w:val="clear" w:color="auto" w:fill="61531D" w:themeFill="accent2"/>
        <w:vAlign w:val="bottom"/>
      </w:tcPr>
    </w:tblStylePr>
    <w:tblStylePr w:type="lastRow">
      <w:rPr>
        <w:b/>
        <w:bCs/>
      </w:rPr>
      <w:tblPr/>
      <w:tcPr>
        <w:tcBorders>
          <w:top w:val="double" w:sz="4" w:space="0" w:color="61531D" w:themeColor="accent2"/>
        </w:tcBorders>
      </w:tcPr>
    </w:tblStylePr>
    <w:tblStylePr w:type="firstCol">
      <w:rPr>
        <w:b/>
        <w:bCs/>
      </w:rPr>
    </w:tblStylePr>
    <w:tblStylePr w:type="lastCol">
      <w:rPr>
        <w:b/>
        <w:bCs/>
      </w:rPr>
    </w:tblStylePr>
    <w:tblStylePr w:type="band1Vert">
      <w:tblPr/>
      <w:tcPr>
        <w:shd w:val="clear" w:color="auto" w:fill="EDE4C3" w:themeFill="accent2" w:themeFillTint="33"/>
      </w:tcPr>
    </w:tblStylePr>
    <w:tblStylePr w:type="band1Horz">
      <w:tblPr/>
      <w:tcPr>
        <w:shd w:val="clear" w:color="auto" w:fill="EDE4C3" w:themeFill="accent2" w:themeFillTint="33"/>
      </w:tcPr>
    </w:tblStylePr>
  </w:style>
  <w:style w:type="table" w:styleId="GridTable4-Accent3">
    <w:name w:val="Grid Table 4 Accent 3"/>
    <w:basedOn w:val="TableNormal"/>
    <w:uiPriority w:val="49"/>
    <w:locked/>
    <w:rsid w:val="00DD677C"/>
    <w:pPr>
      <w:spacing w:after="0" w:line="240" w:lineRule="auto"/>
    </w:pPr>
    <w:rPr>
      <w:rFonts w:ascii="Arial" w:eastAsiaTheme="minorHAnsi" w:hAnsi="Arial"/>
      <w:sz w:val="18"/>
    </w:rPr>
    <w:tblPr>
      <w:tblStyleRowBandSize w:val="1"/>
      <w:tblStyleColBandSize w:val="1"/>
      <w:tblBorders>
        <w:top w:val="single" w:sz="4" w:space="0" w:color="DD8252" w:themeColor="accent3" w:themeTint="99"/>
        <w:left w:val="single" w:sz="4" w:space="0" w:color="DD8252" w:themeColor="accent3" w:themeTint="99"/>
        <w:bottom w:val="single" w:sz="4" w:space="0" w:color="DD8252" w:themeColor="accent3" w:themeTint="99"/>
        <w:right w:val="single" w:sz="4" w:space="0" w:color="DD8252" w:themeColor="accent3" w:themeTint="99"/>
        <w:insideH w:val="single" w:sz="4" w:space="0" w:color="DD8252" w:themeColor="accent3" w:themeTint="99"/>
        <w:insideV w:val="single" w:sz="4" w:space="0" w:color="DD8252" w:themeColor="accent3" w:themeTint="99"/>
      </w:tblBorders>
    </w:tblPr>
    <w:tblStylePr w:type="firstRow">
      <w:pPr>
        <w:jc w:val="left"/>
      </w:pPr>
      <w:rPr>
        <w:b/>
        <w:bCs/>
        <w:color w:val="FFFFFF" w:themeColor="background1"/>
      </w:rPr>
      <w:tblPr/>
      <w:tcPr>
        <w:tcBorders>
          <w:top w:val="single" w:sz="4" w:space="0" w:color="8C421B" w:themeColor="accent3"/>
          <w:left w:val="single" w:sz="4" w:space="0" w:color="8C421B" w:themeColor="accent3"/>
          <w:bottom w:val="single" w:sz="4" w:space="0" w:color="8C421B" w:themeColor="accent3"/>
          <w:right w:val="single" w:sz="4" w:space="0" w:color="8C421B" w:themeColor="accent3"/>
          <w:insideH w:val="nil"/>
          <w:insideV w:val="nil"/>
        </w:tcBorders>
        <w:shd w:val="clear" w:color="auto" w:fill="8C421B" w:themeFill="accent3"/>
        <w:vAlign w:val="bottom"/>
      </w:tcPr>
    </w:tblStylePr>
    <w:tblStylePr w:type="lastRow">
      <w:rPr>
        <w:b/>
        <w:bCs/>
      </w:rPr>
      <w:tblPr/>
      <w:tcPr>
        <w:tcBorders>
          <w:top w:val="double" w:sz="4" w:space="0" w:color="8C421B" w:themeColor="accent3"/>
        </w:tcBorders>
      </w:tcPr>
    </w:tblStylePr>
    <w:tblStylePr w:type="firstCol">
      <w:rPr>
        <w:b/>
        <w:bCs/>
      </w:rPr>
    </w:tblStylePr>
    <w:tblStylePr w:type="lastCol">
      <w:rPr>
        <w:b/>
        <w:bCs/>
      </w:rPr>
    </w:tblStylePr>
    <w:tblStylePr w:type="band1Vert">
      <w:tblPr/>
      <w:tcPr>
        <w:shd w:val="clear" w:color="auto" w:fill="F4D5C5" w:themeFill="accent3" w:themeFillTint="33"/>
      </w:tcPr>
    </w:tblStylePr>
    <w:tblStylePr w:type="band1Horz">
      <w:tblPr/>
      <w:tcPr>
        <w:shd w:val="clear" w:color="auto" w:fill="F4D5C5" w:themeFill="accent3" w:themeFillTint="33"/>
      </w:tcPr>
    </w:tblStylePr>
  </w:style>
  <w:style w:type="table" w:styleId="GridTable4-Accent4">
    <w:name w:val="Grid Table 4 Accent 4"/>
    <w:basedOn w:val="TableNormal"/>
    <w:uiPriority w:val="49"/>
    <w:locked/>
    <w:rsid w:val="00DD677C"/>
    <w:pPr>
      <w:spacing w:after="0" w:line="240" w:lineRule="auto"/>
    </w:pPr>
    <w:rPr>
      <w:rFonts w:ascii="Arial" w:eastAsiaTheme="minorHAnsi" w:hAnsi="Arial"/>
      <w:sz w:val="18"/>
    </w:rPr>
    <w:tblPr>
      <w:tblStyleRowBandSize w:val="1"/>
      <w:tblStyleColBandSize w:val="1"/>
      <w:tblBorders>
        <w:top w:val="single" w:sz="4" w:space="0" w:color="7AADAD" w:themeColor="accent4" w:themeTint="99"/>
        <w:left w:val="single" w:sz="4" w:space="0" w:color="7AADAD" w:themeColor="accent4" w:themeTint="99"/>
        <w:bottom w:val="single" w:sz="4" w:space="0" w:color="7AADAD" w:themeColor="accent4" w:themeTint="99"/>
        <w:right w:val="single" w:sz="4" w:space="0" w:color="7AADAD" w:themeColor="accent4" w:themeTint="99"/>
        <w:insideH w:val="single" w:sz="4" w:space="0" w:color="7AADAD" w:themeColor="accent4" w:themeTint="99"/>
        <w:insideV w:val="single" w:sz="4" w:space="0" w:color="7AADAD" w:themeColor="accent4" w:themeTint="99"/>
      </w:tblBorders>
    </w:tblPr>
    <w:tblStylePr w:type="firstRow">
      <w:pPr>
        <w:jc w:val="left"/>
      </w:pPr>
      <w:rPr>
        <w:b/>
        <w:bCs/>
        <w:color w:val="FFFFFF" w:themeColor="background1"/>
      </w:rPr>
      <w:tblPr/>
      <w:tcPr>
        <w:tcBorders>
          <w:top w:val="single" w:sz="4" w:space="0" w:color="3A5E5E" w:themeColor="accent4"/>
          <w:left w:val="single" w:sz="4" w:space="0" w:color="3A5E5E" w:themeColor="accent4"/>
          <w:bottom w:val="single" w:sz="4" w:space="0" w:color="3A5E5E" w:themeColor="accent4"/>
          <w:right w:val="single" w:sz="4" w:space="0" w:color="3A5E5E" w:themeColor="accent4"/>
          <w:insideH w:val="nil"/>
          <w:insideV w:val="nil"/>
        </w:tcBorders>
        <w:shd w:val="clear" w:color="auto" w:fill="3A5E5E" w:themeFill="accent4"/>
        <w:vAlign w:val="bottom"/>
      </w:tcPr>
    </w:tblStylePr>
    <w:tblStylePr w:type="lastRow">
      <w:rPr>
        <w:b/>
        <w:bCs/>
      </w:rPr>
      <w:tblPr/>
      <w:tcPr>
        <w:tcBorders>
          <w:top w:val="double" w:sz="4" w:space="0" w:color="3A5E5E" w:themeColor="accent4"/>
        </w:tcBorders>
      </w:tcPr>
    </w:tblStylePr>
    <w:tblStylePr w:type="firstCol">
      <w:rPr>
        <w:b/>
        <w:bCs/>
      </w:rPr>
    </w:tblStylePr>
    <w:tblStylePr w:type="lastCol">
      <w:rPr>
        <w:b/>
        <w:bCs/>
      </w:rPr>
    </w:tblStylePr>
    <w:tblStylePr w:type="band1Vert">
      <w:tblPr/>
      <w:tcPr>
        <w:shd w:val="clear" w:color="auto" w:fill="D2E3E3" w:themeFill="accent4" w:themeFillTint="33"/>
      </w:tcPr>
    </w:tblStylePr>
    <w:tblStylePr w:type="band1Horz">
      <w:tblPr/>
      <w:tcPr>
        <w:shd w:val="clear" w:color="auto" w:fill="D2E3E3" w:themeFill="accent4" w:themeFillTint="33"/>
      </w:tcPr>
    </w:tblStylePr>
  </w:style>
  <w:style w:type="table" w:styleId="GridTable4-Accent5">
    <w:name w:val="Grid Table 4 Accent 5"/>
    <w:basedOn w:val="TableNormal"/>
    <w:uiPriority w:val="49"/>
    <w:rsid w:val="00DD677C"/>
    <w:pPr>
      <w:spacing w:after="0" w:line="240" w:lineRule="auto"/>
    </w:pPr>
    <w:rPr>
      <w:rFonts w:ascii="Arial" w:eastAsiaTheme="minorHAnsi" w:hAnsi="Arial"/>
      <w:sz w:val="18"/>
    </w:rPr>
    <w:tblPr>
      <w:tblStyleRowBandSize w:val="1"/>
      <w:tblStyleColBandSize w:val="1"/>
      <w:tblBorders>
        <w:top w:val="single" w:sz="4" w:space="0" w:color="67BB87" w:themeColor="accent5" w:themeTint="99"/>
        <w:left w:val="single" w:sz="4" w:space="0" w:color="67BB87" w:themeColor="accent5" w:themeTint="99"/>
        <w:bottom w:val="single" w:sz="4" w:space="0" w:color="67BB87" w:themeColor="accent5" w:themeTint="99"/>
        <w:right w:val="single" w:sz="4" w:space="0" w:color="67BB87" w:themeColor="accent5" w:themeTint="99"/>
        <w:insideH w:val="single" w:sz="4" w:space="0" w:color="67BB87" w:themeColor="accent5" w:themeTint="99"/>
        <w:insideV w:val="single" w:sz="4" w:space="0" w:color="67BB87" w:themeColor="accent5" w:themeTint="99"/>
      </w:tblBorders>
    </w:tblPr>
    <w:tblStylePr w:type="firstRow">
      <w:pPr>
        <w:jc w:val="left"/>
      </w:pPr>
      <w:rPr>
        <w:b/>
        <w:bCs/>
        <w:color w:val="FFFFFF" w:themeColor="background1"/>
      </w:rPr>
      <w:tblPr/>
      <w:tcPr>
        <w:tcBorders>
          <w:top w:val="single" w:sz="4" w:space="0" w:color="2D6442" w:themeColor="accent5"/>
          <w:left w:val="single" w:sz="4" w:space="0" w:color="2D6442" w:themeColor="accent5"/>
          <w:bottom w:val="single" w:sz="4" w:space="0" w:color="2D6442" w:themeColor="accent5"/>
          <w:right w:val="single" w:sz="4" w:space="0" w:color="2D6442" w:themeColor="accent5"/>
          <w:insideH w:val="nil"/>
          <w:insideV w:val="nil"/>
        </w:tcBorders>
        <w:shd w:val="clear" w:color="auto" w:fill="2D6442" w:themeFill="accent5"/>
        <w:vAlign w:val="bottom"/>
      </w:tcPr>
    </w:tblStylePr>
    <w:tblStylePr w:type="lastRow">
      <w:rPr>
        <w:b/>
        <w:bCs/>
      </w:rPr>
      <w:tblPr/>
      <w:tcPr>
        <w:tcBorders>
          <w:top w:val="double" w:sz="4" w:space="0" w:color="2D6442" w:themeColor="accent5"/>
        </w:tcBorders>
      </w:tcPr>
    </w:tblStylePr>
    <w:tblStylePr w:type="firstCol">
      <w:rPr>
        <w:b/>
        <w:bCs/>
      </w:rPr>
    </w:tblStylePr>
    <w:tblStylePr w:type="lastCol">
      <w:rPr>
        <w:b/>
        <w:bCs/>
      </w:rPr>
    </w:tblStylePr>
    <w:tblStylePr w:type="band1Vert">
      <w:tblPr/>
      <w:tcPr>
        <w:shd w:val="clear" w:color="auto" w:fill="CCE8D7" w:themeFill="accent5" w:themeFillTint="33"/>
      </w:tcPr>
    </w:tblStylePr>
    <w:tblStylePr w:type="band1Horz">
      <w:tblPr/>
      <w:tcPr>
        <w:shd w:val="clear" w:color="auto" w:fill="CCE8D7" w:themeFill="accent5" w:themeFillTint="33"/>
      </w:tcPr>
    </w:tblStylePr>
  </w:style>
  <w:style w:type="table" w:styleId="GridTable4-Accent6">
    <w:name w:val="Grid Table 4 Accent 6"/>
    <w:basedOn w:val="TableNormal"/>
    <w:uiPriority w:val="49"/>
    <w:locked/>
    <w:rsid w:val="00DD677C"/>
    <w:pPr>
      <w:spacing w:after="0" w:line="240" w:lineRule="auto"/>
    </w:pPr>
    <w:rPr>
      <w:rFonts w:ascii="Arial" w:eastAsiaTheme="minorHAnsi" w:hAnsi="Arial"/>
      <w:sz w:val="18"/>
    </w:rPr>
    <w:tblPr>
      <w:tblStyleRowBandSize w:val="1"/>
      <w:tblStyleColBandSize w:val="1"/>
      <w:tblBorders>
        <w:top w:val="single" w:sz="4" w:space="0" w:color="A88EAF" w:themeColor="accent6" w:themeTint="99"/>
        <w:left w:val="single" w:sz="4" w:space="0" w:color="A88EAF" w:themeColor="accent6" w:themeTint="99"/>
        <w:bottom w:val="single" w:sz="4" w:space="0" w:color="A88EAF" w:themeColor="accent6" w:themeTint="99"/>
        <w:right w:val="single" w:sz="4" w:space="0" w:color="A88EAF" w:themeColor="accent6" w:themeTint="99"/>
        <w:insideH w:val="single" w:sz="4" w:space="0" w:color="A88EAF" w:themeColor="accent6" w:themeTint="99"/>
        <w:insideV w:val="single" w:sz="4" w:space="0" w:color="A88EAF" w:themeColor="accent6" w:themeTint="99"/>
      </w:tblBorders>
    </w:tblPr>
    <w:tblStylePr w:type="firstRow">
      <w:pPr>
        <w:jc w:val="left"/>
      </w:pPr>
      <w:rPr>
        <w:b/>
        <w:bCs/>
        <w:color w:val="FFFFFF" w:themeColor="background1"/>
      </w:rPr>
      <w:tblPr/>
      <w:tcPr>
        <w:tcBorders>
          <w:top w:val="single" w:sz="4" w:space="0" w:color="684F6F" w:themeColor="accent6"/>
          <w:left w:val="single" w:sz="4" w:space="0" w:color="684F6F" w:themeColor="accent6"/>
          <w:bottom w:val="single" w:sz="4" w:space="0" w:color="684F6F" w:themeColor="accent6"/>
          <w:right w:val="single" w:sz="4" w:space="0" w:color="684F6F" w:themeColor="accent6"/>
          <w:insideH w:val="nil"/>
          <w:insideV w:val="nil"/>
        </w:tcBorders>
        <w:shd w:val="clear" w:color="auto" w:fill="684F6F" w:themeFill="accent6"/>
        <w:vAlign w:val="bottom"/>
      </w:tcPr>
    </w:tblStylePr>
    <w:tblStylePr w:type="lastRow">
      <w:rPr>
        <w:b/>
        <w:bCs/>
      </w:rPr>
      <w:tblPr/>
      <w:tcPr>
        <w:tcBorders>
          <w:top w:val="double" w:sz="4" w:space="0" w:color="684F6F" w:themeColor="accent6"/>
        </w:tcBorders>
      </w:tcPr>
    </w:tblStylePr>
    <w:tblStylePr w:type="firstCol">
      <w:rPr>
        <w:b/>
        <w:bCs/>
      </w:rPr>
    </w:tblStylePr>
    <w:tblStylePr w:type="lastCol">
      <w:rPr>
        <w:b/>
        <w:bCs/>
      </w:rPr>
    </w:tblStylePr>
    <w:tblStylePr w:type="band1Vert">
      <w:tblPr/>
      <w:tcPr>
        <w:shd w:val="clear" w:color="auto" w:fill="E2D9E4" w:themeFill="accent6" w:themeFillTint="33"/>
      </w:tcPr>
    </w:tblStylePr>
    <w:tblStylePr w:type="band1Horz">
      <w:tblPr/>
      <w:tcPr>
        <w:shd w:val="clear" w:color="auto" w:fill="E2D9E4" w:themeFill="accent6" w:themeFillTint="33"/>
      </w:tcPr>
    </w:tblStylePr>
  </w:style>
  <w:style w:type="paragraph" w:styleId="NormalWeb">
    <w:name w:val="Normal (Web)"/>
    <w:basedOn w:val="Normal"/>
    <w:uiPriority w:val="99"/>
    <w:unhideWhenUsed/>
    <w:rsid w:val="001F6957"/>
    <w:pPr>
      <w:spacing w:before="100" w:beforeAutospacing="1" w:after="100" w:afterAutospacing="1"/>
    </w:pPr>
    <w:rPr>
      <w:rFonts w:ascii="Times New Roman" w:eastAsia="Times New Roman" w:hAnsi="Times New Roman" w:cs="Times New Roman"/>
      <w:sz w:val="24"/>
      <w:szCs w:val="24"/>
      <w:lang w:eastAsia="en-AU"/>
    </w:rPr>
  </w:style>
  <w:style w:type="table" w:styleId="GridTable5Dark">
    <w:name w:val="Grid Table 5 Dark"/>
    <w:basedOn w:val="TableNormal"/>
    <w:uiPriority w:val="50"/>
    <w:rsid w:val="00DD677C"/>
    <w:pPr>
      <w:spacing w:after="0" w:line="240" w:lineRule="auto"/>
    </w:pPr>
    <w:rPr>
      <w:rFonts w:ascii="Arial" w:eastAsiaTheme="minorHAnsi"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pPr>
        <w:jc w:val="left"/>
      </w:pPr>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vAlign w:val="bottom"/>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2Vert">
      <w:tblPr/>
      <w:tcPr>
        <w:shd w:val="clear" w:color="auto" w:fill="FFFFFF" w:themeFill="background1"/>
      </w:tcPr>
    </w:tblStylePr>
    <w:tblStylePr w:type="band1Horz">
      <w:tblPr/>
      <w:tcPr>
        <w:shd w:val="clear" w:color="auto" w:fill="FFFFFF" w:themeFill="background1"/>
      </w:tcPr>
    </w:tblStylePr>
  </w:style>
  <w:style w:type="character" w:styleId="CommentReference">
    <w:name w:val="annotation reference"/>
    <w:basedOn w:val="DefaultParagraphFont"/>
    <w:uiPriority w:val="99"/>
    <w:semiHidden/>
    <w:unhideWhenUsed/>
    <w:rsid w:val="001F6957"/>
    <w:rPr>
      <w:sz w:val="16"/>
      <w:szCs w:val="16"/>
    </w:rPr>
  </w:style>
  <w:style w:type="paragraph" w:styleId="CommentText">
    <w:name w:val="annotation text"/>
    <w:basedOn w:val="Normal"/>
    <w:link w:val="CommentTextChar"/>
    <w:uiPriority w:val="99"/>
    <w:unhideWhenUsed/>
    <w:rsid w:val="001F6957"/>
    <w:rPr>
      <w:szCs w:val="20"/>
    </w:rPr>
  </w:style>
  <w:style w:type="character" w:customStyle="1" w:styleId="CommentTextChar">
    <w:name w:val="Comment Text Char"/>
    <w:basedOn w:val="DefaultParagraphFont"/>
    <w:link w:val="CommentText"/>
    <w:uiPriority w:val="99"/>
    <w:rsid w:val="001F6957"/>
    <w:rPr>
      <w:rFonts w:ascii="Arial" w:eastAsiaTheme="minorHAnsi" w:hAnsi="Arial"/>
      <w:sz w:val="20"/>
      <w:szCs w:val="20"/>
    </w:rPr>
  </w:style>
  <w:style w:type="paragraph" w:styleId="CommentSubject">
    <w:name w:val="annotation subject"/>
    <w:basedOn w:val="CommentText"/>
    <w:next w:val="CommentText"/>
    <w:link w:val="CommentSubjectChar"/>
    <w:uiPriority w:val="99"/>
    <w:semiHidden/>
    <w:unhideWhenUsed/>
    <w:rsid w:val="001F6957"/>
    <w:rPr>
      <w:b/>
      <w:bCs/>
    </w:rPr>
  </w:style>
  <w:style w:type="character" w:customStyle="1" w:styleId="CommentSubjectChar">
    <w:name w:val="Comment Subject Char"/>
    <w:basedOn w:val="CommentTextChar"/>
    <w:link w:val="CommentSubject"/>
    <w:uiPriority w:val="99"/>
    <w:semiHidden/>
    <w:rsid w:val="001F6957"/>
    <w:rPr>
      <w:rFonts w:ascii="Arial" w:eastAsiaTheme="minorHAnsi" w:hAnsi="Arial"/>
      <w:b/>
      <w:bCs/>
      <w:sz w:val="20"/>
      <w:szCs w:val="20"/>
    </w:rPr>
  </w:style>
  <w:style w:type="table" w:styleId="GridTable5Dark-Accent2">
    <w:name w:val="Grid Table 5 Dark Accent 2"/>
    <w:basedOn w:val="TableNormal"/>
    <w:uiPriority w:val="50"/>
    <w:locked/>
    <w:rsid w:val="00DD677C"/>
    <w:pPr>
      <w:spacing w:after="0" w:line="240" w:lineRule="auto"/>
    </w:pPr>
    <w:rPr>
      <w:rFonts w:ascii="Arial" w:eastAsiaTheme="minorHAnsi"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4C3" w:themeFill="accent2" w:themeFillTint="33"/>
      <w:vAlign w:val="bottom"/>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1531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1531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1531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1531D" w:themeFill="accent2"/>
      </w:tcPr>
    </w:tblStylePr>
    <w:tblStylePr w:type="band1Vert">
      <w:tblPr/>
      <w:tcPr>
        <w:shd w:val="clear" w:color="auto" w:fill="FFFFFF" w:themeFill="background1"/>
      </w:tcPr>
    </w:tblStylePr>
    <w:tblStylePr w:type="band1Horz">
      <w:tblPr/>
      <w:tcPr>
        <w:shd w:val="clear" w:color="auto" w:fill="FFFFFF" w:themeFill="background1"/>
      </w:tcPr>
    </w:tblStylePr>
  </w:style>
  <w:style w:type="table" w:styleId="GridTable5Dark-Accent3">
    <w:name w:val="Grid Table 5 Dark Accent 3"/>
    <w:basedOn w:val="TableNormal"/>
    <w:uiPriority w:val="50"/>
    <w:locked/>
    <w:rsid w:val="00DD677C"/>
    <w:pPr>
      <w:spacing w:after="0" w:line="240" w:lineRule="auto"/>
    </w:pPr>
    <w:rPr>
      <w:rFonts w:ascii="Arial" w:eastAsiaTheme="minorHAnsi"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D5C5" w:themeFill="accent3" w:themeFillTint="33"/>
    </w:tcPr>
    <w:tblStylePr w:type="firstRow">
      <w:pPr>
        <w:jc w:val="left"/>
      </w:pPr>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C421B" w:themeFill="accent3"/>
        <w:vAlign w:val="bottom"/>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C421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C421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C421B" w:themeFill="accent3"/>
      </w:tcPr>
    </w:tblStylePr>
    <w:tblStylePr w:type="band1Vert">
      <w:tblPr/>
      <w:tcPr>
        <w:shd w:val="clear" w:color="auto" w:fill="FFFFFF" w:themeFill="background1"/>
      </w:tcPr>
    </w:tblStylePr>
    <w:tblStylePr w:type="band1Horz">
      <w:tblPr/>
      <w:tcPr>
        <w:shd w:val="clear" w:color="auto" w:fill="FFFFFF" w:themeFill="background1"/>
      </w:tcPr>
    </w:tblStylePr>
  </w:style>
  <w:style w:type="character" w:styleId="PlaceholderText">
    <w:name w:val="Placeholder Text"/>
    <w:basedOn w:val="DefaultParagraphFont"/>
    <w:uiPriority w:val="99"/>
    <w:semiHidden/>
    <w:rsid w:val="001F6957"/>
    <w:rPr>
      <w:color w:val="808080"/>
    </w:rPr>
  </w:style>
  <w:style w:type="paragraph" w:styleId="ListParagraph">
    <w:name w:val="List Paragraph"/>
    <w:aliases w:val="Recommendation,L,0Bullet,Bullet point,Indented bullet,List Paragraph1,List Paragraph11,List Paragraph2,bullet point list"/>
    <w:basedOn w:val="Normal"/>
    <w:uiPriority w:val="34"/>
    <w:qFormat/>
    <w:rsid w:val="001F6957"/>
    <w:pPr>
      <w:ind w:left="720"/>
      <w:contextualSpacing/>
    </w:pPr>
  </w:style>
  <w:style w:type="paragraph" w:styleId="Quote">
    <w:name w:val="Quote"/>
    <w:aliases w:val="Quote 1"/>
    <w:basedOn w:val="Normal"/>
    <w:next w:val="Body"/>
    <w:link w:val="QuoteChar"/>
    <w:uiPriority w:val="7"/>
    <w:qFormat/>
    <w:rsid w:val="00DD677C"/>
    <w:pPr>
      <w:spacing w:before="120" w:after="120" w:line="276" w:lineRule="auto"/>
      <w:ind w:left="1134" w:right="1134"/>
      <w:jc w:val="center"/>
    </w:pPr>
    <w:rPr>
      <w:rFonts w:asciiTheme="minorHAnsi" w:hAnsiTheme="minorHAnsi" w:cstheme="minorHAnsi"/>
      <w:sz w:val="22"/>
      <w:szCs w:val="22"/>
      <w:shd w:val="clear" w:color="auto" w:fill="FFFFFF"/>
    </w:rPr>
  </w:style>
  <w:style w:type="character" w:customStyle="1" w:styleId="QuoteChar">
    <w:name w:val="Quote Char"/>
    <w:aliases w:val="Quote 1 Char"/>
    <w:basedOn w:val="DefaultParagraphFont"/>
    <w:link w:val="Quote"/>
    <w:uiPriority w:val="7"/>
    <w:rsid w:val="00DD677C"/>
    <w:rPr>
      <w:rFonts w:eastAsiaTheme="minorHAnsi" w:cstheme="minorHAnsi"/>
    </w:rPr>
  </w:style>
  <w:style w:type="table" w:styleId="GridTable5Dark-Accent4">
    <w:name w:val="Grid Table 5 Dark Accent 4"/>
    <w:basedOn w:val="TableNormal"/>
    <w:uiPriority w:val="50"/>
    <w:locked/>
    <w:rsid w:val="00DD677C"/>
    <w:pPr>
      <w:spacing w:after="0" w:line="240" w:lineRule="auto"/>
    </w:pPr>
    <w:rPr>
      <w:rFonts w:ascii="Arial" w:eastAsiaTheme="minorHAnsi"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2E3E3" w:themeFill="accent4" w:themeFillTint="33"/>
    </w:tcPr>
    <w:tblStylePr w:type="firstRow">
      <w:pPr>
        <w:jc w:val="left"/>
      </w:pPr>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A5E5E" w:themeFill="accent4"/>
        <w:vAlign w:val="bottom"/>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A5E5E"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A5E5E"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A5E5E" w:themeFill="accent4"/>
      </w:tcPr>
    </w:tblStylePr>
    <w:tblStylePr w:type="band1Vert">
      <w:tblPr/>
      <w:tcPr>
        <w:shd w:val="clear" w:color="auto" w:fill="FFFFFF" w:themeFill="background1"/>
      </w:tcPr>
    </w:tblStylePr>
    <w:tblStylePr w:type="band1Horz">
      <w:tblPr/>
      <w:tcPr>
        <w:shd w:val="clear" w:color="auto" w:fill="FFFFFF" w:themeFill="background1"/>
      </w:tcPr>
    </w:tblStylePr>
  </w:style>
  <w:style w:type="table" w:styleId="GridTable5Dark-Accent5">
    <w:name w:val="Grid Table 5 Dark Accent 5"/>
    <w:basedOn w:val="TableNormal"/>
    <w:uiPriority w:val="50"/>
    <w:rsid w:val="00DD677C"/>
    <w:pPr>
      <w:spacing w:after="0" w:line="240" w:lineRule="auto"/>
    </w:pPr>
    <w:rPr>
      <w:rFonts w:ascii="Arial" w:eastAsiaTheme="minorHAnsi"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E8D7" w:themeFill="accent5" w:themeFillTint="33"/>
    </w:tcPr>
    <w:tblStylePr w:type="firstRow">
      <w:pPr>
        <w:jc w:val="left"/>
      </w:pPr>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D6442" w:themeFill="accent5"/>
        <w:vAlign w:val="bottom"/>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D644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D644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D6442" w:themeFill="accent5"/>
      </w:tcPr>
    </w:tblStylePr>
    <w:tblStylePr w:type="band1Vert">
      <w:tblPr/>
      <w:tcPr>
        <w:shd w:val="clear" w:color="auto" w:fill="FFFFFF" w:themeFill="background1"/>
      </w:tcPr>
    </w:tblStylePr>
    <w:tblStylePr w:type="band1Horz">
      <w:tblPr/>
      <w:tcPr>
        <w:shd w:val="clear" w:color="auto" w:fill="FFFFFF" w:themeFill="background1"/>
      </w:tcPr>
    </w:tblStylePr>
  </w:style>
  <w:style w:type="table" w:styleId="GridTable5Dark-Accent6">
    <w:name w:val="Grid Table 5 Dark Accent 6"/>
    <w:basedOn w:val="TableNormal"/>
    <w:uiPriority w:val="50"/>
    <w:locked/>
    <w:rsid w:val="00DD677C"/>
    <w:pPr>
      <w:spacing w:after="0" w:line="240" w:lineRule="auto"/>
    </w:pPr>
    <w:rPr>
      <w:rFonts w:ascii="Arial" w:eastAsiaTheme="minorHAnsi"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D9E4" w:themeFill="accent6" w:themeFillTint="33"/>
    </w:tcPr>
    <w:tblStylePr w:type="firstRow">
      <w:pPr>
        <w:jc w:val="left"/>
      </w:pPr>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84F6F" w:themeFill="accent6"/>
        <w:vAlign w:val="bottom"/>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84F6F"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84F6F"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84F6F" w:themeFill="accent6"/>
      </w:tcPr>
    </w:tblStylePr>
    <w:tblStylePr w:type="band1Vert">
      <w:tblPr/>
      <w:tcPr>
        <w:shd w:val="clear" w:color="auto" w:fill="C5B4C9" w:themeFill="accent6" w:themeFillTint="66"/>
      </w:tcPr>
    </w:tblStylePr>
    <w:tblStylePr w:type="band2Vert">
      <w:tblPr/>
      <w:tcPr>
        <w:shd w:val="clear" w:color="auto" w:fill="FFFFFF" w:themeFill="background1"/>
      </w:tcPr>
    </w:tblStylePr>
    <w:tblStylePr w:type="band1Horz">
      <w:tblPr/>
      <w:tcPr>
        <w:shd w:val="clear" w:color="auto" w:fill="FFFFFF" w:themeFill="background1"/>
      </w:tcPr>
    </w:tblStylePr>
  </w:style>
  <w:style w:type="table" w:styleId="GridTable6Colorful">
    <w:name w:val="Grid Table 6 Colorful"/>
    <w:basedOn w:val="TableNormal"/>
    <w:uiPriority w:val="51"/>
    <w:rsid w:val="00DD677C"/>
    <w:pPr>
      <w:spacing w:after="0" w:line="240" w:lineRule="auto"/>
    </w:pPr>
    <w:rPr>
      <w:rFonts w:ascii="Arial" w:eastAsiaTheme="minorHAnsi" w:hAnsi="Arial"/>
      <w:color w:val="000000" w:themeColor="text1"/>
      <w:sz w:val="18"/>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pPr>
        <w:jc w:val="left"/>
      </w:pPr>
      <w:rPr>
        <w:b/>
        <w:bCs/>
      </w:rPr>
      <w:tblPr/>
      <w:tcPr>
        <w:tcBorders>
          <w:bottom w:val="single" w:sz="12" w:space="0" w:color="666666" w:themeColor="text1" w:themeTint="99"/>
        </w:tcBorders>
        <w:vAlign w:val="bottom"/>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locked/>
    <w:rsid w:val="00DD677C"/>
    <w:pPr>
      <w:spacing w:after="0" w:line="240" w:lineRule="auto"/>
    </w:pPr>
    <w:rPr>
      <w:rFonts w:ascii="Arial" w:eastAsiaTheme="minorHAnsi" w:hAnsi="Arial"/>
      <w:color w:val="3D4709" w:themeColor="accent1" w:themeShade="BF"/>
      <w:sz w:val="18"/>
    </w:rPr>
    <w:tblPr>
      <w:tblStyleRowBandSize w:val="1"/>
      <w:tblStyleColBandSize w:val="1"/>
      <w:tblBorders>
        <w:top w:val="single" w:sz="4" w:space="0" w:color="C6E328" w:themeColor="accent1" w:themeTint="99"/>
        <w:left w:val="single" w:sz="4" w:space="0" w:color="C6E328" w:themeColor="accent1" w:themeTint="99"/>
        <w:bottom w:val="single" w:sz="4" w:space="0" w:color="C6E328" w:themeColor="accent1" w:themeTint="99"/>
        <w:right w:val="single" w:sz="4" w:space="0" w:color="C6E328" w:themeColor="accent1" w:themeTint="99"/>
        <w:insideH w:val="single" w:sz="4" w:space="0" w:color="C6E328" w:themeColor="accent1" w:themeTint="99"/>
        <w:insideV w:val="single" w:sz="4" w:space="0" w:color="C6E328" w:themeColor="accent1" w:themeTint="99"/>
      </w:tblBorders>
    </w:tblPr>
    <w:tblStylePr w:type="firstRow">
      <w:pPr>
        <w:jc w:val="left"/>
      </w:pPr>
      <w:rPr>
        <w:b/>
        <w:bCs/>
      </w:rPr>
      <w:tblPr/>
      <w:tcPr>
        <w:tcBorders>
          <w:bottom w:val="single" w:sz="12" w:space="0" w:color="C6E328" w:themeColor="accent1" w:themeTint="99"/>
        </w:tcBorders>
        <w:vAlign w:val="bottom"/>
      </w:tcPr>
    </w:tblStylePr>
    <w:tblStylePr w:type="lastRow">
      <w:rPr>
        <w:b/>
        <w:bCs/>
      </w:rPr>
      <w:tblPr/>
      <w:tcPr>
        <w:tcBorders>
          <w:top w:val="double" w:sz="4" w:space="0" w:color="C6E328" w:themeColor="accent1" w:themeTint="99"/>
        </w:tcBorders>
      </w:tcPr>
    </w:tblStylePr>
    <w:tblStylePr w:type="firstCol">
      <w:rPr>
        <w:b/>
        <w:bCs/>
      </w:rPr>
    </w:tblStylePr>
    <w:tblStylePr w:type="lastCol">
      <w:rPr>
        <w:b/>
        <w:bCs/>
      </w:rPr>
    </w:tblStylePr>
    <w:tblStylePr w:type="band1Vert">
      <w:tblPr/>
      <w:tcPr>
        <w:shd w:val="clear" w:color="auto" w:fill="ECF6B7" w:themeFill="accent1" w:themeFillTint="33"/>
      </w:tcPr>
    </w:tblStylePr>
    <w:tblStylePr w:type="band1Horz">
      <w:tblPr/>
      <w:tcPr>
        <w:shd w:val="clear" w:color="auto" w:fill="ECF6B7" w:themeFill="accent1" w:themeFillTint="33"/>
      </w:tcPr>
    </w:tblStylePr>
  </w:style>
  <w:style w:type="table" w:styleId="GridTable6Colorful-Accent2">
    <w:name w:val="Grid Table 6 Colorful Accent 2"/>
    <w:basedOn w:val="TableNormal"/>
    <w:uiPriority w:val="51"/>
    <w:locked/>
    <w:rsid w:val="00DD677C"/>
    <w:pPr>
      <w:spacing w:after="0" w:line="240" w:lineRule="auto"/>
    </w:pPr>
    <w:rPr>
      <w:rFonts w:ascii="Arial" w:eastAsiaTheme="minorHAnsi" w:hAnsi="Arial"/>
      <w:color w:val="483D15" w:themeColor="accent2" w:themeShade="BF"/>
      <w:sz w:val="18"/>
    </w:rPr>
    <w:tblPr>
      <w:tblStyleRowBandSize w:val="1"/>
      <w:tblStyleColBandSize w:val="1"/>
      <w:tblBorders>
        <w:top w:val="single" w:sz="4" w:space="0" w:color="CAB04D" w:themeColor="accent2" w:themeTint="99"/>
        <w:left w:val="single" w:sz="4" w:space="0" w:color="CAB04D" w:themeColor="accent2" w:themeTint="99"/>
        <w:bottom w:val="single" w:sz="4" w:space="0" w:color="CAB04D" w:themeColor="accent2" w:themeTint="99"/>
        <w:right w:val="single" w:sz="4" w:space="0" w:color="CAB04D" w:themeColor="accent2" w:themeTint="99"/>
        <w:insideH w:val="single" w:sz="4" w:space="0" w:color="CAB04D" w:themeColor="accent2" w:themeTint="99"/>
        <w:insideV w:val="single" w:sz="4" w:space="0" w:color="CAB04D" w:themeColor="accent2" w:themeTint="99"/>
      </w:tblBorders>
    </w:tblPr>
    <w:tblStylePr w:type="firstRow">
      <w:pPr>
        <w:jc w:val="left"/>
      </w:pPr>
      <w:rPr>
        <w:b/>
        <w:bCs/>
      </w:rPr>
      <w:tblPr/>
      <w:tcPr>
        <w:tcBorders>
          <w:bottom w:val="single" w:sz="12" w:space="0" w:color="CAB04D" w:themeColor="accent2" w:themeTint="99"/>
        </w:tcBorders>
        <w:vAlign w:val="bottom"/>
      </w:tcPr>
    </w:tblStylePr>
    <w:tblStylePr w:type="lastRow">
      <w:rPr>
        <w:b/>
        <w:bCs/>
      </w:rPr>
      <w:tblPr/>
      <w:tcPr>
        <w:tcBorders>
          <w:top w:val="double" w:sz="4" w:space="0" w:color="CAB04D" w:themeColor="accent2" w:themeTint="99"/>
        </w:tcBorders>
      </w:tcPr>
    </w:tblStylePr>
    <w:tblStylePr w:type="firstCol">
      <w:rPr>
        <w:b/>
        <w:bCs/>
      </w:rPr>
    </w:tblStylePr>
    <w:tblStylePr w:type="lastCol">
      <w:rPr>
        <w:b/>
        <w:bCs/>
      </w:rPr>
    </w:tblStylePr>
    <w:tblStylePr w:type="band1Vert">
      <w:tblPr/>
      <w:tcPr>
        <w:shd w:val="clear" w:color="auto" w:fill="EDE4C3" w:themeFill="accent2" w:themeFillTint="33"/>
      </w:tcPr>
    </w:tblStylePr>
    <w:tblStylePr w:type="band1Horz">
      <w:tblPr/>
      <w:tcPr>
        <w:shd w:val="clear" w:color="auto" w:fill="EDE4C3" w:themeFill="accent2" w:themeFillTint="33"/>
      </w:tcPr>
    </w:tblStylePr>
  </w:style>
  <w:style w:type="table" w:styleId="GridTable6Colorful-Accent3">
    <w:name w:val="Grid Table 6 Colorful Accent 3"/>
    <w:basedOn w:val="TableNormal"/>
    <w:uiPriority w:val="51"/>
    <w:locked/>
    <w:rsid w:val="00DD677C"/>
    <w:pPr>
      <w:spacing w:after="0" w:line="240" w:lineRule="auto"/>
    </w:pPr>
    <w:rPr>
      <w:rFonts w:ascii="Arial" w:eastAsiaTheme="minorHAnsi" w:hAnsi="Arial"/>
      <w:color w:val="683114" w:themeColor="accent3" w:themeShade="BF"/>
      <w:sz w:val="18"/>
    </w:rPr>
    <w:tblPr>
      <w:tblStyleRowBandSize w:val="1"/>
      <w:tblStyleColBandSize w:val="1"/>
      <w:tblBorders>
        <w:top w:val="single" w:sz="4" w:space="0" w:color="DD8252" w:themeColor="accent3" w:themeTint="99"/>
        <w:left w:val="single" w:sz="4" w:space="0" w:color="DD8252" w:themeColor="accent3" w:themeTint="99"/>
        <w:bottom w:val="single" w:sz="4" w:space="0" w:color="DD8252" w:themeColor="accent3" w:themeTint="99"/>
        <w:right w:val="single" w:sz="4" w:space="0" w:color="DD8252" w:themeColor="accent3" w:themeTint="99"/>
        <w:insideH w:val="single" w:sz="4" w:space="0" w:color="DD8252" w:themeColor="accent3" w:themeTint="99"/>
        <w:insideV w:val="single" w:sz="4" w:space="0" w:color="DD8252" w:themeColor="accent3" w:themeTint="99"/>
      </w:tblBorders>
    </w:tblPr>
    <w:tblStylePr w:type="firstRow">
      <w:pPr>
        <w:jc w:val="left"/>
      </w:pPr>
      <w:rPr>
        <w:b/>
        <w:bCs/>
      </w:rPr>
      <w:tblPr/>
      <w:tcPr>
        <w:tcBorders>
          <w:bottom w:val="single" w:sz="12" w:space="0" w:color="DD8252" w:themeColor="accent3" w:themeTint="99"/>
        </w:tcBorders>
        <w:vAlign w:val="bottom"/>
      </w:tcPr>
    </w:tblStylePr>
    <w:tblStylePr w:type="lastRow">
      <w:rPr>
        <w:b/>
        <w:bCs/>
      </w:rPr>
      <w:tblPr/>
      <w:tcPr>
        <w:tcBorders>
          <w:top w:val="double" w:sz="4" w:space="0" w:color="DD8252" w:themeColor="accent3" w:themeTint="99"/>
        </w:tcBorders>
      </w:tcPr>
    </w:tblStylePr>
    <w:tblStylePr w:type="firstCol">
      <w:rPr>
        <w:b/>
        <w:bCs/>
      </w:rPr>
    </w:tblStylePr>
    <w:tblStylePr w:type="lastCol">
      <w:rPr>
        <w:b/>
        <w:bCs/>
      </w:rPr>
    </w:tblStylePr>
    <w:tblStylePr w:type="band1Vert">
      <w:tblPr/>
      <w:tcPr>
        <w:shd w:val="clear" w:color="auto" w:fill="F4D5C5" w:themeFill="accent3" w:themeFillTint="33"/>
      </w:tcPr>
    </w:tblStylePr>
    <w:tblStylePr w:type="band1Horz">
      <w:tblPr/>
      <w:tcPr>
        <w:shd w:val="clear" w:color="auto" w:fill="F4D5C5" w:themeFill="accent3" w:themeFillTint="33"/>
      </w:tcPr>
    </w:tblStylePr>
  </w:style>
  <w:style w:type="table" w:styleId="GridTable6Colorful-Accent4">
    <w:name w:val="Grid Table 6 Colorful Accent 4"/>
    <w:basedOn w:val="TableNormal"/>
    <w:uiPriority w:val="51"/>
    <w:locked/>
    <w:rsid w:val="00DD677C"/>
    <w:pPr>
      <w:spacing w:after="0" w:line="240" w:lineRule="auto"/>
    </w:pPr>
    <w:rPr>
      <w:rFonts w:ascii="Arial" w:eastAsiaTheme="minorHAnsi" w:hAnsi="Arial"/>
      <w:color w:val="2B4646" w:themeColor="accent4" w:themeShade="BF"/>
      <w:sz w:val="18"/>
    </w:rPr>
    <w:tblPr>
      <w:tblStyleRowBandSize w:val="1"/>
      <w:tblStyleColBandSize w:val="1"/>
      <w:tblBorders>
        <w:top w:val="single" w:sz="4" w:space="0" w:color="7AADAD" w:themeColor="accent4" w:themeTint="99"/>
        <w:left w:val="single" w:sz="4" w:space="0" w:color="7AADAD" w:themeColor="accent4" w:themeTint="99"/>
        <w:bottom w:val="single" w:sz="4" w:space="0" w:color="7AADAD" w:themeColor="accent4" w:themeTint="99"/>
        <w:right w:val="single" w:sz="4" w:space="0" w:color="7AADAD" w:themeColor="accent4" w:themeTint="99"/>
        <w:insideH w:val="single" w:sz="4" w:space="0" w:color="7AADAD" w:themeColor="accent4" w:themeTint="99"/>
        <w:insideV w:val="single" w:sz="4" w:space="0" w:color="7AADAD" w:themeColor="accent4" w:themeTint="99"/>
      </w:tblBorders>
    </w:tblPr>
    <w:tblStylePr w:type="firstRow">
      <w:pPr>
        <w:jc w:val="left"/>
      </w:pPr>
      <w:rPr>
        <w:b/>
        <w:bCs/>
      </w:rPr>
      <w:tblPr/>
      <w:tcPr>
        <w:tcBorders>
          <w:bottom w:val="single" w:sz="12" w:space="0" w:color="7AADAD" w:themeColor="accent4" w:themeTint="99"/>
        </w:tcBorders>
        <w:vAlign w:val="bottom"/>
      </w:tcPr>
    </w:tblStylePr>
    <w:tblStylePr w:type="lastRow">
      <w:rPr>
        <w:b/>
        <w:bCs/>
      </w:rPr>
      <w:tblPr/>
      <w:tcPr>
        <w:tcBorders>
          <w:top w:val="double" w:sz="4" w:space="0" w:color="7AADAD" w:themeColor="accent4" w:themeTint="99"/>
        </w:tcBorders>
      </w:tcPr>
    </w:tblStylePr>
    <w:tblStylePr w:type="firstCol">
      <w:rPr>
        <w:b/>
        <w:bCs/>
      </w:rPr>
    </w:tblStylePr>
    <w:tblStylePr w:type="lastCol">
      <w:rPr>
        <w:b/>
        <w:bCs/>
      </w:rPr>
    </w:tblStylePr>
    <w:tblStylePr w:type="band1Vert">
      <w:tblPr/>
      <w:tcPr>
        <w:shd w:val="clear" w:color="auto" w:fill="D2E3E3" w:themeFill="accent4" w:themeFillTint="33"/>
      </w:tcPr>
    </w:tblStylePr>
    <w:tblStylePr w:type="band1Horz">
      <w:tblPr/>
      <w:tcPr>
        <w:shd w:val="clear" w:color="auto" w:fill="D2E3E3" w:themeFill="accent4" w:themeFillTint="33"/>
      </w:tcPr>
    </w:tblStylePr>
  </w:style>
  <w:style w:type="table" w:styleId="GridTable6Colorful-Accent5">
    <w:name w:val="Grid Table 6 Colorful Accent 5"/>
    <w:basedOn w:val="TableNormal"/>
    <w:uiPriority w:val="51"/>
    <w:rsid w:val="00DD677C"/>
    <w:pPr>
      <w:spacing w:after="0" w:line="240" w:lineRule="auto"/>
    </w:pPr>
    <w:rPr>
      <w:rFonts w:ascii="Arial" w:eastAsiaTheme="minorHAnsi" w:hAnsi="Arial"/>
      <w:color w:val="214A31" w:themeColor="accent5" w:themeShade="BF"/>
      <w:sz w:val="18"/>
    </w:rPr>
    <w:tblPr>
      <w:tblStyleRowBandSize w:val="1"/>
      <w:tblStyleColBandSize w:val="1"/>
      <w:tblBorders>
        <w:top w:val="single" w:sz="4" w:space="0" w:color="67BB87" w:themeColor="accent5" w:themeTint="99"/>
        <w:left w:val="single" w:sz="4" w:space="0" w:color="67BB87" w:themeColor="accent5" w:themeTint="99"/>
        <w:bottom w:val="single" w:sz="4" w:space="0" w:color="67BB87" w:themeColor="accent5" w:themeTint="99"/>
        <w:right w:val="single" w:sz="4" w:space="0" w:color="67BB87" w:themeColor="accent5" w:themeTint="99"/>
        <w:insideH w:val="single" w:sz="4" w:space="0" w:color="67BB87" w:themeColor="accent5" w:themeTint="99"/>
        <w:insideV w:val="single" w:sz="4" w:space="0" w:color="67BB87" w:themeColor="accent5" w:themeTint="99"/>
      </w:tblBorders>
    </w:tblPr>
    <w:tblStylePr w:type="firstRow">
      <w:pPr>
        <w:jc w:val="left"/>
      </w:pPr>
      <w:rPr>
        <w:b/>
        <w:bCs/>
      </w:rPr>
      <w:tblPr/>
      <w:tcPr>
        <w:tcBorders>
          <w:bottom w:val="single" w:sz="12" w:space="0" w:color="67BB87" w:themeColor="accent5" w:themeTint="99"/>
        </w:tcBorders>
        <w:vAlign w:val="bottom"/>
      </w:tcPr>
    </w:tblStylePr>
    <w:tblStylePr w:type="lastRow">
      <w:rPr>
        <w:b/>
        <w:bCs/>
      </w:rPr>
      <w:tblPr/>
      <w:tcPr>
        <w:tcBorders>
          <w:top w:val="double" w:sz="4" w:space="0" w:color="67BB87" w:themeColor="accent5" w:themeTint="99"/>
        </w:tcBorders>
      </w:tcPr>
    </w:tblStylePr>
    <w:tblStylePr w:type="firstCol">
      <w:rPr>
        <w:b/>
        <w:bCs/>
      </w:rPr>
    </w:tblStylePr>
    <w:tblStylePr w:type="lastCol">
      <w:rPr>
        <w:b/>
        <w:bCs/>
      </w:rPr>
    </w:tblStylePr>
    <w:tblStylePr w:type="band1Vert">
      <w:tblPr/>
      <w:tcPr>
        <w:shd w:val="clear" w:color="auto" w:fill="CCE8D7" w:themeFill="accent5" w:themeFillTint="33"/>
      </w:tcPr>
    </w:tblStylePr>
    <w:tblStylePr w:type="band1Horz">
      <w:tblPr/>
      <w:tcPr>
        <w:shd w:val="clear" w:color="auto" w:fill="CCE8D7" w:themeFill="accent5" w:themeFillTint="33"/>
      </w:tcPr>
    </w:tblStylePr>
  </w:style>
  <w:style w:type="table" w:styleId="GridTable6Colorful-Accent6">
    <w:name w:val="Grid Table 6 Colorful Accent 6"/>
    <w:basedOn w:val="TableNormal"/>
    <w:uiPriority w:val="51"/>
    <w:locked/>
    <w:rsid w:val="00DD677C"/>
    <w:pPr>
      <w:spacing w:after="0" w:line="240" w:lineRule="auto"/>
    </w:pPr>
    <w:rPr>
      <w:rFonts w:eastAsiaTheme="minorHAnsi"/>
      <w:color w:val="4D3B52" w:themeColor="accent6" w:themeShade="BF"/>
    </w:rPr>
    <w:tblPr>
      <w:tblStyleRowBandSize w:val="1"/>
      <w:tblStyleColBandSize w:val="1"/>
      <w:tblBorders>
        <w:top w:val="single" w:sz="4" w:space="0" w:color="A88EAF" w:themeColor="accent6" w:themeTint="99"/>
        <w:left w:val="single" w:sz="4" w:space="0" w:color="A88EAF" w:themeColor="accent6" w:themeTint="99"/>
        <w:bottom w:val="single" w:sz="4" w:space="0" w:color="A88EAF" w:themeColor="accent6" w:themeTint="99"/>
        <w:right w:val="single" w:sz="4" w:space="0" w:color="A88EAF" w:themeColor="accent6" w:themeTint="99"/>
        <w:insideH w:val="single" w:sz="4" w:space="0" w:color="A88EAF" w:themeColor="accent6" w:themeTint="99"/>
        <w:insideV w:val="single" w:sz="4" w:space="0" w:color="A88EAF" w:themeColor="accent6" w:themeTint="99"/>
      </w:tblBorders>
    </w:tblPr>
    <w:tblStylePr w:type="firstRow">
      <w:pPr>
        <w:jc w:val="left"/>
      </w:pPr>
      <w:rPr>
        <w:b/>
        <w:bCs/>
      </w:rPr>
      <w:tblPr/>
      <w:tcPr>
        <w:tcBorders>
          <w:bottom w:val="single" w:sz="12" w:space="0" w:color="A88EAF" w:themeColor="accent6" w:themeTint="99"/>
        </w:tcBorders>
        <w:vAlign w:val="bottom"/>
      </w:tcPr>
    </w:tblStylePr>
    <w:tblStylePr w:type="lastRow">
      <w:rPr>
        <w:b/>
        <w:bCs/>
      </w:rPr>
      <w:tblPr/>
      <w:tcPr>
        <w:tcBorders>
          <w:top w:val="double" w:sz="4" w:space="0" w:color="A88EAF" w:themeColor="accent6" w:themeTint="99"/>
        </w:tcBorders>
      </w:tcPr>
    </w:tblStylePr>
    <w:tblStylePr w:type="firstCol">
      <w:rPr>
        <w:b/>
        <w:bCs/>
      </w:rPr>
    </w:tblStylePr>
    <w:tblStylePr w:type="lastCol">
      <w:rPr>
        <w:b/>
        <w:bCs/>
      </w:rPr>
    </w:tblStylePr>
    <w:tblStylePr w:type="band1Vert">
      <w:tblPr/>
      <w:tcPr>
        <w:shd w:val="clear" w:color="auto" w:fill="E2D9E4" w:themeFill="accent6" w:themeFillTint="33"/>
      </w:tcPr>
    </w:tblStylePr>
    <w:tblStylePr w:type="band1Horz">
      <w:tblPr/>
      <w:tcPr>
        <w:shd w:val="clear" w:color="auto" w:fill="E2D9E4" w:themeFill="accent6" w:themeFillTint="33"/>
      </w:tcPr>
    </w:tblStylePr>
  </w:style>
  <w:style w:type="table" w:styleId="GridTable7Colorful">
    <w:name w:val="Grid Table 7 Colorful"/>
    <w:basedOn w:val="TableNormal"/>
    <w:uiPriority w:val="52"/>
    <w:rsid w:val="00DD677C"/>
    <w:pPr>
      <w:spacing w:after="0" w:line="240" w:lineRule="auto"/>
    </w:pPr>
    <w:rPr>
      <w:rFonts w:ascii="Arial" w:eastAsiaTheme="minorHAnsi" w:hAnsi="Arial"/>
      <w:color w:val="000000" w:themeColor="text1"/>
      <w:sz w:val="18"/>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val="0"/>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locked/>
    <w:rsid w:val="00DD677C"/>
    <w:pPr>
      <w:spacing w:after="0" w:line="240" w:lineRule="auto"/>
    </w:pPr>
    <w:rPr>
      <w:rFonts w:eastAsiaTheme="minorHAnsi"/>
      <w:color w:val="3D4709" w:themeColor="accent1" w:themeShade="BF"/>
    </w:rPr>
    <w:tblPr>
      <w:tblStyleRowBandSize w:val="1"/>
      <w:tblStyleColBandSize w:val="1"/>
      <w:tblBorders>
        <w:top w:val="single" w:sz="4" w:space="0" w:color="C6E328" w:themeColor="accent1" w:themeTint="99"/>
        <w:left w:val="single" w:sz="4" w:space="0" w:color="C6E328" w:themeColor="accent1" w:themeTint="99"/>
        <w:bottom w:val="single" w:sz="4" w:space="0" w:color="C6E328" w:themeColor="accent1" w:themeTint="99"/>
        <w:right w:val="single" w:sz="4" w:space="0" w:color="C6E328" w:themeColor="accent1" w:themeTint="99"/>
        <w:insideH w:val="single" w:sz="4" w:space="0" w:color="C6E328" w:themeColor="accent1" w:themeTint="99"/>
        <w:insideV w:val="single" w:sz="4" w:space="0" w:color="C6E328" w:themeColor="accent1"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F6B7" w:themeFill="accent1" w:themeFillTint="33"/>
      </w:tcPr>
    </w:tblStylePr>
    <w:tblStylePr w:type="band1Horz">
      <w:tblPr/>
      <w:tcPr>
        <w:shd w:val="clear" w:color="auto" w:fill="ECF6B7" w:themeFill="accent1" w:themeFillTint="33"/>
      </w:tcPr>
    </w:tblStylePr>
    <w:tblStylePr w:type="neCell">
      <w:tblPr/>
      <w:tcPr>
        <w:tcBorders>
          <w:bottom w:val="single" w:sz="4" w:space="0" w:color="C6E328" w:themeColor="accent1" w:themeTint="99"/>
        </w:tcBorders>
      </w:tcPr>
    </w:tblStylePr>
    <w:tblStylePr w:type="nwCell">
      <w:tblPr/>
      <w:tcPr>
        <w:tcBorders>
          <w:bottom w:val="single" w:sz="4" w:space="0" w:color="C6E328" w:themeColor="accent1" w:themeTint="99"/>
        </w:tcBorders>
      </w:tcPr>
    </w:tblStylePr>
    <w:tblStylePr w:type="seCell">
      <w:tblPr/>
      <w:tcPr>
        <w:tcBorders>
          <w:top w:val="single" w:sz="4" w:space="0" w:color="C6E328" w:themeColor="accent1" w:themeTint="99"/>
        </w:tcBorders>
      </w:tcPr>
    </w:tblStylePr>
    <w:tblStylePr w:type="swCell">
      <w:tblPr/>
      <w:tcPr>
        <w:tcBorders>
          <w:top w:val="single" w:sz="4" w:space="0" w:color="C6E328" w:themeColor="accent1" w:themeTint="99"/>
        </w:tcBorders>
      </w:tcPr>
    </w:tblStylePr>
  </w:style>
  <w:style w:type="table" w:styleId="GridTable7Colorful-Accent2">
    <w:name w:val="Grid Table 7 Colorful Accent 2"/>
    <w:basedOn w:val="TableNormal"/>
    <w:uiPriority w:val="52"/>
    <w:locked/>
    <w:rsid w:val="00DD677C"/>
    <w:pPr>
      <w:spacing w:after="0" w:line="240" w:lineRule="auto"/>
    </w:pPr>
    <w:rPr>
      <w:rFonts w:eastAsiaTheme="minorHAnsi"/>
      <w:color w:val="483D15" w:themeColor="accent2" w:themeShade="BF"/>
    </w:rPr>
    <w:tblPr>
      <w:tblStyleRowBandSize w:val="1"/>
      <w:tblStyleColBandSize w:val="1"/>
      <w:tblBorders>
        <w:top w:val="single" w:sz="4" w:space="0" w:color="CAB04D" w:themeColor="accent2" w:themeTint="99"/>
        <w:left w:val="single" w:sz="4" w:space="0" w:color="CAB04D" w:themeColor="accent2" w:themeTint="99"/>
        <w:bottom w:val="single" w:sz="4" w:space="0" w:color="CAB04D" w:themeColor="accent2" w:themeTint="99"/>
        <w:right w:val="single" w:sz="4" w:space="0" w:color="CAB04D" w:themeColor="accent2" w:themeTint="99"/>
        <w:insideH w:val="single" w:sz="4" w:space="0" w:color="CAB04D" w:themeColor="accent2" w:themeTint="99"/>
        <w:insideV w:val="single" w:sz="4" w:space="0" w:color="CAB04D" w:themeColor="accent2"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4C3" w:themeFill="accent2" w:themeFillTint="33"/>
      </w:tcPr>
    </w:tblStylePr>
    <w:tblStylePr w:type="band1Horz">
      <w:tblPr/>
      <w:tcPr>
        <w:shd w:val="clear" w:color="auto" w:fill="EDE4C3" w:themeFill="accent2" w:themeFillTint="33"/>
      </w:tcPr>
    </w:tblStylePr>
    <w:tblStylePr w:type="neCell">
      <w:tblPr/>
      <w:tcPr>
        <w:tcBorders>
          <w:bottom w:val="single" w:sz="4" w:space="0" w:color="CAB04D" w:themeColor="accent2" w:themeTint="99"/>
        </w:tcBorders>
      </w:tcPr>
    </w:tblStylePr>
    <w:tblStylePr w:type="nwCell">
      <w:tblPr/>
      <w:tcPr>
        <w:tcBorders>
          <w:bottom w:val="single" w:sz="4" w:space="0" w:color="CAB04D" w:themeColor="accent2" w:themeTint="99"/>
        </w:tcBorders>
      </w:tcPr>
    </w:tblStylePr>
    <w:tblStylePr w:type="seCell">
      <w:tblPr/>
      <w:tcPr>
        <w:tcBorders>
          <w:top w:val="single" w:sz="4" w:space="0" w:color="CAB04D" w:themeColor="accent2" w:themeTint="99"/>
        </w:tcBorders>
      </w:tcPr>
    </w:tblStylePr>
    <w:tblStylePr w:type="swCell">
      <w:tblPr/>
      <w:tcPr>
        <w:tcBorders>
          <w:top w:val="single" w:sz="4" w:space="0" w:color="CAB04D" w:themeColor="accent2" w:themeTint="99"/>
        </w:tcBorders>
      </w:tcPr>
    </w:tblStylePr>
  </w:style>
  <w:style w:type="table" w:styleId="GridTable7Colorful-Accent3">
    <w:name w:val="Grid Table 7 Colorful Accent 3"/>
    <w:basedOn w:val="TableNormal"/>
    <w:uiPriority w:val="52"/>
    <w:locked/>
    <w:rsid w:val="00DD677C"/>
    <w:pPr>
      <w:spacing w:after="0" w:line="240" w:lineRule="auto"/>
    </w:pPr>
    <w:rPr>
      <w:rFonts w:eastAsiaTheme="minorHAnsi"/>
      <w:color w:val="683114" w:themeColor="accent3" w:themeShade="BF"/>
    </w:rPr>
    <w:tblPr>
      <w:tblStyleRowBandSize w:val="1"/>
      <w:tblStyleColBandSize w:val="1"/>
      <w:tblBorders>
        <w:top w:val="single" w:sz="4" w:space="0" w:color="DD8252" w:themeColor="accent3" w:themeTint="99"/>
        <w:left w:val="single" w:sz="4" w:space="0" w:color="DD8252" w:themeColor="accent3" w:themeTint="99"/>
        <w:bottom w:val="single" w:sz="4" w:space="0" w:color="DD8252" w:themeColor="accent3" w:themeTint="99"/>
        <w:right w:val="single" w:sz="4" w:space="0" w:color="DD8252" w:themeColor="accent3" w:themeTint="99"/>
        <w:insideH w:val="single" w:sz="4" w:space="0" w:color="DD8252" w:themeColor="accent3" w:themeTint="99"/>
        <w:insideV w:val="single" w:sz="4" w:space="0" w:color="DD8252" w:themeColor="accent3"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D5C5" w:themeFill="accent3" w:themeFillTint="33"/>
      </w:tcPr>
    </w:tblStylePr>
    <w:tblStylePr w:type="band1Horz">
      <w:tblPr/>
      <w:tcPr>
        <w:shd w:val="clear" w:color="auto" w:fill="F4D5C5" w:themeFill="accent3" w:themeFillTint="33"/>
      </w:tcPr>
    </w:tblStylePr>
    <w:tblStylePr w:type="neCell">
      <w:tblPr/>
      <w:tcPr>
        <w:tcBorders>
          <w:bottom w:val="single" w:sz="4" w:space="0" w:color="DD8252" w:themeColor="accent3" w:themeTint="99"/>
        </w:tcBorders>
      </w:tcPr>
    </w:tblStylePr>
    <w:tblStylePr w:type="nwCell">
      <w:tblPr/>
      <w:tcPr>
        <w:tcBorders>
          <w:bottom w:val="single" w:sz="4" w:space="0" w:color="DD8252" w:themeColor="accent3" w:themeTint="99"/>
        </w:tcBorders>
      </w:tcPr>
    </w:tblStylePr>
    <w:tblStylePr w:type="seCell">
      <w:tblPr/>
      <w:tcPr>
        <w:tcBorders>
          <w:top w:val="single" w:sz="4" w:space="0" w:color="DD8252" w:themeColor="accent3" w:themeTint="99"/>
        </w:tcBorders>
      </w:tcPr>
    </w:tblStylePr>
    <w:tblStylePr w:type="swCell">
      <w:tblPr/>
      <w:tcPr>
        <w:tcBorders>
          <w:top w:val="single" w:sz="4" w:space="0" w:color="DD8252" w:themeColor="accent3" w:themeTint="99"/>
        </w:tcBorders>
      </w:tcPr>
    </w:tblStylePr>
  </w:style>
  <w:style w:type="table" w:styleId="GridTable7Colorful-Accent4">
    <w:name w:val="Grid Table 7 Colorful Accent 4"/>
    <w:basedOn w:val="TableNormal"/>
    <w:uiPriority w:val="52"/>
    <w:locked/>
    <w:rsid w:val="00DD677C"/>
    <w:pPr>
      <w:spacing w:after="0" w:line="240" w:lineRule="auto"/>
    </w:pPr>
    <w:rPr>
      <w:rFonts w:eastAsiaTheme="minorHAnsi"/>
      <w:color w:val="2B4646" w:themeColor="accent4" w:themeShade="BF"/>
    </w:rPr>
    <w:tblPr>
      <w:tblStyleRowBandSize w:val="1"/>
      <w:tblStyleColBandSize w:val="1"/>
      <w:tblBorders>
        <w:top w:val="single" w:sz="4" w:space="0" w:color="7AADAD" w:themeColor="accent4" w:themeTint="99"/>
        <w:left w:val="single" w:sz="4" w:space="0" w:color="7AADAD" w:themeColor="accent4" w:themeTint="99"/>
        <w:bottom w:val="single" w:sz="4" w:space="0" w:color="7AADAD" w:themeColor="accent4" w:themeTint="99"/>
        <w:right w:val="single" w:sz="4" w:space="0" w:color="7AADAD" w:themeColor="accent4" w:themeTint="99"/>
        <w:insideH w:val="single" w:sz="4" w:space="0" w:color="7AADAD" w:themeColor="accent4" w:themeTint="99"/>
        <w:insideV w:val="single" w:sz="4" w:space="0" w:color="7AADAD" w:themeColor="accent4"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E3E3" w:themeFill="accent4" w:themeFillTint="33"/>
      </w:tcPr>
    </w:tblStylePr>
    <w:tblStylePr w:type="band1Horz">
      <w:tblPr/>
      <w:tcPr>
        <w:shd w:val="clear" w:color="auto" w:fill="D2E3E3" w:themeFill="accent4" w:themeFillTint="33"/>
      </w:tcPr>
    </w:tblStylePr>
    <w:tblStylePr w:type="neCell">
      <w:tblPr/>
      <w:tcPr>
        <w:tcBorders>
          <w:bottom w:val="single" w:sz="4" w:space="0" w:color="7AADAD" w:themeColor="accent4" w:themeTint="99"/>
        </w:tcBorders>
      </w:tcPr>
    </w:tblStylePr>
    <w:tblStylePr w:type="nwCell">
      <w:tblPr/>
      <w:tcPr>
        <w:tcBorders>
          <w:bottom w:val="single" w:sz="4" w:space="0" w:color="7AADAD" w:themeColor="accent4" w:themeTint="99"/>
        </w:tcBorders>
      </w:tcPr>
    </w:tblStylePr>
    <w:tblStylePr w:type="seCell">
      <w:tblPr/>
      <w:tcPr>
        <w:tcBorders>
          <w:top w:val="single" w:sz="4" w:space="0" w:color="7AADAD" w:themeColor="accent4" w:themeTint="99"/>
        </w:tcBorders>
      </w:tcPr>
    </w:tblStylePr>
    <w:tblStylePr w:type="swCell">
      <w:tblPr/>
      <w:tcPr>
        <w:tcBorders>
          <w:top w:val="single" w:sz="4" w:space="0" w:color="7AADAD" w:themeColor="accent4" w:themeTint="99"/>
        </w:tcBorders>
      </w:tcPr>
    </w:tblStylePr>
  </w:style>
  <w:style w:type="table" w:styleId="GridTable7Colorful-Accent5">
    <w:name w:val="Grid Table 7 Colorful Accent 5"/>
    <w:basedOn w:val="TableNormal"/>
    <w:uiPriority w:val="52"/>
    <w:rsid w:val="00DD677C"/>
    <w:pPr>
      <w:spacing w:after="0" w:line="240" w:lineRule="auto"/>
    </w:pPr>
    <w:rPr>
      <w:rFonts w:eastAsiaTheme="minorHAnsi"/>
      <w:color w:val="214A31" w:themeColor="accent5" w:themeShade="BF"/>
    </w:rPr>
    <w:tblPr>
      <w:tblStyleRowBandSize w:val="1"/>
      <w:tblStyleColBandSize w:val="1"/>
      <w:tblBorders>
        <w:top w:val="single" w:sz="4" w:space="0" w:color="67BB87" w:themeColor="accent5" w:themeTint="99"/>
        <w:left w:val="single" w:sz="4" w:space="0" w:color="67BB87" w:themeColor="accent5" w:themeTint="99"/>
        <w:bottom w:val="single" w:sz="4" w:space="0" w:color="67BB87" w:themeColor="accent5" w:themeTint="99"/>
        <w:right w:val="single" w:sz="4" w:space="0" w:color="67BB87" w:themeColor="accent5" w:themeTint="99"/>
        <w:insideH w:val="single" w:sz="4" w:space="0" w:color="67BB87" w:themeColor="accent5" w:themeTint="99"/>
        <w:insideV w:val="single" w:sz="4" w:space="0" w:color="67BB87" w:themeColor="accent5"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E8D7" w:themeFill="accent5" w:themeFillTint="33"/>
      </w:tcPr>
    </w:tblStylePr>
    <w:tblStylePr w:type="band1Horz">
      <w:tblPr/>
      <w:tcPr>
        <w:shd w:val="clear" w:color="auto" w:fill="CCE8D7" w:themeFill="accent5" w:themeFillTint="33"/>
      </w:tcPr>
    </w:tblStylePr>
    <w:tblStylePr w:type="neCell">
      <w:tblPr/>
      <w:tcPr>
        <w:tcBorders>
          <w:bottom w:val="single" w:sz="4" w:space="0" w:color="67BB87" w:themeColor="accent5" w:themeTint="99"/>
        </w:tcBorders>
      </w:tcPr>
    </w:tblStylePr>
    <w:tblStylePr w:type="nwCell">
      <w:tblPr/>
      <w:tcPr>
        <w:tcBorders>
          <w:bottom w:val="single" w:sz="4" w:space="0" w:color="67BB87" w:themeColor="accent5" w:themeTint="99"/>
        </w:tcBorders>
      </w:tcPr>
    </w:tblStylePr>
    <w:tblStylePr w:type="seCell">
      <w:tblPr/>
      <w:tcPr>
        <w:tcBorders>
          <w:top w:val="single" w:sz="4" w:space="0" w:color="67BB87" w:themeColor="accent5" w:themeTint="99"/>
        </w:tcBorders>
      </w:tcPr>
    </w:tblStylePr>
    <w:tblStylePr w:type="swCell">
      <w:tblPr/>
      <w:tcPr>
        <w:tcBorders>
          <w:top w:val="single" w:sz="4" w:space="0" w:color="67BB87" w:themeColor="accent5" w:themeTint="99"/>
        </w:tcBorders>
      </w:tcPr>
    </w:tblStylePr>
  </w:style>
  <w:style w:type="table" w:styleId="ListTable4-Accent1">
    <w:name w:val="List Table 4 Accent 1"/>
    <w:basedOn w:val="TableNormal"/>
    <w:uiPriority w:val="49"/>
    <w:locked/>
    <w:rsid w:val="00DD677C"/>
    <w:pPr>
      <w:spacing w:after="0" w:line="240" w:lineRule="auto"/>
    </w:pPr>
    <w:rPr>
      <w:rFonts w:ascii="Arial" w:eastAsiaTheme="minorHAnsi" w:hAnsi="Arial"/>
      <w:sz w:val="18"/>
    </w:rPr>
    <w:tblPr>
      <w:tblStyleRowBandSize w:val="1"/>
      <w:tblStyleColBandSize w:val="1"/>
      <w:tblBorders>
        <w:bottom w:val="single" w:sz="4" w:space="0" w:color="C6E328" w:themeColor="accent1" w:themeTint="99"/>
      </w:tblBorders>
    </w:tblPr>
    <w:tblStylePr w:type="firstRow">
      <w:pPr>
        <w:jc w:val="left"/>
      </w:pPr>
      <w:rPr>
        <w:b/>
        <w:bCs/>
        <w:color w:val="FFFFFF" w:themeColor="background1"/>
      </w:rPr>
      <w:tblPr/>
      <w:tcPr>
        <w:shd w:val="clear" w:color="auto" w:fill="525F0C" w:themeFill="accent1"/>
        <w:vAlign w:val="bottom"/>
      </w:tcPr>
    </w:tblStylePr>
    <w:tblStylePr w:type="lastRow">
      <w:rPr>
        <w:b/>
        <w:bCs/>
      </w:rPr>
      <w:tblPr/>
      <w:tcPr>
        <w:tcBorders>
          <w:top w:val="double" w:sz="4" w:space="0" w:color="C6E328" w:themeColor="accent1" w:themeTint="99"/>
        </w:tcBorders>
      </w:tcPr>
    </w:tblStylePr>
    <w:tblStylePr w:type="firstCol">
      <w:rPr>
        <w:b/>
        <w:bCs/>
      </w:rPr>
    </w:tblStylePr>
    <w:tblStylePr w:type="lastCol">
      <w:rPr>
        <w:b/>
        <w:bCs/>
      </w:rPr>
    </w:tblStylePr>
    <w:tblStylePr w:type="band1Vert">
      <w:tblPr/>
      <w:tcPr>
        <w:shd w:val="clear" w:color="auto" w:fill="ECF6B7" w:themeFill="accent1" w:themeFillTint="33"/>
      </w:tcPr>
    </w:tblStylePr>
    <w:tblStylePr w:type="band1Horz">
      <w:tblPr/>
      <w:tcPr>
        <w:shd w:val="clear" w:color="auto" w:fill="ECF6B7" w:themeFill="accent1" w:themeFillTint="33"/>
      </w:tcPr>
    </w:tblStylePr>
  </w:style>
  <w:style w:type="table" w:styleId="ListTable4-Accent2">
    <w:name w:val="List Table 4 Accent 2"/>
    <w:basedOn w:val="TableNormal"/>
    <w:uiPriority w:val="49"/>
    <w:locked/>
    <w:rsid w:val="00DD677C"/>
    <w:pPr>
      <w:spacing w:after="0" w:line="240" w:lineRule="auto"/>
    </w:pPr>
    <w:rPr>
      <w:rFonts w:ascii="Arial" w:eastAsiaTheme="minorHAnsi" w:hAnsi="Arial"/>
      <w:sz w:val="18"/>
    </w:rPr>
    <w:tblPr>
      <w:tblStyleRowBandSize w:val="1"/>
      <w:tblStyleColBandSize w:val="1"/>
      <w:tblBorders>
        <w:bottom w:val="single" w:sz="4" w:space="0" w:color="CAB04D" w:themeColor="accent2" w:themeTint="99"/>
      </w:tblBorders>
    </w:tblPr>
    <w:tblStylePr w:type="firstRow">
      <w:pPr>
        <w:jc w:val="left"/>
      </w:pPr>
      <w:rPr>
        <w:b/>
        <w:bCs/>
        <w:color w:val="FFFFFF" w:themeColor="background1"/>
      </w:rPr>
      <w:tblPr/>
      <w:tcPr>
        <w:tcBorders>
          <w:top w:val="single" w:sz="4" w:space="0" w:color="61531D" w:themeColor="accent2"/>
          <w:left w:val="single" w:sz="4" w:space="0" w:color="61531D" w:themeColor="accent2"/>
          <w:bottom w:val="single" w:sz="4" w:space="0" w:color="61531D" w:themeColor="accent2"/>
          <w:right w:val="single" w:sz="4" w:space="0" w:color="61531D" w:themeColor="accent2"/>
          <w:insideH w:val="nil"/>
        </w:tcBorders>
        <w:shd w:val="clear" w:color="auto" w:fill="61531D" w:themeFill="accent2"/>
        <w:vAlign w:val="bottom"/>
      </w:tcPr>
    </w:tblStylePr>
    <w:tblStylePr w:type="lastRow">
      <w:rPr>
        <w:b/>
        <w:bCs/>
      </w:rPr>
      <w:tblPr/>
      <w:tcPr>
        <w:tcBorders>
          <w:top w:val="double" w:sz="4" w:space="0" w:color="CAB04D" w:themeColor="accent2" w:themeTint="99"/>
        </w:tcBorders>
      </w:tcPr>
    </w:tblStylePr>
    <w:tblStylePr w:type="firstCol">
      <w:rPr>
        <w:b/>
        <w:bCs/>
      </w:rPr>
    </w:tblStylePr>
    <w:tblStylePr w:type="lastCol">
      <w:rPr>
        <w:b/>
        <w:bCs/>
      </w:rPr>
    </w:tblStylePr>
    <w:tblStylePr w:type="band1Vert">
      <w:tblPr/>
      <w:tcPr>
        <w:shd w:val="clear" w:color="auto" w:fill="EDE4C3" w:themeFill="accent2" w:themeFillTint="33"/>
      </w:tcPr>
    </w:tblStylePr>
    <w:tblStylePr w:type="band1Horz">
      <w:tblPr/>
      <w:tcPr>
        <w:shd w:val="clear" w:color="auto" w:fill="EDE4C3" w:themeFill="accent2" w:themeFillTint="33"/>
      </w:tcPr>
    </w:tblStylePr>
  </w:style>
  <w:style w:type="table" w:styleId="ListTable4-Accent5">
    <w:name w:val="List Table 4 Accent 5"/>
    <w:basedOn w:val="TableNormal"/>
    <w:uiPriority w:val="49"/>
    <w:rsid w:val="00DD677C"/>
    <w:pPr>
      <w:spacing w:after="0" w:line="240" w:lineRule="auto"/>
    </w:pPr>
    <w:rPr>
      <w:rFonts w:ascii="Arial" w:eastAsiaTheme="minorHAnsi" w:hAnsi="Arial"/>
      <w:sz w:val="18"/>
    </w:rPr>
    <w:tblPr>
      <w:tblStyleRowBandSize w:val="1"/>
      <w:tblStyleColBandSize w:val="1"/>
      <w:tblBorders>
        <w:bottom w:val="single" w:sz="4" w:space="0" w:color="67BB87" w:themeColor="accent5" w:themeTint="99"/>
      </w:tblBorders>
    </w:tblPr>
    <w:tblStylePr w:type="firstRow">
      <w:pPr>
        <w:jc w:val="left"/>
      </w:pPr>
      <w:rPr>
        <w:b/>
        <w:bCs/>
        <w:color w:val="FFFFFF" w:themeColor="background1"/>
      </w:rPr>
      <w:tblPr/>
      <w:tcPr>
        <w:tcBorders>
          <w:top w:val="single" w:sz="4" w:space="0" w:color="2D6442" w:themeColor="accent5"/>
          <w:left w:val="single" w:sz="4" w:space="0" w:color="2D6442" w:themeColor="accent5"/>
          <w:bottom w:val="single" w:sz="4" w:space="0" w:color="2D6442" w:themeColor="accent5"/>
          <w:right w:val="single" w:sz="4" w:space="0" w:color="2D6442" w:themeColor="accent5"/>
          <w:insideH w:val="nil"/>
        </w:tcBorders>
        <w:shd w:val="clear" w:color="auto" w:fill="2D6442" w:themeFill="accent5"/>
        <w:vAlign w:val="bottom"/>
      </w:tcPr>
    </w:tblStylePr>
    <w:tblStylePr w:type="lastRow">
      <w:rPr>
        <w:b/>
        <w:bCs/>
      </w:rPr>
      <w:tblPr/>
      <w:tcPr>
        <w:tcBorders>
          <w:top w:val="double" w:sz="4" w:space="0" w:color="67BB87" w:themeColor="accent5" w:themeTint="99"/>
        </w:tcBorders>
      </w:tcPr>
    </w:tblStylePr>
    <w:tblStylePr w:type="firstCol">
      <w:rPr>
        <w:b/>
        <w:bCs/>
      </w:rPr>
    </w:tblStylePr>
    <w:tblStylePr w:type="lastCol">
      <w:rPr>
        <w:b/>
        <w:bCs/>
      </w:rPr>
    </w:tblStylePr>
    <w:tblStylePr w:type="band1Vert">
      <w:tblPr/>
      <w:tcPr>
        <w:shd w:val="clear" w:color="auto" w:fill="CCE8D7" w:themeFill="accent5" w:themeFillTint="33"/>
      </w:tcPr>
    </w:tblStylePr>
    <w:tblStylePr w:type="band1Horz">
      <w:tblPr/>
      <w:tcPr>
        <w:shd w:val="clear" w:color="auto" w:fill="CCE8D7" w:themeFill="accent5" w:themeFillTint="33"/>
      </w:tcPr>
    </w:tblStylePr>
  </w:style>
  <w:style w:type="table" w:styleId="ListTable7Colorful-Accent3">
    <w:name w:val="List Table 7 Colorful Accent 3"/>
    <w:basedOn w:val="TableNormal"/>
    <w:uiPriority w:val="52"/>
    <w:locked/>
    <w:rsid w:val="00DD677C"/>
    <w:pPr>
      <w:spacing w:after="0" w:line="240" w:lineRule="auto"/>
    </w:pPr>
    <w:rPr>
      <w:rFonts w:eastAsiaTheme="minorHAnsi"/>
      <w:color w:val="683114" w:themeColor="accent3" w:themeShade="BF"/>
    </w:rPr>
    <w:tblPr>
      <w:tblStyleRowBandSize w:val="1"/>
      <w:tblStyleColBandSize w:val="1"/>
    </w:tblPr>
    <w:tblStylePr w:type="firstRow">
      <w:pPr>
        <w:jc w:val="left"/>
      </w:pPr>
      <w:rPr>
        <w:rFonts w:asciiTheme="majorHAnsi" w:eastAsiaTheme="majorEastAsia" w:hAnsiTheme="majorHAnsi" w:cstheme="majorBidi"/>
        <w:i/>
        <w:iCs/>
        <w:sz w:val="26"/>
      </w:rPr>
      <w:tblPr/>
      <w:tcPr>
        <w:tcBorders>
          <w:bottom w:val="single" w:sz="4" w:space="0" w:color="8C421B" w:themeColor="accent3"/>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8C421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C421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C421B" w:themeColor="accent3"/>
        </w:tcBorders>
        <w:shd w:val="clear" w:color="auto" w:fill="FFFFFF" w:themeFill="background1"/>
      </w:tcPr>
    </w:tblStylePr>
    <w:tblStylePr w:type="band1Vert">
      <w:tblPr/>
      <w:tcPr>
        <w:shd w:val="clear" w:color="auto" w:fill="F4D5C5" w:themeFill="accent3" w:themeFillTint="33"/>
      </w:tcPr>
    </w:tblStylePr>
    <w:tblStylePr w:type="band1Horz">
      <w:tblPr/>
      <w:tcPr>
        <w:shd w:val="clear" w:color="auto" w:fill="F4D5C5"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locked/>
    <w:rsid w:val="00DD677C"/>
    <w:pPr>
      <w:spacing w:after="0" w:line="240" w:lineRule="auto"/>
    </w:pPr>
    <w:rPr>
      <w:rFonts w:eastAsiaTheme="minorHAnsi"/>
      <w:color w:val="2B4646" w:themeColor="accent4" w:themeShade="BF"/>
    </w:rPr>
    <w:tblPr>
      <w:tblStyleRowBandSize w:val="1"/>
      <w:tblStyleColBandSize w:val="1"/>
    </w:tblPr>
    <w:tblStylePr w:type="firstRow">
      <w:pPr>
        <w:jc w:val="left"/>
      </w:pPr>
      <w:rPr>
        <w:rFonts w:asciiTheme="majorHAnsi" w:eastAsiaTheme="majorEastAsia" w:hAnsiTheme="majorHAnsi" w:cstheme="majorBidi"/>
        <w:i/>
        <w:iCs/>
        <w:sz w:val="26"/>
      </w:rPr>
      <w:tblPr/>
      <w:tcPr>
        <w:tcBorders>
          <w:bottom w:val="single" w:sz="4" w:space="0" w:color="3A5E5E" w:themeColor="accent4"/>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3A5E5E"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A5E5E"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A5E5E" w:themeColor="accent4"/>
        </w:tcBorders>
        <w:shd w:val="clear" w:color="auto" w:fill="FFFFFF" w:themeFill="background1"/>
      </w:tcPr>
    </w:tblStylePr>
    <w:tblStylePr w:type="band1Vert">
      <w:tblPr/>
      <w:tcPr>
        <w:shd w:val="clear" w:color="auto" w:fill="D2E3E3" w:themeFill="accent4" w:themeFillTint="33"/>
      </w:tcPr>
    </w:tblStylePr>
    <w:tblStylePr w:type="band1Horz">
      <w:tblPr/>
      <w:tcPr>
        <w:shd w:val="clear" w:color="auto" w:fill="D2E3E3"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DD677C"/>
    <w:pPr>
      <w:spacing w:after="0" w:line="240" w:lineRule="auto"/>
    </w:pPr>
    <w:rPr>
      <w:rFonts w:eastAsiaTheme="minorHAnsi"/>
      <w:color w:val="214A31" w:themeColor="accent5" w:themeShade="BF"/>
    </w:rPr>
    <w:tblPr>
      <w:tblStyleRowBandSize w:val="1"/>
      <w:tblStyleColBandSize w:val="1"/>
    </w:tblPr>
    <w:tblStylePr w:type="firstRow">
      <w:pPr>
        <w:jc w:val="left"/>
      </w:pPr>
      <w:rPr>
        <w:rFonts w:asciiTheme="majorHAnsi" w:eastAsiaTheme="majorEastAsia" w:hAnsiTheme="majorHAnsi" w:cstheme="majorBidi"/>
        <w:i/>
        <w:iCs/>
        <w:sz w:val="26"/>
      </w:rPr>
      <w:tblPr/>
      <w:tcPr>
        <w:tcBorders>
          <w:bottom w:val="single" w:sz="4" w:space="0" w:color="2D6442" w:themeColor="accent5"/>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2D6442"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D6442"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D6442" w:themeColor="accent5"/>
        </w:tcBorders>
        <w:shd w:val="clear" w:color="auto" w:fill="FFFFFF" w:themeFill="background1"/>
      </w:tcPr>
    </w:tblStylePr>
    <w:tblStylePr w:type="band1Vert">
      <w:tblPr/>
      <w:tcPr>
        <w:shd w:val="clear" w:color="auto" w:fill="CCE8D7" w:themeFill="accent5" w:themeFillTint="33"/>
      </w:tcPr>
    </w:tblStylePr>
    <w:tblStylePr w:type="band1Horz">
      <w:tblPr/>
      <w:tcPr>
        <w:shd w:val="clear" w:color="auto" w:fill="CCE8D7"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locked/>
    <w:rsid w:val="00DD677C"/>
    <w:pPr>
      <w:spacing w:after="0" w:line="240" w:lineRule="auto"/>
    </w:pPr>
    <w:rPr>
      <w:rFonts w:eastAsiaTheme="minorHAnsi"/>
      <w:color w:val="4D3B52" w:themeColor="accent6" w:themeShade="BF"/>
    </w:rPr>
    <w:tblPr>
      <w:tblStyleRowBandSize w:val="1"/>
      <w:tblStyleColBandSize w:val="1"/>
    </w:tblPr>
    <w:tblStylePr w:type="firstRow">
      <w:pPr>
        <w:jc w:val="left"/>
      </w:pPr>
      <w:rPr>
        <w:rFonts w:asciiTheme="majorHAnsi" w:eastAsiaTheme="majorEastAsia" w:hAnsiTheme="majorHAnsi" w:cstheme="majorBidi"/>
        <w:i/>
        <w:iCs/>
        <w:sz w:val="26"/>
      </w:rPr>
      <w:tblPr/>
      <w:tcPr>
        <w:tcBorders>
          <w:bottom w:val="single" w:sz="4" w:space="0" w:color="684F6F" w:themeColor="accent6"/>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684F6F"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84F6F"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84F6F" w:themeColor="accent6"/>
        </w:tcBorders>
        <w:shd w:val="clear" w:color="auto" w:fill="FFFFFF" w:themeFill="background1"/>
      </w:tcPr>
    </w:tblStylePr>
    <w:tblStylePr w:type="band1Vert">
      <w:tblPr/>
      <w:tcPr>
        <w:shd w:val="clear" w:color="auto" w:fill="E2D9E4" w:themeFill="accent6" w:themeFillTint="33"/>
      </w:tcPr>
    </w:tblStylePr>
    <w:tblStylePr w:type="band1Horz">
      <w:tblPr/>
      <w:tcPr>
        <w:shd w:val="clear" w:color="auto" w:fill="E2D9E4"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1">
    <w:name w:val="Plain Table 1"/>
    <w:basedOn w:val="TableNormal"/>
    <w:uiPriority w:val="41"/>
    <w:rsid w:val="00DD677C"/>
    <w:pPr>
      <w:spacing w:after="0" w:line="240" w:lineRule="auto"/>
    </w:pPr>
    <w:rPr>
      <w:rFonts w:ascii="Arial" w:eastAsiaTheme="minorHAnsi" w:hAnsi="Arial" w:cs="Times New Roman"/>
      <w:sz w:val="18"/>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jc w:val="left"/>
      </w:pPr>
      <w:rPr>
        <w:b/>
        <w:bCs/>
      </w:rPr>
      <w:tblPr/>
      <w:tcPr>
        <w:vAlign w:val="bottom"/>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DD677C"/>
    <w:pPr>
      <w:spacing w:after="0" w:line="240" w:lineRule="auto"/>
    </w:pPr>
    <w:rPr>
      <w:rFonts w:ascii="Arial" w:eastAsiaTheme="minorHAnsi" w:hAnsi="Arial" w:cs="Times New Roman"/>
      <w:sz w:val="18"/>
      <w:szCs w:val="20"/>
    </w:rPr>
    <w:tblPr>
      <w:tblStyleRowBandSize w:val="1"/>
      <w:tblStyleColBandSize w:val="1"/>
      <w:tblBorders>
        <w:top w:val="single" w:sz="4" w:space="0" w:color="7F7F7F" w:themeColor="text1" w:themeTint="80"/>
        <w:bottom w:val="single" w:sz="4" w:space="0" w:color="7F7F7F" w:themeColor="text1" w:themeTint="80"/>
      </w:tblBorders>
    </w:tblPr>
    <w:tblStylePr w:type="firstRow">
      <w:pPr>
        <w:jc w:val="left"/>
      </w:pPr>
      <w:rPr>
        <w:b/>
        <w:bCs/>
      </w:rPr>
      <w:tblPr/>
      <w:tcPr>
        <w:tcBorders>
          <w:bottom w:val="single" w:sz="4" w:space="0" w:color="7F7F7F" w:themeColor="text1" w:themeTint="80"/>
        </w:tcBorders>
        <w:vAlign w:val="bottom"/>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DD677C"/>
    <w:pPr>
      <w:spacing w:after="0" w:line="240" w:lineRule="auto"/>
    </w:pPr>
    <w:rPr>
      <w:rFonts w:ascii="Arial" w:eastAsiaTheme="minorHAnsi" w:hAnsi="Arial" w:cs="Times New Roman"/>
      <w:sz w:val="18"/>
      <w:szCs w:val="20"/>
    </w:rPr>
    <w:tblPr>
      <w:tblStyleRowBandSize w:val="1"/>
      <w:tblStyleColBandSize w:val="1"/>
    </w:tblPr>
    <w:tblStylePr w:type="firstRow">
      <w:pPr>
        <w:jc w:val="left"/>
      </w:pPr>
      <w:rPr>
        <w:b/>
        <w:bCs/>
        <w:caps/>
      </w:rPr>
      <w:tblPr/>
      <w:tcPr>
        <w:tcBorders>
          <w:bottom w:val="single" w:sz="4" w:space="0" w:color="7F7F7F" w:themeColor="text1" w:themeTint="80"/>
        </w:tcBorders>
        <w:vAlign w:val="bottom"/>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DD677C"/>
    <w:pPr>
      <w:spacing w:after="0" w:line="240" w:lineRule="auto"/>
    </w:pPr>
    <w:rPr>
      <w:rFonts w:ascii="Arial" w:eastAsiaTheme="minorHAnsi" w:hAnsi="Arial" w:cs="Times New Roman"/>
      <w:sz w:val="18"/>
      <w:szCs w:val="20"/>
    </w:rPr>
    <w:tblPr>
      <w:tblStyleRowBandSize w:val="1"/>
      <w:tblStyleColBandSize w:val="1"/>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DD677C"/>
    <w:pPr>
      <w:spacing w:after="0" w:line="240" w:lineRule="auto"/>
    </w:pPr>
    <w:rPr>
      <w:rFonts w:ascii="Arial" w:eastAsiaTheme="minorHAnsi" w:hAnsi="Arial"/>
      <w:sz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jc w:val="left"/>
      </w:pPr>
      <w:tblPr/>
      <w:tcPr>
        <w:vAlign w:val="bottom"/>
      </w:tcPr>
    </w:tblStylePr>
  </w:style>
  <w:style w:type="table" w:styleId="TableGrid">
    <w:name w:val="Table Grid"/>
    <w:aliases w:val="SRC 2,DPS Table Grid"/>
    <w:basedOn w:val="TableNormal"/>
    <w:uiPriority w:val="39"/>
    <w:rsid w:val="00DD677C"/>
    <w:pPr>
      <w:spacing w:after="0" w:line="240" w:lineRule="auto"/>
    </w:pPr>
    <w:rPr>
      <w:rFonts w:ascii="Arial" w:eastAsiaTheme="minorHAnsi" w:hAnsi="Arial"/>
      <w:color w:val="0D0D0D" w:themeColor="text1" w:themeTint="F2"/>
      <w:sz w:val="18"/>
    </w:rPr>
    <w:tblPr>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Pr>
    <w:tblStylePr w:type="firstRow">
      <w:pPr>
        <w:jc w:val="left"/>
      </w:pPr>
      <w:rPr>
        <w:b/>
        <w:color w:val="000000" w:themeColor="text1"/>
      </w:rPr>
      <w:tblPr/>
      <w:tcPr>
        <w:vAlign w:val="bottom"/>
      </w:tcPr>
    </w:tblStylePr>
  </w:style>
  <w:style w:type="table" w:styleId="GridTable5Dark-Accent1">
    <w:name w:val="Grid Table 5 Dark Accent 1"/>
    <w:basedOn w:val="TableNormal"/>
    <w:uiPriority w:val="50"/>
    <w:locked/>
    <w:rsid w:val="00DD677C"/>
    <w:pPr>
      <w:spacing w:before="60" w:after="0" w:line="240" w:lineRule="auto"/>
    </w:pPr>
    <w:rPr>
      <w:rFonts w:ascii="Arial" w:eastAsiaTheme="minorHAnsi" w:hAnsi="Arial"/>
      <w:sz w:val="18"/>
      <w:szCs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F6B7" w:themeFill="accent1" w:themeFillTint="33"/>
    </w:tcPr>
    <w:tblStylePr w:type="firstRow">
      <w:pPr>
        <w:jc w:val="left"/>
      </w:pPr>
      <w:rPr>
        <w:b/>
        <w:bCs/>
        <w:color w:val="FFFFFF" w:themeColor="background1"/>
      </w:rPr>
      <w:tblPr/>
      <w:tcPr>
        <w:shd w:val="clear" w:color="auto" w:fill="525F0C" w:themeFill="accent1"/>
        <w:vAlign w:val="bottom"/>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25F0C" w:themeFill="accent1"/>
      </w:tcPr>
    </w:tblStylePr>
    <w:tblStylePr w:type="firstCol">
      <w:rPr>
        <w:b/>
        <w:bCs/>
        <w:color w:val="FFFFFF" w:themeColor="background1"/>
      </w:rPr>
      <w:tblPr/>
      <w:tcPr>
        <w:shd w:val="clear" w:color="auto" w:fill="525F0C" w:themeFill="accent1"/>
      </w:tcPr>
    </w:tblStylePr>
    <w:tblStylePr w:type="lastCol">
      <w:rPr>
        <w:b/>
        <w:bCs/>
        <w:color w:val="FFFFFF" w:themeColor="background1"/>
      </w:rPr>
      <w:tblPr/>
      <w:tcPr>
        <w:shd w:val="clear" w:color="auto" w:fill="FFFFFF" w:themeFill="background1"/>
      </w:tcPr>
    </w:tblStylePr>
    <w:tblStylePr w:type="band1Vert">
      <w:tblPr/>
      <w:tcPr>
        <w:shd w:val="clear" w:color="auto" w:fill="ECF6B7" w:themeFill="accent1" w:themeFillTint="33"/>
      </w:tcPr>
    </w:tblStylePr>
    <w:tblStylePr w:type="band2Vert">
      <w:tblPr/>
      <w:tcPr>
        <w:shd w:val="clear" w:color="auto" w:fill="FFFFFF" w:themeFill="background1"/>
      </w:tcPr>
    </w:tblStylePr>
    <w:tblStylePr w:type="band1Horz">
      <w:tblPr/>
      <w:tcPr>
        <w:shd w:val="clear" w:color="auto" w:fill="ECF6B7" w:themeFill="accent1" w:themeFillTint="33"/>
      </w:tcPr>
    </w:tblStylePr>
    <w:tblStylePr w:type="band2Horz">
      <w:tblPr/>
      <w:tcPr>
        <w:shd w:val="clear" w:color="auto" w:fill="FFFFFF" w:themeFill="background1"/>
      </w:tcPr>
    </w:tblStylePr>
  </w:style>
  <w:style w:type="table" w:styleId="ListTable3">
    <w:name w:val="List Table 3"/>
    <w:basedOn w:val="TableNormal"/>
    <w:uiPriority w:val="48"/>
    <w:rsid w:val="00DD677C"/>
    <w:pPr>
      <w:spacing w:before="60" w:after="0" w:line="240" w:lineRule="auto"/>
    </w:pPr>
    <w:rPr>
      <w:rFonts w:eastAsiaTheme="minorHAnsi"/>
      <w:sz w:val="18"/>
      <w:szCs w:val="18"/>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pPr>
        <w:jc w:val="left"/>
      </w:pPr>
      <w:rPr>
        <w:b/>
        <w:bCs/>
        <w:color w:val="FFFFFF" w:themeColor="background1"/>
      </w:rPr>
      <w:tblPr/>
      <w:tcPr>
        <w:shd w:val="clear" w:color="auto" w:fill="000000" w:themeFill="text1"/>
        <w:vAlign w:val="bottom"/>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locked/>
    <w:rsid w:val="00DD677C"/>
    <w:pPr>
      <w:spacing w:before="60" w:after="0" w:line="240" w:lineRule="auto"/>
    </w:pPr>
    <w:rPr>
      <w:rFonts w:ascii="Arial" w:eastAsiaTheme="minorHAnsi" w:hAnsi="Arial"/>
      <w:sz w:val="18"/>
      <w:szCs w:val="18"/>
    </w:rPr>
    <w:tblPr>
      <w:tblStyleRowBandSize w:val="1"/>
      <w:tblStyleColBandSize w:val="1"/>
      <w:tblBorders>
        <w:top w:val="single" w:sz="4" w:space="0" w:color="525F0C" w:themeColor="accent1"/>
        <w:left w:val="single" w:sz="4" w:space="0" w:color="525F0C" w:themeColor="accent1"/>
        <w:bottom w:val="single" w:sz="4" w:space="0" w:color="525F0C" w:themeColor="accent1"/>
        <w:right w:val="single" w:sz="4" w:space="0" w:color="525F0C" w:themeColor="accent1"/>
      </w:tblBorders>
    </w:tblPr>
    <w:tcPr>
      <w:vAlign w:val="bottom"/>
    </w:tcPr>
    <w:tblStylePr w:type="firstRow">
      <w:pPr>
        <w:jc w:val="left"/>
      </w:pPr>
      <w:rPr>
        <w:b/>
        <w:bCs/>
        <w:color w:val="FFFFFF" w:themeColor="background1"/>
      </w:rPr>
      <w:tblPr/>
      <w:tcPr>
        <w:shd w:val="clear" w:color="auto" w:fill="525F0C" w:themeFill="accent1"/>
      </w:tcPr>
    </w:tblStylePr>
    <w:tblStylePr w:type="lastRow">
      <w:rPr>
        <w:b/>
        <w:bCs/>
      </w:rPr>
      <w:tblPr/>
      <w:tcPr>
        <w:tcBorders>
          <w:top w:val="double" w:sz="4" w:space="0" w:color="525F0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25F0C" w:themeColor="accent1"/>
          <w:right w:val="single" w:sz="4" w:space="0" w:color="525F0C" w:themeColor="accent1"/>
        </w:tcBorders>
      </w:tcPr>
    </w:tblStylePr>
    <w:tblStylePr w:type="band1Horz">
      <w:tblPr/>
      <w:tcPr>
        <w:tcBorders>
          <w:top w:val="single" w:sz="4" w:space="0" w:color="525F0C" w:themeColor="accent1"/>
          <w:bottom w:val="single" w:sz="4" w:space="0" w:color="525F0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25F0C" w:themeColor="accent1"/>
          <w:left w:val="nil"/>
        </w:tcBorders>
      </w:tcPr>
    </w:tblStylePr>
    <w:tblStylePr w:type="swCell">
      <w:tblPr/>
      <w:tcPr>
        <w:tcBorders>
          <w:top w:val="double" w:sz="4" w:space="0" w:color="525F0C" w:themeColor="accent1"/>
          <w:right w:val="nil"/>
        </w:tcBorders>
      </w:tcPr>
    </w:tblStylePr>
  </w:style>
  <w:style w:type="table" w:styleId="ListTable3-Accent2">
    <w:name w:val="List Table 3 Accent 2"/>
    <w:basedOn w:val="TableNormal"/>
    <w:uiPriority w:val="48"/>
    <w:locked/>
    <w:rsid w:val="00DD677C"/>
    <w:pPr>
      <w:spacing w:before="60" w:after="0" w:line="240" w:lineRule="auto"/>
    </w:pPr>
    <w:rPr>
      <w:rFonts w:eastAsiaTheme="minorHAnsi"/>
      <w:sz w:val="18"/>
      <w:szCs w:val="18"/>
    </w:rPr>
    <w:tblPr>
      <w:tblStyleRowBandSize w:val="1"/>
      <w:tblStyleColBandSize w:val="1"/>
      <w:tblBorders>
        <w:top w:val="single" w:sz="4" w:space="0" w:color="61531D" w:themeColor="accent2"/>
        <w:left w:val="single" w:sz="4" w:space="0" w:color="61531D" w:themeColor="accent2"/>
        <w:bottom w:val="single" w:sz="4" w:space="0" w:color="61531D" w:themeColor="accent2"/>
        <w:right w:val="single" w:sz="4" w:space="0" w:color="61531D" w:themeColor="accent2"/>
      </w:tblBorders>
    </w:tblPr>
    <w:tblStylePr w:type="firstRow">
      <w:pPr>
        <w:jc w:val="left"/>
      </w:pPr>
      <w:rPr>
        <w:b/>
        <w:bCs/>
        <w:color w:val="FFFFFF" w:themeColor="background1"/>
      </w:rPr>
      <w:tblPr/>
      <w:tcPr>
        <w:shd w:val="clear" w:color="auto" w:fill="61531D" w:themeFill="accent2"/>
        <w:vAlign w:val="bottom"/>
      </w:tcPr>
    </w:tblStylePr>
    <w:tblStylePr w:type="lastRow">
      <w:rPr>
        <w:b/>
        <w:bCs/>
      </w:rPr>
      <w:tblPr/>
      <w:tcPr>
        <w:tcBorders>
          <w:top w:val="double" w:sz="4" w:space="0" w:color="61531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1531D" w:themeColor="accent2"/>
          <w:right w:val="single" w:sz="4" w:space="0" w:color="61531D" w:themeColor="accent2"/>
        </w:tcBorders>
      </w:tcPr>
    </w:tblStylePr>
    <w:tblStylePr w:type="band1Horz">
      <w:tblPr/>
      <w:tcPr>
        <w:tcBorders>
          <w:top w:val="single" w:sz="4" w:space="0" w:color="61531D" w:themeColor="accent2"/>
          <w:bottom w:val="single" w:sz="4" w:space="0" w:color="61531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1531D" w:themeColor="accent2"/>
          <w:left w:val="nil"/>
        </w:tcBorders>
      </w:tcPr>
    </w:tblStylePr>
    <w:tblStylePr w:type="swCell">
      <w:tblPr/>
      <w:tcPr>
        <w:tcBorders>
          <w:top w:val="double" w:sz="4" w:space="0" w:color="61531D" w:themeColor="accent2"/>
          <w:right w:val="nil"/>
        </w:tcBorders>
      </w:tcPr>
    </w:tblStylePr>
  </w:style>
  <w:style w:type="table" w:styleId="ListTable3-Accent3">
    <w:name w:val="List Table 3 Accent 3"/>
    <w:basedOn w:val="TableNormal"/>
    <w:uiPriority w:val="48"/>
    <w:locked/>
    <w:rsid w:val="00DD677C"/>
    <w:pPr>
      <w:spacing w:before="60" w:after="0" w:line="240" w:lineRule="auto"/>
    </w:pPr>
    <w:rPr>
      <w:rFonts w:eastAsiaTheme="minorHAnsi"/>
      <w:sz w:val="18"/>
      <w:szCs w:val="18"/>
    </w:rPr>
    <w:tblPr>
      <w:tblStyleRowBandSize w:val="1"/>
      <w:tblStyleColBandSize w:val="1"/>
      <w:tblBorders>
        <w:top w:val="single" w:sz="4" w:space="0" w:color="8C421B" w:themeColor="accent3"/>
        <w:left w:val="single" w:sz="4" w:space="0" w:color="8C421B" w:themeColor="accent3"/>
        <w:bottom w:val="single" w:sz="4" w:space="0" w:color="8C421B" w:themeColor="accent3"/>
        <w:right w:val="single" w:sz="4" w:space="0" w:color="8C421B" w:themeColor="accent3"/>
      </w:tblBorders>
    </w:tblPr>
    <w:tblStylePr w:type="firstRow">
      <w:pPr>
        <w:jc w:val="left"/>
      </w:pPr>
      <w:rPr>
        <w:b/>
        <w:bCs/>
        <w:color w:val="FFFFFF" w:themeColor="background1"/>
      </w:rPr>
      <w:tblPr/>
      <w:tcPr>
        <w:shd w:val="clear" w:color="auto" w:fill="8C421B" w:themeFill="accent3"/>
        <w:vAlign w:val="bottom"/>
      </w:tcPr>
    </w:tblStylePr>
    <w:tblStylePr w:type="lastRow">
      <w:rPr>
        <w:b/>
        <w:bCs/>
      </w:rPr>
      <w:tblPr/>
      <w:tcPr>
        <w:tcBorders>
          <w:top w:val="double" w:sz="4" w:space="0" w:color="8C421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C421B" w:themeColor="accent3"/>
          <w:right w:val="single" w:sz="4" w:space="0" w:color="8C421B" w:themeColor="accent3"/>
        </w:tcBorders>
      </w:tcPr>
    </w:tblStylePr>
    <w:tblStylePr w:type="band1Horz">
      <w:tblPr/>
      <w:tcPr>
        <w:tcBorders>
          <w:top w:val="single" w:sz="4" w:space="0" w:color="8C421B" w:themeColor="accent3"/>
          <w:bottom w:val="single" w:sz="4" w:space="0" w:color="8C421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C421B" w:themeColor="accent3"/>
          <w:left w:val="nil"/>
        </w:tcBorders>
      </w:tcPr>
    </w:tblStylePr>
    <w:tblStylePr w:type="swCell">
      <w:tblPr/>
      <w:tcPr>
        <w:tcBorders>
          <w:top w:val="double" w:sz="4" w:space="0" w:color="8C421B" w:themeColor="accent3"/>
          <w:right w:val="nil"/>
        </w:tcBorders>
      </w:tcPr>
    </w:tblStylePr>
  </w:style>
  <w:style w:type="table" w:styleId="ListTable3-Accent4">
    <w:name w:val="List Table 3 Accent 4"/>
    <w:basedOn w:val="TableNormal"/>
    <w:uiPriority w:val="48"/>
    <w:locked/>
    <w:rsid w:val="00DD677C"/>
    <w:pPr>
      <w:spacing w:before="60" w:after="0" w:line="240" w:lineRule="auto"/>
    </w:pPr>
    <w:rPr>
      <w:rFonts w:eastAsiaTheme="minorHAnsi"/>
      <w:sz w:val="18"/>
      <w:szCs w:val="18"/>
    </w:rPr>
    <w:tblPr>
      <w:tblStyleRowBandSize w:val="1"/>
      <w:tblStyleColBandSize w:val="1"/>
      <w:tblBorders>
        <w:top w:val="single" w:sz="4" w:space="0" w:color="3A5E5E" w:themeColor="accent4"/>
        <w:left w:val="single" w:sz="4" w:space="0" w:color="3A5E5E" w:themeColor="accent4"/>
        <w:bottom w:val="single" w:sz="4" w:space="0" w:color="3A5E5E" w:themeColor="accent4"/>
        <w:right w:val="single" w:sz="4" w:space="0" w:color="3A5E5E" w:themeColor="accent4"/>
      </w:tblBorders>
    </w:tblPr>
    <w:tblStylePr w:type="firstRow">
      <w:pPr>
        <w:jc w:val="left"/>
      </w:pPr>
      <w:rPr>
        <w:b/>
        <w:bCs/>
        <w:color w:val="FFFFFF" w:themeColor="background1"/>
      </w:rPr>
      <w:tblPr/>
      <w:tcPr>
        <w:shd w:val="clear" w:color="auto" w:fill="3A5E5E" w:themeFill="accent4"/>
        <w:vAlign w:val="bottom"/>
      </w:tcPr>
    </w:tblStylePr>
    <w:tblStylePr w:type="lastRow">
      <w:rPr>
        <w:b/>
        <w:bCs/>
      </w:rPr>
      <w:tblPr/>
      <w:tcPr>
        <w:tcBorders>
          <w:top w:val="double" w:sz="4" w:space="0" w:color="3A5E5E"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A5E5E" w:themeColor="accent4"/>
          <w:right w:val="single" w:sz="4" w:space="0" w:color="3A5E5E" w:themeColor="accent4"/>
        </w:tcBorders>
      </w:tcPr>
    </w:tblStylePr>
    <w:tblStylePr w:type="band1Horz">
      <w:tblPr/>
      <w:tcPr>
        <w:tcBorders>
          <w:top w:val="single" w:sz="4" w:space="0" w:color="3A5E5E" w:themeColor="accent4"/>
          <w:bottom w:val="single" w:sz="4" w:space="0" w:color="3A5E5E"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A5E5E" w:themeColor="accent4"/>
          <w:left w:val="nil"/>
        </w:tcBorders>
      </w:tcPr>
    </w:tblStylePr>
    <w:tblStylePr w:type="swCell">
      <w:tblPr/>
      <w:tcPr>
        <w:tcBorders>
          <w:top w:val="double" w:sz="4" w:space="0" w:color="3A5E5E" w:themeColor="accent4"/>
          <w:right w:val="nil"/>
        </w:tcBorders>
      </w:tcPr>
    </w:tblStylePr>
  </w:style>
  <w:style w:type="table" w:styleId="ListTable3-Accent5">
    <w:name w:val="List Table 3 Accent 5"/>
    <w:basedOn w:val="TableNormal"/>
    <w:uiPriority w:val="48"/>
    <w:rsid w:val="00DD677C"/>
    <w:pPr>
      <w:spacing w:before="60" w:after="0" w:line="240" w:lineRule="auto"/>
    </w:pPr>
    <w:rPr>
      <w:rFonts w:eastAsiaTheme="minorHAnsi"/>
      <w:sz w:val="18"/>
      <w:szCs w:val="18"/>
    </w:rPr>
    <w:tblPr>
      <w:tblStyleRowBandSize w:val="1"/>
      <w:tblStyleColBandSize w:val="1"/>
      <w:tblBorders>
        <w:top w:val="single" w:sz="4" w:space="0" w:color="2D6442" w:themeColor="accent5"/>
        <w:left w:val="single" w:sz="4" w:space="0" w:color="2D6442" w:themeColor="accent5"/>
        <w:bottom w:val="single" w:sz="4" w:space="0" w:color="2D6442" w:themeColor="accent5"/>
        <w:right w:val="single" w:sz="4" w:space="0" w:color="2D6442" w:themeColor="accent5"/>
      </w:tblBorders>
    </w:tblPr>
    <w:tblStylePr w:type="firstRow">
      <w:pPr>
        <w:jc w:val="left"/>
      </w:pPr>
      <w:rPr>
        <w:b/>
        <w:bCs/>
        <w:color w:val="FFFFFF" w:themeColor="background1"/>
      </w:rPr>
      <w:tblPr/>
      <w:tcPr>
        <w:shd w:val="clear" w:color="auto" w:fill="2D6442" w:themeFill="accent5"/>
        <w:vAlign w:val="bottom"/>
      </w:tcPr>
    </w:tblStylePr>
    <w:tblStylePr w:type="lastRow">
      <w:rPr>
        <w:b/>
        <w:bCs/>
      </w:rPr>
      <w:tblPr/>
      <w:tcPr>
        <w:tcBorders>
          <w:top w:val="double" w:sz="4" w:space="0" w:color="2D6442"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D6442" w:themeColor="accent5"/>
          <w:right w:val="single" w:sz="4" w:space="0" w:color="2D6442" w:themeColor="accent5"/>
        </w:tcBorders>
      </w:tcPr>
    </w:tblStylePr>
    <w:tblStylePr w:type="band1Horz">
      <w:tblPr/>
      <w:tcPr>
        <w:tcBorders>
          <w:top w:val="single" w:sz="4" w:space="0" w:color="2D6442" w:themeColor="accent5"/>
          <w:bottom w:val="single" w:sz="4" w:space="0" w:color="2D6442"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D6442" w:themeColor="accent5"/>
          <w:left w:val="nil"/>
        </w:tcBorders>
      </w:tcPr>
    </w:tblStylePr>
    <w:tblStylePr w:type="swCell">
      <w:tblPr/>
      <w:tcPr>
        <w:tcBorders>
          <w:top w:val="double" w:sz="4" w:space="0" w:color="2D6442" w:themeColor="accent5"/>
          <w:right w:val="nil"/>
        </w:tcBorders>
      </w:tcPr>
    </w:tblStylePr>
  </w:style>
  <w:style w:type="table" w:styleId="ListTable3-Accent6">
    <w:name w:val="List Table 3 Accent 6"/>
    <w:basedOn w:val="TableNormal"/>
    <w:uiPriority w:val="48"/>
    <w:locked/>
    <w:rsid w:val="00DD677C"/>
    <w:pPr>
      <w:spacing w:before="60" w:after="0" w:line="240" w:lineRule="auto"/>
    </w:pPr>
    <w:rPr>
      <w:rFonts w:eastAsiaTheme="minorHAnsi"/>
      <w:sz w:val="18"/>
      <w:szCs w:val="18"/>
    </w:rPr>
    <w:tblPr>
      <w:tblStyleRowBandSize w:val="1"/>
      <w:tblStyleColBandSize w:val="1"/>
      <w:tblBorders>
        <w:top w:val="single" w:sz="4" w:space="0" w:color="684F6F" w:themeColor="accent6"/>
        <w:left w:val="single" w:sz="4" w:space="0" w:color="684F6F" w:themeColor="accent6"/>
        <w:bottom w:val="single" w:sz="4" w:space="0" w:color="684F6F" w:themeColor="accent6"/>
        <w:right w:val="single" w:sz="4" w:space="0" w:color="684F6F" w:themeColor="accent6"/>
      </w:tblBorders>
    </w:tblPr>
    <w:tblStylePr w:type="firstRow">
      <w:pPr>
        <w:jc w:val="left"/>
      </w:pPr>
      <w:rPr>
        <w:b/>
        <w:bCs/>
        <w:color w:val="FFFFFF" w:themeColor="background1"/>
      </w:rPr>
      <w:tblPr/>
      <w:tcPr>
        <w:shd w:val="clear" w:color="auto" w:fill="684F6F" w:themeFill="accent6"/>
        <w:vAlign w:val="bottom"/>
      </w:tcPr>
    </w:tblStylePr>
    <w:tblStylePr w:type="lastRow">
      <w:rPr>
        <w:b/>
        <w:bCs/>
      </w:rPr>
      <w:tblPr/>
      <w:tcPr>
        <w:tcBorders>
          <w:top w:val="double" w:sz="4" w:space="0" w:color="684F6F"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84F6F" w:themeColor="accent6"/>
          <w:right w:val="single" w:sz="4" w:space="0" w:color="684F6F" w:themeColor="accent6"/>
        </w:tcBorders>
      </w:tcPr>
    </w:tblStylePr>
    <w:tblStylePr w:type="band1Horz">
      <w:tblPr/>
      <w:tcPr>
        <w:tcBorders>
          <w:top w:val="single" w:sz="4" w:space="0" w:color="684F6F" w:themeColor="accent6"/>
          <w:bottom w:val="single" w:sz="4" w:space="0" w:color="684F6F"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84F6F" w:themeColor="accent6"/>
          <w:left w:val="nil"/>
        </w:tcBorders>
      </w:tcPr>
    </w:tblStylePr>
    <w:tblStylePr w:type="swCell">
      <w:tblPr/>
      <w:tcPr>
        <w:tcBorders>
          <w:top w:val="double" w:sz="4" w:space="0" w:color="684F6F" w:themeColor="accent6"/>
          <w:right w:val="nil"/>
        </w:tcBorders>
      </w:tcPr>
    </w:tblStylePr>
  </w:style>
  <w:style w:type="table" w:styleId="ListTable4">
    <w:name w:val="List Table 4"/>
    <w:basedOn w:val="TableNormal"/>
    <w:uiPriority w:val="49"/>
    <w:rsid w:val="00DD677C"/>
    <w:pPr>
      <w:spacing w:before="60" w:after="0" w:line="240" w:lineRule="auto"/>
    </w:pPr>
    <w:rPr>
      <w:rFonts w:ascii="Arial" w:eastAsiaTheme="minorHAnsi" w:hAnsi="Arial"/>
      <w:sz w:val="18"/>
      <w:szCs w:val="18"/>
    </w:rPr>
    <w:tblPr>
      <w:tblStyleRowBandSize w:val="1"/>
      <w:tblStyleColBandSize w:val="1"/>
      <w:tblBorders>
        <w:bottom w:val="single" w:sz="4" w:space="0" w:color="666666" w:themeColor="text1" w:themeTint="99"/>
      </w:tblBorders>
    </w:tblPr>
    <w:tblStylePr w:type="firstRow">
      <w:pPr>
        <w:jc w:val="left"/>
      </w:pPr>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vAlign w:val="bottom"/>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3">
    <w:name w:val="List Table 4 Accent 3"/>
    <w:basedOn w:val="TableNormal"/>
    <w:uiPriority w:val="49"/>
    <w:locked/>
    <w:rsid w:val="00DD677C"/>
    <w:pPr>
      <w:spacing w:before="60" w:after="0" w:line="240" w:lineRule="auto"/>
    </w:pPr>
    <w:rPr>
      <w:rFonts w:ascii="Arial" w:eastAsiaTheme="minorHAnsi" w:hAnsi="Arial"/>
      <w:sz w:val="18"/>
      <w:szCs w:val="18"/>
    </w:rPr>
    <w:tblPr>
      <w:tblStyleRowBandSize w:val="1"/>
      <w:tblStyleColBandSize w:val="1"/>
      <w:tblBorders>
        <w:bottom w:val="single" w:sz="4" w:space="0" w:color="DD8252" w:themeColor="accent3" w:themeTint="99"/>
      </w:tblBorders>
    </w:tblPr>
    <w:tblStylePr w:type="firstRow">
      <w:pPr>
        <w:jc w:val="left"/>
      </w:pPr>
      <w:rPr>
        <w:b/>
        <w:bCs/>
        <w:color w:val="FFFFFF" w:themeColor="background1"/>
      </w:rPr>
      <w:tblPr/>
      <w:tcPr>
        <w:tcBorders>
          <w:top w:val="single" w:sz="4" w:space="0" w:color="8C421B" w:themeColor="accent3"/>
          <w:left w:val="single" w:sz="4" w:space="0" w:color="8C421B" w:themeColor="accent3"/>
          <w:bottom w:val="single" w:sz="4" w:space="0" w:color="8C421B" w:themeColor="accent3"/>
          <w:right w:val="single" w:sz="4" w:space="0" w:color="8C421B" w:themeColor="accent3"/>
          <w:insideH w:val="nil"/>
        </w:tcBorders>
        <w:shd w:val="clear" w:color="auto" w:fill="8C421B" w:themeFill="accent3"/>
        <w:vAlign w:val="bottom"/>
      </w:tcPr>
    </w:tblStylePr>
    <w:tblStylePr w:type="lastRow">
      <w:rPr>
        <w:b/>
        <w:bCs/>
      </w:rPr>
      <w:tblPr/>
      <w:tcPr>
        <w:tcBorders>
          <w:top w:val="double" w:sz="4" w:space="0" w:color="DD8252" w:themeColor="accent3" w:themeTint="99"/>
        </w:tcBorders>
      </w:tcPr>
    </w:tblStylePr>
    <w:tblStylePr w:type="firstCol">
      <w:rPr>
        <w:b/>
        <w:bCs/>
      </w:rPr>
    </w:tblStylePr>
    <w:tblStylePr w:type="lastCol">
      <w:rPr>
        <w:b/>
        <w:bCs/>
      </w:rPr>
    </w:tblStylePr>
    <w:tblStylePr w:type="band1Vert">
      <w:tblPr/>
      <w:tcPr>
        <w:shd w:val="clear" w:color="auto" w:fill="F4D5C5" w:themeFill="accent3" w:themeFillTint="33"/>
      </w:tcPr>
    </w:tblStylePr>
    <w:tblStylePr w:type="band1Horz">
      <w:tblPr/>
      <w:tcPr>
        <w:shd w:val="clear" w:color="auto" w:fill="F4D5C5" w:themeFill="accent3" w:themeFillTint="33"/>
      </w:tcPr>
    </w:tblStylePr>
  </w:style>
  <w:style w:type="table" w:styleId="ListTable4-Accent4">
    <w:name w:val="List Table 4 Accent 4"/>
    <w:basedOn w:val="TableNormal"/>
    <w:uiPriority w:val="49"/>
    <w:locked/>
    <w:rsid w:val="00DD677C"/>
    <w:pPr>
      <w:spacing w:before="60" w:after="0" w:line="240" w:lineRule="auto"/>
    </w:pPr>
    <w:rPr>
      <w:rFonts w:ascii="Arial" w:eastAsiaTheme="minorHAnsi" w:hAnsi="Arial"/>
      <w:sz w:val="18"/>
      <w:szCs w:val="18"/>
    </w:rPr>
    <w:tblPr>
      <w:tblStyleRowBandSize w:val="1"/>
      <w:tblStyleColBandSize w:val="1"/>
      <w:tblBorders>
        <w:bottom w:val="single" w:sz="4" w:space="0" w:color="7AADAD" w:themeColor="accent4" w:themeTint="99"/>
      </w:tblBorders>
    </w:tblPr>
    <w:tblStylePr w:type="firstRow">
      <w:pPr>
        <w:jc w:val="left"/>
      </w:pPr>
      <w:rPr>
        <w:b/>
        <w:bCs/>
        <w:color w:val="FFFFFF" w:themeColor="background1"/>
      </w:rPr>
      <w:tblPr/>
      <w:tcPr>
        <w:tcBorders>
          <w:top w:val="single" w:sz="4" w:space="0" w:color="3A5E5E" w:themeColor="accent4"/>
          <w:left w:val="single" w:sz="4" w:space="0" w:color="3A5E5E" w:themeColor="accent4"/>
          <w:bottom w:val="single" w:sz="4" w:space="0" w:color="3A5E5E" w:themeColor="accent4"/>
          <w:right w:val="single" w:sz="4" w:space="0" w:color="3A5E5E" w:themeColor="accent4"/>
          <w:insideH w:val="nil"/>
        </w:tcBorders>
        <w:shd w:val="clear" w:color="auto" w:fill="3A5E5E" w:themeFill="accent4"/>
        <w:vAlign w:val="bottom"/>
      </w:tcPr>
    </w:tblStylePr>
    <w:tblStylePr w:type="lastRow">
      <w:rPr>
        <w:b/>
        <w:bCs/>
      </w:rPr>
      <w:tblPr/>
      <w:tcPr>
        <w:tcBorders>
          <w:top w:val="double" w:sz="4" w:space="0" w:color="7AADAD" w:themeColor="accent4" w:themeTint="99"/>
        </w:tcBorders>
      </w:tcPr>
    </w:tblStylePr>
    <w:tblStylePr w:type="firstCol">
      <w:rPr>
        <w:b/>
        <w:bCs/>
      </w:rPr>
    </w:tblStylePr>
    <w:tblStylePr w:type="lastCol">
      <w:rPr>
        <w:b/>
        <w:bCs/>
      </w:rPr>
    </w:tblStylePr>
    <w:tblStylePr w:type="band1Vert">
      <w:tblPr/>
      <w:tcPr>
        <w:shd w:val="clear" w:color="auto" w:fill="D2E3E3" w:themeFill="accent4" w:themeFillTint="33"/>
      </w:tcPr>
    </w:tblStylePr>
    <w:tblStylePr w:type="band1Horz">
      <w:tblPr/>
      <w:tcPr>
        <w:shd w:val="clear" w:color="auto" w:fill="D2E3E3" w:themeFill="accent4" w:themeFillTint="33"/>
      </w:tcPr>
    </w:tblStylePr>
  </w:style>
  <w:style w:type="table" w:styleId="ListTable4-Accent6">
    <w:name w:val="List Table 4 Accent 6"/>
    <w:basedOn w:val="TableNormal"/>
    <w:uiPriority w:val="49"/>
    <w:locked/>
    <w:rsid w:val="00DD677C"/>
    <w:pPr>
      <w:spacing w:before="60" w:after="0" w:line="240" w:lineRule="auto"/>
    </w:pPr>
    <w:rPr>
      <w:rFonts w:ascii="Arial" w:eastAsiaTheme="minorHAnsi" w:hAnsi="Arial"/>
      <w:sz w:val="18"/>
      <w:szCs w:val="18"/>
    </w:rPr>
    <w:tblPr>
      <w:tblStyleRowBandSize w:val="1"/>
      <w:tblStyleColBandSize w:val="1"/>
      <w:tblBorders>
        <w:bottom w:val="single" w:sz="4" w:space="0" w:color="A88EAF" w:themeColor="accent6" w:themeTint="99"/>
      </w:tblBorders>
    </w:tblPr>
    <w:tblStylePr w:type="firstRow">
      <w:pPr>
        <w:jc w:val="left"/>
      </w:pPr>
      <w:rPr>
        <w:b/>
        <w:bCs/>
        <w:color w:val="FFFFFF" w:themeColor="background1"/>
      </w:rPr>
      <w:tblPr/>
      <w:tcPr>
        <w:tcBorders>
          <w:top w:val="single" w:sz="4" w:space="0" w:color="684F6F" w:themeColor="accent6"/>
          <w:left w:val="single" w:sz="4" w:space="0" w:color="684F6F" w:themeColor="accent6"/>
          <w:bottom w:val="single" w:sz="4" w:space="0" w:color="684F6F" w:themeColor="accent6"/>
          <w:right w:val="single" w:sz="4" w:space="0" w:color="684F6F" w:themeColor="accent6"/>
          <w:insideH w:val="nil"/>
        </w:tcBorders>
        <w:shd w:val="clear" w:color="auto" w:fill="684F6F" w:themeFill="accent6"/>
        <w:vAlign w:val="bottom"/>
      </w:tcPr>
    </w:tblStylePr>
    <w:tblStylePr w:type="lastRow">
      <w:rPr>
        <w:b/>
        <w:bCs/>
      </w:rPr>
      <w:tblPr/>
      <w:tcPr>
        <w:tcBorders>
          <w:top w:val="double" w:sz="4" w:space="0" w:color="A88EAF" w:themeColor="accent6" w:themeTint="99"/>
        </w:tcBorders>
      </w:tcPr>
    </w:tblStylePr>
    <w:tblStylePr w:type="firstCol">
      <w:rPr>
        <w:b/>
        <w:bCs/>
      </w:rPr>
    </w:tblStylePr>
    <w:tblStylePr w:type="lastCol">
      <w:rPr>
        <w:b/>
        <w:bCs/>
      </w:rPr>
    </w:tblStylePr>
    <w:tblStylePr w:type="band1Vert">
      <w:tblPr/>
      <w:tcPr>
        <w:shd w:val="clear" w:color="auto" w:fill="E2D9E4" w:themeFill="accent6" w:themeFillTint="33"/>
      </w:tcPr>
    </w:tblStylePr>
    <w:tblStylePr w:type="band1Horz">
      <w:tblPr/>
      <w:tcPr>
        <w:shd w:val="clear" w:color="auto" w:fill="E2D9E4" w:themeFill="accent6" w:themeFillTint="33"/>
      </w:tcPr>
    </w:tblStylePr>
  </w:style>
  <w:style w:type="table" w:styleId="ListTable5Dark">
    <w:name w:val="List Table 5 Dark"/>
    <w:basedOn w:val="TableNormal"/>
    <w:uiPriority w:val="50"/>
    <w:rsid w:val="00DD677C"/>
    <w:pPr>
      <w:spacing w:before="60" w:after="0" w:line="240" w:lineRule="auto"/>
    </w:pPr>
    <w:rPr>
      <w:rFonts w:eastAsiaTheme="minorHAnsi"/>
      <w:color w:val="FFFFFF" w:themeColor="background1"/>
      <w:sz w:val="18"/>
      <w:szCs w:val="18"/>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pPr>
        <w:jc w:val="left"/>
      </w:pPr>
      <w:rPr>
        <w:b/>
        <w:bCs/>
      </w:rPr>
      <w:tblPr/>
      <w:tcPr>
        <w:tcBorders>
          <w:bottom w:val="single" w:sz="18" w:space="0" w:color="FFFFFF" w:themeColor="background1"/>
        </w:tcBorders>
        <w:vAlign w:val="bottom"/>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locked/>
    <w:rsid w:val="00DD677C"/>
    <w:pPr>
      <w:spacing w:before="60" w:after="0" w:line="240" w:lineRule="auto"/>
    </w:pPr>
    <w:rPr>
      <w:rFonts w:eastAsiaTheme="minorHAnsi"/>
      <w:color w:val="FFFFFF" w:themeColor="background1"/>
      <w:sz w:val="18"/>
      <w:szCs w:val="18"/>
    </w:rPr>
    <w:tblPr>
      <w:tblStyleRowBandSize w:val="1"/>
      <w:tblStyleColBandSize w:val="1"/>
      <w:tblBorders>
        <w:top w:val="single" w:sz="24" w:space="0" w:color="525F0C" w:themeColor="accent1"/>
        <w:left w:val="single" w:sz="24" w:space="0" w:color="525F0C" w:themeColor="accent1"/>
        <w:bottom w:val="single" w:sz="24" w:space="0" w:color="525F0C" w:themeColor="accent1"/>
        <w:right w:val="single" w:sz="24" w:space="0" w:color="525F0C" w:themeColor="accent1"/>
      </w:tblBorders>
    </w:tblPr>
    <w:tcPr>
      <w:shd w:val="clear" w:color="auto" w:fill="525F0C" w:themeFill="accent1"/>
    </w:tcPr>
    <w:tblStylePr w:type="firstRow">
      <w:pPr>
        <w:jc w:val="left"/>
      </w:pPr>
      <w:rPr>
        <w:b/>
        <w:bCs/>
      </w:rPr>
      <w:tblPr/>
      <w:tcPr>
        <w:tcBorders>
          <w:bottom w:val="single" w:sz="18" w:space="0" w:color="FFFFFF" w:themeColor="background1"/>
        </w:tcBorders>
        <w:vAlign w:val="bottom"/>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locked/>
    <w:rsid w:val="00DD677C"/>
    <w:pPr>
      <w:spacing w:before="60" w:after="0" w:line="240" w:lineRule="auto"/>
    </w:pPr>
    <w:rPr>
      <w:rFonts w:eastAsiaTheme="minorHAnsi"/>
      <w:color w:val="FFFFFF" w:themeColor="background1"/>
      <w:sz w:val="18"/>
      <w:szCs w:val="18"/>
    </w:rPr>
    <w:tblPr>
      <w:tblStyleRowBandSize w:val="1"/>
      <w:tblStyleColBandSize w:val="1"/>
      <w:tblBorders>
        <w:top w:val="single" w:sz="24" w:space="0" w:color="61531D" w:themeColor="accent2"/>
        <w:left w:val="single" w:sz="24" w:space="0" w:color="61531D" w:themeColor="accent2"/>
        <w:bottom w:val="single" w:sz="24" w:space="0" w:color="61531D" w:themeColor="accent2"/>
        <w:right w:val="single" w:sz="24" w:space="0" w:color="61531D" w:themeColor="accent2"/>
      </w:tblBorders>
    </w:tblPr>
    <w:tcPr>
      <w:shd w:val="clear" w:color="auto" w:fill="61531D" w:themeFill="accent2"/>
    </w:tcPr>
    <w:tblStylePr w:type="firstRow">
      <w:pPr>
        <w:jc w:val="left"/>
      </w:pPr>
      <w:rPr>
        <w:b/>
        <w:bCs/>
      </w:rPr>
      <w:tblPr/>
      <w:tcPr>
        <w:tcBorders>
          <w:bottom w:val="single" w:sz="18" w:space="0" w:color="FFFFFF" w:themeColor="background1"/>
        </w:tcBorders>
        <w:vAlign w:val="bottom"/>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locked/>
    <w:rsid w:val="00DD677C"/>
    <w:pPr>
      <w:spacing w:before="60" w:after="0" w:line="240" w:lineRule="auto"/>
    </w:pPr>
    <w:rPr>
      <w:rFonts w:eastAsiaTheme="minorHAnsi"/>
      <w:color w:val="FFFFFF" w:themeColor="background1"/>
      <w:sz w:val="18"/>
      <w:szCs w:val="18"/>
    </w:rPr>
    <w:tblPr>
      <w:tblStyleRowBandSize w:val="1"/>
      <w:tblStyleColBandSize w:val="1"/>
      <w:tblBorders>
        <w:top w:val="single" w:sz="24" w:space="0" w:color="8C421B" w:themeColor="accent3"/>
        <w:left w:val="single" w:sz="24" w:space="0" w:color="8C421B" w:themeColor="accent3"/>
        <w:bottom w:val="single" w:sz="24" w:space="0" w:color="8C421B" w:themeColor="accent3"/>
        <w:right w:val="single" w:sz="24" w:space="0" w:color="8C421B" w:themeColor="accent3"/>
      </w:tblBorders>
    </w:tblPr>
    <w:tcPr>
      <w:shd w:val="clear" w:color="auto" w:fill="8C421B" w:themeFill="accent3"/>
    </w:tcPr>
    <w:tblStylePr w:type="firstRow">
      <w:pPr>
        <w:jc w:val="left"/>
      </w:pPr>
      <w:rPr>
        <w:b/>
        <w:bCs/>
      </w:rPr>
      <w:tblPr/>
      <w:tcPr>
        <w:tcBorders>
          <w:bottom w:val="single" w:sz="18" w:space="0" w:color="FFFFFF" w:themeColor="background1"/>
        </w:tcBorders>
        <w:vAlign w:val="bottom"/>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locked/>
    <w:rsid w:val="00DD677C"/>
    <w:pPr>
      <w:spacing w:before="60" w:after="0" w:line="240" w:lineRule="auto"/>
    </w:pPr>
    <w:rPr>
      <w:rFonts w:eastAsiaTheme="minorHAnsi"/>
      <w:color w:val="FFFFFF" w:themeColor="background1"/>
      <w:sz w:val="18"/>
      <w:szCs w:val="18"/>
    </w:rPr>
    <w:tblPr>
      <w:tblStyleRowBandSize w:val="1"/>
      <w:tblStyleColBandSize w:val="1"/>
      <w:tblBorders>
        <w:top w:val="single" w:sz="24" w:space="0" w:color="3A5E5E" w:themeColor="accent4"/>
        <w:left w:val="single" w:sz="24" w:space="0" w:color="3A5E5E" w:themeColor="accent4"/>
        <w:bottom w:val="single" w:sz="24" w:space="0" w:color="3A5E5E" w:themeColor="accent4"/>
        <w:right w:val="single" w:sz="24" w:space="0" w:color="3A5E5E" w:themeColor="accent4"/>
      </w:tblBorders>
    </w:tblPr>
    <w:tcPr>
      <w:shd w:val="clear" w:color="auto" w:fill="3A5E5E" w:themeFill="accent4"/>
    </w:tcPr>
    <w:tblStylePr w:type="firstRow">
      <w:pPr>
        <w:jc w:val="left"/>
      </w:pPr>
      <w:rPr>
        <w:b/>
        <w:bCs/>
      </w:rPr>
      <w:tblPr/>
      <w:tcPr>
        <w:tcBorders>
          <w:bottom w:val="single" w:sz="18" w:space="0" w:color="FFFFFF" w:themeColor="background1"/>
        </w:tcBorders>
        <w:vAlign w:val="bottom"/>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DD677C"/>
    <w:pPr>
      <w:spacing w:before="60" w:after="0" w:line="240" w:lineRule="auto"/>
    </w:pPr>
    <w:rPr>
      <w:rFonts w:eastAsiaTheme="minorHAnsi"/>
      <w:color w:val="FFFFFF" w:themeColor="background1"/>
      <w:sz w:val="18"/>
      <w:szCs w:val="18"/>
    </w:rPr>
    <w:tblPr>
      <w:tblStyleRowBandSize w:val="1"/>
      <w:tblStyleColBandSize w:val="1"/>
      <w:tblBorders>
        <w:top w:val="single" w:sz="24" w:space="0" w:color="2D6442" w:themeColor="accent5"/>
        <w:left w:val="single" w:sz="24" w:space="0" w:color="2D6442" w:themeColor="accent5"/>
        <w:bottom w:val="single" w:sz="24" w:space="0" w:color="2D6442" w:themeColor="accent5"/>
        <w:right w:val="single" w:sz="24" w:space="0" w:color="2D6442" w:themeColor="accent5"/>
      </w:tblBorders>
    </w:tblPr>
    <w:tcPr>
      <w:shd w:val="clear" w:color="auto" w:fill="2D6442" w:themeFill="accent5"/>
    </w:tcPr>
    <w:tblStylePr w:type="firstRow">
      <w:pPr>
        <w:jc w:val="left"/>
      </w:pPr>
      <w:rPr>
        <w:b/>
        <w:bCs/>
      </w:rPr>
      <w:tblPr/>
      <w:tcPr>
        <w:tcBorders>
          <w:bottom w:val="single" w:sz="18" w:space="0" w:color="FFFFFF" w:themeColor="background1"/>
        </w:tcBorders>
        <w:vAlign w:val="bottom"/>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locked/>
    <w:rsid w:val="00DD677C"/>
    <w:pPr>
      <w:spacing w:before="60" w:after="0" w:line="240" w:lineRule="auto"/>
    </w:pPr>
    <w:rPr>
      <w:rFonts w:eastAsiaTheme="minorHAnsi"/>
      <w:color w:val="FFFFFF" w:themeColor="background1"/>
      <w:sz w:val="18"/>
      <w:szCs w:val="18"/>
    </w:rPr>
    <w:tblPr>
      <w:tblStyleRowBandSize w:val="1"/>
      <w:tblStyleColBandSize w:val="1"/>
      <w:tblBorders>
        <w:top w:val="single" w:sz="24" w:space="0" w:color="684F6F" w:themeColor="accent6"/>
        <w:left w:val="single" w:sz="24" w:space="0" w:color="684F6F" w:themeColor="accent6"/>
        <w:bottom w:val="single" w:sz="24" w:space="0" w:color="684F6F" w:themeColor="accent6"/>
        <w:right w:val="single" w:sz="24" w:space="0" w:color="684F6F" w:themeColor="accent6"/>
      </w:tblBorders>
    </w:tblPr>
    <w:tcPr>
      <w:shd w:val="clear" w:color="auto" w:fill="684F6F" w:themeFill="accent6"/>
    </w:tcPr>
    <w:tblStylePr w:type="firstRow">
      <w:pPr>
        <w:jc w:val="left"/>
      </w:pPr>
      <w:rPr>
        <w:b/>
        <w:bCs/>
      </w:rPr>
      <w:tblPr/>
      <w:tcPr>
        <w:tcBorders>
          <w:bottom w:val="single" w:sz="18" w:space="0" w:color="FFFFFF" w:themeColor="background1"/>
        </w:tcBorders>
        <w:vAlign w:val="bottom"/>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DD677C"/>
    <w:pPr>
      <w:spacing w:before="60" w:after="0" w:line="240" w:lineRule="auto"/>
    </w:pPr>
    <w:rPr>
      <w:rFonts w:eastAsiaTheme="minorHAnsi"/>
      <w:color w:val="000000" w:themeColor="text1"/>
      <w:sz w:val="18"/>
      <w:szCs w:val="18"/>
    </w:rPr>
    <w:tblPr>
      <w:tblStyleRowBandSize w:val="1"/>
      <w:tblStyleColBandSize w:val="1"/>
      <w:tblBorders>
        <w:top w:val="single" w:sz="4" w:space="0" w:color="000000" w:themeColor="text1"/>
        <w:bottom w:val="single" w:sz="4" w:space="0" w:color="000000" w:themeColor="text1"/>
      </w:tblBorders>
    </w:tblPr>
    <w:tblStylePr w:type="firstRow">
      <w:pPr>
        <w:jc w:val="left"/>
      </w:pPr>
      <w:rPr>
        <w:b/>
        <w:bCs/>
      </w:rPr>
      <w:tblPr/>
      <w:tcPr>
        <w:tcBorders>
          <w:bottom w:val="single" w:sz="4" w:space="0" w:color="000000" w:themeColor="text1"/>
        </w:tcBorders>
        <w:vAlign w:val="bottom"/>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locked/>
    <w:rsid w:val="00DD677C"/>
    <w:pPr>
      <w:spacing w:before="60" w:after="0" w:line="240" w:lineRule="auto"/>
    </w:pPr>
    <w:rPr>
      <w:rFonts w:eastAsiaTheme="minorHAnsi"/>
      <w:color w:val="3D4709" w:themeColor="accent1" w:themeShade="BF"/>
      <w:sz w:val="18"/>
      <w:szCs w:val="18"/>
    </w:rPr>
    <w:tblPr>
      <w:tblStyleRowBandSize w:val="1"/>
      <w:tblStyleColBandSize w:val="1"/>
      <w:tblBorders>
        <w:top w:val="single" w:sz="4" w:space="0" w:color="525F0C" w:themeColor="accent1"/>
        <w:bottom w:val="single" w:sz="4" w:space="0" w:color="525F0C" w:themeColor="accent1"/>
      </w:tblBorders>
    </w:tblPr>
    <w:tblStylePr w:type="firstRow">
      <w:pPr>
        <w:jc w:val="left"/>
      </w:pPr>
      <w:rPr>
        <w:b/>
        <w:bCs/>
      </w:rPr>
      <w:tblPr/>
      <w:tcPr>
        <w:tcBorders>
          <w:bottom w:val="single" w:sz="4" w:space="0" w:color="525F0C" w:themeColor="accent1"/>
        </w:tcBorders>
        <w:vAlign w:val="bottom"/>
      </w:tcPr>
    </w:tblStylePr>
    <w:tblStylePr w:type="lastRow">
      <w:rPr>
        <w:b/>
        <w:bCs/>
      </w:rPr>
      <w:tblPr/>
      <w:tcPr>
        <w:tcBorders>
          <w:top w:val="double" w:sz="4" w:space="0" w:color="525F0C" w:themeColor="accent1"/>
        </w:tcBorders>
      </w:tcPr>
    </w:tblStylePr>
    <w:tblStylePr w:type="firstCol">
      <w:rPr>
        <w:b/>
        <w:bCs/>
      </w:rPr>
    </w:tblStylePr>
    <w:tblStylePr w:type="lastCol">
      <w:rPr>
        <w:b/>
        <w:bCs/>
      </w:rPr>
    </w:tblStylePr>
    <w:tblStylePr w:type="band1Vert">
      <w:tblPr/>
      <w:tcPr>
        <w:shd w:val="clear" w:color="auto" w:fill="ECF6B7" w:themeFill="accent1" w:themeFillTint="33"/>
      </w:tcPr>
    </w:tblStylePr>
    <w:tblStylePr w:type="band1Horz">
      <w:tblPr/>
      <w:tcPr>
        <w:shd w:val="clear" w:color="auto" w:fill="ECF6B7" w:themeFill="accent1" w:themeFillTint="33"/>
      </w:tcPr>
    </w:tblStylePr>
  </w:style>
  <w:style w:type="table" w:styleId="ListTable6Colorful-Accent2">
    <w:name w:val="List Table 6 Colorful Accent 2"/>
    <w:basedOn w:val="TableNormal"/>
    <w:uiPriority w:val="51"/>
    <w:locked/>
    <w:rsid w:val="00DD677C"/>
    <w:pPr>
      <w:spacing w:before="60" w:after="0" w:line="240" w:lineRule="auto"/>
    </w:pPr>
    <w:rPr>
      <w:rFonts w:eastAsiaTheme="minorHAnsi"/>
      <w:color w:val="483D15" w:themeColor="accent2" w:themeShade="BF"/>
      <w:sz w:val="18"/>
      <w:szCs w:val="18"/>
    </w:rPr>
    <w:tblPr>
      <w:tblStyleRowBandSize w:val="1"/>
      <w:tblStyleColBandSize w:val="1"/>
      <w:tblBorders>
        <w:top w:val="single" w:sz="4" w:space="0" w:color="61531D" w:themeColor="accent2"/>
        <w:bottom w:val="single" w:sz="4" w:space="0" w:color="61531D" w:themeColor="accent2"/>
      </w:tblBorders>
    </w:tblPr>
    <w:tblStylePr w:type="firstRow">
      <w:pPr>
        <w:jc w:val="left"/>
      </w:pPr>
      <w:rPr>
        <w:b/>
        <w:bCs/>
      </w:rPr>
      <w:tblPr/>
      <w:tcPr>
        <w:tcBorders>
          <w:bottom w:val="single" w:sz="4" w:space="0" w:color="61531D" w:themeColor="accent2"/>
        </w:tcBorders>
        <w:vAlign w:val="bottom"/>
      </w:tcPr>
    </w:tblStylePr>
    <w:tblStylePr w:type="lastRow">
      <w:rPr>
        <w:b/>
        <w:bCs/>
      </w:rPr>
      <w:tblPr/>
      <w:tcPr>
        <w:tcBorders>
          <w:top w:val="double" w:sz="4" w:space="0" w:color="61531D" w:themeColor="accent2"/>
        </w:tcBorders>
      </w:tcPr>
    </w:tblStylePr>
    <w:tblStylePr w:type="firstCol">
      <w:rPr>
        <w:b/>
        <w:bCs/>
      </w:rPr>
    </w:tblStylePr>
    <w:tblStylePr w:type="lastCol">
      <w:rPr>
        <w:b/>
        <w:bCs/>
      </w:rPr>
    </w:tblStylePr>
    <w:tblStylePr w:type="band1Vert">
      <w:tblPr/>
      <w:tcPr>
        <w:shd w:val="clear" w:color="auto" w:fill="EDE4C3" w:themeFill="accent2" w:themeFillTint="33"/>
      </w:tcPr>
    </w:tblStylePr>
    <w:tblStylePr w:type="band1Horz">
      <w:tblPr/>
      <w:tcPr>
        <w:shd w:val="clear" w:color="auto" w:fill="EDE4C3" w:themeFill="accent2" w:themeFillTint="33"/>
      </w:tcPr>
    </w:tblStylePr>
  </w:style>
  <w:style w:type="table" w:styleId="ListTable6Colorful-Accent3">
    <w:name w:val="List Table 6 Colorful Accent 3"/>
    <w:basedOn w:val="TableNormal"/>
    <w:uiPriority w:val="51"/>
    <w:locked/>
    <w:rsid w:val="00DD677C"/>
    <w:pPr>
      <w:spacing w:before="60" w:after="0" w:line="240" w:lineRule="auto"/>
    </w:pPr>
    <w:rPr>
      <w:rFonts w:eastAsiaTheme="minorHAnsi"/>
      <w:color w:val="683114" w:themeColor="accent3" w:themeShade="BF"/>
      <w:sz w:val="18"/>
      <w:szCs w:val="18"/>
    </w:rPr>
    <w:tblPr>
      <w:tblStyleRowBandSize w:val="1"/>
      <w:tblStyleColBandSize w:val="1"/>
      <w:tblBorders>
        <w:top w:val="single" w:sz="4" w:space="0" w:color="8C421B" w:themeColor="accent3"/>
        <w:bottom w:val="single" w:sz="4" w:space="0" w:color="8C421B" w:themeColor="accent3"/>
      </w:tblBorders>
    </w:tblPr>
    <w:tblStylePr w:type="firstRow">
      <w:pPr>
        <w:jc w:val="left"/>
      </w:pPr>
      <w:rPr>
        <w:b/>
        <w:bCs/>
      </w:rPr>
      <w:tblPr/>
      <w:tcPr>
        <w:tcBorders>
          <w:bottom w:val="single" w:sz="4" w:space="0" w:color="8C421B" w:themeColor="accent3"/>
        </w:tcBorders>
        <w:vAlign w:val="bottom"/>
      </w:tcPr>
    </w:tblStylePr>
    <w:tblStylePr w:type="lastRow">
      <w:rPr>
        <w:b/>
        <w:bCs/>
      </w:rPr>
      <w:tblPr/>
      <w:tcPr>
        <w:tcBorders>
          <w:top w:val="double" w:sz="4" w:space="0" w:color="8C421B" w:themeColor="accent3"/>
        </w:tcBorders>
      </w:tcPr>
    </w:tblStylePr>
    <w:tblStylePr w:type="firstCol">
      <w:rPr>
        <w:b/>
        <w:bCs/>
      </w:rPr>
    </w:tblStylePr>
    <w:tblStylePr w:type="lastCol">
      <w:rPr>
        <w:b/>
        <w:bCs/>
      </w:rPr>
    </w:tblStylePr>
    <w:tblStylePr w:type="band1Vert">
      <w:tblPr/>
      <w:tcPr>
        <w:shd w:val="clear" w:color="auto" w:fill="F4D5C5" w:themeFill="accent3" w:themeFillTint="33"/>
      </w:tcPr>
    </w:tblStylePr>
    <w:tblStylePr w:type="band1Horz">
      <w:tblPr/>
      <w:tcPr>
        <w:shd w:val="clear" w:color="auto" w:fill="F4D5C5" w:themeFill="accent3" w:themeFillTint="33"/>
      </w:tcPr>
    </w:tblStylePr>
  </w:style>
  <w:style w:type="table" w:styleId="ListTable6Colorful-Accent4">
    <w:name w:val="List Table 6 Colorful Accent 4"/>
    <w:basedOn w:val="TableNormal"/>
    <w:uiPriority w:val="51"/>
    <w:locked/>
    <w:rsid w:val="00DD677C"/>
    <w:pPr>
      <w:spacing w:before="60" w:after="0" w:line="240" w:lineRule="auto"/>
    </w:pPr>
    <w:rPr>
      <w:rFonts w:eastAsiaTheme="minorHAnsi"/>
      <w:color w:val="2B4646" w:themeColor="accent4" w:themeShade="BF"/>
      <w:sz w:val="18"/>
      <w:szCs w:val="18"/>
    </w:rPr>
    <w:tblPr>
      <w:tblStyleRowBandSize w:val="1"/>
      <w:tblStyleColBandSize w:val="1"/>
      <w:tblBorders>
        <w:top w:val="single" w:sz="4" w:space="0" w:color="3A5E5E" w:themeColor="accent4"/>
        <w:bottom w:val="single" w:sz="4" w:space="0" w:color="3A5E5E" w:themeColor="accent4"/>
      </w:tblBorders>
    </w:tblPr>
    <w:tblStylePr w:type="firstRow">
      <w:pPr>
        <w:jc w:val="left"/>
      </w:pPr>
      <w:rPr>
        <w:b/>
        <w:bCs/>
      </w:rPr>
      <w:tblPr/>
      <w:tcPr>
        <w:tcBorders>
          <w:bottom w:val="single" w:sz="4" w:space="0" w:color="3A5E5E" w:themeColor="accent4"/>
        </w:tcBorders>
        <w:vAlign w:val="bottom"/>
      </w:tcPr>
    </w:tblStylePr>
    <w:tblStylePr w:type="lastRow">
      <w:rPr>
        <w:b/>
        <w:bCs/>
      </w:rPr>
      <w:tblPr/>
      <w:tcPr>
        <w:tcBorders>
          <w:top w:val="double" w:sz="4" w:space="0" w:color="3A5E5E" w:themeColor="accent4"/>
        </w:tcBorders>
      </w:tcPr>
    </w:tblStylePr>
    <w:tblStylePr w:type="firstCol">
      <w:rPr>
        <w:b/>
        <w:bCs/>
      </w:rPr>
    </w:tblStylePr>
    <w:tblStylePr w:type="lastCol">
      <w:rPr>
        <w:b/>
        <w:bCs/>
      </w:rPr>
    </w:tblStylePr>
    <w:tblStylePr w:type="band1Vert">
      <w:tblPr/>
      <w:tcPr>
        <w:shd w:val="clear" w:color="auto" w:fill="D2E3E3" w:themeFill="accent4" w:themeFillTint="33"/>
      </w:tcPr>
    </w:tblStylePr>
    <w:tblStylePr w:type="band1Horz">
      <w:tblPr/>
      <w:tcPr>
        <w:shd w:val="clear" w:color="auto" w:fill="D2E3E3" w:themeFill="accent4" w:themeFillTint="33"/>
      </w:tcPr>
    </w:tblStylePr>
  </w:style>
  <w:style w:type="table" w:styleId="ListTable6Colorful-Accent5">
    <w:name w:val="List Table 6 Colorful Accent 5"/>
    <w:basedOn w:val="TableNormal"/>
    <w:uiPriority w:val="51"/>
    <w:rsid w:val="00DD677C"/>
    <w:pPr>
      <w:spacing w:before="60" w:after="0" w:line="240" w:lineRule="auto"/>
    </w:pPr>
    <w:rPr>
      <w:rFonts w:eastAsiaTheme="minorHAnsi"/>
      <w:color w:val="214A31" w:themeColor="accent5" w:themeShade="BF"/>
      <w:sz w:val="18"/>
      <w:szCs w:val="18"/>
    </w:rPr>
    <w:tblPr>
      <w:tblStyleRowBandSize w:val="1"/>
      <w:tblStyleColBandSize w:val="1"/>
      <w:tblBorders>
        <w:top w:val="single" w:sz="4" w:space="0" w:color="2D6442" w:themeColor="accent5"/>
        <w:bottom w:val="single" w:sz="4" w:space="0" w:color="2D6442" w:themeColor="accent5"/>
      </w:tblBorders>
    </w:tblPr>
    <w:tblStylePr w:type="firstRow">
      <w:pPr>
        <w:jc w:val="left"/>
      </w:pPr>
      <w:rPr>
        <w:b/>
        <w:bCs/>
      </w:rPr>
      <w:tblPr/>
      <w:tcPr>
        <w:tcBorders>
          <w:bottom w:val="single" w:sz="4" w:space="0" w:color="2D6442" w:themeColor="accent5"/>
        </w:tcBorders>
        <w:vAlign w:val="bottom"/>
      </w:tcPr>
    </w:tblStylePr>
    <w:tblStylePr w:type="lastRow">
      <w:rPr>
        <w:b/>
        <w:bCs/>
      </w:rPr>
      <w:tblPr/>
      <w:tcPr>
        <w:tcBorders>
          <w:top w:val="double" w:sz="4" w:space="0" w:color="2D6442" w:themeColor="accent5"/>
        </w:tcBorders>
      </w:tcPr>
    </w:tblStylePr>
    <w:tblStylePr w:type="firstCol">
      <w:rPr>
        <w:b/>
        <w:bCs/>
      </w:rPr>
    </w:tblStylePr>
    <w:tblStylePr w:type="lastCol">
      <w:rPr>
        <w:b/>
        <w:bCs/>
      </w:rPr>
    </w:tblStylePr>
    <w:tblStylePr w:type="band1Vert">
      <w:tblPr/>
      <w:tcPr>
        <w:shd w:val="clear" w:color="auto" w:fill="CCE8D7" w:themeFill="accent5" w:themeFillTint="33"/>
      </w:tcPr>
    </w:tblStylePr>
    <w:tblStylePr w:type="band1Horz">
      <w:tblPr/>
      <w:tcPr>
        <w:shd w:val="clear" w:color="auto" w:fill="CCE8D7" w:themeFill="accent5" w:themeFillTint="33"/>
      </w:tcPr>
    </w:tblStylePr>
  </w:style>
  <w:style w:type="table" w:styleId="ListTable6Colorful-Accent6">
    <w:name w:val="List Table 6 Colorful Accent 6"/>
    <w:basedOn w:val="TableNormal"/>
    <w:uiPriority w:val="51"/>
    <w:locked/>
    <w:rsid w:val="00DD677C"/>
    <w:pPr>
      <w:spacing w:before="60" w:after="0" w:line="240" w:lineRule="auto"/>
    </w:pPr>
    <w:rPr>
      <w:rFonts w:eastAsiaTheme="minorHAnsi"/>
      <w:color w:val="4D3B52" w:themeColor="accent6" w:themeShade="BF"/>
      <w:sz w:val="18"/>
      <w:szCs w:val="18"/>
    </w:rPr>
    <w:tblPr>
      <w:tblStyleRowBandSize w:val="1"/>
      <w:tblStyleColBandSize w:val="1"/>
      <w:tblBorders>
        <w:top w:val="single" w:sz="4" w:space="0" w:color="684F6F" w:themeColor="accent6"/>
        <w:bottom w:val="single" w:sz="4" w:space="0" w:color="684F6F" w:themeColor="accent6"/>
      </w:tblBorders>
    </w:tblPr>
    <w:tblStylePr w:type="firstRow">
      <w:pPr>
        <w:jc w:val="left"/>
      </w:pPr>
      <w:rPr>
        <w:b/>
        <w:bCs/>
      </w:rPr>
      <w:tblPr/>
      <w:tcPr>
        <w:tcBorders>
          <w:bottom w:val="single" w:sz="4" w:space="0" w:color="684F6F" w:themeColor="accent6"/>
        </w:tcBorders>
        <w:vAlign w:val="bottom"/>
      </w:tcPr>
    </w:tblStylePr>
    <w:tblStylePr w:type="lastRow">
      <w:rPr>
        <w:b/>
        <w:bCs/>
      </w:rPr>
      <w:tblPr/>
      <w:tcPr>
        <w:tcBorders>
          <w:top w:val="double" w:sz="4" w:space="0" w:color="684F6F" w:themeColor="accent6"/>
        </w:tcBorders>
      </w:tcPr>
    </w:tblStylePr>
    <w:tblStylePr w:type="firstCol">
      <w:rPr>
        <w:b/>
        <w:bCs/>
      </w:rPr>
    </w:tblStylePr>
    <w:tblStylePr w:type="lastCol">
      <w:rPr>
        <w:b/>
        <w:bCs/>
      </w:rPr>
    </w:tblStylePr>
    <w:tblStylePr w:type="band1Vert">
      <w:tblPr/>
      <w:tcPr>
        <w:shd w:val="clear" w:color="auto" w:fill="E2D9E4" w:themeFill="accent6" w:themeFillTint="33"/>
      </w:tcPr>
    </w:tblStylePr>
    <w:tblStylePr w:type="band1Horz">
      <w:tblPr/>
      <w:tcPr>
        <w:shd w:val="clear" w:color="auto" w:fill="E2D9E4" w:themeFill="accent6" w:themeFillTint="33"/>
      </w:tcPr>
    </w:tblStylePr>
  </w:style>
  <w:style w:type="table" w:styleId="ListTable7Colorful">
    <w:name w:val="List Table 7 Colorful"/>
    <w:basedOn w:val="TableNormal"/>
    <w:uiPriority w:val="52"/>
    <w:rsid w:val="00DD677C"/>
    <w:pPr>
      <w:spacing w:before="60" w:after="0" w:line="240" w:lineRule="auto"/>
    </w:pPr>
    <w:rPr>
      <w:rFonts w:eastAsiaTheme="minorHAnsi"/>
      <w:color w:val="000000" w:themeColor="text1"/>
      <w:sz w:val="18"/>
      <w:szCs w:val="18"/>
    </w:rPr>
    <w:tblPr>
      <w:tblStyleRowBandSize w:val="1"/>
      <w:tblStyleColBandSize w:val="1"/>
    </w:tblPr>
    <w:tblStylePr w:type="firstRow">
      <w:pPr>
        <w:jc w:val="left"/>
      </w:pPr>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locked/>
    <w:rsid w:val="00DD677C"/>
    <w:pPr>
      <w:spacing w:before="60" w:after="0" w:line="240" w:lineRule="auto"/>
    </w:pPr>
    <w:rPr>
      <w:rFonts w:eastAsiaTheme="minorHAnsi"/>
      <w:color w:val="3D4709" w:themeColor="accent1" w:themeShade="BF"/>
      <w:sz w:val="18"/>
      <w:szCs w:val="18"/>
    </w:rPr>
    <w:tblPr>
      <w:tblStyleRowBandSize w:val="1"/>
      <w:tblStyleColBandSize w:val="1"/>
    </w:tblPr>
    <w:tblStylePr w:type="firstRow">
      <w:pPr>
        <w:jc w:val="left"/>
      </w:pPr>
      <w:rPr>
        <w:rFonts w:asciiTheme="majorHAnsi" w:eastAsiaTheme="majorEastAsia" w:hAnsiTheme="majorHAnsi" w:cstheme="majorBidi"/>
        <w:i/>
        <w:iCs/>
        <w:sz w:val="26"/>
      </w:rPr>
      <w:tblPr/>
      <w:tcPr>
        <w:tcBorders>
          <w:bottom w:val="single" w:sz="4" w:space="0" w:color="525F0C" w:themeColor="accent1"/>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525F0C"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25F0C"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25F0C" w:themeColor="accent1"/>
        </w:tcBorders>
        <w:shd w:val="clear" w:color="auto" w:fill="FFFFFF" w:themeFill="background1"/>
      </w:tcPr>
    </w:tblStylePr>
    <w:tblStylePr w:type="band1Vert">
      <w:tblPr/>
      <w:tcPr>
        <w:shd w:val="clear" w:color="auto" w:fill="ECF6B7" w:themeFill="accent1" w:themeFillTint="33"/>
      </w:tcPr>
    </w:tblStylePr>
    <w:tblStylePr w:type="band1Horz">
      <w:tblPr/>
      <w:tcPr>
        <w:shd w:val="clear" w:color="auto" w:fill="ECF6B7"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locked/>
    <w:rsid w:val="00DD677C"/>
    <w:pPr>
      <w:spacing w:before="60" w:after="0" w:line="240" w:lineRule="auto"/>
    </w:pPr>
    <w:rPr>
      <w:rFonts w:eastAsiaTheme="minorHAnsi"/>
      <w:color w:val="483D15" w:themeColor="accent2" w:themeShade="BF"/>
      <w:sz w:val="18"/>
      <w:szCs w:val="18"/>
    </w:rPr>
    <w:tblPr>
      <w:tblStyleRowBandSize w:val="1"/>
      <w:tblStyleColBandSize w:val="1"/>
    </w:tblPr>
    <w:tblStylePr w:type="firstRow">
      <w:pPr>
        <w:jc w:val="left"/>
      </w:pPr>
      <w:rPr>
        <w:rFonts w:asciiTheme="majorHAnsi" w:eastAsiaTheme="majorEastAsia" w:hAnsiTheme="majorHAnsi" w:cstheme="majorBidi"/>
        <w:i/>
        <w:iCs/>
        <w:sz w:val="26"/>
      </w:rPr>
      <w:tblPr/>
      <w:tcPr>
        <w:tcBorders>
          <w:bottom w:val="single" w:sz="4" w:space="0" w:color="61531D" w:themeColor="accent2"/>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61531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1531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1531D" w:themeColor="accent2"/>
        </w:tcBorders>
        <w:shd w:val="clear" w:color="auto" w:fill="FFFFFF" w:themeFill="background1"/>
      </w:tcPr>
    </w:tblStylePr>
    <w:tblStylePr w:type="band1Vert">
      <w:tblPr/>
      <w:tcPr>
        <w:shd w:val="clear" w:color="auto" w:fill="EDE4C3" w:themeFill="accent2" w:themeFillTint="33"/>
      </w:tcPr>
    </w:tblStylePr>
    <w:tblStylePr w:type="band1Horz">
      <w:tblPr/>
      <w:tcPr>
        <w:shd w:val="clear" w:color="auto" w:fill="EDE4C3"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DD677C"/>
    <w:pPr>
      <w:spacing w:before="60" w:after="0" w:line="240" w:lineRule="auto"/>
    </w:pPr>
    <w:rPr>
      <w:rFonts w:ascii="Arial" w:eastAsiaTheme="minorHAnsi" w:hAnsi="Arial"/>
      <w:sz w:val="18"/>
      <w:szCs w:val="18"/>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pPr>
        <w:jc w:val="left"/>
      </w:pPr>
      <w:rPr>
        <w:b/>
        <w:bCs/>
      </w:rPr>
      <w:tblPr/>
      <w:tcPr>
        <w:tcBorders>
          <w:bottom w:val="single" w:sz="12" w:space="0" w:color="666666" w:themeColor="text1" w:themeTint="99"/>
        </w:tcBorders>
        <w:vAlign w:val="bottom"/>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locked/>
    <w:rsid w:val="00DD677C"/>
    <w:pPr>
      <w:spacing w:before="60" w:after="0" w:line="240" w:lineRule="auto"/>
    </w:pPr>
    <w:rPr>
      <w:rFonts w:ascii="Arial" w:eastAsiaTheme="minorHAnsi" w:hAnsi="Arial"/>
      <w:sz w:val="18"/>
      <w:szCs w:val="18"/>
    </w:rPr>
    <w:tblPr>
      <w:tblStyleRowBandSize w:val="1"/>
      <w:tblStyleColBandSize w:val="1"/>
      <w:tblBorders>
        <w:top w:val="single" w:sz="4" w:space="0" w:color="85B2FF" w:themeColor="text2" w:themeTint="66"/>
        <w:left w:val="single" w:sz="4" w:space="0" w:color="85B2FF" w:themeColor="text2" w:themeTint="66"/>
        <w:bottom w:val="single" w:sz="4" w:space="0" w:color="85B2FF" w:themeColor="text2" w:themeTint="66"/>
        <w:right w:val="single" w:sz="4" w:space="0" w:color="85B2FF" w:themeColor="text2" w:themeTint="66"/>
        <w:insideH w:val="single" w:sz="4" w:space="0" w:color="85B2FF" w:themeColor="text2" w:themeTint="66"/>
        <w:insideV w:val="single" w:sz="4" w:space="0" w:color="85B2FF" w:themeColor="text2" w:themeTint="66"/>
      </w:tblBorders>
    </w:tblPr>
    <w:tblStylePr w:type="firstRow">
      <w:pPr>
        <w:jc w:val="left"/>
      </w:pPr>
      <w:rPr>
        <w:b/>
        <w:bCs/>
      </w:rPr>
      <w:tblPr/>
      <w:tcPr>
        <w:tcBorders>
          <w:bottom w:val="single" w:sz="12" w:space="0" w:color="525F0C" w:themeColor="accent1"/>
        </w:tcBorders>
      </w:tcPr>
    </w:tblStylePr>
    <w:tblStylePr w:type="lastRow">
      <w:rPr>
        <w:b/>
        <w:bCs/>
      </w:rPr>
      <w:tblPr/>
      <w:tcPr>
        <w:tcBorders>
          <w:top w:val="double" w:sz="2" w:space="0" w:color="498CFF" w:themeColor="text2" w:themeTint="99"/>
        </w:tcBorders>
      </w:tcPr>
    </w:tblStylePr>
    <w:tblStylePr w:type="firstCol">
      <w:rPr>
        <w:b/>
        <w:bCs/>
      </w:rPr>
    </w:tblStylePr>
    <w:tblStylePr w:type="lastCol">
      <w:rPr>
        <w:b/>
        <w:bCs/>
      </w:rPr>
    </w:tblStylePr>
    <w:tblStylePr w:type="band1Horz">
      <w:tblPr/>
      <w:tcPr>
        <w:tcBorders>
          <w:top w:val="single" w:sz="2" w:space="0" w:color="498CFF" w:themeColor="text2" w:themeTint="99"/>
          <w:left w:val="single" w:sz="2" w:space="0" w:color="498CFF" w:themeColor="text2" w:themeTint="99"/>
          <w:bottom w:val="single" w:sz="2" w:space="0" w:color="498CFF" w:themeColor="text2" w:themeTint="99"/>
          <w:right w:val="single" w:sz="2" w:space="0" w:color="498CFF" w:themeColor="text2" w:themeTint="99"/>
          <w:insideH w:val="single" w:sz="2" w:space="0" w:color="498CFF" w:themeColor="text2" w:themeTint="99"/>
          <w:insideV w:val="single" w:sz="2" w:space="0" w:color="498CFF" w:themeColor="text2" w:themeTint="99"/>
          <w:tl2br w:val="nil"/>
          <w:tr2bl w:val="nil"/>
        </w:tcBorders>
      </w:tcPr>
    </w:tblStylePr>
    <w:tblStylePr w:type="band2Horz">
      <w:tblPr/>
      <w:tcPr>
        <w:tcBorders>
          <w:top w:val="single" w:sz="4" w:space="0" w:color="498CFF" w:themeColor="text2" w:themeTint="99"/>
          <w:left w:val="single" w:sz="4" w:space="0" w:color="498CFF" w:themeColor="text2" w:themeTint="99"/>
          <w:bottom w:val="single" w:sz="4" w:space="0" w:color="498CFF" w:themeColor="text2" w:themeTint="99"/>
          <w:right w:val="single" w:sz="4" w:space="0" w:color="498CFF" w:themeColor="text2" w:themeTint="99"/>
          <w:insideH w:val="single" w:sz="4" w:space="0" w:color="498CFF" w:themeColor="text2" w:themeTint="99"/>
          <w:insideV w:val="single" w:sz="4" w:space="0" w:color="498CFF" w:themeColor="text2" w:themeTint="99"/>
          <w:tl2br w:val="nil"/>
          <w:tr2bl w:val="nil"/>
        </w:tcBorders>
      </w:tcPr>
    </w:tblStylePr>
  </w:style>
  <w:style w:type="table" w:styleId="GridTable1Light-Accent2">
    <w:name w:val="Grid Table 1 Light Accent 2"/>
    <w:basedOn w:val="TableNormal"/>
    <w:uiPriority w:val="46"/>
    <w:locked/>
    <w:rsid w:val="00DD677C"/>
    <w:pPr>
      <w:spacing w:before="60" w:after="0" w:line="240" w:lineRule="auto"/>
    </w:pPr>
    <w:rPr>
      <w:rFonts w:ascii="Arial" w:eastAsiaTheme="minorHAnsi" w:hAnsi="Arial"/>
      <w:sz w:val="18"/>
      <w:szCs w:val="18"/>
    </w:rPr>
    <w:tblPr>
      <w:tblStyleRowBandSize w:val="1"/>
      <w:tblStyleColBandSize w:val="1"/>
      <w:tblBorders>
        <w:top w:val="single" w:sz="4" w:space="0" w:color="DBCA88" w:themeColor="accent2" w:themeTint="66"/>
        <w:left w:val="single" w:sz="4" w:space="0" w:color="DBCA88" w:themeColor="accent2" w:themeTint="66"/>
        <w:bottom w:val="single" w:sz="4" w:space="0" w:color="DBCA88" w:themeColor="accent2" w:themeTint="66"/>
        <w:right w:val="single" w:sz="4" w:space="0" w:color="DBCA88" w:themeColor="accent2" w:themeTint="66"/>
        <w:insideH w:val="single" w:sz="4" w:space="0" w:color="DBCA88" w:themeColor="accent2" w:themeTint="66"/>
        <w:insideV w:val="single" w:sz="4" w:space="0" w:color="DBCA88" w:themeColor="accent2" w:themeTint="66"/>
      </w:tblBorders>
    </w:tblPr>
    <w:tblStylePr w:type="firstRow">
      <w:pPr>
        <w:jc w:val="left"/>
      </w:pPr>
      <w:rPr>
        <w:b/>
        <w:bCs/>
      </w:rPr>
      <w:tblPr/>
      <w:tcPr>
        <w:tcBorders>
          <w:bottom w:val="single" w:sz="12" w:space="0" w:color="CAB04D" w:themeColor="accent2" w:themeTint="99"/>
        </w:tcBorders>
        <w:vAlign w:val="bottom"/>
      </w:tcPr>
    </w:tblStylePr>
    <w:tblStylePr w:type="lastRow">
      <w:rPr>
        <w:b/>
        <w:bCs/>
      </w:rPr>
      <w:tblPr/>
      <w:tcPr>
        <w:tcBorders>
          <w:top w:val="double" w:sz="2" w:space="0" w:color="CAB04D"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locked/>
    <w:rsid w:val="00DD677C"/>
    <w:pPr>
      <w:spacing w:before="60" w:after="0" w:line="240" w:lineRule="auto"/>
    </w:pPr>
    <w:rPr>
      <w:rFonts w:ascii="Arial" w:eastAsiaTheme="minorHAnsi" w:hAnsi="Arial"/>
      <w:sz w:val="18"/>
      <w:szCs w:val="18"/>
    </w:rPr>
    <w:tblPr>
      <w:tblStyleRowBandSize w:val="1"/>
      <w:tblStyleColBandSize w:val="1"/>
      <w:tblBorders>
        <w:top w:val="single" w:sz="4" w:space="0" w:color="E8AB8B" w:themeColor="accent3" w:themeTint="66"/>
        <w:left w:val="single" w:sz="4" w:space="0" w:color="E8AB8B" w:themeColor="accent3" w:themeTint="66"/>
        <w:bottom w:val="single" w:sz="4" w:space="0" w:color="E8AB8B" w:themeColor="accent3" w:themeTint="66"/>
        <w:right w:val="single" w:sz="4" w:space="0" w:color="E8AB8B" w:themeColor="accent3" w:themeTint="66"/>
        <w:insideH w:val="single" w:sz="4" w:space="0" w:color="E8AB8B" w:themeColor="accent3" w:themeTint="66"/>
        <w:insideV w:val="single" w:sz="4" w:space="0" w:color="E8AB8B" w:themeColor="accent3" w:themeTint="66"/>
      </w:tblBorders>
    </w:tblPr>
    <w:tblStylePr w:type="firstRow">
      <w:pPr>
        <w:jc w:val="left"/>
      </w:pPr>
      <w:rPr>
        <w:b/>
        <w:bCs/>
      </w:rPr>
      <w:tblPr/>
      <w:tcPr>
        <w:tcBorders>
          <w:bottom w:val="single" w:sz="12" w:space="0" w:color="DD8252" w:themeColor="accent3" w:themeTint="99"/>
        </w:tcBorders>
        <w:vAlign w:val="bottom"/>
      </w:tcPr>
    </w:tblStylePr>
    <w:tblStylePr w:type="lastRow">
      <w:rPr>
        <w:b/>
        <w:bCs/>
      </w:rPr>
      <w:tblPr/>
      <w:tcPr>
        <w:tcBorders>
          <w:top w:val="double" w:sz="2" w:space="0" w:color="DD8252"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locked/>
    <w:rsid w:val="00DD677C"/>
    <w:pPr>
      <w:spacing w:before="60" w:after="0" w:line="240" w:lineRule="auto"/>
    </w:pPr>
    <w:rPr>
      <w:rFonts w:ascii="Arial" w:eastAsiaTheme="minorHAnsi" w:hAnsi="Arial"/>
      <w:sz w:val="18"/>
      <w:szCs w:val="18"/>
    </w:rPr>
    <w:tblPr>
      <w:tblStyleRowBandSize w:val="1"/>
      <w:tblStyleColBandSize w:val="1"/>
      <w:tblBorders>
        <w:top w:val="single" w:sz="4" w:space="0" w:color="A6C8C8" w:themeColor="accent4" w:themeTint="66"/>
        <w:left w:val="single" w:sz="4" w:space="0" w:color="A6C8C8" w:themeColor="accent4" w:themeTint="66"/>
        <w:bottom w:val="single" w:sz="4" w:space="0" w:color="A6C8C8" w:themeColor="accent4" w:themeTint="66"/>
        <w:right w:val="single" w:sz="4" w:space="0" w:color="A6C8C8" w:themeColor="accent4" w:themeTint="66"/>
        <w:insideH w:val="single" w:sz="4" w:space="0" w:color="A6C8C8" w:themeColor="accent4" w:themeTint="66"/>
        <w:insideV w:val="single" w:sz="4" w:space="0" w:color="A6C8C8" w:themeColor="accent4" w:themeTint="66"/>
      </w:tblBorders>
    </w:tblPr>
    <w:tblStylePr w:type="firstRow">
      <w:pPr>
        <w:jc w:val="left"/>
      </w:pPr>
      <w:rPr>
        <w:b/>
        <w:bCs/>
      </w:rPr>
      <w:tblPr/>
      <w:tcPr>
        <w:tcBorders>
          <w:bottom w:val="single" w:sz="12" w:space="0" w:color="7AADAD" w:themeColor="accent4" w:themeTint="99"/>
        </w:tcBorders>
        <w:vAlign w:val="bottom"/>
      </w:tcPr>
    </w:tblStylePr>
    <w:tblStylePr w:type="lastRow">
      <w:rPr>
        <w:b/>
        <w:bCs/>
      </w:rPr>
      <w:tblPr/>
      <w:tcPr>
        <w:tcBorders>
          <w:top w:val="double" w:sz="2" w:space="0" w:color="7AADAD"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DD677C"/>
    <w:pPr>
      <w:spacing w:before="60" w:after="0" w:line="240" w:lineRule="auto"/>
    </w:pPr>
    <w:rPr>
      <w:rFonts w:ascii="Arial" w:eastAsiaTheme="minorHAnsi" w:hAnsi="Arial"/>
      <w:sz w:val="18"/>
      <w:szCs w:val="18"/>
    </w:rPr>
    <w:tblPr>
      <w:tblStyleRowBandSize w:val="1"/>
      <w:tblStyleColBandSize w:val="1"/>
      <w:tblBorders>
        <w:top w:val="single" w:sz="4" w:space="0" w:color="9AD1AF" w:themeColor="accent5" w:themeTint="66"/>
        <w:left w:val="single" w:sz="4" w:space="0" w:color="9AD1AF" w:themeColor="accent5" w:themeTint="66"/>
        <w:bottom w:val="single" w:sz="4" w:space="0" w:color="9AD1AF" w:themeColor="accent5" w:themeTint="66"/>
        <w:right w:val="single" w:sz="4" w:space="0" w:color="9AD1AF" w:themeColor="accent5" w:themeTint="66"/>
        <w:insideH w:val="single" w:sz="4" w:space="0" w:color="9AD1AF" w:themeColor="accent5" w:themeTint="66"/>
        <w:insideV w:val="single" w:sz="4" w:space="0" w:color="9AD1AF" w:themeColor="accent5" w:themeTint="66"/>
      </w:tblBorders>
    </w:tblPr>
    <w:tblStylePr w:type="firstRow">
      <w:pPr>
        <w:jc w:val="left"/>
      </w:pPr>
      <w:rPr>
        <w:b/>
        <w:bCs/>
      </w:rPr>
      <w:tblPr/>
      <w:tcPr>
        <w:tcBorders>
          <w:bottom w:val="single" w:sz="12" w:space="0" w:color="67BB87" w:themeColor="accent5" w:themeTint="99"/>
        </w:tcBorders>
        <w:vAlign w:val="bottom"/>
      </w:tcPr>
    </w:tblStylePr>
    <w:tblStylePr w:type="lastRow">
      <w:rPr>
        <w:b/>
        <w:bCs/>
      </w:rPr>
      <w:tblPr/>
      <w:tcPr>
        <w:tcBorders>
          <w:top w:val="double" w:sz="2" w:space="0" w:color="67BB87"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locked/>
    <w:rsid w:val="00DD677C"/>
    <w:pPr>
      <w:spacing w:before="60" w:after="0" w:line="240" w:lineRule="auto"/>
    </w:pPr>
    <w:rPr>
      <w:rFonts w:ascii="Arial" w:eastAsiaTheme="minorHAnsi" w:hAnsi="Arial"/>
      <w:sz w:val="18"/>
      <w:szCs w:val="18"/>
    </w:rPr>
    <w:tblPr>
      <w:tblStyleRowBandSize w:val="1"/>
      <w:tblStyleColBandSize w:val="1"/>
      <w:tblBorders>
        <w:top w:val="single" w:sz="4" w:space="0" w:color="C5B4C9" w:themeColor="accent6" w:themeTint="66"/>
        <w:left w:val="single" w:sz="4" w:space="0" w:color="C5B4C9" w:themeColor="accent6" w:themeTint="66"/>
        <w:bottom w:val="single" w:sz="4" w:space="0" w:color="C5B4C9" w:themeColor="accent6" w:themeTint="66"/>
        <w:right w:val="single" w:sz="4" w:space="0" w:color="C5B4C9" w:themeColor="accent6" w:themeTint="66"/>
        <w:insideH w:val="single" w:sz="4" w:space="0" w:color="C5B4C9" w:themeColor="accent6" w:themeTint="66"/>
        <w:insideV w:val="single" w:sz="4" w:space="0" w:color="C5B4C9" w:themeColor="accent6" w:themeTint="66"/>
      </w:tblBorders>
    </w:tblPr>
    <w:tblStylePr w:type="firstRow">
      <w:pPr>
        <w:jc w:val="left"/>
      </w:pPr>
      <w:rPr>
        <w:b/>
        <w:bCs/>
      </w:rPr>
      <w:tblPr/>
      <w:tcPr>
        <w:tcBorders>
          <w:bottom w:val="single" w:sz="12" w:space="0" w:color="A88EAF" w:themeColor="accent6" w:themeTint="99"/>
        </w:tcBorders>
        <w:vAlign w:val="bottom"/>
      </w:tcPr>
    </w:tblStylePr>
    <w:tblStylePr w:type="lastRow">
      <w:rPr>
        <w:b/>
        <w:bCs/>
      </w:rPr>
      <w:tblPr/>
      <w:tcPr>
        <w:tcBorders>
          <w:top w:val="double" w:sz="2" w:space="0" w:color="A88EAF" w:themeColor="accent6" w:themeTint="99"/>
        </w:tcBorders>
      </w:tcPr>
    </w:tblStylePr>
    <w:tblStylePr w:type="firstCol">
      <w:rPr>
        <w:b/>
        <w:bCs/>
      </w:rPr>
    </w:tblStylePr>
    <w:tblStylePr w:type="lastCol">
      <w:rPr>
        <w:b/>
        <w:bCs/>
      </w:rPr>
    </w:tblStylePr>
  </w:style>
  <w:style w:type="table" w:styleId="GridTable3">
    <w:name w:val="Grid Table 3"/>
    <w:basedOn w:val="TableNormal"/>
    <w:uiPriority w:val="48"/>
    <w:rsid w:val="00DD677C"/>
    <w:pPr>
      <w:spacing w:before="60" w:after="0" w:line="240" w:lineRule="auto"/>
    </w:pPr>
    <w:rPr>
      <w:rFonts w:ascii="Arial" w:eastAsiaTheme="minorHAnsi" w:hAnsi="Arial"/>
      <w:sz w:val="18"/>
      <w:szCs w:val="18"/>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2">
    <w:name w:val="Grid Table 2"/>
    <w:basedOn w:val="TableNormal"/>
    <w:uiPriority w:val="47"/>
    <w:rsid w:val="00DD677C"/>
    <w:pPr>
      <w:spacing w:before="60" w:after="0" w:line="240" w:lineRule="auto"/>
    </w:pPr>
    <w:rPr>
      <w:rFonts w:ascii="Arial" w:eastAsiaTheme="minorHAnsi" w:hAnsi="Arial"/>
      <w:sz w:val="18"/>
      <w:szCs w:val="18"/>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pPr>
        <w:jc w:val="left"/>
      </w:pPr>
      <w:rPr>
        <w:b/>
        <w:bCs/>
      </w:rPr>
      <w:tblPr/>
      <w:tcPr>
        <w:tcBorders>
          <w:top w:val="nil"/>
          <w:bottom w:val="single" w:sz="12" w:space="0" w:color="666666" w:themeColor="text1" w:themeTint="99"/>
          <w:insideH w:val="nil"/>
          <w:insideV w:val="nil"/>
        </w:tcBorders>
        <w:shd w:val="clear" w:color="auto" w:fill="FFFFFF" w:themeFill="background1"/>
        <w:vAlign w:val="bottom"/>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4">
    <w:name w:val="Grid Table 2 Accent 4"/>
    <w:basedOn w:val="TableNormal"/>
    <w:uiPriority w:val="47"/>
    <w:locked/>
    <w:rsid w:val="00DD677C"/>
    <w:pPr>
      <w:spacing w:before="60" w:after="0" w:line="240" w:lineRule="auto"/>
    </w:pPr>
    <w:rPr>
      <w:rFonts w:ascii="Arial" w:eastAsiaTheme="minorHAnsi" w:hAnsi="Arial"/>
      <w:sz w:val="18"/>
      <w:szCs w:val="18"/>
    </w:rPr>
    <w:tblPr>
      <w:tblStyleRowBandSize w:val="1"/>
      <w:tblStyleColBandSize w:val="1"/>
      <w:tblBorders>
        <w:top w:val="single" w:sz="2" w:space="0" w:color="7AADAD" w:themeColor="accent4" w:themeTint="99"/>
        <w:bottom w:val="single" w:sz="2" w:space="0" w:color="7AADAD" w:themeColor="accent4" w:themeTint="99"/>
        <w:insideH w:val="single" w:sz="2" w:space="0" w:color="7AADAD" w:themeColor="accent4" w:themeTint="99"/>
        <w:insideV w:val="single" w:sz="2" w:space="0" w:color="7AADAD" w:themeColor="accent4" w:themeTint="99"/>
      </w:tblBorders>
    </w:tblPr>
    <w:tblStylePr w:type="firstRow">
      <w:pPr>
        <w:jc w:val="left"/>
      </w:pPr>
      <w:rPr>
        <w:b/>
        <w:bCs/>
      </w:rPr>
      <w:tblPr/>
      <w:tcPr>
        <w:tcBorders>
          <w:top w:val="nil"/>
          <w:bottom w:val="single" w:sz="12" w:space="0" w:color="7AADAD" w:themeColor="accent4" w:themeTint="99"/>
          <w:insideH w:val="nil"/>
          <w:insideV w:val="nil"/>
        </w:tcBorders>
        <w:shd w:val="clear" w:color="auto" w:fill="FFFFFF" w:themeFill="background1"/>
        <w:vAlign w:val="bottom"/>
      </w:tcPr>
    </w:tblStylePr>
    <w:tblStylePr w:type="lastRow">
      <w:rPr>
        <w:b/>
        <w:bCs/>
      </w:rPr>
      <w:tblPr/>
      <w:tcPr>
        <w:tcBorders>
          <w:top w:val="double" w:sz="2" w:space="0" w:color="7AADAD"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2E3E3" w:themeFill="accent4" w:themeFillTint="33"/>
      </w:tcPr>
    </w:tblStylePr>
    <w:tblStylePr w:type="band1Horz">
      <w:tblPr/>
      <w:tcPr>
        <w:shd w:val="clear" w:color="auto" w:fill="D2E3E3" w:themeFill="accent4" w:themeFillTint="33"/>
      </w:tcPr>
    </w:tblStylePr>
  </w:style>
  <w:style w:type="table" w:styleId="GridTable2-Accent5">
    <w:name w:val="Grid Table 2 Accent 5"/>
    <w:basedOn w:val="TableNormal"/>
    <w:uiPriority w:val="47"/>
    <w:rsid w:val="00DD677C"/>
    <w:pPr>
      <w:spacing w:before="60" w:after="0" w:line="240" w:lineRule="auto"/>
    </w:pPr>
    <w:rPr>
      <w:rFonts w:ascii="Arial" w:eastAsiaTheme="minorHAnsi" w:hAnsi="Arial"/>
      <w:sz w:val="18"/>
      <w:szCs w:val="18"/>
    </w:rPr>
    <w:tblPr>
      <w:tblStyleRowBandSize w:val="1"/>
      <w:tblStyleColBandSize w:val="1"/>
      <w:tblBorders>
        <w:top w:val="single" w:sz="2" w:space="0" w:color="67BB87" w:themeColor="accent5" w:themeTint="99"/>
        <w:bottom w:val="single" w:sz="2" w:space="0" w:color="67BB87" w:themeColor="accent5" w:themeTint="99"/>
        <w:insideH w:val="single" w:sz="2" w:space="0" w:color="67BB87" w:themeColor="accent5" w:themeTint="99"/>
        <w:insideV w:val="single" w:sz="2" w:space="0" w:color="67BB87" w:themeColor="accent5" w:themeTint="99"/>
      </w:tblBorders>
    </w:tblPr>
    <w:tblStylePr w:type="firstRow">
      <w:pPr>
        <w:jc w:val="left"/>
      </w:pPr>
      <w:rPr>
        <w:b/>
        <w:bCs/>
      </w:rPr>
      <w:tblPr/>
      <w:tcPr>
        <w:tcBorders>
          <w:top w:val="nil"/>
          <w:bottom w:val="single" w:sz="12" w:space="0" w:color="67BB87" w:themeColor="accent5" w:themeTint="99"/>
          <w:insideH w:val="nil"/>
          <w:insideV w:val="nil"/>
        </w:tcBorders>
        <w:shd w:val="clear" w:color="auto" w:fill="FFFFFF" w:themeFill="background1"/>
        <w:vAlign w:val="bottom"/>
      </w:tcPr>
    </w:tblStylePr>
    <w:tblStylePr w:type="lastRow">
      <w:rPr>
        <w:b/>
        <w:bCs/>
      </w:rPr>
      <w:tblPr/>
      <w:tcPr>
        <w:tcBorders>
          <w:top w:val="double" w:sz="2" w:space="0" w:color="67BB87"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E8D7" w:themeFill="accent5" w:themeFillTint="33"/>
      </w:tcPr>
    </w:tblStylePr>
    <w:tblStylePr w:type="band1Horz">
      <w:tblPr/>
      <w:tcPr>
        <w:shd w:val="clear" w:color="auto" w:fill="CCE8D7" w:themeFill="accent5" w:themeFillTint="33"/>
      </w:tcPr>
    </w:tblStylePr>
  </w:style>
  <w:style w:type="table" w:styleId="GridTable2-Accent6">
    <w:name w:val="Grid Table 2 Accent 6"/>
    <w:basedOn w:val="TableNormal"/>
    <w:uiPriority w:val="47"/>
    <w:locked/>
    <w:rsid w:val="00DD677C"/>
    <w:pPr>
      <w:spacing w:before="60" w:after="0" w:line="240" w:lineRule="auto"/>
    </w:pPr>
    <w:rPr>
      <w:rFonts w:ascii="Arial" w:eastAsiaTheme="minorHAnsi" w:hAnsi="Arial"/>
      <w:sz w:val="18"/>
      <w:szCs w:val="18"/>
    </w:rPr>
    <w:tblPr>
      <w:tblStyleRowBandSize w:val="1"/>
      <w:tblStyleColBandSize w:val="1"/>
      <w:tblBorders>
        <w:top w:val="single" w:sz="2" w:space="0" w:color="A88EAF" w:themeColor="accent6" w:themeTint="99"/>
        <w:bottom w:val="single" w:sz="2" w:space="0" w:color="A88EAF" w:themeColor="accent6" w:themeTint="99"/>
        <w:insideH w:val="single" w:sz="2" w:space="0" w:color="A88EAF" w:themeColor="accent6" w:themeTint="99"/>
        <w:insideV w:val="single" w:sz="2" w:space="0" w:color="A88EAF" w:themeColor="accent6" w:themeTint="99"/>
      </w:tblBorders>
    </w:tblPr>
    <w:tblStylePr w:type="firstRow">
      <w:pPr>
        <w:jc w:val="left"/>
      </w:pPr>
      <w:rPr>
        <w:b/>
        <w:bCs/>
      </w:rPr>
      <w:tblPr/>
      <w:tcPr>
        <w:tcBorders>
          <w:top w:val="nil"/>
          <w:bottom w:val="single" w:sz="12" w:space="0" w:color="A88EAF" w:themeColor="accent6" w:themeTint="99"/>
          <w:insideH w:val="nil"/>
          <w:insideV w:val="nil"/>
        </w:tcBorders>
        <w:shd w:val="clear" w:color="auto" w:fill="FFFFFF" w:themeFill="background1"/>
        <w:vAlign w:val="bottom"/>
      </w:tcPr>
    </w:tblStylePr>
    <w:tblStylePr w:type="lastRow">
      <w:rPr>
        <w:b/>
        <w:bCs/>
      </w:rPr>
      <w:tblPr/>
      <w:tcPr>
        <w:tcBorders>
          <w:top w:val="double" w:sz="2" w:space="0" w:color="A88EA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D9E4" w:themeFill="accent6" w:themeFillTint="33"/>
      </w:tcPr>
    </w:tblStylePr>
    <w:tblStylePr w:type="band1Horz">
      <w:tblPr/>
      <w:tcPr>
        <w:shd w:val="clear" w:color="auto" w:fill="E2D9E4" w:themeFill="accent6" w:themeFillTint="33"/>
      </w:tcPr>
    </w:tblStylePr>
  </w:style>
  <w:style w:type="table" w:styleId="GridTable3-Accent3">
    <w:name w:val="Grid Table 3 Accent 3"/>
    <w:basedOn w:val="TableNormal"/>
    <w:uiPriority w:val="48"/>
    <w:locked/>
    <w:rsid w:val="00DD677C"/>
    <w:pPr>
      <w:spacing w:before="60" w:after="0" w:line="240" w:lineRule="auto"/>
    </w:pPr>
    <w:rPr>
      <w:rFonts w:ascii="Arial" w:eastAsiaTheme="minorHAnsi" w:hAnsi="Arial"/>
      <w:sz w:val="18"/>
      <w:szCs w:val="18"/>
    </w:rPr>
    <w:tblPr>
      <w:tblStyleRowBandSize w:val="1"/>
      <w:tblStyleColBandSize w:val="1"/>
      <w:tblBorders>
        <w:top w:val="single" w:sz="4" w:space="0" w:color="DD8252" w:themeColor="accent3" w:themeTint="99"/>
        <w:left w:val="single" w:sz="4" w:space="0" w:color="DD8252" w:themeColor="accent3" w:themeTint="99"/>
        <w:bottom w:val="single" w:sz="4" w:space="0" w:color="DD8252" w:themeColor="accent3" w:themeTint="99"/>
        <w:right w:val="single" w:sz="4" w:space="0" w:color="DD8252" w:themeColor="accent3" w:themeTint="99"/>
        <w:insideH w:val="single" w:sz="4" w:space="0" w:color="DD8252" w:themeColor="accent3" w:themeTint="99"/>
        <w:insideV w:val="single" w:sz="4" w:space="0" w:color="DD8252" w:themeColor="accent3"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D5C5" w:themeFill="accent3" w:themeFillTint="33"/>
      </w:tcPr>
    </w:tblStylePr>
    <w:tblStylePr w:type="band1Horz">
      <w:tblPr/>
      <w:tcPr>
        <w:shd w:val="clear" w:color="auto" w:fill="F4D5C5" w:themeFill="accent3" w:themeFillTint="33"/>
      </w:tcPr>
    </w:tblStylePr>
    <w:tblStylePr w:type="neCell">
      <w:tblPr/>
      <w:tcPr>
        <w:tcBorders>
          <w:bottom w:val="single" w:sz="4" w:space="0" w:color="DD8252" w:themeColor="accent3" w:themeTint="99"/>
        </w:tcBorders>
      </w:tcPr>
    </w:tblStylePr>
    <w:tblStylePr w:type="nwCell">
      <w:tblPr/>
      <w:tcPr>
        <w:tcBorders>
          <w:bottom w:val="single" w:sz="4" w:space="0" w:color="DD8252" w:themeColor="accent3" w:themeTint="99"/>
        </w:tcBorders>
      </w:tcPr>
    </w:tblStylePr>
    <w:tblStylePr w:type="seCell">
      <w:tblPr/>
      <w:tcPr>
        <w:tcBorders>
          <w:top w:val="single" w:sz="4" w:space="0" w:color="DD8252" w:themeColor="accent3" w:themeTint="99"/>
        </w:tcBorders>
      </w:tcPr>
    </w:tblStylePr>
    <w:tblStylePr w:type="swCell">
      <w:tblPr/>
      <w:tcPr>
        <w:tcBorders>
          <w:top w:val="single" w:sz="4" w:space="0" w:color="DD8252" w:themeColor="accent3" w:themeTint="99"/>
        </w:tcBorders>
      </w:tcPr>
    </w:tblStylePr>
  </w:style>
  <w:style w:type="table" w:styleId="GridTable3-Accent4">
    <w:name w:val="Grid Table 3 Accent 4"/>
    <w:basedOn w:val="TableNormal"/>
    <w:uiPriority w:val="48"/>
    <w:locked/>
    <w:rsid w:val="00DD677C"/>
    <w:pPr>
      <w:spacing w:before="60" w:after="0" w:line="240" w:lineRule="auto"/>
    </w:pPr>
    <w:rPr>
      <w:rFonts w:ascii="Arial" w:eastAsiaTheme="minorHAnsi" w:hAnsi="Arial"/>
      <w:sz w:val="18"/>
      <w:szCs w:val="18"/>
    </w:rPr>
    <w:tblPr>
      <w:tblStyleRowBandSize w:val="1"/>
      <w:tblStyleColBandSize w:val="1"/>
      <w:tblBorders>
        <w:top w:val="single" w:sz="4" w:space="0" w:color="7AADAD" w:themeColor="accent4" w:themeTint="99"/>
        <w:left w:val="single" w:sz="4" w:space="0" w:color="7AADAD" w:themeColor="accent4" w:themeTint="99"/>
        <w:bottom w:val="single" w:sz="4" w:space="0" w:color="7AADAD" w:themeColor="accent4" w:themeTint="99"/>
        <w:right w:val="single" w:sz="4" w:space="0" w:color="7AADAD" w:themeColor="accent4" w:themeTint="99"/>
        <w:insideH w:val="single" w:sz="4" w:space="0" w:color="7AADAD" w:themeColor="accent4" w:themeTint="99"/>
        <w:insideV w:val="single" w:sz="4" w:space="0" w:color="7AADAD" w:themeColor="accent4"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E3E3" w:themeFill="accent4" w:themeFillTint="33"/>
      </w:tcPr>
    </w:tblStylePr>
    <w:tblStylePr w:type="band1Horz">
      <w:tblPr/>
      <w:tcPr>
        <w:shd w:val="clear" w:color="auto" w:fill="D2E3E3" w:themeFill="accent4" w:themeFillTint="33"/>
      </w:tcPr>
    </w:tblStylePr>
    <w:tblStylePr w:type="neCell">
      <w:tblPr/>
      <w:tcPr>
        <w:tcBorders>
          <w:bottom w:val="single" w:sz="4" w:space="0" w:color="7AADAD" w:themeColor="accent4" w:themeTint="99"/>
        </w:tcBorders>
      </w:tcPr>
    </w:tblStylePr>
    <w:tblStylePr w:type="nwCell">
      <w:tblPr/>
      <w:tcPr>
        <w:tcBorders>
          <w:bottom w:val="single" w:sz="4" w:space="0" w:color="7AADAD" w:themeColor="accent4" w:themeTint="99"/>
        </w:tcBorders>
      </w:tcPr>
    </w:tblStylePr>
    <w:tblStylePr w:type="seCell">
      <w:tblPr/>
      <w:tcPr>
        <w:tcBorders>
          <w:top w:val="single" w:sz="4" w:space="0" w:color="7AADAD" w:themeColor="accent4" w:themeTint="99"/>
        </w:tcBorders>
      </w:tcPr>
    </w:tblStylePr>
    <w:tblStylePr w:type="swCell">
      <w:tblPr/>
      <w:tcPr>
        <w:tcBorders>
          <w:top w:val="single" w:sz="4" w:space="0" w:color="7AADAD" w:themeColor="accent4" w:themeTint="99"/>
        </w:tcBorders>
      </w:tcPr>
    </w:tblStylePr>
  </w:style>
  <w:style w:type="table" w:styleId="GridTable3-Accent5">
    <w:name w:val="Grid Table 3 Accent 5"/>
    <w:basedOn w:val="TableNormal"/>
    <w:uiPriority w:val="48"/>
    <w:rsid w:val="00DD677C"/>
    <w:pPr>
      <w:spacing w:before="60" w:after="0" w:line="240" w:lineRule="auto"/>
    </w:pPr>
    <w:rPr>
      <w:rFonts w:ascii="Arial" w:eastAsiaTheme="minorHAnsi" w:hAnsi="Arial"/>
      <w:sz w:val="18"/>
      <w:szCs w:val="18"/>
    </w:rPr>
    <w:tblPr>
      <w:tblStyleRowBandSize w:val="1"/>
      <w:tblStyleColBandSize w:val="1"/>
      <w:tblBorders>
        <w:top w:val="single" w:sz="4" w:space="0" w:color="67BB87" w:themeColor="accent5" w:themeTint="99"/>
        <w:left w:val="single" w:sz="4" w:space="0" w:color="67BB87" w:themeColor="accent5" w:themeTint="99"/>
        <w:bottom w:val="single" w:sz="4" w:space="0" w:color="67BB87" w:themeColor="accent5" w:themeTint="99"/>
        <w:right w:val="single" w:sz="4" w:space="0" w:color="67BB87" w:themeColor="accent5" w:themeTint="99"/>
        <w:insideH w:val="single" w:sz="4" w:space="0" w:color="67BB87" w:themeColor="accent5" w:themeTint="99"/>
        <w:insideV w:val="single" w:sz="4" w:space="0" w:color="67BB87" w:themeColor="accent5"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E8D7" w:themeFill="accent5" w:themeFillTint="33"/>
      </w:tcPr>
    </w:tblStylePr>
    <w:tblStylePr w:type="band1Horz">
      <w:tblPr/>
      <w:tcPr>
        <w:shd w:val="clear" w:color="auto" w:fill="CCE8D7" w:themeFill="accent5" w:themeFillTint="33"/>
      </w:tcPr>
    </w:tblStylePr>
    <w:tblStylePr w:type="neCell">
      <w:tblPr/>
      <w:tcPr>
        <w:tcBorders>
          <w:bottom w:val="single" w:sz="4" w:space="0" w:color="67BB87" w:themeColor="accent5" w:themeTint="99"/>
        </w:tcBorders>
      </w:tcPr>
    </w:tblStylePr>
    <w:tblStylePr w:type="nwCell">
      <w:tblPr/>
      <w:tcPr>
        <w:tcBorders>
          <w:bottom w:val="single" w:sz="4" w:space="0" w:color="67BB87" w:themeColor="accent5" w:themeTint="99"/>
        </w:tcBorders>
      </w:tcPr>
    </w:tblStylePr>
    <w:tblStylePr w:type="seCell">
      <w:tblPr/>
      <w:tcPr>
        <w:tcBorders>
          <w:top w:val="single" w:sz="4" w:space="0" w:color="67BB87" w:themeColor="accent5" w:themeTint="99"/>
        </w:tcBorders>
      </w:tcPr>
    </w:tblStylePr>
    <w:tblStylePr w:type="swCell">
      <w:tblPr/>
      <w:tcPr>
        <w:tcBorders>
          <w:top w:val="single" w:sz="4" w:space="0" w:color="67BB87" w:themeColor="accent5" w:themeTint="99"/>
        </w:tcBorders>
      </w:tcPr>
    </w:tblStylePr>
  </w:style>
  <w:style w:type="table" w:styleId="PlainTable5">
    <w:name w:val="Plain Table 5"/>
    <w:basedOn w:val="TableNormal"/>
    <w:uiPriority w:val="45"/>
    <w:rsid w:val="00DD677C"/>
    <w:pPr>
      <w:spacing w:before="60" w:after="0" w:line="240" w:lineRule="auto"/>
    </w:pPr>
    <w:rPr>
      <w:rFonts w:ascii="Arial" w:eastAsiaTheme="minorHAnsi" w:hAnsi="Arial"/>
      <w:sz w:val="18"/>
      <w:szCs w:val="18"/>
    </w:rPr>
    <w:tblPr>
      <w:tblStyleRowBandSize w:val="1"/>
      <w:tblStyleColBandSize w:val="1"/>
    </w:tblPr>
    <w:tblStylePr w:type="firstRow">
      <w:pPr>
        <w:jc w:val="left"/>
      </w:pPr>
      <w:rPr>
        <w:rFonts w:ascii="Arial" w:eastAsiaTheme="majorEastAsia" w:hAnsi="Arial" w:cstheme="majorBidi"/>
        <w:i w:val="0"/>
        <w:iCs/>
        <w:sz w:val="18"/>
      </w:rPr>
      <w:tblPr/>
      <w:tcPr>
        <w:tcBorders>
          <w:bottom w:val="single" w:sz="4" w:space="0" w:color="7F7F7F" w:themeColor="text1" w:themeTint="80"/>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left"/>
      </w:pPr>
      <w:rPr>
        <w:rFonts w:ascii="Arial" w:eastAsiaTheme="majorEastAsia" w:hAnsi="Arial" w:cstheme="majorBidi"/>
        <w:i w:val="0"/>
        <w:iCs/>
        <w:sz w:val="18"/>
      </w:rPr>
      <w:tblPr/>
      <w:tcPr>
        <w:tcBorders>
          <w:right w:val="single" w:sz="4" w:space="0" w:color="7F7F7F" w:themeColor="text1" w:themeTint="80"/>
        </w:tcBorders>
        <w:shd w:val="clear" w:color="auto" w:fill="FFFFFF" w:themeFill="background1"/>
      </w:tcPr>
    </w:tblStylePr>
    <w:tblStylePr w:type="lastCol">
      <w:rPr>
        <w:rFonts w:ascii="Arial" w:eastAsiaTheme="majorEastAsia" w:hAnsi="Arial" w:cstheme="majorBidi"/>
        <w:i w:val="0"/>
        <w:iCs/>
        <w:sz w:val="18"/>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
    <w:name w:val="List Table 1 Light"/>
    <w:basedOn w:val="TableNormal"/>
    <w:uiPriority w:val="46"/>
    <w:rsid w:val="00DD677C"/>
    <w:pPr>
      <w:spacing w:before="60" w:after="0" w:line="240" w:lineRule="auto"/>
    </w:pPr>
    <w:rPr>
      <w:rFonts w:eastAsiaTheme="minorHAnsi"/>
      <w:sz w:val="18"/>
      <w:szCs w:val="18"/>
    </w:rPr>
    <w:tblPr>
      <w:tblStyleRowBandSize w:val="1"/>
      <w:tblStyleColBandSize w:val="1"/>
    </w:tblPr>
    <w:tblStylePr w:type="firstRow">
      <w:pPr>
        <w:jc w:val="left"/>
      </w:pPr>
      <w:rPr>
        <w:b/>
        <w:bCs/>
      </w:rPr>
      <w:tblPr/>
      <w:tcPr>
        <w:tcBorders>
          <w:bottom w:val="single" w:sz="4" w:space="0" w:color="666666" w:themeColor="text1" w:themeTint="99"/>
        </w:tcBorders>
        <w:vAlign w:val="bottom"/>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locked/>
    <w:rsid w:val="00DD677C"/>
    <w:pPr>
      <w:spacing w:before="60" w:after="0" w:line="240" w:lineRule="auto"/>
    </w:pPr>
    <w:rPr>
      <w:rFonts w:eastAsiaTheme="minorHAnsi"/>
      <w:sz w:val="18"/>
      <w:szCs w:val="18"/>
    </w:rPr>
    <w:tblPr>
      <w:tblStyleRowBandSize w:val="1"/>
      <w:tblStyleColBandSize w:val="1"/>
    </w:tblPr>
    <w:tblStylePr w:type="firstRow">
      <w:pPr>
        <w:jc w:val="left"/>
      </w:pPr>
      <w:rPr>
        <w:b/>
        <w:bCs/>
      </w:rPr>
      <w:tblPr/>
      <w:tcPr>
        <w:tcBorders>
          <w:bottom w:val="single" w:sz="4" w:space="0" w:color="C6E328" w:themeColor="accent1" w:themeTint="99"/>
        </w:tcBorders>
        <w:vAlign w:val="bottom"/>
      </w:tcPr>
    </w:tblStylePr>
    <w:tblStylePr w:type="lastRow">
      <w:rPr>
        <w:b/>
        <w:bCs/>
      </w:rPr>
      <w:tblPr/>
      <w:tcPr>
        <w:tcBorders>
          <w:top w:val="single" w:sz="4" w:space="0" w:color="C6E328" w:themeColor="accent1" w:themeTint="99"/>
        </w:tcBorders>
      </w:tcPr>
    </w:tblStylePr>
    <w:tblStylePr w:type="firstCol">
      <w:rPr>
        <w:b/>
        <w:bCs/>
      </w:rPr>
    </w:tblStylePr>
    <w:tblStylePr w:type="lastCol">
      <w:rPr>
        <w:b/>
        <w:bCs/>
      </w:rPr>
    </w:tblStylePr>
    <w:tblStylePr w:type="band1Vert">
      <w:tblPr/>
      <w:tcPr>
        <w:shd w:val="clear" w:color="auto" w:fill="ECF6B7" w:themeFill="accent1" w:themeFillTint="33"/>
      </w:tcPr>
    </w:tblStylePr>
    <w:tblStylePr w:type="band1Horz">
      <w:tblPr/>
      <w:tcPr>
        <w:shd w:val="clear" w:color="auto" w:fill="ECF6B7" w:themeFill="accent1" w:themeFillTint="33"/>
      </w:tcPr>
    </w:tblStylePr>
  </w:style>
  <w:style w:type="table" w:styleId="ListTable1Light-Accent2">
    <w:name w:val="List Table 1 Light Accent 2"/>
    <w:basedOn w:val="TableNormal"/>
    <w:uiPriority w:val="46"/>
    <w:locked/>
    <w:rsid w:val="00DD677C"/>
    <w:pPr>
      <w:spacing w:before="60" w:after="0" w:line="240" w:lineRule="auto"/>
    </w:pPr>
    <w:rPr>
      <w:rFonts w:eastAsiaTheme="minorHAnsi"/>
      <w:sz w:val="18"/>
      <w:szCs w:val="18"/>
    </w:rPr>
    <w:tblPr>
      <w:tblStyleRowBandSize w:val="1"/>
      <w:tblStyleColBandSize w:val="1"/>
    </w:tblPr>
    <w:tblStylePr w:type="firstRow">
      <w:pPr>
        <w:jc w:val="left"/>
      </w:pPr>
      <w:rPr>
        <w:b/>
        <w:bCs/>
      </w:rPr>
      <w:tblPr/>
      <w:tcPr>
        <w:tcBorders>
          <w:bottom w:val="single" w:sz="4" w:space="0" w:color="CAB04D" w:themeColor="accent2" w:themeTint="99"/>
        </w:tcBorders>
        <w:vAlign w:val="bottom"/>
      </w:tcPr>
    </w:tblStylePr>
    <w:tblStylePr w:type="lastRow">
      <w:rPr>
        <w:b/>
        <w:bCs/>
      </w:rPr>
      <w:tblPr/>
      <w:tcPr>
        <w:tcBorders>
          <w:top w:val="single" w:sz="4" w:space="0" w:color="CAB04D" w:themeColor="accent2" w:themeTint="99"/>
        </w:tcBorders>
      </w:tcPr>
    </w:tblStylePr>
    <w:tblStylePr w:type="firstCol">
      <w:rPr>
        <w:b/>
        <w:bCs/>
      </w:rPr>
    </w:tblStylePr>
    <w:tblStylePr w:type="lastCol">
      <w:rPr>
        <w:b/>
        <w:bCs/>
      </w:rPr>
    </w:tblStylePr>
    <w:tblStylePr w:type="band1Vert">
      <w:tblPr/>
      <w:tcPr>
        <w:shd w:val="clear" w:color="auto" w:fill="EDE4C3" w:themeFill="accent2" w:themeFillTint="33"/>
      </w:tcPr>
    </w:tblStylePr>
    <w:tblStylePr w:type="band1Horz">
      <w:tblPr/>
      <w:tcPr>
        <w:shd w:val="clear" w:color="auto" w:fill="EDE4C3" w:themeFill="accent2" w:themeFillTint="33"/>
      </w:tcPr>
    </w:tblStylePr>
  </w:style>
  <w:style w:type="table" w:styleId="ListTable1Light-Accent3">
    <w:name w:val="List Table 1 Light Accent 3"/>
    <w:basedOn w:val="TableNormal"/>
    <w:uiPriority w:val="46"/>
    <w:locked/>
    <w:rsid w:val="00DD677C"/>
    <w:pPr>
      <w:spacing w:before="60" w:after="0" w:line="240" w:lineRule="auto"/>
    </w:pPr>
    <w:rPr>
      <w:rFonts w:eastAsiaTheme="minorHAnsi"/>
      <w:sz w:val="18"/>
      <w:szCs w:val="18"/>
    </w:rPr>
    <w:tblPr>
      <w:tblStyleRowBandSize w:val="1"/>
      <w:tblStyleColBandSize w:val="1"/>
    </w:tblPr>
    <w:tblStylePr w:type="firstRow">
      <w:pPr>
        <w:jc w:val="left"/>
      </w:pPr>
      <w:rPr>
        <w:b/>
        <w:bCs/>
      </w:rPr>
      <w:tblPr/>
      <w:tcPr>
        <w:tcBorders>
          <w:bottom w:val="single" w:sz="4" w:space="0" w:color="DD8252" w:themeColor="accent3" w:themeTint="99"/>
        </w:tcBorders>
        <w:vAlign w:val="bottom"/>
      </w:tcPr>
    </w:tblStylePr>
    <w:tblStylePr w:type="lastRow">
      <w:rPr>
        <w:b/>
        <w:bCs/>
      </w:rPr>
      <w:tblPr/>
      <w:tcPr>
        <w:tcBorders>
          <w:top w:val="single" w:sz="4" w:space="0" w:color="DD8252" w:themeColor="accent3" w:themeTint="99"/>
        </w:tcBorders>
      </w:tcPr>
    </w:tblStylePr>
    <w:tblStylePr w:type="firstCol">
      <w:rPr>
        <w:b/>
        <w:bCs/>
      </w:rPr>
    </w:tblStylePr>
    <w:tblStylePr w:type="lastCol">
      <w:rPr>
        <w:b/>
        <w:bCs/>
      </w:rPr>
    </w:tblStylePr>
    <w:tblStylePr w:type="band1Vert">
      <w:tblPr/>
      <w:tcPr>
        <w:shd w:val="clear" w:color="auto" w:fill="F4D5C5" w:themeFill="accent3" w:themeFillTint="33"/>
      </w:tcPr>
    </w:tblStylePr>
    <w:tblStylePr w:type="band1Horz">
      <w:tblPr/>
      <w:tcPr>
        <w:shd w:val="clear" w:color="auto" w:fill="F4D5C5" w:themeFill="accent3" w:themeFillTint="33"/>
      </w:tcPr>
    </w:tblStylePr>
  </w:style>
  <w:style w:type="table" w:styleId="ListTable1Light-Accent4">
    <w:name w:val="List Table 1 Light Accent 4"/>
    <w:basedOn w:val="TableNormal"/>
    <w:uiPriority w:val="46"/>
    <w:locked/>
    <w:rsid w:val="00DD677C"/>
    <w:pPr>
      <w:spacing w:before="60" w:after="0" w:line="240" w:lineRule="auto"/>
    </w:pPr>
    <w:rPr>
      <w:rFonts w:eastAsiaTheme="minorHAnsi"/>
      <w:sz w:val="18"/>
      <w:szCs w:val="18"/>
    </w:rPr>
    <w:tblPr>
      <w:tblStyleRowBandSize w:val="1"/>
      <w:tblStyleColBandSize w:val="1"/>
    </w:tblPr>
    <w:tblStylePr w:type="firstRow">
      <w:pPr>
        <w:jc w:val="left"/>
      </w:pPr>
      <w:rPr>
        <w:b/>
        <w:bCs/>
      </w:rPr>
      <w:tblPr/>
      <w:tcPr>
        <w:tcBorders>
          <w:bottom w:val="single" w:sz="4" w:space="0" w:color="7AADAD" w:themeColor="accent4" w:themeTint="99"/>
        </w:tcBorders>
        <w:vAlign w:val="bottom"/>
      </w:tcPr>
    </w:tblStylePr>
    <w:tblStylePr w:type="lastRow">
      <w:rPr>
        <w:b/>
        <w:bCs/>
      </w:rPr>
      <w:tblPr/>
      <w:tcPr>
        <w:tcBorders>
          <w:top w:val="single" w:sz="4" w:space="0" w:color="7AADAD" w:themeColor="accent4" w:themeTint="99"/>
        </w:tcBorders>
      </w:tcPr>
    </w:tblStylePr>
    <w:tblStylePr w:type="firstCol">
      <w:rPr>
        <w:b/>
        <w:bCs/>
      </w:rPr>
    </w:tblStylePr>
    <w:tblStylePr w:type="lastCol">
      <w:rPr>
        <w:b/>
        <w:bCs/>
      </w:rPr>
    </w:tblStylePr>
    <w:tblStylePr w:type="band1Vert">
      <w:tblPr/>
      <w:tcPr>
        <w:shd w:val="clear" w:color="auto" w:fill="D2E3E3" w:themeFill="accent4" w:themeFillTint="33"/>
      </w:tcPr>
    </w:tblStylePr>
    <w:tblStylePr w:type="band1Horz">
      <w:tblPr/>
      <w:tcPr>
        <w:shd w:val="clear" w:color="auto" w:fill="D2E3E3" w:themeFill="accent4" w:themeFillTint="33"/>
      </w:tcPr>
    </w:tblStylePr>
  </w:style>
  <w:style w:type="table" w:styleId="ListTable1Light-Accent5">
    <w:name w:val="List Table 1 Light Accent 5"/>
    <w:basedOn w:val="TableNormal"/>
    <w:uiPriority w:val="46"/>
    <w:rsid w:val="00DD677C"/>
    <w:pPr>
      <w:spacing w:before="60" w:after="0" w:line="240" w:lineRule="auto"/>
    </w:pPr>
    <w:rPr>
      <w:rFonts w:eastAsiaTheme="minorHAnsi"/>
      <w:sz w:val="18"/>
      <w:szCs w:val="18"/>
    </w:rPr>
    <w:tblPr>
      <w:tblStyleRowBandSize w:val="1"/>
      <w:tblStyleColBandSize w:val="1"/>
    </w:tblPr>
    <w:tblStylePr w:type="firstRow">
      <w:pPr>
        <w:jc w:val="left"/>
      </w:pPr>
      <w:rPr>
        <w:b/>
        <w:bCs/>
      </w:rPr>
      <w:tblPr/>
      <w:tcPr>
        <w:tcBorders>
          <w:bottom w:val="single" w:sz="4" w:space="0" w:color="67BB87" w:themeColor="accent5" w:themeTint="99"/>
        </w:tcBorders>
        <w:vAlign w:val="bottom"/>
      </w:tcPr>
    </w:tblStylePr>
    <w:tblStylePr w:type="lastRow">
      <w:rPr>
        <w:b/>
        <w:bCs/>
      </w:rPr>
      <w:tblPr/>
      <w:tcPr>
        <w:tcBorders>
          <w:top w:val="single" w:sz="4" w:space="0" w:color="67BB87" w:themeColor="accent5" w:themeTint="99"/>
        </w:tcBorders>
      </w:tcPr>
    </w:tblStylePr>
    <w:tblStylePr w:type="firstCol">
      <w:rPr>
        <w:b/>
        <w:bCs/>
      </w:rPr>
    </w:tblStylePr>
    <w:tblStylePr w:type="lastCol">
      <w:rPr>
        <w:b/>
        <w:bCs/>
      </w:rPr>
    </w:tblStylePr>
    <w:tblStylePr w:type="band1Vert">
      <w:tblPr/>
      <w:tcPr>
        <w:shd w:val="clear" w:color="auto" w:fill="CCE8D7" w:themeFill="accent5" w:themeFillTint="33"/>
      </w:tcPr>
    </w:tblStylePr>
    <w:tblStylePr w:type="band1Horz">
      <w:tblPr/>
      <w:tcPr>
        <w:shd w:val="clear" w:color="auto" w:fill="CCE8D7" w:themeFill="accent5" w:themeFillTint="33"/>
      </w:tcPr>
    </w:tblStylePr>
  </w:style>
  <w:style w:type="table" w:styleId="ListTable1Light-Accent6">
    <w:name w:val="List Table 1 Light Accent 6"/>
    <w:basedOn w:val="TableNormal"/>
    <w:uiPriority w:val="46"/>
    <w:locked/>
    <w:rsid w:val="00DD677C"/>
    <w:pPr>
      <w:spacing w:before="60" w:after="0" w:line="240" w:lineRule="auto"/>
    </w:pPr>
    <w:rPr>
      <w:rFonts w:eastAsiaTheme="minorHAnsi"/>
      <w:sz w:val="18"/>
      <w:szCs w:val="18"/>
    </w:rPr>
    <w:tblPr>
      <w:tblStyleRowBandSize w:val="1"/>
      <w:tblStyleColBandSize w:val="1"/>
    </w:tblPr>
    <w:tblStylePr w:type="firstRow">
      <w:pPr>
        <w:jc w:val="left"/>
      </w:pPr>
      <w:rPr>
        <w:b/>
        <w:bCs/>
      </w:rPr>
      <w:tblPr/>
      <w:tcPr>
        <w:tcBorders>
          <w:bottom w:val="single" w:sz="4" w:space="0" w:color="A88EAF" w:themeColor="accent6" w:themeTint="99"/>
        </w:tcBorders>
        <w:vAlign w:val="bottom"/>
      </w:tcPr>
    </w:tblStylePr>
    <w:tblStylePr w:type="lastRow">
      <w:rPr>
        <w:b/>
        <w:bCs/>
      </w:rPr>
      <w:tblPr/>
      <w:tcPr>
        <w:tcBorders>
          <w:top w:val="single" w:sz="4" w:space="0" w:color="A88EAF" w:themeColor="accent6" w:themeTint="99"/>
        </w:tcBorders>
      </w:tcPr>
    </w:tblStylePr>
    <w:tblStylePr w:type="firstCol">
      <w:rPr>
        <w:b/>
        <w:bCs/>
      </w:rPr>
    </w:tblStylePr>
    <w:tblStylePr w:type="lastCol">
      <w:rPr>
        <w:b/>
        <w:bCs/>
      </w:rPr>
    </w:tblStylePr>
    <w:tblStylePr w:type="band1Vert">
      <w:tblPr/>
      <w:tcPr>
        <w:shd w:val="clear" w:color="auto" w:fill="E2D9E4" w:themeFill="accent6" w:themeFillTint="33"/>
      </w:tcPr>
    </w:tblStylePr>
    <w:tblStylePr w:type="band1Horz">
      <w:tblPr/>
      <w:tcPr>
        <w:shd w:val="clear" w:color="auto" w:fill="E2D9E4" w:themeFill="accent6" w:themeFillTint="33"/>
      </w:tcPr>
    </w:tblStylePr>
  </w:style>
  <w:style w:type="table" w:styleId="ListTable2">
    <w:name w:val="List Table 2"/>
    <w:basedOn w:val="TableNormal"/>
    <w:uiPriority w:val="47"/>
    <w:rsid w:val="00DD677C"/>
    <w:pPr>
      <w:spacing w:before="60" w:after="0" w:line="240" w:lineRule="auto"/>
    </w:pPr>
    <w:rPr>
      <w:rFonts w:eastAsiaTheme="minorHAnsi"/>
      <w:sz w:val="18"/>
      <w:szCs w:val="18"/>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locked/>
    <w:rsid w:val="00DD677C"/>
    <w:pPr>
      <w:spacing w:before="60" w:after="0" w:line="240" w:lineRule="auto"/>
    </w:pPr>
    <w:rPr>
      <w:rFonts w:eastAsiaTheme="minorHAnsi"/>
      <w:sz w:val="18"/>
      <w:szCs w:val="18"/>
    </w:rPr>
    <w:tblPr>
      <w:tblStyleRowBandSize w:val="1"/>
      <w:tblStyleColBandSize w:val="1"/>
      <w:tblBorders>
        <w:top w:val="single" w:sz="4" w:space="0" w:color="C6E328" w:themeColor="accent1" w:themeTint="99"/>
        <w:bottom w:val="single" w:sz="4" w:space="0" w:color="C6E328" w:themeColor="accent1" w:themeTint="99"/>
        <w:insideH w:val="single" w:sz="4" w:space="0" w:color="C6E328" w:themeColor="accent1" w:themeTint="99"/>
      </w:tblBorders>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ECF6B7" w:themeFill="accent1" w:themeFillTint="33"/>
      </w:tcPr>
    </w:tblStylePr>
    <w:tblStylePr w:type="band1Horz">
      <w:tblPr/>
      <w:tcPr>
        <w:shd w:val="clear" w:color="auto" w:fill="ECF6B7" w:themeFill="accent1" w:themeFillTint="33"/>
      </w:tcPr>
    </w:tblStylePr>
  </w:style>
  <w:style w:type="table" w:styleId="ListTable2-Accent2">
    <w:name w:val="List Table 2 Accent 2"/>
    <w:basedOn w:val="TableNormal"/>
    <w:uiPriority w:val="47"/>
    <w:locked/>
    <w:rsid w:val="00DD677C"/>
    <w:pPr>
      <w:spacing w:before="60" w:after="0" w:line="240" w:lineRule="auto"/>
    </w:pPr>
    <w:rPr>
      <w:rFonts w:eastAsiaTheme="minorHAnsi"/>
      <w:sz w:val="18"/>
      <w:szCs w:val="18"/>
    </w:rPr>
    <w:tblPr>
      <w:tblStyleRowBandSize w:val="1"/>
      <w:tblStyleColBandSize w:val="1"/>
      <w:tblBorders>
        <w:top w:val="single" w:sz="4" w:space="0" w:color="CAB04D" w:themeColor="accent2" w:themeTint="99"/>
        <w:bottom w:val="single" w:sz="4" w:space="0" w:color="CAB04D" w:themeColor="accent2" w:themeTint="99"/>
        <w:insideH w:val="single" w:sz="4" w:space="0" w:color="CAB04D" w:themeColor="accent2" w:themeTint="99"/>
      </w:tblBorders>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EDE4C3" w:themeFill="accent2" w:themeFillTint="33"/>
      </w:tcPr>
    </w:tblStylePr>
    <w:tblStylePr w:type="band1Horz">
      <w:tblPr/>
      <w:tcPr>
        <w:shd w:val="clear" w:color="auto" w:fill="EDE4C3" w:themeFill="accent2" w:themeFillTint="33"/>
      </w:tcPr>
    </w:tblStylePr>
  </w:style>
  <w:style w:type="table" w:styleId="ListTable2-Accent3">
    <w:name w:val="List Table 2 Accent 3"/>
    <w:basedOn w:val="TableNormal"/>
    <w:uiPriority w:val="47"/>
    <w:locked/>
    <w:rsid w:val="00DD677C"/>
    <w:pPr>
      <w:spacing w:before="60" w:after="0" w:line="240" w:lineRule="auto"/>
    </w:pPr>
    <w:rPr>
      <w:rFonts w:eastAsiaTheme="minorHAnsi"/>
      <w:sz w:val="18"/>
      <w:szCs w:val="18"/>
    </w:rPr>
    <w:tblPr>
      <w:tblStyleRowBandSize w:val="1"/>
      <w:tblStyleColBandSize w:val="1"/>
      <w:tblBorders>
        <w:top w:val="single" w:sz="4" w:space="0" w:color="DD8252" w:themeColor="accent3" w:themeTint="99"/>
        <w:bottom w:val="single" w:sz="4" w:space="0" w:color="DD8252" w:themeColor="accent3" w:themeTint="99"/>
        <w:insideH w:val="single" w:sz="4" w:space="0" w:color="DD8252" w:themeColor="accent3" w:themeTint="99"/>
      </w:tblBorders>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F4D5C5" w:themeFill="accent3" w:themeFillTint="33"/>
      </w:tcPr>
    </w:tblStylePr>
    <w:tblStylePr w:type="band1Horz">
      <w:tblPr/>
      <w:tcPr>
        <w:shd w:val="clear" w:color="auto" w:fill="F4D5C5" w:themeFill="accent3" w:themeFillTint="33"/>
      </w:tcPr>
    </w:tblStylePr>
  </w:style>
  <w:style w:type="table" w:styleId="ListTable2-Accent4">
    <w:name w:val="List Table 2 Accent 4"/>
    <w:basedOn w:val="TableNormal"/>
    <w:uiPriority w:val="47"/>
    <w:locked/>
    <w:rsid w:val="00DD677C"/>
    <w:pPr>
      <w:spacing w:before="60" w:after="0" w:line="240" w:lineRule="auto"/>
    </w:pPr>
    <w:rPr>
      <w:rFonts w:eastAsiaTheme="minorHAnsi"/>
      <w:sz w:val="18"/>
      <w:szCs w:val="18"/>
    </w:rPr>
    <w:tblPr>
      <w:tblStyleRowBandSize w:val="1"/>
      <w:tblStyleColBandSize w:val="1"/>
      <w:tblBorders>
        <w:top w:val="single" w:sz="4" w:space="0" w:color="7AADAD" w:themeColor="accent4" w:themeTint="99"/>
        <w:bottom w:val="single" w:sz="4" w:space="0" w:color="7AADAD" w:themeColor="accent4" w:themeTint="99"/>
        <w:insideH w:val="single" w:sz="4" w:space="0" w:color="7AADAD" w:themeColor="accent4" w:themeTint="99"/>
      </w:tblBorders>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D2E3E3" w:themeFill="accent4" w:themeFillTint="33"/>
      </w:tcPr>
    </w:tblStylePr>
    <w:tblStylePr w:type="band1Horz">
      <w:tblPr/>
      <w:tcPr>
        <w:shd w:val="clear" w:color="auto" w:fill="D2E3E3" w:themeFill="accent4" w:themeFillTint="33"/>
      </w:tcPr>
    </w:tblStylePr>
  </w:style>
  <w:style w:type="table" w:styleId="ListTable2-Accent5">
    <w:name w:val="List Table 2 Accent 5"/>
    <w:basedOn w:val="TableNormal"/>
    <w:uiPriority w:val="47"/>
    <w:rsid w:val="00DD677C"/>
    <w:pPr>
      <w:spacing w:before="60" w:after="0" w:line="240" w:lineRule="auto"/>
    </w:pPr>
    <w:rPr>
      <w:rFonts w:eastAsiaTheme="minorHAnsi"/>
      <w:sz w:val="18"/>
      <w:szCs w:val="18"/>
    </w:rPr>
    <w:tblPr>
      <w:tblStyleRowBandSize w:val="1"/>
      <w:tblStyleColBandSize w:val="1"/>
      <w:tblBorders>
        <w:top w:val="single" w:sz="4" w:space="0" w:color="67BB87" w:themeColor="accent5" w:themeTint="99"/>
        <w:bottom w:val="single" w:sz="4" w:space="0" w:color="67BB87" w:themeColor="accent5" w:themeTint="99"/>
        <w:insideH w:val="single" w:sz="4" w:space="0" w:color="67BB87" w:themeColor="accent5" w:themeTint="99"/>
      </w:tblBorders>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CCE8D7" w:themeFill="accent5" w:themeFillTint="33"/>
      </w:tcPr>
    </w:tblStylePr>
    <w:tblStylePr w:type="band1Horz">
      <w:tblPr/>
      <w:tcPr>
        <w:shd w:val="clear" w:color="auto" w:fill="CCE8D7" w:themeFill="accent5" w:themeFillTint="33"/>
      </w:tcPr>
    </w:tblStylePr>
  </w:style>
  <w:style w:type="character" w:customStyle="1" w:styleId="BodyTextChar">
    <w:name w:val="Body Text Char"/>
    <w:basedOn w:val="DefaultParagraphFont"/>
    <w:link w:val="BodyText"/>
    <w:uiPriority w:val="99"/>
    <w:rsid w:val="001F6957"/>
    <w:rPr>
      <w:rFonts w:ascii="Arial" w:eastAsiaTheme="minorHAnsi" w:hAnsi="Arial"/>
      <w:sz w:val="20"/>
      <w:szCs w:val="18"/>
    </w:rPr>
  </w:style>
  <w:style w:type="paragraph" w:customStyle="1" w:styleId="Quote2">
    <w:name w:val="Quote 2"/>
    <w:basedOn w:val="Subtitle"/>
    <w:next w:val="Normal"/>
    <w:link w:val="Quote2Char"/>
    <w:uiPriority w:val="7"/>
    <w:qFormat/>
    <w:rsid w:val="00DD677C"/>
    <w:pPr>
      <w:spacing w:before="120"/>
      <w:ind w:left="1134" w:right="1134"/>
      <w:jc w:val="center"/>
    </w:pPr>
    <w:rPr>
      <w:rFonts w:ascii="Calibri" w:hAnsi="Calibri"/>
      <w:bCs/>
      <w:sz w:val="20"/>
      <w:szCs w:val="20"/>
      <w:lang w:eastAsia="en-AU"/>
    </w:rPr>
  </w:style>
  <w:style w:type="character" w:customStyle="1" w:styleId="Quote2Char">
    <w:name w:val="Quote 2 Char"/>
    <w:basedOn w:val="SubtitleChar"/>
    <w:link w:val="Quote2"/>
    <w:uiPriority w:val="7"/>
    <w:rsid w:val="00DD677C"/>
    <w:rPr>
      <w:rFonts w:ascii="Calibri" w:eastAsia="Times New Roman" w:hAnsi="Calibri" w:cs="Times New Roman"/>
      <w:bCs/>
      <w:color w:val="525F0C" w:themeColor="accent1"/>
      <w:sz w:val="20"/>
      <w:szCs w:val="20"/>
      <w:lang w:eastAsia="en-AU"/>
    </w:rPr>
  </w:style>
  <w:style w:type="paragraph" w:customStyle="1" w:styleId="Bullets1">
    <w:name w:val="Bullets 1"/>
    <w:basedOn w:val="Normal"/>
    <w:qFormat/>
    <w:rsid w:val="00DD677C"/>
    <w:pPr>
      <w:numPr>
        <w:numId w:val="2"/>
      </w:numPr>
      <w:spacing w:before="60" w:after="60" w:line="300" w:lineRule="auto"/>
    </w:pPr>
    <w:rPr>
      <w:rFonts w:eastAsia="Times New Roman" w:cs="Times New Roman"/>
      <w:szCs w:val="20"/>
    </w:rPr>
  </w:style>
  <w:style w:type="paragraph" w:customStyle="1" w:styleId="TableFormat">
    <w:name w:val="Table Format"/>
    <w:basedOn w:val="Body"/>
    <w:next w:val="Body"/>
    <w:uiPriority w:val="1"/>
    <w:qFormat/>
    <w:rsid w:val="00DD677C"/>
    <w:pPr>
      <w:spacing w:before="60" w:after="60" w:line="240" w:lineRule="auto"/>
      <w:jc w:val="right"/>
    </w:pPr>
    <w:rPr>
      <w:sz w:val="18"/>
    </w:rPr>
  </w:style>
  <w:style w:type="paragraph" w:styleId="Revision">
    <w:name w:val="Revision"/>
    <w:hidden/>
    <w:uiPriority w:val="99"/>
    <w:semiHidden/>
    <w:rsid w:val="00AD2ACB"/>
    <w:pPr>
      <w:spacing w:after="0"/>
    </w:pPr>
    <w:rPr>
      <w:rFonts w:ascii="Arial" w:hAnsi="Arial"/>
      <w:sz w:val="20"/>
    </w:rPr>
  </w:style>
  <w:style w:type="paragraph" w:customStyle="1" w:styleId="Body">
    <w:name w:val="Body"/>
    <w:basedOn w:val="Normal"/>
    <w:link w:val="BodyChar"/>
    <w:qFormat/>
    <w:rsid w:val="00E458CC"/>
    <w:pPr>
      <w:spacing w:before="120" w:after="120" w:line="300" w:lineRule="auto"/>
    </w:pPr>
    <w:rPr>
      <w:rFonts w:eastAsia="Times New Roman" w:cs="Times New Roman"/>
      <w:szCs w:val="20"/>
    </w:rPr>
  </w:style>
  <w:style w:type="character" w:customStyle="1" w:styleId="BodyChar">
    <w:name w:val="Body Char"/>
    <w:aliases w:val="#List Paragraph Char,b1 Char,b + line Char,level 1 Char,Number Char,b Char,List Paragraph111 Char,F5 List Paragraph Char,Dot pt Char,CV text Char,List Paragraph Char,List Paragraph1 Char,List Paragraph11 Char,Recommendation Char,L Char,Main Ch"/>
    <w:link w:val="Body"/>
    <w:qFormat/>
    <w:rsid w:val="00E458CC"/>
    <w:rPr>
      <w:rFonts w:ascii="Arial" w:eastAsia="Times New Roman" w:hAnsi="Arial" w:cs="Times New Roman"/>
      <w:sz w:val="20"/>
      <w:szCs w:val="20"/>
    </w:rPr>
  </w:style>
  <w:style w:type="paragraph" w:customStyle="1" w:styleId="Bullets2">
    <w:name w:val="Bullets 2"/>
    <w:basedOn w:val="Normal"/>
    <w:qFormat/>
    <w:rsid w:val="00DD677C"/>
    <w:pPr>
      <w:numPr>
        <w:ilvl w:val="1"/>
        <w:numId w:val="2"/>
      </w:numPr>
      <w:spacing w:before="60" w:after="60" w:line="300" w:lineRule="auto"/>
    </w:pPr>
    <w:rPr>
      <w:rFonts w:eastAsia="Times New Roman" w:cs="Times New Roman"/>
      <w:szCs w:val="20"/>
    </w:rPr>
  </w:style>
  <w:style w:type="paragraph" w:customStyle="1" w:styleId="Bullets3">
    <w:name w:val="Bullets 3"/>
    <w:basedOn w:val="Normal"/>
    <w:qFormat/>
    <w:rsid w:val="00DD677C"/>
    <w:pPr>
      <w:numPr>
        <w:ilvl w:val="2"/>
        <w:numId w:val="2"/>
      </w:numPr>
      <w:spacing w:before="60" w:after="60" w:line="300" w:lineRule="auto"/>
    </w:pPr>
    <w:rPr>
      <w:rFonts w:eastAsia="Times New Roman" w:cs="Times New Roman"/>
      <w:szCs w:val="20"/>
    </w:rPr>
  </w:style>
  <w:style w:type="table" w:styleId="ListTable2-Accent6">
    <w:name w:val="List Table 2 Accent 6"/>
    <w:basedOn w:val="TableNormal"/>
    <w:uiPriority w:val="47"/>
    <w:locked/>
    <w:rsid w:val="00DD677C"/>
    <w:pPr>
      <w:spacing w:before="60" w:after="0" w:line="240" w:lineRule="auto"/>
    </w:pPr>
    <w:rPr>
      <w:rFonts w:eastAsiaTheme="minorHAnsi"/>
      <w:sz w:val="18"/>
      <w:szCs w:val="18"/>
    </w:rPr>
    <w:tblPr>
      <w:tblStyleRowBandSize w:val="1"/>
      <w:tblStyleColBandSize w:val="1"/>
      <w:tblBorders>
        <w:top w:val="single" w:sz="4" w:space="0" w:color="A88EAF" w:themeColor="accent6" w:themeTint="99"/>
        <w:bottom w:val="single" w:sz="4" w:space="0" w:color="A88EAF" w:themeColor="accent6" w:themeTint="99"/>
        <w:insideH w:val="single" w:sz="4" w:space="0" w:color="A88EAF" w:themeColor="accent6" w:themeTint="99"/>
      </w:tblBorders>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E2D9E4" w:themeFill="accent6" w:themeFillTint="33"/>
      </w:tcPr>
    </w:tblStylePr>
    <w:tblStylePr w:type="band1Horz">
      <w:tblPr/>
      <w:tcPr>
        <w:shd w:val="clear" w:color="auto" w:fill="E2D9E4" w:themeFill="accent6" w:themeFillTint="33"/>
      </w:tcPr>
    </w:tblStylePr>
  </w:style>
  <w:style w:type="paragraph" w:customStyle="1" w:styleId="AppendixHeading">
    <w:name w:val="Appendix Heading"/>
    <w:basedOn w:val="Appendix1"/>
    <w:next w:val="Body"/>
    <w:link w:val="AppendixHeadingChar"/>
    <w:qFormat/>
    <w:rsid w:val="00182A31"/>
    <w:pPr>
      <w:ind w:left="2552" w:hanging="2552"/>
    </w:pPr>
    <w:rPr>
      <w:rFonts w:cs="Arial"/>
      <w:color w:val="auto"/>
    </w:rPr>
  </w:style>
  <w:style w:type="character" w:customStyle="1" w:styleId="AppendixHeadingChar">
    <w:name w:val="Appendix Heading Char"/>
    <w:basedOn w:val="Heading1Char"/>
    <w:link w:val="AppendixHeading"/>
    <w:rsid w:val="00182A31"/>
    <w:rPr>
      <w:rFonts w:ascii="Arial" w:eastAsiaTheme="minorHAnsi" w:hAnsi="Arial" w:cs="Arial"/>
      <w:color w:val="00399B" w:themeColor="text2" w:themeShade="BF"/>
      <w:sz w:val="40"/>
      <w:szCs w:val="40"/>
    </w:rPr>
  </w:style>
  <w:style w:type="paragraph" w:styleId="TableofAuthorities">
    <w:name w:val="table of authorities"/>
    <w:basedOn w:val="Normal"/>
    <w:next w:val="Normal"/>
    <w:uiPriority w:val="99"/>
    <w:semiHidden/>
    <w:unhideWhenUsed/>
    <w:rsid w:val="00044F13"/>
    <w:pPr>
      <w:ind w:left="284" w:hanging="284"/>
    </w:pPr>
    <w:rPr>
      <w:rFonts w:ascii="Arial Nova" w:hAnsi="Arial Nova"/>
    </w:rPr>
  </w:style>
  <w:style w:type="paragraph" w:styleId="Bibliography">
    <w:name w:val="Bibliography"/>
    <w:basedOn w:val="Normal"/>
    <w:next w:val="Normal"/>
    <w:uiPriority w:val="37"/>
    <w:qFormat/>
    <w:rsid w:val="00DD677C"/>
    <w:pPr>
      <w:spacing w:before="120" w:after="120"/>
      <w:ind w:left="284" w:hanging="284"/>
    </w:pPr>
    <w:rPr>
      <w:rFonts w:cs="Arial"/>
    </w:rPr>
  </w:style>
  <w:style w:type="table" w:styleId="GridTable7Colorful-Accent6">
    <w:name w:val="Grid Table 7 Colorful Accent 6"/>
    <w:basedOn w:val="TableNormal"/>
    <w:uiPriority w:val="52"/>
    <w:locked/>
    <w:rsid w:val="00DD677C"/>
    <w:pPr>
      <w:spacing w:before="60" w:after="0" w:line="240" w:lineRule="auto"/>
    </w:pPr>
    <w:rPr>
      <w:rFonts w:eastAsiaTheme="minorHAnsi"/>
      <w:color w:val="4D3B52" w:themeColor="accent6" w:themeShade="BF"/>
      <w:sz w:val="18"/>
      <w:szCs w:val="18"/>
    </w:rPr>
    <w:tblPr>
      <w:tblStyleRowBandSize w:val="1"/>
      <w:tblStyleColBandSize w:val="1"/>
      <w:tblBorders>
        <w:top w:val="single" w:sz="4" w:space="0" w:color="A88EAF" w:themeColor="accent6" w:themeTint="99"/>
        <w:left w:val="single" w:sz="4" w:space="0" w:color="A88EAF" w:themeColor="accent6" w:themeTint="99"/>
        <w:bottom w:val="single" w:sz="4" w:space="0" w:color="A88EAF" w:themeColor="accent6" w:themeTint="99"/>
        <w:right w:val="single" w:sz="4" w:space="0" w:color="A88EAF" w:themeColor="accent6" w:themeTint="99"/>
        <w:insideH w:val="single" w:sz="4" w:space="0" w:color="A88EAF" w:themeColor="accent6" w:themeTint="99"/>
        <w:insideV w:val="single" w:sz="4" w:space="0" w:color="A88EAF" w:themeColor="accent6"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D9E4" w:themeFill="accent6" w:themeFillTint="33"/>
      </w:tcPr>
    </w:tblStylePr>
    <w:tblStylePr w:type="band1Horz">
      <w:tblPr/>
      <w:tcPr>
        <w:shd w:val="clear" w:color="auto" w:fill="E2D9E4" w:themeFill="accent6" w:themeFillTint="33"/>
      </w:tcPr>
    </w:tblStylePr>
    <w:tblStylePr w:type="neCell">
      <w:tblPr/>
      <w:tcPr>
        <w:tcBorders>
          <w:bottom w:val="single" w:sz="4" w:space="0" w:color="A88EAF" w:themeColor="accent6" w:themeTint="99"/>
        </w:tcBorders>
      </w:tcPr>
    </w:tblStylePr>
    <w:tblStylePr w:type="nwCell">
      <w:tblPr/>
      <w:tcPr>
        <w:tcBorders>
          <w:bottom w:val="single" w:sz="4" w:space="0" w:color="A88EAF" w:themeColor="accent6" w:themeTint="99"/>
        </w:tcBorders>
      </w:tcPr>
    </w:tblStylePr>
    <w:tblStylePr w:type="seCell">
      <w:tblPr/>
      <w:tcPr>
        <w:tcBorders>
          <w:top w:val="single" w:sz="4" w:space="0" w:color="A88EAF" w:themeColor="accent6" w:themeTint="99"/>
        </w:tcBorders>
      </w:tcPr>
    </w:tblStylePr>
    <w:tblStylePr w:type="swCell">
      <w:tblPr/>
      <w:tcPr>
        <w:tcBorders>
          <w:top w:val="single" w:sz="4" w:space="0" w:color="A88EAF" w:themeColor="accent6" w:themeTint="99"/>
        </w:tcBorders>
      </w:tcPr>
    </w:tblStylePr>
  </w:style>
  <w:style w:type="table" w:customStyle="1" w:styleId="SRC2ndPage">
    <w:name w:val="SRC 2nd Page"/>
    <w:basedOn w:val="TableNormal"/>
    <w:uiPriority w:val="99"/>
    <w:rsid w:val="002038DE"/>
    <w:pPr>
      <w:spacing w:after="0" w:line="240" w:lineRule="auto"/>
    </w:pPr>
    <w:rPr>
      <w:rFonts w:ascii="Arial" w:eastAsiaTheme="minorHAnsi" w:hAnsi="Arial"/>
      <w:sz w:val="18"/>
      <w:szCs w:val="18"/>
    </w:rPr>
    <w:tblPr/>
    <w:tblStylePr w:type="firstRow">
      <w:pPr>
        <w:jc w:val="left"/>
      </w:pPr>
      <w:tblPr/>
      <w:tcPr>
        <w:vAlign w:val="bottom"/>
      </w:tcPr>
    </w:tblStylePr>
  </w:style>
  <w:style w:type="character" w:customStyle="1" w:styleId="Heading6Char">
    <w:name w:val="Heading 6 Char"/>
    <w:basedOn w:val="DefaultParagraphFont"/>
    <w:link w:val="Heading6"/>
    <w:uiPriority w:val="9"/>
    <w:rsid w:val="00DD677C"/>
    <w:rPr>
      <w:rFonts w:asciiTheme="majorHAnsi" w:eastAsiaTheme="majorEastAsia" w:hAnsiTheme="majorHAnsi" w:cstheme="majorBidi"/>
      <w:i/>
      <w:iCs/>
      <w:caps/>
      <w:color w:val="292F06" w:themeColor="accent1" w:themeShade="80"/>
      <w:sz w:val="20"/>
      <w:szCs w:val="18"/>
    </w:rPr>
  </w:style>
  <w:style w:type="character" w:customStyle="1" w:styleId="Heading7Char">
    <w:name w:val="Heading 7 Char"/>
    <w:basedOn w:val="DefaultParagraphFont"/>
    <w:link w:val="Heading7"/>
    <w:uiPriority w:val="9"/>
    <w:rsid w:val="00DD677C"/>
    <w:rPr>
      <w:rFonts w:asciiTheme="majorHAnsi" w:eastAsiaTheme="majorEastAsia" w:hAnsiTheme="majorHAnsi" w:cstheme="majorBidi"/>
      <w:b/>
      <w:bCs/>
      <w:color w:val="292F06" w:themeColor="accent1" w:themeShade="80"/>
      <w:sz w:val="20"/>
      <w:szCs w:val="18"/>
    </w:rPr>
  </w:style>
  <w:style w:type="character" w:customStyle="1" w:styleId="Heading8Char">
    <w:name w:val="Heading 8 Char"/>
    <w:basedOn w:val="DefaultParagraphFont"/>
    <w:link w:val="Heading8"/>
    <w:uiPriority w:val="9"/>
    <w:semiHidden/>
    <w:rsid w:val="00DD677C"/>
    <w:rPr>
      <w:rFonts w:asciiTheme="majorHAnsi" w:eastAsiaTheme="majorEastAsia" w:hAnsiTheme="majorHAnsi" w:cstheme="majorBidi"/>
      <w:b/>
      <w:bCs/>
      <w:i/>
      <w:iCs/>
      <w:color w:val="292F06" w:themeColor="accent1" w:themeShade="80"/>
      <w:sz w:val="20"/>
      <w:szCs w:val="18"/>
    </w:rPr>
  </w:style>
  <w:style w:type="character" w:customStyle="1" w:styleId="Heading9Char">
    <w:name w:val="Heading 9 Char"/>
    <w:basedOn w:val="DefaultParagraphFont"/>
    <w:link w:val="Heading9"/>
    <w:uiPriority w:val="9"/>
    <w:semiHidden/>
    <w:rsid w:val="00DD677C"/>
    <w:rPr>
      <w:rFonts w:asciiTheme="majorHAnsi" w:eastAsiaTheme="majorEastAsia" w:hAnsiTheme="majorHAnsi" w:cstheme="majorBidi"/>
      <w:i/>
      <w:iCs/>
      <w:color w:val="292F06" w:themeColor="accent1" w:themeShade="80"/>
      <w:sz w:val="20"/>
      <w:szCs w:val="18"/>
    </w:rPr>
  </w:style>
  <w:style w:type="character" w:styleId="Strong">
    <w:name w:val="Strong"/>
    <w:basedOn w:val="DefaultParagraphFont"/>
    <w:uiPriority w:val="22"/>
    <w:qFormat/>
    <w:rsid w:val="00902782"/>
    <w:rPr>
      <w:b/>
      <w:bCs/>
    </w:rPr>
  </w:style>
  <w:style w:type="character" w:styleId="Emphasis">
    <w:name w:val="Emphasis"/>
    <w:basedOn w:val="DefaultParagraphFont"/>
    <w:uiPriority w:val="20"/>
    <w:rsid w:val="00902782"/>
    <w:rPr>
      <w:i/>
      <w:iCs/>
    </w:rPr>
  </w:style>
  <w:style w:type="paragraph" w:styleId="IntenseQuote">
    <w:name w:val="Intense Quote"/>
    <w:basedOn w:val="Normal"/>
    <w:next w:val="Normal"/>
    <w:link w:val="IntenseQuoteChar"/>
    <w:uiPriority w:val="30"/>
    <w:rsid w:val="00902782"/>
    <w:pPr>
      <w:spacing w:before="100" w:beforeAutospacing="1" w:after="240"/>
      <w:ind w:left="720"/>
      <w:jc w:val="center"/>
    </w:pPr>
    <w:rPr>
      <w:rFonts w:asciiTheme="majorHAnsi" w:eastAsiaTheme="majorEastAsia" w:hAnsiTheme="majorHAnsi" w:cstheme="majorBidi"/>
      <w:color w:val="004DCF" w:themeColor="text2"/>
      <w:spacing w:val="-6"/>
      <w:sz w:val="32"/>
      <w:szCs w:val="32"/>
    </w:rPr>
  </w:style>
  <w:style w:type="character" w:customStyle="1" w:styleId="IntenseQuoteChar">
    <w:name w:val="Intense Quote Char"/>
    <w:basedOn w:val="DefaultParagraphFont"/>
    <w:link w:val="IntenseQuote"/>
    <w:uiPriority w:val="30"/>
    <w:rsid w:val="00902782"/>
    <w:rPr>
      <w:rFonts w:asciiTheme="majorHAnsi" w:eastAsiaTheme="majorEastAsia" w:hAnsiTheme="majorHAnsi" w:cstheme="majorBidi"/>
      <w:color w:val="004DCF" w:themeColor="text2"/>
      <w:spacing w:val="-6"/>
      <w:sz w:val="32"/>
      <w:szCs w:val="32"/>
    </w:rPr>
  </w:style>
  <w:style w:type="character" w:styleId="SubtleEmphasis">
    <w:name w:val="Subtle Emphasis"/>
    <w:basedOn w:val="DefaultParagraphFont"/>
    <w:uiPriority w:val="19"/>
    <w:rsid w:val="00902782"/>
    <w:rPr>
      <w:i/>
      <w:iCs/>
      <w:color w:val="595959" w:themeColor="text1" w:themeTint="A6"/>
    </w:rPr>
  </w:style>
  <w:style w:type="character" w:styleId="IntenseEmphasis">
    <w:name w:val="Intense Emphasis"/>
    <w:basedOn w:val="DefaultParagraphFont"/>
    <w:uiPriority w:val="21"/>
    <w:rsid w:val="00902782"/>
    <w:rPr>
      <w:b/>
      <w:bCs/>
      <w:i/>
      <w:iCs/>
    </w:rPr>
  </w:style>
  <w:style w:type="character" w:styleId="SubtleReference">
    <w:name w:val="Subtle Reference"/>
    <w:basedOn w:val="DefaultParagraphFont"/>
    <w:uiPriority w:val="31"/>
    <w:rsid w:val="00902782"/>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rsid w:val="00902782"/>
    <w:rPr>
      <w:b/>
      <w:bCs/>
      <w:smallCaps/>
      <w:color w:val="004DCF" w:themeColor="text2"/>
      <w:u w:val="single"/>
    </w:rPr>
  </w:style>
  <w:style w:type="paragraph" w:styleId="TOCHeading">
    <w:name w:val="TOC Heading"/>
    <w:basedOn w:val="Heading1"/>
    <w:next w:val="Normal"/>
    <w:uiPriority w:val="39"/>
    <w:unhideWhenUsed/>
    <w:qFormat/>
    <w:rsid w:val="001D7906"/>
    <w:pPr>
      <w:ind w:hanging="1134"/>
      <w:outlineLvl w:val="9"/>
    </w:pPr>
  </w:style>
  <w:style w:type="paragraph" w:customStyle="1" w:styleId="Bullets-noindent">
    <w:name w:val="Bullets - no indent"/>
    <w:basedOn w:val="Body"/>
    <w:uiPriority w:val="1"/>
    <w:qFormat/>
    <w:rsid w:val="00DD677C"/>
    <w:pPr>
      <w:numPr>
        <w:numId w:val="1"/>
      </w:numPr>
      <w:spacing w:before="60" w:after="60"/>
    </w:pPr>
  </w:style>
  <w:style w:type="table" w:customStyle="1" w:styleId="SRC1">
    <w:name w:val="SRC 1"/>
    <w:basedOn w:val="TableNormal"/>
    <w:uiPriority w:val="99"/>
    <w:rsid w:val="00463C20"/>
    <w:pPr>
      <w:spacing w:before="60" w:after="60" w:line="240" w:lineRule="auto"/>
    </w:pPr>
    <w:rPr>
      <w:rFonts w:ascii="Arial" w:eastAsiaTheme="minorHAnsi" w:hAnsi="Arial"/>
      <w:sz w:val="18"/>
    </w:rPr>
    <w:tblPr>
      <w:tblStyleRowBandSize w:val="1"/>
      <w:tblStyleColBandSize w:val="1"/>
      <w:tblBorders>
        <w:bottom w:val="single" w:sz="4" w:space="0" w:color="525F0C" w:themeColor="accent1"/>
      </w:tblBorders>
    </w:tblPr>
    <w:tblStylePr w:type="firstRow">
      <w:pPr>
        <w:wordWrap/>
        <w:spacing w:beforeLines="0" w:before="60" w:beforeAutospacing="0" w:afterLines="0" w:after="60" w:afterAutospacing="0" w:line="240" w:lineRule="auto"/>
        <w:contextualSpacing w:val="0"/>
        <w:jc w:val="left"/>
      </w:pPr>
      <w:rPr>
        <w:rFonts w:ascii="Arial" w:hAnsi="Arial"/>
        <w:b/>
        <w:color w:val="FFFFFF" w:themeColor="background1"/>
        <w:sz w:val="18"/>
      </w:rPr>
      <w:tblPr/>
      <w:tcPr>
        <w:shd w:val="clear" w:color="auto" w:fill="525F0C" w:themeFill="accent1"/>
        <w:vAlign w:val="center"/>
      </w:tcPr>
    </w:tblStylePr>
    <w:tblStylePr w:type="lastRow">
      <w:pPr>
        <w:wordWrap/>
        <w:spacing w:beforeLines="0" w:before="60" w:beforeAutospacing="0" w:afterLines="0" w:after="60" w:afterAutospacing="0" w:line="240" w:lineRule="auto"/>
        <w:contextualSpacing w:val="0"/>
        <w:jc w:val="left"/>
      </w:pPr>
      <w:rPr>
        <w:rFonts w:ascii="Arial" w:hAnsi="Arial"/>
        <w:sz w:val="18"/>
      </w:rPr>
    </w:tblStylePr>
    <w:tblStylePr w:type="firstCol">
      <w:pPr>
        <w:wordWrap/>
        <w:spacing w:beforeLines="0" w:before="60" w:beforeAutospacing="0" w:afterLines="0" w:after="60" w:afterAutospacing="0" w:line="240" w:lineRule="auto"/>
        <w:contextualSpacing w:val="0"/>
        <w:jc w:val="left"/>
      </w:pPr>
      <w:rPr>
        <w:rFonts w:ascii="Arial" w:hAnsi="Arial"/>
        <w:sz w:val="18"/>
      </w:rPr>
      <w:tblPr/>
      <w:tcPr>
        <w:vAlign w:val="center"/>
      </w:tcPr>
    </w:tblStylePr>
    <w:tblStylePr w:type="lastCol">
      <w:rPr>
        <w:rFonts w:ascii="Arial" w:hAnsi="Arial"/>
        <w:sz w:val="18"/>
      </w:rPr>
    </w:tblStylePr>
    <w:tblStylePr w:type="band1Vert">
      <w:pPr>
        <w:wordWrap/>
        <w:spacing w:beforeLines="0" w:before="60" w:beforeAutospacing="0" w:afterLines="0" w:after="60" w:afterAutospacing="0" w:line="240" w:lineRule="auto"/>
        <w:ind w:rightChars="0" w:right="113"/>
        <w:contextualSpacing w:val="0"/>
        <w:jc w:val="left"/>
        <w:outlineLvl w:val="9"/>
      </w:pPr>
      <w:rPr>
        <w:rFonts w:ascii="Arial" w:hAnsi="Arial"/>
        <w:sz w:val="18"/>
      </w:rPr>
      <w:tblPr/>
      <w:tcPr>
        <w:vAlign w:val="center"/>
      </w:tcPr>
    </w:tblStylePr>
    <w:tblStylePr w:type="band2Vert">
      <w:pPr>
        <w:wordWrap/>
        <w:spacing w:beforeLines="0" w:before="60" w:beforeAutospacing="0" w:afterLines="0" w:after="60" w:afterAutospacing="0" w:line="240" w:lineRule="auto"/>
        <w:ind w:rightChars="0" w:right="113"/>
        <w:contextualSpacing w:val="0"/>
        <w:jc w:val="left"/>
      </w:pPr>
      <w:rPr>
        <w:rFonts w:ascii="Arial" w:hAnsi="Arial"/>
        <w:sz w:val="18"/>
      </w:rPr>
      <w:tblPr/>
      <w:tcPr>
        <w:vAlign w:val="center"/>
      </w:tcPr>
    </w:tblStylePr>
    <w:tblStylePr w:type="band1Horz">
      <w:pPr>
        <w:wordWrap/>
        <w:spacing w:beforeLines="0" w:before="60" w:beforeAutospacing="0" w:afterLines="0" w:after="60" w:afterAutospacing="0" w:line="240" w:lineRule="auto"/>
        <w:ind w:rightChars="0" w:right="0"/>
        <w:contextualSpacing w:val="0"/>
        <w:mirrorIndents w:val="0"/>
        <w:jc w:val="left"/>
      </w:pPr>
      <w:rPr>
        <w:rFonts w:ascii="Arial" w:hAnsi="Arial"/>
        <w:sz w:val="18"/>
      </w:rPr>
      <w:tblPr/>
      <w:tcPr>
        <w:shd w:val="clear" w:color="auto" w:fill="ECF6B7" w:themeFill="accent1" w:themeFillTint="33"/>
        <w:vAlign w:val="center"/>
      </w:tcPr>
    </w:tblStylePr>
    <w:tblStylePr w:type="band2Horz">
      <w:pPr>
        <w:wordWrap/>
        <w:spacing w:beforeLines="0" w:before="60" w:beforeAutospacing="0" w:afterLines="0" w:after="60" w:afterAutospacing="0"/>
        <w:contextualSpacing w:val="0"/>
        <w:jc w:val="left"/>
      </w:pPr>
      <w:rPr>
        <w:rFonts w:ascii="Arial" w:hAnsi="Arial"/>
        <w:sz w:val="18"/>
      </w:rPr>
      <w:tblPr/>
      <w:tcPr>
        <w:vAlign w:val="center"/>
      </w:tcPr>
    </w:tblStylePr>
    <w:tblStylePr w:type="neCell">
      <w:rPr>
        <w:rFonts w:ascii="Arial" w:hAnsi="Arial"/>
        <w:sz w:val="18"/>
      </w:rPr>
    </w:tblStylePr>
    <w:tblStylePr w:type="nwCell">
      <w:rPr>
        <w:rFonts w:ascii="Arial" w:hAnsi="Arial"/>
        <w:sz w:val="18"/>
      </w:rPr>
    </w:tblStylePr>
    <w:tblStylePr w:type="seCell">
      <w:rPr>
        <w:rFonts w:ascii="Arial" w:hAnsi="Arial"/>
        <w:sz w:val="18"/>
      </w:rPr>
    </w:tblStylePr>
    <w:tblStylePr w:type="swCell">
      <w:rPr>
        <w:rFonts w:ascii="Arial" w:hAnsi="Arial"/>
        <w:sz w:val="18"/>
      </w:rPr>
    </w:tblStylePr>
  </w:style>
  <w:style w:type="paragraph" w:customStyle="1" w:styleId="Appendix1">
    <w:name w:val="Appendix 1"/>
    <w:basedOn w:val="MajorHeading"/>
    <w:next w:val="Body"/>
    <w:uiPriority w:val="99"/>
    <w:qFormat/>
    <w:rsid w:val="00FF1C21"/>
    <w:pPr>
      <w:numPr>
        <w:numId w:val="10"/>
      </w:numPr>
    </w:pPr>
  </w:style>
  <w:style w:type="paragraph" w:customStyle="1" w:styleId="Appendix2">
    <w:name w:val="Appendix 2"/>
    <w:basedOn w:val="Normal"/>
    <w:next w:val="Body"/>
    <w:uiPriority w:val="99"/>
    <w:qFormat/>
    <w:rsid w:val="0066499D"/>
    <w:pPr>
      <w:numPr>
        <w:ilvl w:val="1"/>
        <w:numId w:val="10"/>
      </w:numPr>
      <w:ind w:hanging="928"/>
      <w:outlineLvl w:val="1"/>
    </w:pPr>
    <w:rPr>
      <w:rFonts w:cs="Arial"/>
      <w:sz w:val="32"/>
    </w:rPr>
  </w:style>
  <w:style w:type="paragraph" w:customStyle="1" w:styleId="Appendix3">
    <w:name w:val="Appendix 3"/>
    <w:basedOn w:val="Normal"/>
    <w:next w:val="Body"/>
    <w:uiPriority w:val="99"/>
    <w:qFormat/>
    <w:rsid w:val="00AC1207"/>
    <w:pPr>
      <w:keepNext/>
      <w:numPr>
        <w:ilvl w:val="2"/>
        <w:numId w:val="10"/>
      </w:numPr>
      <w:spacing w:before="240" w:after="120"/>
      <w:ind w:left="1418" w:hanging="567"/>
      <w:outlineLvl w:val="2"/>
    </w:pPr>
    <w:rPr>
      <w:rFonts w:cs="Arial"/>
      <w:sz w:val="28"/>
    </w:rPr>
  </w:style>
  <w:style w:type="paragraph" w:customStyle="1" w:styleId="SubHeading20">
    <w:name w:val="Sub Heading 2"/>
    <w:basedOn w:val="SubHeading1"/>
    <w:next w:val="Body"/>
    <w:link w:val="SubHeading2Char0"/>
    <w:uiPriority w:val="3"/>
    <w:qFormat/>
    <w:rsid w:val="00DD677C"/>
    <w:rPr>
      <w:sz w:val="24"/>
      <w:szCs w:val="24"/>
    </w:rPr>
  </w:style>
  <w:style w:type="character" w:customStyle="1" w:styleId="SubHeading2Char0">
    <w:name w:val="Sub Heading 2 Char"/>
    <w:basedOn w:val="SubHeading1Char"/>
    <w:link w:val="SubHeading20"/>
    <w:uiPriority w:val="3"/>
    <w:rsid w:val="00DD677C"/>
    <w:rPr>
      <w:rFonts w:ascii="Arial" w:eastAsiaTheme="minorHAnsi" w:hAnsi="Arial"/>
      <w:bCs/>
      <w:color w:val="525F0C" w:themeColor="accent1"/>
      <w:sz w:val="24"/>
      <w:szCs w:val="24"/>
    </w:rPr>
  </w:style>
  <w:style w:type="paragraph" w:customStyle="1" w:styleId="NoParagraphStyle">
    <w:name w:val="[No Paragraph Style]"/>
    <w:autoRedefine/>
    <w:qFormat/>
    <w:rsid w:val="005A5905"/>
    <w:pPr>
      <w:widowControl w:val="0"/>
      <w:autoSpaceDE w:val="0"/>
      <w:autoSpaceDN w:val="0"/>
      <w:adjustRightInd w:val="0"/>
      <w:spacing w:after="0" w:line="288" w:lineRule="auto"/>
      <w:textAlignment w:val="center"/>
    </w:pPr>
    <w:rPr>
      <w:rFonts w:ascii="Calibri" w:hAnsi="Calibri" w:cs="MinionPro-Regular"/>
      <w:b/>
      <w:bCs/>
      <w:caps/>
      <w:color w:val="FFFFFF" w:themeColor="background1"/>
      <w:sz w:val="32"/>
      <w:szCs w:val="32"/>
      <w:lang w:val="en-GB"/>
    </w:rPr>
  </w:style>
  <w:style w:type="paragraph" w:customStyle="1" w:styleId="Intropullout">
    <w:name w:val="Intro/pull out"/>
    <w:autoRedefine/>
    <w:uiPriority w:val="99"/>
    <w:qFormat/>
    <w:rsid w:val="005A5905"/>
    <w:pPr>
      <w:widowControl w:val="0"/>
      <w:suppressAutoHyphens/>
      <w:autoSpaceDE w:val="0"/>
      <w:autoSpaceDN w:val="0"/>
      <w:adjustRightInd w:val="0"/>
      <w:spacing w:before="113" w:after="170" w:line="300" w:lineRule="atLeast"/>
      <w:textAlignment w:val="center"/>
    </w:pPr>
    <w:rPr>
      <w:rFonts w:ascii="Calibri" w:hAnsi="Calibri" w:cs="DINOT-Light"/>
      <w:color w:val="004459"/>
      <w:spacing w:val="-2"/>
      <w:sz w:val="23"/>
      <w:szCs w:val="23"/>
      <w:lang w:val="en-GB"/>
    </w:rPr>
  </w:style>
  <w:style w:type="paragraph" w:customStyle="1" w:styleId="Subhead2">
    <w:name w:val="Subhead 2"/>
    <w:autoRedefine/>
    <w:uiPriority w:val="99"/>
    <w:qFormat/>
    <w:rsid w:val="005A5905"/>
    <w:pPr>
      <w:keepNext/>
      <w:widowControl w:val="0"/>
      <w:tabs>
        <w:tab w:val="left" w:pos="170"/>
        <w:tab w:val="left" w:pos="340"/>
        <w:tab w:val="left" w:pos="510"/>
        <w:tab w:val="left" w:pos="680"/>
      </w:tabs>
      <w:suppressAutoHyphens/>
      <w:autoSpaceDE w:val="0"/>
      <w:autoSpaceDN w:val="0"/>
      <w:adjustRightInd w:val="0"/>
      <w:spacing w:before="227" w:after="0" w:line="280" w:lineRule="atLeast"/>
      <w:textAlignment w:val="center"/>
    </w:pPr>
    <w:rPr>
      <w:rFonts w:ascii="DINOT-Medium" w:hAnsi="DINOT-Medium" w:cs="DINOT-Medium"/>
      <w:color w:val="00777B"/>
      <w:spacing w:val="-1"/>
      <w:sz w:val="20"/>
      <w:szCs w:val="20"/>
      <w:lang w:val="en-GB"/>
    </w:rPr>
  </w:style>
  <w:style w:type="paragraph" w:customStyle="1" w:styleId="dashboard">
    <w:name w:val="dashboard #"/>
    <w:qFormat/>
    <w:rsid w:val="005A5905"/>
    <w:pPr>
      <w:spacing w:after="1920" w:line="240" w:lineRule="auto"/>
      <w:ind w:left="425"/>
    </w:pPr>
    <w:rPr>
      <w:rFonts w:asciiTheme="majorHAnsi" w:hAnsiTheme="majorHAnsi" w:cs="Times New Roman"/>
      <w:b/>
      <w:color w:val="FFFFFF"/>
      <w:sz w:val="20"/>
      <w:szCs w:val="20"/>
      <w:lang w:val="en-US"/>
    </w:rPr>
  </w:style>
  <w:style w:type="paragraph" w:customStyle="1" w:styleId="TablecolumnheadAPPX">
    <w:name w:val="Table column head APPX"/>
    <w:basedOn w:val="Normal"/>
    <w:qFormat/>
    <w:rsid w:val="005A5905"/>
    <w:pPr>
      <w:widowControl w:val="0"/>
      <w:suppressAutoHyphens/>
      <w:autoSpaceDE w:val="0"/>
      <w:autoSpaceDN w:val="0"/>
      <w:adjustRightInd w:val="0"/>
      <w:spacing w:before="113" w:line="288" w:lineRule="auto"/>
      <w:textAlignment w:val="center"/>
    </w:pPr>
    <w:rPr>
      <w:rFonts w:ascii="Arial-BoldMT" w:eastAsiaTheme="minorEastAsia" w:hAnsi="Arial-BoldMT" w:cs="Arial-BoldMT"/>
      <w:b/>
      <w:bCs/>
      <w:color w:val="000000"/>
      <w:sz w:val="18"/>
      <w:lang w:val="en-GB"/>
    </w:rPr>
  </w:style>
  <w:style w:type="paragraph" w:customStyle="1" w:styleId="TableAPPXbulletALPHA">
    <w:name w:val="Table APPX bullet ALPHA"/>
    <w:basedOn w:val="Normal"/>
    <w:qFormat/>
    <w:rsid w:val="005A5905"/>
    <w:pPr>
      <w:widowControl w:val="0"/>
      <w:numPr>
        <w:numId w:val="7"/>
      </w:numPr>
      <w:tabs>
        <w:tab w:val="left" w:pos="283"/>
      </w:tabs>
      <w:suppressAutoHyphens/>
      <w:autoSpaceDE w:val="0"/>
      <w:autoSpaceDN w:val="0"/>
      <w:adjustRightInd w:val="0"/>
      <w:spacing w:before="43" w:line="288" w:lineRule="auto"/>
      <w:textAlignment w:val="center"/>
    </w:pPr>
    <w:rPr>
      <w:rFonts w:ascii="ArialMT" w:eastAsiaTheme="minorEastAsia" w:hAnsi="ArialMT" w:cs="ArialMT"/>
      <w:color w:val="000000"/>
      <w:sz w:val="18"/>
      <w:lang w:val="en-GB"/>
    </w:rPr>
  </w:style>
  <w:style w:type="paragraph" w:customStyle="1" w:styleId="Body01">
    <w:name w:val="Body 01"/>
    <w:uiPriority w:val="99"/>
    <w:rsid w:val="005A5905"/>
    <w:pPr>
      <w:spacing w:before="240" w:after="0" w:line="240" w:lineRule="atLeast"/>
    </w:pPr>
    <w:rPr>
      <w:rFonts w:asciiTheme="majorHAnsi" w:hAnsiTheme="majorHAnsi" w:cs="Gotham-Light"/>
      <w:color w:val="000A23"/>
      <w:spacing w:val="-2"/>
      <w:sz w:val="20"/>
      <w:szCs w:val="18"/>
      <w:lang w:val="en-GB"/>
    </w:rPr>
  </w:style>
  <w:style w:type="character" w:customStyle="1" w:styleId="Body02BOLD">
    <w:name w:val="Body 02 BOLD"/>
    <w:uiPriority w:val="1"/>
    <w:qFormat/>
    <w:rsid w:val="005A5905"/>
    <w:rPr>
      <w:rFonts w:ascii="Arial" w:hAnsi="Arial" w:cs="Arial"/>
      <w:b/>
      <w:sz w:val="20"/>
      <w:szCs w:val="20"/>
      <w:lang w:val="en-GB"/>
    </w:rPr>
  </w:style>
  <w:style w:type="paragraph" w:customStyle="1" w:styleId="Bodyruleabove">
    <w:name w:val="Body rule above"/>
    <w:basedOn w:val="Normal"/>
    <w:uiPriority w:val="99"/>
    <w:rsid w:val="005A5905"/>
    <w:pPr>
      <w:widowControl w:val="0"/>
      <w:suppressAutoHyphens/>
      <w:autoSpaceDE w:val="0"/>
      <w:autoSpaceDN w:val="0"/>
      <w:adjustRightInd w:val="0"/>
      <w:spacing w:before="227" w:line="240" w:lineRule="atLeast"/>
      <w:textAlignment w:val="center"/>
    </w:pPr>
    <w:rPr>
      <w:rFonts w:ascii="Gotham-Light" w:eastAsiaTheme="minorEastAsia" w:hAnsi="Gotham-Light" w:cs="Gotham-Light"/>
      <w:color w:val="000A23"/>
      <w:spacing w:val="-2"/>
      <w:sz w:val="18"/>
      <w:lang w:val="en-GB"/>
    </w:rPr>
  </w:style>
  <w:style w:type="paragraph" w:customStyle="1" w:styleId="Bullet01">
    <w:name w:val="Bullet 01"/>
    <w:basedOn w:val="Body01"/>
    <w:uiPriority w:val="99"/>
    <w:rsid w:val="005A5905"/>
    <w:pPr>
      <w:widowControl w:val="0"/>
      <w:tabs>
        <w:tab w:val="left" w:pos="170"/>
      </w:tabs>
      <w:suppressAutoHyphens/>
      <w:autoSpaceDE w:val="0"/>
      <w:autoSpaceDN w:val="0"/>
      <w:adjustRightInd w:val="0"/>
      <w:spacing w:before="57"/>
      <w:ind w:left="170" w:hanging="170"/>
      <w:textAlignment w:val="center"/>
    </w:pPr>
  </w:style>
  <w:style w:type="paragraph" w:customStyle="1" w:styleId="Documenttitle">
    <w:name w:val="Document title"/>
    <w:uiPriority w:val="99"/>
    <w:rsid w:val="005A5905"/>
    <w:pPr>
      <w:widowControl w:val="0"/>
      <w:suppressAutoHyphens/>
      <w:autoSpaceDE w:val="0"/>
      <w:autoSpaceDN w:val="0"/>
      <w:adjustRightInd w:val="0"/>
      <w:spacing w:after="720" w:line="720" w:lineRule="atLeast"/>
      <w:ind w:left="426"/>
      <w:textAlignment w:val="center"/>
    </w:pPr>
    <w:rPr>
      <w:rFonts w:asciiTheme="majorHAnsi" w:hAnsiTheme="majorHAnsi" w:cs="CaeciliaLTStd-Heavy"/>
      <w:color w:val="FFFFFF" w:themeColor="background1"/>
      <w:spacing w:val="-6"/>
      <w:sz w:val="62"/>
      <w:szCs w:val="62"/>
      <w:lang w:val="en-GB"/>
    </w:rPr>
  </w:style>
  <w:style w:type="paragraph" w:customStyle="1" w:styleId="Intropara">
    <w:name w:val="Intro para"/>
    <w:qFormat/>
    <w:rsid w:val="005A5905"/>
    <w:pPr>
      <w:spacing w:after="0" w:line="220" w:lineRule="exact"/>
    </w:pPr>
    <w:rPr>
      <w:rFonts w:asciiTheme="majorHAnsi" w:hAnsiTheme="majorHAnsi" w:cs="CaeciliaLTStd-Heavy"/>
      <w:sz w:val="24"/>
      <w:szCs w:val="21"/>
      <w:lang w:val="en-GB"/>
    </w:rPr>
  </w:style>
  <w:style w:type="paragraph" w:customStyle="1" w:styleId="tablesub01">
    <w:name w:val="table sub 01"/>
    <w:basedOn w:val="Bodyruleabove"/>
    <w:uiPriority w:val="99"/>
    <w:rsid w:val="005A5905"/>
    <w:rPr>
      <w:rFonts w:ascii="Calibri" w:hAnsi="Calibri" w:cs="Gotham-Medium"/>
      <w:sz w:val="22"/>
    </w:rPr>
  </w:style>
  <w:style w:type="paragraph" w:customStyle="1" w:styleId="tablesubhead">
    <w:name w:val="table subhead"/>
    <w:qFormat/>
    <w:rsid w:val="005A5905"/>
    <w:pPr>
      <w:spacing w:after="0" w:line="240" w:lineRule="auto"/>
    </w:pPr>
    <w:rPr>
      <w:rFonts w:asciiTheme="majorHAnsi" w:hAnsiTheme="majorHAnsi" w:cs="Gotham-Book"/>
      <w:b/>
      <w:spacing w:val="-4"/>
      <w:sz w:val="20"/>
      <w:szCs w:val="18"/>
      <w:lang w:val="en-GB"/>
    </w:rPr>
  </w:style>
  <w:style w:type="paragraph" w:customStyle="1" w:styleId="Tabletext">
    <w:name w:val="Table text"/>
    <w:link w:val="TabletextChar"/>
    <w:qFormat/>
    <w:rsid w:val="005A5905"/>
    <w:pPr>
      <w:spacing w:after="0" w:line="240" w:lineRule="auto"/>
    </w:pPr>
    <w:rPr>
      <w:rFonts w:ascii="Arial" w:hAnsi="Arial" w:cs="Gotham-Light"/>
      <w:color w:val="000A23"/>
      <w:spacing w:val="-2"/>
      <w:sz w:val="18"/>
      <w:szCs w:val="18"/>
      <w:lang w:val="en-GB"/>
    </w:rPr>
  </w:style>
  <w:style w:type="paragraph" w:customStyle="1" w:styleId="Sub03">
    <w:name w:val="Sub 03"/>
    <w:basedOn w:val="tablesub01"/>
    <w:qFormat/>
    <w:rsid w:val="005A5905"/>
  </w:style>
  <w:style w:type="paragraph" w:customStyle="1" w:styleId="Sub1">
    <w:name w:val="Sub 1"/>
    <w:basedOn w:val="Normal"/>
    <w:uiPriority w:val="99"/>
    <w:rsid w:val="005A5905"/>
    <w:pPr>
      <w:widowControl w:val="0"/>
      <w:pBdr>
        <w:bottom w:val="dashSmallGap" w:sz="4" w:space="6" w:color="auto"/>
      </w:pBdr>
      <w:suppressAutoHyphens/>
      <w:autoSpaceDE w:val="0"/>
      <w:autoSpaceDN w:val="0"/>
      <w:adjustRightInd w:val="0"/>
      <w:spacing w:before="240" w:after="60" w:line="280" w:lineRule="atLeast"/>
      <w:textAlignment w:val="center"/>
    </w:pPr>
    <w:rPr>
      <w:rFonts w:ascii="Calibri" w:eastAsiaTheme="minorEastAsia" w:hAnsi="Calibri" w:cs="CaeciliaLTStd-Heavy"/>
      <w:b/>
      <w:spacing w:val="-4"/>
      <w:sz w:val="24"/>
      <w:szCs w:val="21"/>
      <w:lang w:val="en-GB"/>
    </w:rPr>
  </w:style>
  <w:style w:type="paragraph" w:customStyle="1" w:styleId="Sub1nounderline">
    <w:name w:val="Sub 1 no underline"/>
    <w:basedOn w:val="Normal"/>
    <w:link w:val="Sub1nounderlineChar"/>
    <w:qFormat/>
    <w:rsid w:val="005A5905"/>
    <w:pPr>
      <w:widowControl w:val="0"/>
      <w:suppressAutoHyphens/>
      <w:autoSpaceDE w:val="0"/>
      <w:autoSpaceDN w:val="0"/>
      <w:adjustRightInd w:val="0"/>
      <w:spacing w:before="240" w:after="60" w:line="260" w:lineRule="atLeast"/>
      <w:textAlignment w:val="center"/>
    </w:pPr>
    <w:rPr>
      <w:rFonts w:asciiTheme="majorHAnsi" w:eastAsiaTheme="minorEastAsia" w:hAnsiTheme="majorHAnsi" w:cs="Gotham-Book"/>
      <w:b/>
      <w:spacing w:val="-4"/>
      <w:sz w:val="24"/>
      <w:szCs w:val="24"/>
      <w:lang w:val="en-GB"/>
    </w:rPr>
  </w:style>
  <w:style w:type="paragraph" w:customStyle="1" w:styleId="Tablecolumnheader">
    <w:name w:val="Table column header"/>
    <w:basedOn w:val="Sub1"/>
    <w:qFormat/>
    <w:rsid w:val="005A5905"/>
    <w:pPr>
      <w:spacing w:before="100" w:beforeAutospacing="1"/>
    </w:pPr>
  </w:style>
  <w:style w:type="paragraph" w:customStyle="1" w:styleId="Programtitle">
    <w:name w:val="Program title"/>
    <w:basedOn w:val="Header"/>
    <w:next w:val="NoParagraphStyle"/>
    <w:qFormat/>
    <w:rsid w:val="005A5905"/>
    <w:pPr>
      <w:tabs>
        <w:tab w:val="clear" w:pos="4513"/>
        <w:tab w:val="clear" w:pos="9026"/>
        <w:tab w:val="center" w:pos="4320"/>
        <w:tab w:val="right" w:pos="8640"/>
      </w:tabs>
      <w:spacing w:after="180"/>
    </w:pPr>
    <w:rPr>
      <w:rFonts w:eastAsiaTheme="minorEastAsia" w:cs="Arial"/>
      <w:caps/>
      <w:color w:val="FFFFFF" w:themeColor="background1"/>
      <w:sz w:val="26"/>
      <w:szCs w:val="26"/>
      <w:lang w:val="en-GB"/>
    </w:rPr>
  </w:style>
  <w:style w:type="paragraph" w:customStyle="1" w:styleId="Featuretext">
    <w:name w:val="Feature text"/>
    <w:basedOn w:val="Normal"/>
    <w:qFormat/>
    <w:rsid w:val="005A5905"/>
    <w:pPr>
      <w:widowControl w:val="0"/>
      <w:tabs>
        <w:tab w:val="left" w:pos="510"/>
        <w:tab w:val="left" w:pos="680"/>
      </w:tabs>
      <w:suppressAutoHyphens/>
      <w:autoSpaceDE w:val="0"/>
      <w:autoSpaceDN w:val="0"/>
      <w:adjustRightInd w:val="0"/>
      <w:spacing w:before="57" w:line="240" w:lineRule="atLeast"/>
      <w:textAlignment w:val="center"/>
    </w:pPr>
    <w:rPr>
      <w:rFonts w:eastAsiaTheme="minorEastAsia" w:cs="VIC-Regular"/>
      <w:color w:val="00455B"/>
      <w:spacing w:val="4"/>
      <w:sz w:val="18"/>
      <w:lang w:val="en-GB"/>
    </w:rPr>
  </w:style>
  <w:style w:type="paragraph" w:customStyle="1" w:styleId="Followerdocumenttitle">
    <w:name w:val="Follower document title"/>
    <w:basedOn w:val="Normal"/>
    <w:qFormat/>
    <w:rsid w:val="005A5905"/>
    <w:pPr>
      <w:keepNext/>
      <w:keepLines/>
      <w:spacing w:after="120"/>
      <w:outlineLvl w:val="0"/>
    </w:pPr>
    <w:rPr>
      <w:rFonts w:eastAsiaTheme="majorEastAsia" w:cs="Arial"/>
      <w:b/>
      <w:bCs/>
      <w:caps/>
      <w:color w:val="00455B"/>
      <w:sz w:val="22"/>
      <w:szCs w:val="32"/>
      <w:lang w:val="en-US"/>
    </w:rPr>
  </w:style>
  <w:style w:type="character" w:customStyle="1" w:styleId="Teal">
    <w:name w:val="Teal"/>
    <w:uiPriority w:val="1"/>
    <w:qFormat/>
    <w:rsid w:val="005A5905"/>
    <w:rPr>
      <w:color w:val="009096"/>
    </w:rPr>
  </w:style>
  <w:style w:type="paragraph" w:customStyle="1" w:styleId="Subtitle03">
    <w:name w:val="Subtitle 03"/>
    <w:basedOn w:val="NoParagraphStyle"/>
    <w:autoRedefine/>
    <w:qFormat/>
    <w:rsid w:val="005A5905"/>
    <w:pPr>
      <w:spacing w:before="80" w:line="240" w:lineRule="exact"/>
    </w:pPr>
    <w:rPr>
      <w:rFonts w:ascii="Arial" w:hAnsi="Arial" w:cs="Arial"/>
      <w:b w:val="0"/>
      <w:color w:val="000000"/>
      <w:sz w:val="19"/>
      <w:szCs w:val="19"/>
    </w:rPr>
  </w:style>
  <w:style w:type="character" w:customStyle="1" w:styleId="Italic">
    <w:name w:val="Italic"/>
    <w:basedOn w:val="DefaultParagraphFont"/>
    <w:uiPriority w:val="1"/>
    <w:qFormat/>
    <w:rsid w:val="005A5905"/>
    <w:rPr>
      <w:i/>
    </w:rPr>
  </w:style>
  <w:style w:type="paragraph" w:customStyle="1" w:styleId="DocumentTitle1">
    <w:name w:val="Document Title 1"/>
    <w:basedOn w:val="NoParagraphStyle"/>
    <w:uiPriority w:val="99"/>
    <w:rsid w:val="005A5905"/>
    <w:pPr>
      <w:suppressAutoHyphens/>
      <w:spacing w:after="181" w:line="1240" w:lineRule="atLeast"/>
    </w:pPr>
    <w:rPr>
      <w:rFonts w:ascii="Arial" w:hAnsi="Arial" w:cs="Arial"/>
      <w:caps w:val="0"/>
      <w:color w:val="auto"/>
      <w:spacing w:val="-10"/>
      <w:sz w:val="48"/>
      <w:szCs w:val="48"/>
    </w:rPr>
  </w:style>
  <w:style w:type="paragraph" w:customStyle="1" w:styleId="DocumentTitle3">
    <w:name w:val="Document Title 3"/>
    <w:basedOn w:val="NoParagraphStyle"/>
    <w:uiPriority w:val="99"/>
    <w:rsid w:val="005A5905"/>
    <w:pPr>
      <w:suppressAutoHyphens/>
      <w:spacing w:after="80" w:line="640" w:lineRule="atLeast"/>
    </w:pPr>
    <w:rPr>
      <w:rFonts w:ascii="ArialMT" w:hAnsi="ArialMT" w:cs="ArialMT"/>
      <w:b w:val="0"/>
      <w:bCs w:val="0"/>
      <w:color w:val="000000"/>
      <w:spacing w:val="2"/>
    </w:rPr>
  </w:style>
  <w:style w:type="paragraph" w:customStyle="1" w:styleId="H0ChapterTitle">
    <w:name w:val="H0 Chapter Title"/>
    <w:basedOn w:val="NoParagraphStyle"/>
    <w:uiPriority w:val="99"/>
    <w:rsid w:val="005A5905"/>
    <w:pPr>
      <w:suppressAutoHyphens/>
      <w:spacing w:after="850" w:line="480" w:lineRule="atLeast"/>
    </w:pPr>
    <w:rPr>
      <w:rFonts w:ascii="Arial-Black" w:hAnsi="Arial-Black" w:cs="Arial-Black"/>
      <w:b w:val="0"/>
      <w:bCs w:val="0"/>
      <w:caps w:val="0"/>
      <w:color w:val="000000"/>
      <w:sz w:val="36"/>
      <w:szCs w:val="36"/>
    </w:rPr>
  </w:style>
  <w:style w:type="paragraph" w:customStyle="1" w:styleId="Bodycopy">
    <w:name w:val="Body copy"/>
    <w:basedOn w:val="NoParagraphStyle"/>
    <w:uiPriority w:val="99"/>
    <w:rsid w:val="005A5905"/>
    <w:pPr>
      <w:suppressAutoHyphens/>
      <w:spacing w:before="142" w:line="290" w:lineRule="atLeast"/>
    </w:pPr>
    <w:rPr>
      <w:rFonts w:ascii="ArialMT" w:hAnsi="ArialMT" w:cs="ArialMT"/>
      <w:b w:val="0"/>
      <w:bCs w:val="0"/>
      <w:caps w:val="0"/>
      <w:color w:val="000000"/>
      <w:sz w:val="20"/>
      <w:szCs w:val="20"/>
    </w:rPr>
  </w:style>
  <w:style w:type="paragraph" w:customStyle="1" w:styleId="H1Bodycopyheader">
    <w:name w:val="H1 Body copy header"/>
    <w:basedOn w:val="NoParagraphStyle"/>
    <w:uiPriority w:val="99"/>
    <w:rsid w:val="005A5905"/>
    <w:pPr>
      <w:keepNext/>
      <w:keepLines/>
      <w:suppressAutoHyphens/>
      <w:spacing w:before="340"/>
      <w:ind w:left="567" w:hanging="567"/>
    </w:pPr>
    <w:rPr>
      <w:rFonts w:ascii="ArialMT" w:hAnsi="ArialMT" w:cs="ArialMT"/>
      <w:b w:val="0"/>
      <w:bCs w:val="0"/>
      <w:caps w:val="0"/>
      <w:color w:val="314753"/>
      <w:sz w:val="26"/>
      <w:szCs w:val="26"/>
    </w:rPr>
  </w:style>
  <w:style w:type="paragraph" w:customStyle="1" w:styleId="TableTITLETABLES">
    <w:name w:val="Table TITLE (TABLES)"/>
    <w:basedOn w:val="NoParagraphStyle"/>
    <w:uiPriority w:val="99"/>
    <w:rsid w:val="005A5905"/>
    <w:pPr>
      <w:keepNext/>
      <w:suppressAutoHyphens/>
      <w:spacing w:before="397"/>
    </w:pPr>
    <w:rPr>
      <w:rFonts w:ascii="ArialMT" w:hAnsi="ArialMT" w:cs="ArialMT"/>
      <w:b w:val="0"/>
      <w:bCs w:val="0"/>
      <w:caps w:val="0"/>
      <w:color w:val="314753"/>
      <w:sz w:val="20"/>
      <w:szCs w:val="20"/>
    </w:rPr>
  </w:style>
  <w:style w:type="paragraph" w:customStyle="1" w:styleId="TableSPACETABLES">
    <w:name w:val="Table SPACE (TABLES)"/>
    <w:basedOn w:val="NoParagraphStyle"/>
    <w:uiPriority w:val="99"/>
    <w:rsid w:val="005A5905"/>
    <w:pPr>
      <w:suppressAutoHyphens/>
      <w:spacing w:before="113" w:after="227"/>
    </w:pPr>
    <w:rPr>
      <w:rFonts w:ascii="Arial-BoldMT" w:hAnsi="Arial-BoldMT" w:cs="Arial-BoldMT"/>
      <w:caps w:val="0"/>
      <w:color w:val="000000"/>
      <w:sz w:val="18"/>
      <w:szCs w:val="18"/>
      <w:lang w:val="en-US"/>
    </w:rPr>
  </w:style>
  <w:style w:type="paragraph" w:customStyle="1" w:styleId="FigTITLE">
    <w:name w:val="Fig TITLE"/>
    <w:basedOn w:val="TableTITLETABLES"/>
    <w:uiPriority w:val="99"/>
    <w:rsid w:val="005A5905"/>
    <w:pPr>
      <w:spacing w:after="57"/>
    </w:pPr>
  </w:style>
  <w:style w:type="paragraph" w:customStyle="1" w:styleId="FigSPACE">
    <w:name w:val="Fig SPACE"/>
    <w:basedOn w:val="NoParagraphStyle"/>
    <w:uiPriority w:val="99"/>
    <w:rsid w:val="005A5905"/>
    <w:pPr>
      <w:suppressAutoHyphens/>
      <w:spacing w:before="170" w:after="227"/>
    </w:pPr>
    <w:rPr>
      <w:rFonts w:ascii="Arial-BoldMT" w:hAnsi="Arial-BoldMT" w:cs="Arial-BoldMT"/>
      <w:caps w:val="0"/>
      <w:color w:val="000000"/>
      <w:sz w:val="18"/>
      <w:szCs w:val="18"/>
      <w:lang w:val="en-US"/>
    </w:rPr>
  </w:style>
  <w:style w:type="paragraph" w:customStyle="1" w:styleId="TableTextTABLES">
    <w:name w:val="Table Text (TABLES)"/>
    <w:basedOn w:val="NoParagraphStyle"/>
    <w:uiPriority w:val="99"/>
    <w:rsid w:val="005A5905"/>
    <w:pPr>
      <w:suppressAutoHyphens/>
      <w:spacing w:before="85"/>
    </w:pPr>
    <w:rPr>
      <w:rFonts w:ascii="ArialMT" w:hAnsi="ArialMT" w:cs="ArialMT"/>
      <w:b w:val="0"/>
      <w:bCs w:val="0"/>
      <w:caps w:val="0"/>
      <w:color w:val="000000"/>
      <w:sz w:val="17"/>
      <w:szCs w:val="17"/>
    </w:rPr>
  </w:style>
  <w:style w:type="paragraph" w:customStyle="1" w:styleId="TablecolumnheadTABLES">
    <w:name w:val="Table column head (TABLES)"/>
    <w:basedOn w:val="TableTextTABLES"/>
    <w:uiPriority w:val="99"/>
    <w:rsid w:val="005A5905"/>
    <w:pPr>
      <w:spacing w:before="0" w:line="240" w:lineRule="auto"/>
    </w:pPr>
    <w:rPr>
      <w:rFonts w:ascii="Arial Black" w:hAnsi="Arial Black" w:cs="Arial-BoldMT"/>
      <w:bCs/>
    </w:rPr>
  </w:style>
  <w:style w:type="paragraph" w:customStyle="1" w:styleId="Footnote">
    <w:name w:val="Footnote"/>
    <w:basedOn w:val="NoParagraphStyle"/>
    <w:uiPriority w:val="99"/>
    <w:rsid w:val="005A5905"/>
    <w:pPr>
      <w:tabs>
        <w:tab w:val="left" w:pos="170"/>
      </w:tabs>
      <w:suppressAutoHyphens/>
      <w:spacing w:before="28"/>
    </w:pPr>
    <w:rPr>
      <w:rFonts w:ascii="ArialMT" w:hAnsi="ArialMT" w:cs="ArialMT"/>
      <w:b w:val="0"/>
      <w:bCs w:val="0"/>
      <w:caps w:val="0"/>
      <w:color w:val="000000"/>
      <w:sz w:val="16"/>
      <w:szCs w:val="16"/>
    </w:rPr>
  </w:style>
  <w:style w:type="character" w:customStyle="1" w:styleId="Kitalic">
    <w:name w:val="K italic"/>
    <w:uiPriority w:val="99"/>
    <w:rsid w:val="005A5905"/>
  </w:style>
  <w:style w:type="paragraph" w:customStyle="1" w:styleId="TabletotalTABLES">
    <w:name w:val="Table total (TABLES)"/>
    <w:basedOn w:val="TableTextTABLES"/>
    <w:uiPriority w:val="99"/>
    <w:rsid w:val="005A5905"/>
    <w:rPr>
      <w:rFonts w:ascii="Arial-BoldMT" w:hAnsi="Arial-BoldMT" w:cs="Arial-BoldMT"/>
      <w:b/>
      <w:bCs/>
    </w:rPr>
  </w:style>
  <w:style w:type="paragraph" w:customStyle="1" w:styleId="TablefooterTABLES">
    <w:name w:val="Table footer (TABLES)"/>
    <w:basedOn w:val="TableTextTABLES"/>
    <w:uiPriority w:val="99"/>
    <w:rsid w:val="005A5905"/>
    <w:pPr>
      <w:tabs>
        <w:tab w:val="left" w:pos="227"/>
      </w:tabs>
      <w:spacing w:before="28"/>
    </w:pPr>
    <w:rPr>
      <w:sz w:val="14"/>
      <w:szCs w:val="14"/>
    </w:rPr>
  </w:style>
  <w:style w:type="paragraph" w:customStyle="1" w:styleId="Tablecolumnhead2TABLES">
    <w:name w:val="Table column head 2 (TABLES)"/>
    <w:basedOn w:val="TablecolumnheadTABLES"/>
    <w:uiPriority w:val="99"/>
    <w:rsid w:val="005A5905"/>
  </w:style>
  <w:style w:type="character" w:customStyle="1" w:styleId="AtleticoMED">
    <w:name w:val="Atletico MED"/>
    <w:uiPriority w:val="99"/>
    <w:rsid w:val="005A5905"/>
  </w:style>
  <w:style w:type="paragraph" w:customStyle="1" w:styleId="ListingsContents">
    <w:name w:val="Listings (Contents)"/>
    <w:basedOn w:val="NoParagraphStyle"/>
    <w:uiPriority w:val="99"/>
    <w:rsid w:val="005A5905"/>
    <w:pPr>
      <w:tabs>
        <w:tab w:val="left" w:pos="283"/>
        <w:tab w:val="left" w:pos="2268"/>
        <w:tab w:val="right" w:pos="7370"/>
      </w:tabs>
      <w:suppressAutoHyphens/>
      <w:spacing w:after="113"/>
    </w:pPr>
    <w:rPr>
      <w:rFonts w:ascii="ArialMT" w:hAnsi="ArialMT" w:cs="ArialMT"/>
      <w:b w:val="0"/>
      <w:bCs w:val="0"/>
      <w:caps w:val="0"/>
      <w:color w:val="000000"/>
      <w:spacing w:val="-1"/>
      <w:sz w:val="20"/>
      <w:szCs w:val="20"/>
    </w:rPr>
  </w:style>
  <w:style w:type="character" w:customStyle="1" w:styleId="KlavikaMED">
    <w:name w:val="Klavika MED"/>
    <w:uiPriority w:val="99"/>
    <w:rsid w:val="005A5905"/>
  </w:style>
  <w:style w:type="paragraph" w:customStyle="1" w:styleId="Bullettier1">
    <w:name w:val="Bullet tier 1"/>
    <w:basedOn w:val="Bodycopy"/>
    <w:uiPriority w:val="99"/>
    <w:rsid w:val="005A5905"/>
    <w:pPr>
      <w:spacing w:before="71"/>
      <w:ind w:left="227" w:hanging="227"/>
    </w:pPr>
  </w:style>
  <w:style w:type="character" w:customStyle="1" w:styleId="Superscript">
    <w:name w:val="Superscript"/>
    <w:uiPriority w:val="99"/>
    <w:rsid w:val="005A5905"/>
    <w:rPr>
      <w:vertAlign w:val="superscript"/>
    </w:rPr>
  </w:style>
  <w:style w:type="paragraph" w:customStyle="1" w:styleId="TableBULLETTABLES">
    <w:name w:val="Table BULLET (TABLES)"/>
    <w:basedOn w:val="TableTextTABLES"/>
    <w:uiPriority w:val="99"/>
    <w:rsid w:val="005A5905"/>
    <w:pPr>
      <w:tabs>
        <w:tab w:val="left" w:pos="170"/>
      </w:tabs>
      <w:spacing w:before="57"/>
      <w:ind w:left="170" w:hanging="170"/>
    </w:pPr>
  </w:style>
  <w:style w:type="character" w:customStyle="1" w:styleId="Aunderline">
    <w:name w:val="A underline"/>
    <w:uiPriority w:val="99"/>
    <w:rsid w:val="005A5905"/>
    <w:rPr>
      <w:u w:val="thick"/>
    </w:rPr>
  </w:style>
  <w:style w:type="character" w:customStyle="1" w:styleId="Aitalic">
    <w:name w:val="A italic"/>
    <w:uiPriority w:val="99"/>
    <w:rsid w:val="005A5905"/>
  </w:style>
  <w:style w:type="paragraph" w:customStyle="1" w:styleId="TableTEXTAPPXTABLES">
    <w:name w:val="Table TEXT APPX (TABLES)"/>
    <w:basedOn w:val="TableTextTABLES"/>
    <w:uiPriority w:val="99"/>
    <w:rsid w:val="005A5905"/>
    <w:pPr>
      <w:tabs>
        <w:tab w:val="left" w:pos="283"/>
      </w:tabs>
      <w:spacing w:before="43"/>
    </w:pPr>
  </w:style>
  <w:style w:type="paragraph" w:customStyle="1" w:styleId="Footerrunning">
    <w:name w:val="Footer (running)"/>
    <w:basedOn w:val="NoParagraphStyle"/>
    <w:uiPriority w:val="99"/>
    <w:rsid w:val="005A5905"/>
    <w:pPr>
      <w:suppressAutoHyphens/>
      <w:spacing w:after="80"/>
    </w:pPr>
    <w:rPr>
      <w:rFonts w:ascii="ArialMT" w:hAnsi="ArialMT" w:cs="ArialMT"/>
      <w:b w:val="0"/>
      <w:bCs w:val="0"/>
      <w:caps w:val="0"/>
      <w:color w:val="000000"/>
      <w:spacing w:val="1"/>
      <w:sz w:val="18"/>
      <w:szCs w:val="18"/>
    </w:rPr>
  </w:style>
  <w:style w:type="paragraph" w:customStyle="1" w:styleId="Tabletitle">
    <w:name w:val="Table title"/>
    <w:basedOn w:val="Normal"/>
    <w:qFormat/>
    <w:rsid w:val="005A5905"/>
    <w:pPr>
      <w:keepNext/>
      <w:widowControl w:val="0"/>
      <w:suppressAutoHyphens/>
      <w:autoSpaceDE w:val="0"/>
      <w:autoSpaceDN w:val="0"/>
      <w:adjustRightInd w:val="0"/>
      <w:spacing w:before="240" w:after="120"/>
      <w:textAlignment w:val="center"/>
    </w:pPr>
    <w:rPr>
      <w:rFonts w:ascii="ArialMT" w:eastAsiaTheme="minorEastAsia" w:hAnsi="ArialMT" w:cs="ArialMT"/>
      <w:b/>
      <w:szCs w:val="20"/>
      <w:lang w:val="en-GB"/>
    </w:rPr>
  </w:style>
  <w:style w:type="character" w:customStyle="1" w:styleId="KlavikaREGDKorange">
    <w:name w:val="Klavika REG DK orange"/>
    <w:uiPriority w:val="99"/>
    <w:rsid w:val="005A5905"/>
    <w:rPr>
      <w:color w:val="000000"/>
    </w:rPr>
  </w:style>
  <w:style w:type="character" w:customStyle="1" w:styleId="TabletextBOLD">
    <w:name w:val="Table text BOLD"/>
    <w:basedOn w:val="DefaultParagraphFont"/>
    <w:uiPriority w:val="1"/>
    <w:qFormat/>
    <w:rsid w:val="005A5905"/>
    <w:rPr>
      <w:rFonts w:ascii="Arial" w:hAnsi="Arial" w:cs="Arial-BoldMT"/>
      <w:b/>
      <w:bCs/>
      <w:i w:val="0"/>
      <w:color w:val="000000"/>
      <w:sz w:val="17"/>
      <w:szCs w:val="17"/>
      <w:lang w:val="en-GB"/>
    </w:rPr>
  </w:style>
  <w:style w:type="paragraph" w:customStyle="1" w:styleId="DocumentTitle2">
    <w:name w:val="Document Title 2"/>
    <w:basedOn w:val="Normal"/>
    <w:qFormat/>
    <w:rsid w:val="005A5905"/>
    <w:rPr>
      <w:rFonts w:ascii="ArialMT" w:eastAsiaTheme="minorEastAsia" w:hAnsi="ArialMT" w:cs="ArialMT"/>
      <w:bCs/>
      <w:color w:val="000000"/>
      <w:sz w:val="48"/>
      <w:szCs w:val="48"/>
      <w:lang w:val="en-US"/>
    </w:rPr>
  </w:style>
  <w:style w:type="paragraph" w:styleId="BalloonText">
    <w:name w:val="Balloon Text"/>
    <w:basedOn w:val="Normal"/>
    <w:link w:val="BalloonTextChar"/>
    <w:uiPriority w:val="99"/>
    <w:semiHidden/>
    <w:unhideWhenUsed/>
    <w:rsid w:val="005A5905"/>
    <w:rPr>
      <w:rFonts w:ascii="Lucida Grande" w:eastAsiaTheme="minorEastAsia" w:hAnsi="Lucida Grande" w:cs="Lucida Grande"/>
      <w:sz w:val="18"/>
      <w:lang w:val="en-US"/>
    </w:rPr>
  </w:style>
  <w:style w:type="character" w:customStyle="1" w:styleId="BalloonTextChar">
    <w:name w:val="Balloon Text Char"/>
    <w:basedOn w:val="DefaultParagraphFont"/>
    <w:link w:val="BalloonText"/>
    <w:uiPriority w:val="99"/>
    <w:semiHidden/>
    <w:rsid w:val="005A5905"/>
    <w:rPr>
      <w:rFonts w:ascii="Lucida Grande" w:hAnsi="Lucida Grande" w:cs="Lucida Grande"/>
      <w:sz w:val="18"/>
      <w:szCs w:val="18"/>
      <w:lang w:val="en-US"/>
    </w:rPr>
  </w:style>
  <w:style w:type="paragraph" w:styleId="TOC4">
    <w:name w:val="toc 4"/>
    <w:basedOn w:val="Normal"/>
    <w:next w:val="Normal"/>
    <w:autoRedefine/>
    <w:uiPriority w:val="39"/>
    <w:unhideWhenUsed/>
    <w:rsid w:val="005A5905"/>
    <w:pPr>
      <w:pBdr>
        <w:between w:val="double" w:sz="6" w:space="0" w:color="auto"/>
      </w:pBdr>
      <w:ind w:left="480"/>
    </w:pPr>
    <w:rPr>
      <w:rFonts w:eastAsiaTheme="minorEastAsia"/>
      <w:szCs w:val="20"/>
      <w:lang w:val="en-US"/>
    </w:rPr>
  </w:style>
  <w:style w:type="paragraph" w:styleId="TOC5">
    <w:name w:val="toc 5"/>
    <w:basedOn w:val="Normal"/>
    <w:next w:val="Normal"/>
    <w:autoRedefine/>
    <w:uiPriority w:val="39"/>
    <w:unhideWhenUsed/>
    <w:rsid w:val="005A5905"/>
    <w:pPr>
      <w:pBdr>
        <w:between w:val="double" w:sz="6" w:space="0" w:color="auto"/>
      </w:pBdr>
      <w:ind w:left="720"/>
    </w:pPr>
    <w:rPr>
      <w:rFonts w:eastAsiaTheme="minorEastAsia"/>
      <w:szCs w:val="20"/>
      <w:lang w:val="en-US"/>
    </w:rPr>
  </w:style>
  <w:style w:type="paragraph" w:styleId="TOC6">
    <w:name w:val="toc 6"/>
    <w:basedOn w:val="Normal"/>
    <w:next w:val="Normal"/>
    <w:autoRedefine/>
    <w:uiPriority w:val="39"/>
    <w:unhideWhenUsed/>
    <w:rsid w:val="005A5905"/>
    <w:pPr>
      <w:pBdr>
        <w:between w:val="double" w:sz="6" w:space="0" w:color="auto"/>
      </w:pBdr>
      <w:ind w:left="960"/>
    </w:pPr>
    <w:rPr>
      <w:rFonts w:eastAsiaTheme="minorEastAsia"/>
      <w:szCs w:val="20"/>
      <w:lang w:val="en-US"/>
    </w:rPr>
  </w:style>
  <w:style w:type="paragraph" w:styleId="TOC7">
    <w:name w:val="toc 7"/>
    <w:basedOn w:val="Normal"/>
    <w:next w:val="Normal"/>
    <w:autoRedefine/>
    <w:uiPriority w:val="39"/>
    <w:unhideWhenUsed/>
    <w:rsid w:val="005A5905"/>
    <w:pPr>
      <w:pBdr>
        <w:between w:val="double" w:sz="6" w:space="0" w:color="auto"/>
      </w:pBdr>
      <w:ind w:left="1200"/>
    </w:pPr>
    <w:rPr>
      <w:rFonts w:eastAsiaTheme="minorEastAsia"/>
      <w:szCs w:val="20"/>
      <w:lang w:val="en-US"/>
    </w:rPr>
  </w:style>
  <w:style w:type="paragraph" w:styleId="TOC8">
    <w:name w:val="toc 8"/>
    <w:basedOn w:val="Normal"/>
    <w:next w:val="Normal"/>
    <w:autoRedefine/>
    <w:uiPriority w:val="39"/>
    <w:unhideWhenUsed/>
    <w:rsid w:val="005A5905"/>
    <w:pPr>
      <w:pBdr>
        <w:between w:val="double" w:sz="6" w:space="0" w:color="auto"/>
      </w:pBdr>
      <w:ind w:left="1440"/>
    </w:pPr>
    <w:rPr>
      <w:rFonts w:eastAsiaTheme="minorEastAsia"/>
      <w:szCs w:val="20"/>
      <w:lang w:val="en-US"/>
    </w:rPr>
  </w:style>
  <w:style w:type="paragraph" w:styleId="TOC9">
    <w:name w:val="toc 9"/>
    <w:basedOn w:val="Normal"/>
    <w:next w:val="Normal"/>
    <w:autoRedefine/>
    <w:uiPriority w:val="39"/>
    <w:unhideWhenUsed/>
    <w:rsid w:val="005A5905"/>
    <w:pPr>
      <w:pBdr>
        <w:between w:val="double" w:sz="6" w:space="0" w:color="auto"/>
      </w:pBdr>
      <w:ind w:left="1680"/>
    </w:pPr>
    <w:rPr>
      <w:rFonts w:eastAsiaTheme="minorEastAsia"/>
      <w:szCs w:val="20"/>
      <w:lang w:val="en-US"/>
    </w:rPr>
  </w:style>
  <w:style w:type="character" w:customStyle="1" w:styleId="Mention1">
    <w:name w:val="Mention1"/>
    <w:basedOn w:val="DefaultParagraphFont"/>
    <w:uiPriority w:val="99"/>
    <w:semiHidden/>
    <w:unhideWhenUsed/>
    <w:rsid w:val="005A5905"/>
    <w:rPr>
      <w:color w:val="2B579A"/>
      <w:shd w:val="clear" w:color="auto" w:fill="E6E6E6"/>
    </w:rPr>
  </w:style>
  <w:style w:type="character" w:styleId="FollowedHyperlink">
    <w:name w:val="FollowedHyperlink"/>
    <w:basedOn w:val="DefaultParagraphFont"/>
    <w:uiPriority w:val="99"/>
    <w:semiHidden/>
    <w:unhideWhenUsed/>
    <w:rsid w:val="005A5905"/>
    <w:rPr>
      <w:color w:val="800080" w:themeColor="followedHyperlink"/>
      <w:u w:val="single"/>
    </w:rPr>
  </w:style>
  <w:style w:type="paragraph" w:customStyle="1" w:styleId="p1">
    <w:name w:val="p1"/>
    <w:basedOn w:val="Normal"/>
    <w:rsid w:val="005A5905"/>
    <w:pPr>
      <w:spacing w:before="107" w:line="218" w:lineRule="atLeast"/>
    </w:pPr>
    <w:rPr>
      <w:rFonts w:ascii="Klavika" w:hAnsi="Klavika" w:cs="Times New Roman"/>
      <w:sz w:val="15"/>
      <w:szCs w:val="15"/>
      <w:lang w:val="en-GB" w:eastAsia="en-GB"/>
    </w:rPr>
  </w:style>
  <w:style w:type="paragraph" w:customStyle="1" w:styleId="p2">
    <w:name w:val="p2"/>
    <w:basedOn w:val="Normal"/>
    <w:rsid w:val="005A5905"/>
    <w:pPr>
      <w:spacing w:before="255"/>
    </w:pPr>
    <w:rPr>
      <w:rFonts w:ascii="Klavika" w:hAnsi="Klavika" w:cs="Times New Roman"/>
      <w:color w:val="3F5966"/>
      <w:szCs w:val="20"/>
      <w:lang w:val="en-GB" w:eastAsia="en-GB"/>
    </w:rPr>
  </w:style>
  <w:style w:type="paragraph" w:customStyle="1" w:styleId="p3">
    <w:name w:val="p3"/>
    <w:basedOn w:val="Normal"/>
    <w:rsid w:val="005A5905"/>
    <w:pPr>
      <w:spacing w:before="299"/>
    </w:pPr>
    <w:rPr>
      <w:rFonts w:ascii="Atletico" w:hAnsi="Atletico" w:cs="Times New Roman"/>
      <w:color w:val="3F5966"/>
      <w:sz w:val="15"/>
      <w:szCs w:val="15"/>
      <w:lang w:val="en-GB" w:eastAsia="en-GB"/>
    </w:rPr>
  </w:style>
  <w:style w:type="paragraph" w:customStyle="1" w:styleId="p4">
    <w:name w:val="p4"/>
    <w:basedOn w:val="Normal"/>
    <w:rsid w:val="005A5905"/>
    <w:rPr>
      <w:rFonts w:ascii="Klavika" w:hAnsi="Klavika" w:cs="Times New Roman"/>
      <w:sz w:val="18"/>
      <w:lang w:val="en-GB" w:eastAsia="en-GB"/>
    </w:rPr>
  </w:style>
  <w:style w:type="paragraph" w:customStyle="1" w:styleId="p5">
    <w:name w:val="p5"/>
    <w:basedOn w:val="Normal"/>
    <w:rsid w:val="005A5905"/>
    <w:pPr>
      <w:spacing w:before="63"/>
      <w:jc w:val="center"/>
    </w:pPr>
    <w:rPr>
      <w:rFonts w:ascii="Atletico" w:hAnsi="Atletico" w:cs="Times New Roman"/>
      <w:sz w:val="13"/>
      <w:szCs w:val="13"/>
      <w:lang w:val="en-GB" w:eastAsia="en-GB"/>
    </w:rPr>
  </w:style>
  <w:style w:type="paragraph" w:customStyle="1" w:styleId="p6">
    <w:name w:val="p6"/>
    <w:basedOn w:val="Normal"/>
    <w:rsid w:val="005A5905"/>
    <w:pPr>
      <w:spacing w:before="63"/>
    </w:pPr>
    <w:rPr>
      <w:rFonts w:ascii="Atletico" w:hAnsi="Atletico" w:cs="Times New Roman"/>
      <w:sz w:val="13"/>
      <w:szCs w:val="13"/>
      <w:lang w:val="en-GB" w:eastAsia="en-GB"/>
    </w:rPr>
  </w:style>
  <w:style w:type="paragraph" w:customStyle="1" w:styleId="p7">
    <w:name w:val="p7"/>
    <w:basedOn w:val="Normal"/>
    <w:rsid w:val="005A5905"/>
    <w:pPr>
      <w:spacing w:before="86" w:after="170"/>
    </w:pPr>
    <w:rPr>
      <w:rFonts w:ascii="Atletico" w:hAnsi="Atletico" w:cs="Times New Roman"/>
      <w:sz w:val="15"/>
      <w:szCs w:val="15"/>
      <w:lang w:val="en-GB" w:eastAsia="en-GB"/>
    </w:rPr>
  </w:style>
  <w:style w:type="paragraph" w:customStyle="1" w:styleId="p8">
    <w:name w:val="p8"/>
    <w:basedOn w:val="Normal"/>
    <w:rsid w:val="005A5905"/>
    <w:pPr>
      <w:spacing w:before="107" w:line="218" w:lineRule="atLeast"/>
    </w:pPr>
    <w:rPr>
      <w:rFonts w:ascii="Klavika" w:hAnsi="Klavika" w:cs="Times New Roman"/>
      <w:sz w:val="15"/>
      <w:szCs w:val="15"/>
      <w:lang w:val="en-GB" w:eastAsia="en-GB"/>
    </w:rPr>
  </w:style>
  <w:style w:type="paragraph" w:customStyle="1" w:styleId="p9">
    <w:name w:val="p9"/>
    <w:basedOn w:val="Normal"/>
    <w:rsid w:val="005A5905"/>
    <w:pPr>
      <w:spacing w:before="299" w:after="44"/>
    </w:pPr>
    <w:rPr>
      <w:rFonts w:ascii="Atletico" w:hAnsi="Atletico" w:cs="Times New Roman"/>
      <w:color w:val="3F5966"/>
      <w:sz w:val="15"/>
      <w:szCs w:val="15"/>
      <w:lang w:val="en-GB" w:eastAsia="en-GB"/>
    </w:rPr>
  </w:style>
  <w:style w:type="paragraph" w:customStyle="1" w:styleId="p10">
    <w:name w:val="p10"/>
    <w:basedOn w:val="Normal"/>
    <w:rsid w:val="005A5905"/>
    <w:pPr>
      <w:spacing w:before="128" w:after="170"/>
    </w:pPr>
    <w:rPr>
      <w:rFonts w:ascii="Atletico" w:hAnsi="Atletico" w:cs="Times New Roman"/>
      <w:sz w:val="14"/>
      <w:szCs w:val="14"/>
      <w:lang w:val="en-GB" w:eastAsia="en-GB"/>
    </w:rPr>
  </w:style>
  <w:style w:type="character" w:customStyle="1" w:styleId="s1">
    <w:name w:val="s1"/>
    <w:basedOn w:val="DefaultParagraphFont"/>
    <w:rsid w:val="005A5905"/>
    <w:rPr>
      <w:spacing w:val="-2"/>
    </w:rPr>
  </w:style>
  <w:style w:type="character" w:customStyle="1" w:styleId="apple-converted-space">
    <w:name w:val="apple-converted-space"/>
    <w:basedOn w:val="DefaultParagraphFont"/>
    <w:rsid w:val="005A5905"/>
  </w:style>
  <w:style w:type="character" w:customStyle="1" w:styleId="s2">
    <w:name w:val="s2"/>
    <w:basedOn w:val="DefaultParagraphFont"/>
    <w:rsid w:val="005A5905"/>
    <w:rPr>
      <w:spacing w:val="-3"/>
    </w:rPr>
  </w:style>
  <w:style w:type="character" w:customStyle="1" w:styleId="apple-tab-span">
    <w:name w:val="apple-tab-span"/>
    <w:basedOn w:val="DefaultParagraphFont"/>
    <w:rsid w:val="005A5905"/>
  </w:style>
  <w:style w:type="paragraph" w:customStyle="1" w:styleId="p11">
    <w:name w:val="p11"/>
    <w:basedOn w:val="Normal"/>
    <w:rsid w:val="005A5905"/>
    <w:pPr>
      <w:spacing w:before="299" w:after="44"/>
    </w:pPr>
    <w:rPr>
      <w:rFonts w:ascii="Atletico" w:hAnsi="Atletico" w:cs="Times New Roman"/>
      <w:color w:val="3F5966"/>
      <w:sz w:val="15"/>
      <w:szCs w:val="15"/>
      <w:lang w:val="en-GB" w:eastAsia="en-GB"/>
    </w:rPr>
  </w:style>
  <w:style w:type="paragraph" w:customStyle="1" w:styleId="p12">
    <w:name w:val="p12"/>
    <w:basedOn w:val="Normal"/>
    <w:rsid w:val="005A5905"/>
    <w:pPr>
      <w:spacing w:before="128" w:after="170"/>
    </w:pPr>
    <w:rPr>
      <w:rFonts w:ascii="Atletico" w:hAnsi="Atletico" w:cs="Times New Roman"/>
      <w:sz w:val="14"/>
      <w:szCs w:val="14"/>
      <w:lang w:val="en-GB" w:eastAsia="en-GB"/>
    </w:rPr>
  </w:style>
  <w:style w:type="paragraph" w:customStyle="1" w:styleId="p13">
    <w:name w:val="p13"/>
    <w:basedOn w:val="Normal"/>
    <w:rsid w:val="005A5905"/>
    <w:pPr>
      <w:spacing w:before="213" w:after="44"/>
    </w:pPr>
    <w:rPr>
      <w:rFonts w:ascii="Atletico" w:hAnsi="Atletico" w:cs="Times New Roman"/>
      <w:color w:val="3F5966"/>
      <w:sz w:val="15"/>
      <w:szCs w:val="15"/>
      <w:lang w:val="en-GB" w:eastAsia="en-GB"/>
    </w:rPr>
  </w:style>
  <w:style w:type="paragraph" w:customStyle="1" w:styleId="Tabletextcentred">
    <w:name w:val="Table text centred"/>
    <w:basedOn w:val="Tabletext"/>
    <w:autoRedefine/>
    <w:qFormat/>
    <w:rsid w:val="005A5905"/>
    <w:pPr>
      <w:tabs>
        <w:tab w:val="left" w:pos="170"/>
      </w:tabs>
      <w:spacing w:line="190" w:lineRule="exact"/>
      <w:jc w:val="center"/>
    </w:pPr>
    <w:rPr>
      <w:rFonts w:asciiTheme="minorHAnsi" w:eastAsiaTheme="minorHAnsi" w:hAnsiTheme="minorHAnsi" w:cs="Times New Roman"/>
      <w:color w:val="auto"/>
      <w:spacing w:val="0"/>
      <w:szCs w:val="20"/>
      <w:lang w:eastAsia="en-GB"/>
    </w:rPr>
  </w:style>
  <w:style w:type="paragraph" w:customStyle="1" w:styleId="Note">
    <w:name w:val="Note"/>
    <w:basedOn w:val="Normal"/>
    <w:qFormat/>
    <w:rsid w:val="005A5905"/>
    <w:pPr>
      <w:spacing w:before="60"/>
    </w:pPr>
    <w:rPr>
      <w:rFonts w:asciiTheme="minorHAnsi" w:hAnsiTheme="minorHAnsi" w:cs="Times New Roman"/>
      <w:sz w:val="15"/>
      <w:szCs w:val="15"/>
      <w:lang w:val="en-GB" w:eastAsia="en-GB"/>
    </w:rPr>
  </w:style>
  <w:style w:type="paragraph" w:customStyle="1" w:styleId="Figspace0">
    <w:name w:val="Fig space"/>
    <w:qFormat/>
    <w:rsid w:val="005A5905"/>
    <w:pPr>
      <w:spacing w:after="360" w:line="240" w:lineRule="auto"/>
    </w:pPr>
    <w:rPr>
      <w:rFonts w:eastAsiaTheme="minorHAnsi" w:cs="Times New Roman"/>
      <w:b/>
      <w:sz w:val="21"/>
      <w:szCs w:val="20"/>
      <w:lang w:val="en-GB" w:eastAsia="en-GB"/>
    </w:rPr>
  </w:style>
  <w:style w:type="paragraph" w:customStyle="1" w:styleId="Heading31">
    <w:name w:val="Heading 31"/>
    <w:basedOn w:val="Normal"/>
    <w:next w:val="Normal"/>
    <w:uiPriority w:val="9"/>
    <w:unhideWhenUsed/>
    <w:qFormat/>
    <w:rsid w:val="005A5905"/>
    <w:pPr>
      <w:keepNext/>
      <w:keepLines/>
      <w:spacing w:before="360"/>
      <w:outlineLvl w:val="2"/>
    </w:pPr>
    <w:rPr>
      <w:rFonts w:eastAsia="MS Gothic" w:cs="Times New Roman"/>
      <w:b/>
      <w:bCs/>
      <w:szCs w:val="24"/>
      <w:lang w:val="en-US"/>
    </w:rPr>
  </w:style>
  <w:style w:type="paragraph" w:customStyle="1" w:styleId="DocTitle-1">
    <w:name w:val="Doc Title - 1"/>
    <w:basedOn w:val="NoParagraphStyle"/>
    <w:uiPriority w:val="99"/>
    <w:rsid w:val="005A5905"/>
    <w:rPr>
      <w:rFonts w:eastAsia="MS Mincho"/>
      <w:color w:val="FFFFFF"/>
    </w:rPr>
  </w:style>
  <w:style w:type="paragraph" w:customStyle="1" w:styleId="DocTitle-3tier">
    <w:name w:val="Doc Title - 3 tier"/>
    <w:basedOn w:val="NoParagraphStyle"/>
    <w:uiPriority w:val="99"/>
    <w:rsid w:val="005A5905"/>
    <w:rPr>
      <w:rFonts w:eastAsia="MS Mincho"/>
      <w:color w:val="FFFFFF"/>
    </w:rPr>
  </w:style>
  <w:style w:type="paragraph" w:customStyle="1" w:styleId="TablecolumnheadCENTRETABLES">
    <w:name w:val="Table column head CENTRE (TABLES)"/>
    <w:basedOn w:val="TableTextTABLES"/>
    <w:uiPriority w:val="99"/>
    <w:rsid w:val="005A5905"/>
    <w:pPr>
      <w:suppressAutoHyphens w:val="0"/>
      <w:spacing w:before="0"/>
    </w:pPr>
    <w:rPr>
      <w:rFonts w:ascii="Calibri" w:eastAsia="MS Mincho" w:hAnsi="Calibri" w:cs="MinionPro-Regular"/>
      <w:b/>
      <w:bCs/>
      <w:caps/>
      <w:color w:val="FFFFFF"/>
      <w:sz w:val="32"/>
      <w:szCs w:val="32"/>
    </w:rPr>
  </w:style>
  <w:style w:type="character" w:customStyle="1" w:styleId="KlavikaREGDKgreen">
    <w:name w:val="Klavika REG DK green"/>
    <w:uiPriority w:val="99"/>
    <w:rsid w:val="005A5905"/>
    <w:rPr>
      <w:color w:val="000000"/>
    </w:rPr>
  </w:style>
  <w:style w:type="paragraph" w:customStyle="1" w:styleId="H2Bodycopyheader">
    <w:name w:val="H2 Body copy header"/>
    <w:basedOn w:val="NoParagraphStyle"/>
    <w:uiPriority w:val="99"/>
    <w:rsid w:val="005A5905"/>
    <w:rPr>
      <w:rFonts w:eastAsia="MS Mincho"/>
      <w:color w:val="FFFFFF"/>
    </w:rPr>
  </w:style>
  <w:style w:type="paragraph" w:customStyle="1" w:styleId="TableTABLES">
    <w:name w:val="Table # (TABLES)"/>
    <w:basedOn w:val="TableTextTABLES"/>
    <w:uiPriority w:val="99"/>
    <w:rsid w:val="005A5905"/>
    <w:pPr>
      <w:suppressAutoHyphens w:val="0"/>
      <w:spacing w:before="0"/>
    </w:pPr>
    <w:rPr>
      <w:rFonts w:ascii="Calibri" w:eastAsia="MS Mincho" w:hAnsi="Calibri" w:cs="MinionPro-Regular"/>
      <w:b/>
      <w:bCs/>
      <w:caps/>
      <w:color w:val="FFFFFF"/>
      <w:sz w:val="32"/>
      <w:szCs w:val="32"/>
    </w:rPr>
  </w:style>
  <w:style w:type="paragraph" w:customStyle="1" w:styleId="TableTextC">
    <w:name w:val="Table Text C"/>
    <w:basedOn w:val="TableTextTABLES"/>
    <w:qFormat/>
    <w:rsid w:val="005A5905"/>
    <w:pPr>
      <w:suppressAutoHyphens w:val="0"/>
      <w:spacing w:before="0"/>
    </w:pPr>
    <w:rPr>
      <w:rFonts w:ascii="Calibri" w:eastAsia="MS Mincho" w:hAnsi="Calibri" w:cs="MinionPro-Regular"/>
      <w:b/>
      <w:bCs/>
      <w:caps/>
      <w:color w:val="FFFFFF"/>
      <w:sz w:val="32"/>
      <w:szCs w:val="32"/>
    </w:rPr>
  </w:style>
  <w:style w:type="paragraph" w:customStyle="1" w:styleId="CommentText1">
    <w:name w:val="Comment Text1"/>
    <w:basedOn w:val="Normal"/>
    <w:next w:val="CommentText"/>
    <w:uiPriority w:val="99"/>
    <w:semiHidden/>
    <w:unhideWhenUsed/>
    <w:rsid w:val="005A5905"/>
    <w:rPr>
      <w:sz w:val="24"/>
      <w:szCs w:val="24"/>
      <w:lang w:val="en-GB"/>
    </w:rPr>
  </w:style>
  <w:style w:type="paragraph" w:customStyle="1" w:styleId="CommentSubject1">
    <w:name w:val="Comment Subject1"/>
    <w:basedOn w:val="CommentText"/>
    <w:next w:val="CommentText"/>
    <w:uiPriority w:val="99"/>
    <w:semiHidden/>
    <w:unhideWhenUsed/>
    <w:rsid w:val="005A5905"/>
    <w:rPr>
      <w:rFonts w:ascii="Times New Roman" w:hAnsi="Times New Roman" w:cs="Times New Roman"/>
      <w:lang w:val="en-GB" w:eastAsia="en-GB"/>
    </w:rPr>
  </w:style>
  <w:style w:type="paragraph" w:customStyle="1" w:styleId="BalloonText1">
    <w:name w:val="Balloon Text1"/>
    <w:basedOn w:val="Normal"/>
    <w:next w:val="BalloonText"/>
    <w:uiPriority w:val="99"/>
    <w:semiHidden/>
    <w:unhideWhenUsed/>
    <w:rsid w:val="005A5905"/>
    <w:rPr>
      <w:rFonts w:ascii="Times New Roman" w:hAnsi="Times New Roman" w:cs="Times New Roman"/>
      <w:sz w:val="18"/>
      <w:lang w:val="en-GB"/>
    </w:rPr>
  </w:style>
  <w:style w:type="table" w:customStyle="1" w:styleId="QILTTableStylePH">
    <w:name w:val="QILT Table Style PH"/>
    <w:basedOn w:val="TableNormal"/>
    <w:uiPriority w:val="99"/>
    <w:rsid w:val="005A5905"/>
    <w:pPr>
      <w:spacing w:after="0" w:line="240" w:lineRule="auto"/>
    </w:pPr>
    <w:rPr>
      <w:rFonts w:eastAsia="MS Mincho"/>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style>
  <w:style w:type="paragraph" w:customStyle="1" w:styleId="Revision1">
    <w:name w:val="Revision1"/>
    <w:next w:val="Revision"/>
    <w:hidden/>
    <w:uiPriority w:val="99"/>
    <w:semiHidden/>
    <w:rsid w:val="005A5905"/>
    <w:pPr>
      <w:spacing w:after="0" w:line="240" w:lineRule="auto"/>
    </w:pPr>
    <w:rPr>
      <w:rFonts w:ascii="Arial" w:eastAsia="MS Mincho" w:hAnsi="Arial"/>
      <w:sz w:val="20"/>
      <w:szCs w:val="24"/>
      <w:lang w:val="en-US"/>
    </w:rPr>
  </w:style>
  <w:style w:type="character" w:customStyle="1" w:styleId="Heading3Char1">
    <w:name w:val="Heading 3 Char1"/>
    <w:basedOn w:val="DefaultParagraphFont"/>
    <w:uiPriority w:val="9"/>
    <w:semiHidden/>
    <w:rsid w:val="005A5905"/>
    <w:rPr>
      <w:rFonts w:asciiTheme="majorHAnsi" w:eastAsiaTheme="majorEastAsia" w:hAnsiTheme="majorHAnsi" w:cstheme="majorBidi"/>
      <w:color w:val="282F06" w:themeColor="accent1" w:themeShade="7F"/>
      <w:lang w:eastAsia="en-GB"/>
    </w:rPr>
  </w:style>
  <w:style w:type="character" w:customStyle="1" w:styleId="CommentTextChar1">
    <w:name w:val="Comment Text Char1"/>
    <w:basedOn w:val="DefaultParagraphFont"/>
    <w:uiPriority w:val="99"/>
    <w:semiHidden/>
    <w:rsid w:val="005A5905"/>
    <w:rPr>
      <w:rFonts w:ascii="Times New Roman" w:hAnsi="Times New Roman" w:cs="Times New Roman"/>
      <w:sz w:val="20"/>
      <w:szCs w:val="20"/>
      <w:lang w:eastAsia="en-GB"/>
    </w:rPr>
  </w:style>
  <w:style w:type="character" w:customStyle="1" w:styleId="CommentSubjectChar1">
    <w:name w:val="Comment Subject Char1"/>
    <w:basedOn w:val="CommentTextChar1"/>
    <w:uiPriority w:val="99"/>
    <w:semiHidden/>
    <w:rsid w:val="005A5905"/>
    <w:rPr>
      <w:rFonts w:ascii="Times New Roman" w:hAnsi="Times New Roman" w:cs="Times New Roman"/>
      <w:b/>
      <w:bCs/>
      <w:sz w:val="20"/>
      <w:szCs w:val="20"/>
      <w:lang w:eastAsia="en-GB"/>
    </w:rPr>
  </w:style>
  <w:style w:type="character" w:customStyle="1" w:styleId="BalloonTextChar1">
    <w:name w:val="Balloon Text Char1"/>
    <w:basedOn w:val="DefaultParagraphFont"/>
    <w:uiPriority w:val="99"/>
    <w:semiHidden/>
    <w:rsid w:val="005A5905"/>
    <w:rPr>
      <w:rFonts w:ascii="Segoe UI" w:hAnsi="Segoe UI" w:cs="Segoe UI"/>
      <w:sz w:val="18"/>
      <w:szCs w:val="18"/>
      <w:lang w:eastAsia="en-GB"/>
    </w:rPr>
  </w:style>
  <w:style w:type="table" w:customStyle="1" w:styleId="QILTTableStylePH1">
    <w:name w:val="QILT Table Style PH1"/>
    <w:basedOn w:val="TableNormal"/>
    <w:uiPriority w:val="99"/>
    <w:rsid w:val="005A5905"/>
    <w:pPr>
      <w:spacing w:after="0" w:line="240" w:lineRule="auto"/>
    </w:pPr>
    <w:rPr>
      <w:rFonts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style>
  <w:style w:type="table" w:customStyle="1" w:styleId="TableGrid1">
    <w:name w:val="Table Grid1"/>
    <w:basedOn w:val="TableNormal"/>
    <w:next w:val="TableGrid"/>
    <w:uiPriority w:val="39"/>
    <w:rsid w:val="005A5905"/>
    <w:pPr>
      <w:spacing w:after="0" w:line="240" w:lineRule="auto"/>
    </w:pPr>
    <w:rPr>
      <w:rFonts w:eastAsia="Times New Roman" w:cs="Times New Roman"/>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QILTTableStylePH2">
    <w:name w:val="QILT Table Style PH2"/>
    <w:basedOn w:val="TableNormal"/>
    <w:uiPriority w:val="99"/>
    <w:rsid w:val="005A5905"/>
    <w:pPr>
      <w:spacing w:after="0" w:line="240" w:lineRule="auto"/>
    </w:pPr>
    <w:rPr>
      <w:rFonts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style>
  <w:style w:type="table" w:customStyle="1" w:styleId="QILTTableStylePH3">
    <w:name w:val="QILT Table Style PH3"/>
    <w:basedOn w:val="TableNormal"/>
    <w:uiPriority w:val="99"/>
    <w:rsid w:val="005A5905"/>
    <w:pPr>
      <w:spacing w:after="0" w:line="240" w:lineRule="auto"/>
    </w:pPr>
    <w:rPr>
      <w:rFonts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style>
  <w:style w:type="character" w:customStyle="1" w:styleId="UnresolvedMention1">
    <w:name w:val="Unresolved Mention1"/>
    <w:basedOn w:val="DefaultParagraphFont"/>
    <w:uiPriority w:val="99"/>
    <w:unhideWhenUsed/>
    <w:rsid w:val="005A5905"/>
    <w:rPr>
      <w:color w:val="605E5C"/>
      <w:shd w:val="clear" w:color="auto" w:fill="E1DFDD"/>
    </w:rPr>
  </w:style>
  <w:style w:type="paragraph" w:styleId="EndnoteText">
    <w:name w:val="endnote text"/>
    <w:basedOn w:val="Normal"/>
    <w:link w:val="EndnoteTextChar"/>
    <w:uiPriority w:val="99"/>
    <w:semiHidden/>
    <w:unhideWhenUsed/>
    <w:rsid w:val="005A5905"/>
    <w:rPr>
      <w:rFonts w:asciiTheme="minorHAnsi" w:eastAsiaTheme="minorEastAsia" w:hAnsiTheme="minorHAnsi"/>
      <w:szCs w:val="20"/>
      <w:lang w:val="en-US"/>
    </w:rPr>
  </w:style>
  <w:style w:type="character" w:customStyle="1" w:styleId="EndnoteTextChar">
    <w:name w:val="Endnote Text Char"/>
    <w:basedOn w:val="DefaultParagraphFont"/>
    <w:link w:val="EndnoteText"/>
    <w:uiPriority w:val="99"/>
    <w:semiHidden/>
    <w:rsid w:val="005A5905"/>
    <w:rPr>
      <w:sz w:val="20"/>
      <w:szCs w:val="20"/>
      <w:lang w:val="en-US"/>
    </w:rPr>
  </w:style>
  <w:style w:type="character" w:styleId="EndnoteReference">
    <w:name w:val="endnote reference"/>
    <w:basedOn w:val="DefaultParagraphFont"/>
    <w:uiPriority w:val="99"/>
    <w:semiHidden/>
    <w:unhideWhenUsed/>
    <w:rsid w:val="005A5905"/>
    <w:rPr>
      <w:vertAlign w:val="superscript"/>
    </w:rPr>
  </w:style>
  <w:style w:type="character" w:styleId="UnresolvedMention">
    <w:name w:val="Unresolved Mention"/>
    <w:basedOn w:val="DefaultParagraphFont"/>
    <w:uiPriority w:val="99"/>
    <w:unhideWhenUsed/>
    <w:rsid w:val="005A5905"/>
    <w:rPr>
      <w:color w:val="605E5C"/>
      <w:shd w:val="clear" w:color="auto" w:fill="E1DFDD"/>
    </w:rPr>
  </w:style>
  <w:style w:type="paragraph" w:customStyle="1" w:styleId="Style1">
    <w:name w:val="Style1"/>
    <w:basedOn w:val="Sub1nounderline"/>
    <w:link w:val="Style1Char"/>
    <w:qFormat/>
    <w:rsid w:val="005A5905"/>
    <w:rPr>
      <w:rFonts w:ascii="Arial" w:hAnsi="Arial"/>
      <w:b w:val="0"/>
      <w:sz w:val="20"/>
    </w:rPr>
  </w:style>
  <w:style w:type="character" w:customStyle="1" w:styleId="Sub1nounderlineChar">
    <w:name w:val="Sub 1 no underline Char"/>
    <w:basedOn w:val="DefaultParagraphFont"/>
    <w:link w:val="Sub1nounderline"/>
    <w:rsid w:val="005A5905"/>
    <w:rPr>
      <w:rFonts w:asciiTheme="majorHAnsi" w:hAnsiTheme="majorHAnsi" w:cs="Gotham-Book"/>
      <w:b/>
      <w:spacing w:val="-4"/>
      <w:sz w:val="24"/>
      <w:szCs w:val="24"/>
      <w:lang w:val="en-GB"/>
    </w:rPr>
  </w:style>
  <w:style w:type="character" w:customStyle="1" w:styleId="Style1Char">
    <w:name w:val="Style1 Char"/>
    <w:basedOn w:val="Sub1nounderlineChar"/>
    <w:link w:val="Style1"/>
    <w:rsid w:val="005A5905"/>
    <w:rPr>
      <w:rFonts w:ascii="Arial" w:hAnsi="Arial" w:cs="Gotham-Book"/>
      <w:b w:val="0"/>
      <w:spacing w:val="-4"/>
      <w:sz w:val="20"/>
      <w:szCs w:val="24"/>
      <w:lang w:val="en-GB"/>
    </w:rPr>
  </w:style>
  <w:style w:type="paragraph" w:customStyle="1" w:styleId="Footertable">
    <w:name w:val="Footer (table)"/>
    <w:link w:val="FootertableChar"/>
    <w:uiPriority w:val="99"/>
    <w:rsid w:val="005A5905"/>
    <w:pPr>
      <w:widowControl w:val="0"/>
      <w:suppressAutoHyphens/>
      <w:autoSpaceDE w:val="0"/>
      <w:autoSpaceDN w:val="0"/>
      <w:adjustRightInd w:val="0"/>
      <w:spacing w:after="0" w:line="240" w:lineRule="auto"/>
      <w:textAlignment w:val="center"/>
    </w:pPr>
    <w:rPr>
      <w:rFonts w:ascii="ArialMT" w:hAnsi="ArialMT" w:cs="ArialMT"/>
      <w:color w:val="000000"/>
      <w:spacing w:val="1"/>
      <w:sz w:val="16"/>
      <w:szCs w:val="16"/>
      <w:lang w:val="en-GB"/>
    </w:rPr>
  </w:style>
  <w:style w:type="paragraph" w:customStyle="1" w:styleId="Bullet1">
    <w:name w:val="Bullet 1"/>
    <w:basedOn w:val="BodyText"/>
    <w:qFormat/>
    <w:rsid w:val="005A5905"/>
    <w:pPr>
      <w:framePr w:wrap="around" w:hAnchor="text"/>
      <w:tabs>
        <w:tab w:val="left" w:pos="284"/>
        <w:tab w:val="left" w:pos="4872"/>
        <w:tab w:val="left" w:pos="11338"/>
      </w:tabs>
      <w:spacing w:before="120" w:after="0" w:line="230" w:lineRule="exact"/>
      <w:ind w:left="170" w:hanging="170"/>
    </w:pPr>
    <w:rPr>
      <w:rFonts w:ascii="Calibri" w:hAnsi="Calibri" w:cs="Calibri"/>
      <w:color w:val="000000"/>
      <w:sz w:val="18"/>
      <w:lang w:val="en-GB" w:eastAsia="en-GB"/>
    </w:rPr>
  </w:style>
  <w:style w:type="paragraph" w:customStyle="1" w:styleId="TablecolumnheadLTABLES">
    <w:name w:val="Table column head L (TABLES)"/>
    <w:basedOn w:val="Normal"/>
    <w:uiPriority w:val="99"/>
    <w:rsid w:val="005A5905"/>
    <w:pPr>
      <w:suppressAutoHyphens/>
      <w:autoSpaceDE w:val="0"/>
      <w:autoSpaceDN w:val="0"/>
      <w:adjustRightInd w:val="0"/>
      <w:spacing w:line="288" w:lineRule="auto"/>
      <w:textAlignment w:val="center"/>
    </w:pPr>
    <w:rPr>
      <w:rFonts w:ascii="Calibri-Bold" w:hAnsi="Calibri-Bold" w:cs="Calibri-Bold"/>
      <w:b/>
      <w:bCs/>
      <w:color w:val="000000"/>
      <w:sz w:val="18"/>
      <w:lang w:val="en-US"/>
    </w:rPr>
  </w:style>
  <w:style w:type="paragraph" w:customStyle="1" w:styleId="TabletextcentredTABLES">
    <w:name w:val="Table text centred (TABLES)"/>
    <w:basedOn w:val="TableTextTABLES"/>
    <w:uiPriority w:val="99"/>
    <w:rsid w:val="005A5905"/>
    <w:pPr>
      <w:widowControl/>
      <w:jc w:val="center"/>
    </w:pPr>
    <w:rPr>
      <w:rFonts w:ascii="Calibri-Light" w:eastAsiaTheme="minorHAnsi" w:hAnsi="Calibri-Light" w:cs="Calibri-Light"/>
    </w:rPr>
  </w:style>
  <w:style w:type="paragraph" w:customStyle="1" w:styleId="Heading0">
    <w:name w:val="Heading 0"/>
    <w:basedOn w:val="Heading1"/>
    <w:qFormat/>
    <w:rsid w:val="005A5905"/>
    <w:pPr>
      <w:keepNext/>
      <w:keepLines/>
      <w:pageBreakBefore w:val="0"/>
      <w:numPr>
        <w:numId w:val="0"/>
      </w:numPr>
      <w:spacing w:before="240" w:after="0"/>
    </w:pPr>
    <w:rPr>
      <w:rFonts w:asciiTheme="majorHAnsi" w:eastAsiaTheme="majorEastAsia" w:hAnsiTheme="majorHAnsi" w:cstheme="majorBidi"/>
      <w:color w:val="auto"/>
      <w:lang w:val="en-GB" w:eastAsia="en-GB"/>
    </w:rPr>
  </w:style>
  <w:style w:type="paragraph" w:customStyle="1" w:styleId="TabletextRangedLeft">
    <w:name w:val="Table text (Ranged Left)"/>
    <w:qFormat/>
    <w:rsid w:val="005A5905"/>
    <w:pPr>
      <w:spacing w:after="0" w:line="240" w:lineRule="auto"/>
    </w:pPr>
    <w:rPr>
      <w:rFonts w:ascii="ArialMT" w:hAnsi="ArialMT" w:cs="Gotham-Light"/>
      <w:spacing w:val="-2"/>
      <w:sz w:val="20"/>
      <w:szCs w:val="18"/>
      <w:lang w:val="en-GB"/>
    </w:rPr>
  </w:style>
  <w:style w:type="paragraph" w:customStyle="1" w:styleId="TablecolumnheaderL">
    <w:name w:val="Table column header L"/>
    <w:basedOn w:val="Normal"/>
    <w:qFormat/>
    <w:rsid w:val="005A5905"/>
    <w:pPr>
      <w:spacing w:line="190" w:lineRule="exact"/>
    </w:pPr>
    <w:rPr>
      <w:rFonts w:eastAsiaTheme="minorEastAsia" w:cs="Calibri"/>
      <w:b/>
      <w:spacing w:val="-2"/>
      <w:sz w:val="18"/>
      <w:lang w:val="en-US"/>
    </w:rPr>
  </w:style>
  <w:style w:type="paragraph" w:customStyle="1" w:styleId="TableHead-L1-LEFTalign">
    <w:name w:val="Table Head - L1 - LEFT align"/>
    <w:basedOn w:val="Normal"/>
    <w:qFormat/>
    <w:rsid w:val="005A5905"/>
    <w:rPr>
      <w:rFonts w:ascii="ArialMT" w:eastAsiaTheme="minorEastAsia" w:hAnsi="ArialMT" w:cs="Gotham-Light"/>
      <w:b/>
      <w:spacing w:val="-2"/>
      <w:lang w:val="en-GB"/>
    </w:rPr>
  </w:style>
  <w:style w:type="paragraph" w:customStyle="1" w:styleId="TablebulletALPHATABLES">
    <w:name w:val="Table bullet ALPHA (TABLES)"/>
    <w:basedOn w:val="Normal"/>
    <w:uiPriority w:val="99"/>
    <w:rsid w:val="005A5905"/>
    <w:pPr>
      <w:tabs>
        <w:tab w:val="left" w:pos="170"/>
      </w:tabs>
      <w:suppressAutoHyphens/>
      <w:autoSpaceDE w:val="0"/>
      <w:autoSpaceDN w:val="0"/>
      <w:adjustRightInd w:val="0"/>
      <w:spacing w:before="57" w:line="288" w:lineRule="auto"/>
      <w:ind w:left="227" w:hanging="227"/>
      <w:textAlignment w:val="center"/>
    </w:pPr>
    <w:rPr>
      <w:rFonts w:ascii="Calibri-Light" w:hAnsi="Calibri-Light" w:cs="Calibri-Light"/>
      <w:color w:val="000000"/>
      <w:sz w:val="17"/>
      <w:szCs w:val="17"/>
      <w:lang w:val="en-GB"/>
    </w:rPr>
  </w:style>
  <w:style w:type="paragraph" w:customStyle="1" w:styleId="Default">
    <w:name w:val="Default"/>
    <w:rsid w:val="005A5905"/>
    <w:pPr>
      <w:autoSpaceDE w:val="0"/>
      <w:autoSpaceDN w:val="0"/>
      <w:adjustRightInd w:val="0"/>
      <w:spacing w:after="0" w:line="240" w:lineRule="auto"/>
    </w:pPr>
    <w:rPr>
      <w:rFonts w:ascii="Arial" w:eastAsiaTheme="minorHAnsi" w:hAnsi="Arial" w:cs="Arial"/>
      <w:color w:val="000000"/>
      <w:sz w:val="24"/>
      <w:szCs w:val="24"/>
    </w:rPr>
  </w:style>
  <w:style w:type="paragraph" w:customStyle="1" w:styleId="FirstParagraph">
    <w:name w:val="First Paragraph"/>
    <w:basedOn w:val="BodyText"/>
    <w:next w:val="BodyText"/>
    <w:qFormat/>
    <w:rsid w:val="005A5905"/>
    <w:pPr>
      <w:framePr w:wrap="around" w:hAnchor="text"/>
      <w:spacing w:before="180" w:after="180" w:line="240" w:lineRule="auto"/>
    </w:pPr>
    <w:rPr>
      <w:rFonts w:ascii="Calibri" w:hAnsi="Calibri"/>
      <w:color w:val="000000"/>
      <w:sz w:val="24"/>
      <w:szCs w:val="24"/>
      <w:lang w:val="en-US"/>
    </w:rPr>
  </w:style>
  <w:style w:type="character" w:customStyle="1" w:styleId="UnresolvedMention2">
    <w:name w:val="Unresolved Mention2"/>
    <w:basedOn w:val="DefaultParagraphFont"/>
    <w:uiPriority w:val="99"/>
    <w:semiHidden/>
    <w:unhideWhenUsed/>
    <w:rsid w:val="005A5905"/>
    <w:rPr>
      <w:color w:val="605E5C"/>
      <w:shd w:val="clear" w:color="auto" w:fill="E1DFDD"/>
    </w:rPr>
  </w:style>
  <w:style w:type="paragraph" w:customStyle="1" w:styleId="Syntaxfont">
    <w:name w:val="Syntax font"/>
    <w:basedOn w:val="Body"/>
    <w:link w:val="SyntaxfontChar"/>
    <w:qFormat/>
    <w:rsid w:val="005A5905"/>
    <w:pPr>
      <w:spacing w:line="240" w:lineRule="auto"/>
      <w:contextualSpacing/>
    </w:pPr>
    <w:rPr>
      <w:lang w:bidi="en-US"/>
    </w:rPr>
  </w:style>
  <w:style w:type="character" w:customStyle="1" w:styleId="SyntaxfontChar">
    <w:name w:val="Syntax font Char"/>
    <w:basedOn w:val="BodyChar"/>
    <w:link w:val="Syntaxfont"/>
    <w:rsid w:val="005A5905"/>
    <w:rPr>
      <w:rFonts w:ascii="Arial" w:eastAsia="Times New Roman" w:hAnsi="Arial" w:cs="Times New Roman"/>
      <w:sz w:val="20"/>
      <w:szCs w:val="20"/>
      <w:lang w:bidi="en-US"/>
    </w:rPr>
  </w:style>
  <w:style w:type="table" w:customStyle="1" w:styleId="GridTable4-Accent21">
    <w:name w:val="Grid Table 4 - Accent 21"/>
    <w:basedOn w:val="TableNormal"/>
    <w:uiPriority w:val="49"/>
    <w:rsid w:val="005A5905"/>
    <w:pPr>
      <w:spacing w:after="0" w:line="240" w:lineRule="auto"/>
    </w:pPr>
    <w:rPr>
      <w:rFonts w:eastAsiaTheme="minorHAnsi"/>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Theme="minorHAnsi" w:hAnsiTheme="minorHAnsi"/>
        <w:b/>
        <w:bCs/>
        <w:color w:val="FFFFFF" w:themeColor="background1"/>
        <w:sz w:val="20"/>
      </w:rPr>
      <w:tblPr/>
      <w:tcPr>
        <w:shd w:val="clear" w:color="auto" w:fill="3A5E5E" w:themeFill="accent4"/>
      </w:tcPr>
    </w:tblStylePr>
    <w:tblStylePr w:type="lastRow">
      <w:rPr>
        <w:rFonts w:asciiTheme="minorHAnsi" w:hAnsiTheme="minorHAnsi"/>
        <w:b/>
        <w:bCs/>
        <w:sz w:val="20"/>
      </w:rPr>
      <w:tblPr/>
      <w:tcPr>
        <w:tcBorders>
          <w:top w:val="double" w:sz="4" w:space="0" w:color="61531D" w:themeColor="accent2"/>
        </w:tcBorders>
      </w:tcPr>
    </w:tblStylePr>
    <w:tblStylePr w:type="firstCol">
      <w:rPr>
        <w:rFonts w:asciiTheme="minorHAnsi" w:hAnsiTheme="minorHAnsi"/>
        <w:b/>
        <w:bCs/>
        <w:sz w:val="20"/>
      </w:rPr>
    </w:tblStylePr>
    <w:tblStylePr w:type="lastCol">
      <w:rPr>
        <w:rFonts w:asciiTheme="minorHAnsi" w:hAnsiTheme="minorHAnsi"/>
        <w:b/>
        <w:bCs/>
        <w:sz w:val="20"/>
      </w:rPr>
    </w:tblStylePr>
    <w:tblStylePr w:type="band1Vert">
      <w:rPr>
        <w:rFonts w:asciiTheme="minorHAnsi" w:hAnsiTheme="minorHAnsi"/>
        <w:sz w:val="20"/>
      </w:rPr>
      <w:tblPr/>
      <w:tcPr>
        <w:shd w:val="clear" w:color="auto" w:fill="D2E3E3" w:themeFill="accent4" w:themeFillTint="33"/>
      </w:tcPr>
    </w:tblStylePr>
    <w:tblStylePr w:type="band2Vert">
      <w:rPr>
        <w:rFonts w:asciiTheme="minorHAnsi" w:hAnsiTheme="minorHAnsi"/>
        <w:sz w:val="20"/>
      </w:rPr>
      <w:tblPr/>
      <w:tcPr>
        <w:tcBorders>
          <w:top w:val="nil"/>
          <w:left w:val="nil"/>
          <w:bottom w:val="nil"/>
          <w:right w:val="nil"/>
          <w:insideH w:val="nil"/>
          <w:insideV w:val="nil"/>
        </w:tcBorders>
        <w:shd w:val="clear" w:color="auto" w:fill="FFFFFF" w:themeFill="background1"/>
      </w:tcPr>
    </w:tblStylePr>
    <w:tblStylePr w:type="band1Horz">
      <w:rPr>
        <w:rFonts w:asciiTheme="minorHAnsi" w:hAnsiTheme="minorHAnsi"/>
        <w:sz w:val="20"/>
      </w:rPr>
      <w:tblPr/>
      <w:tcPr>
        <w:shd w:val="clear" w:color="auto" w:fill="D2E3E3" w:themeFill="accent4" w:themeFillTint="33"/>
      </w:tcPr>
    </w:tblStylePr>
    <w:tblStylePr w:type="band2Horz">
      <w:rPr>
        <w:rFonts w:asciiTheme="minorHAnsi" w:hAnsiTheme="minorHAnsi"/>
        <w:sz w:val="20"/>
      </w:rPr>
      <w:tblPr/>
      <w:tcPr>
        <w:shd w:val="clear" w:color="auto" w:fill="FFFFFF" w:themeFill="background1"/>
      </w:tcPr>
    </w:tblStylePr>
  </w:style>
  <w:style w:type="character" w:customStyle="1" w:styleId="TableHeadCharStyle">
    <w:name w:val="Table – Head Char Style"/>
    <w:uiPriority w:val="99"/>
    <w:rsid w:val="005A5905"/>
    <w:rPr>
      <w:sz w:val="18"/>
      <w:szCs w:val="18"/>
    </w:rPr>
  </w:style>
  <w:style w:type="paragraph" w:customStyle="1" w:styleId="Tabletitleupdate">
    <w:name w:val="Table title update"/>
    <w:basedOn w:val="Caption"/>
    <w:link w:val="TabletitleupdateChar"/>
    <w:qFormat/>
    <w:rsid w:val="005A5905"/>
    <w:pPr>
      <w:tabs>
        <w:tab w:val="clear" w:pos="1134"/>
      </w:tabs>
      <w:spacing w:before="0" w:after="200"/>
      <w:ind w:left="0" w:firstLine="0"/>
    </w:pPr>
    <w:rPr>
      <w:b w:val="0"/>
      <w:bCs w:val="0"/>
      <w:sz w:val="20"/>
      <w:szCs w:val="20"/>
      <w:lang w:val="en-US"/>
    </w:rPr>
  </w:style>
  <w:style w:type="paragraph" w:customStyle="1" w:styleId="Noteupdate">
    <w:name w:val="Note update"/>
    <w:basedOn w:val="Footertable"/>
    <w:link w:val="NoteupdateChar"/>
    <w:qFormat/>
    <w:rsid w:val="005A5905"/>
    <w:rPr>
      <w:rFonts w:ascii="Arial" w:hAnsi="Arial" w:cs="Arial"/>
    </w:rPr>
  </w:style>
  <w:style w:type="character" w:customStyle="1" w:styleId="TabletitleupdateChar">
    <w:name w:val="Table title update Char"/>
    <w:basedOn w:val="CaptionChar"/>
    <w:link w:val="Tabletitleupdate"/>
    <w:rsid w:val="005A5905"/>
    <w:rPr>
      <w:rFonts w:ascii="Arial" w:eastAsia="Times New Roman" w:hAnsi="Arial" w:cs="Arial"/>
      <w:b w:val="0"/>
      <w:bCs w:val="0"/>
      <w:color w:val="004DCF" w:themeColor="text2"/>
      <w:sz w:val="20"/>
      <w:szCs w:val="20"/>
      <w:lang w:val="en-US" w:eastAsia="en-AU"/>
    </w:rPr>
  </w:style>
  <w:style w:type="paragraph" w:customStyle="1" w:styleId="zz">
    <w:name w:val="zz"/>
    <w:basedOn w:val="BodyText"/>
    <w:link w:val="zzChar"/>
    <w:qFormat/>
    <w:rsid w:val="005A5905"/>
    <w:pPr>
      <w:framePr w:wrap="around" w:hAnchor="text"/>
      <w:tabs>
        <w:tab w:val="left" w:pos="284"/>
      </w:tabs>
      <w:spacing w:before="120" w:after="0" w:line="230" w:lineRule="exact"/>
      <w:jc w:val="center"/>
    </w:pPr>
    <w:rPr>
      <w:rFonts w:ascii="Calibri" w:hAnsi="Calibri" w:cs="Calibri"/>
      <w:b/>
      <w:bCs/>
      <w:color w:val="000000"/>
      <w:sz w:val="18"/>
      <w:lang w:val="en-GB" w:eastAsia="en-GB"/>
    </w:rPr>
  </w:style>
  <w:style w:type="character" w:customStyle="1" w:styleId="FootertableChar">
    <w:name w:val="Footer (table) Char"/>
    <w:basedOn w:val="DefaultParagraphFont"/>
    <w:link w:val="Footertable"/>
    <w:uiPriority w:val="99"/>
    <w:rsid w:val="005A5905"/>
    <w:rPr>
      <w:rFonts w:ascii="ArialMT" w:hAnsi="ArialMT" w:cs="ArialMT"/>
      <w:color w:val="000000"/>
      <w:spacing w:val="1"/>
      <w:sz w:val="16"/>
      <w:szCs w:val="16"/>
      <w:lang w:val="en-GB"/>
    </w:rPr>
  </w:style>
  <w:style w:type="character" w:customStyle="1" w:styleId="NoteupdateChar">
    <w:name w:val="Note update Char"/>
    <w:basedOn w:val="FootertableChar"/>
    <w:link w:val="Noteupdate"/>
    <w:rsid w:val="005A5905"/>
    <w:rPr>
      <w:rFonts w:ascii="Arial" w:hAnsi="Arial" w:cs="Arial"/>
      <w:color w:val="000000"/>
      <w:spacing w:val="1"/>
      <w:sz w:val="16"/>
      <w:szCs w:val="16"/>
      <w:lang w:val="en-GB"/>
    </w:rPr>
  </w:style>
  <w:style w:type="paragraph" w:customStyle="1" w:styleId="Tabletextupdate">
    <w:name w:val="Table text update"/>
    <w:basedOn w:val="BodyText"/>
    <w:link w:val="TabletextupdateChar"/>
    <w:qFormat/>
    <w:rsid w:val="005A5905"/>
    <w:pPr>
      <w:framePr w:wrap="around" w:hAnchor="text"/>
      <w:tabs>
        <w:tab w:val="left" w:pos="284"/>
      </w:tabs>
      <w:spacing w:before="120" w:after="0" w:line="230" w:lineRule="exact"/>
    </w:pPr>
    <w:rPr>
      <w:rFonts w:ascii="Calibri" w:hAnsi="Calibri" w:cs="Calibri"/>
      <w:color w:val="000000"/>
      <w:lang w:val="en-GB" w:eastAsia="en-GB"/>
    </w:rPr>
  </w:style>
  <w:style w:type="character" w:customStyle="1" w:styleId="zzChar">
    <w:name w:val="zz Char"/>
    <w:basedOn w:val="BodyTextChar"/>
    <w:link w:val="zz"/>
    <w:rsid w:val="005A5905"/>
    <w:rPr>
      <w:rFonts w:ascii="Calibri" w:eastAsiaTheme="minorHAnsi" w:hAnsi="Calibri" w:cs="Calibri"/>
      <w:b/>
      <w:bCs/>
      <w:color w:val="000000"/>
      <w:sz w:val="18"/>
      <w:szCs w:val="18"/>
      <w:lang w:val="en-GB" w:eastAsia="en-GB"/>
    </w:rPr>
  </w:style>
  <w:style w:type="paragraph" w:customStyle="1" w:styleId="Z">
    <w:name w:val="Z"/>
    <w:basedOn w:val="Tabletext"/>
    <w:link w:val="ZChar"/>
    <w:qFormat/>
    <w:rsid w:val="005A5905"/>
    <w:rPr>
      <w:rFonts w:cs="Arial"/>
      <w:szCs w:val="20"/>
    </w:rPr>
  </w:style>
  <w:style w:type="character" w:customStyle="1" w:styleId="TabletextupdateChar">
    <w:name w:val="Table text update Char"/>
    <w:basedOn w:val="BodyTextChar"/>
    <w:link w:val="Tabletextupdate"/>
    <w:rsid w:val="005A5905"/>
    <w:rPr>
      <w:rFonts w:ascii="Calibri" w:eastAsiaTheme="minorHAnsi" w:hAnsi="Calibri" w:cs="Calibri"/>
      <w:color w:val="000000"/>
      <w:sz w:val="20"/>
      <w:szCs w:val="18"/>
      <w:lang w:val="en-GB" w:eastAsia="en-GB"/>
    </w:rPr>
  </w:style>
  <w:style w:type="character" w:customStyle="1" w:styleId="TabletextChar">
    <w:name w:val="Table text Char"/>
    <w:basedOn w:val="DefaultParagraphFont"/>
    <w:link w:val="Tabletext"/>
    <w:rsid w:val="005A5905"/>
    <w:rPr>
      <w:rFonts w:ascii="Arial" w:hAnsi="Arial" w:cs="Gotham-Light"/>
      <w:color w:val="000A23"/>
      <w:spacing w:val="-2"/>
      <w:sz w:val="18"/>
      <w:szCs w:val="18"/>
      <w:lang w:val="en-GB"/>
    </w:rPr>
  </w:style>
  <w:style w:type="character" w:customStyle="1" w:styleId="ZChar">
    <w:name w:val="Z Char"/>
    <w:basedOn w:val="TabletextChar"/>
    <w:link w:val="Z"/>
    <w:rsid w:val="005A5905"/>
    <w:rPr>
      <w:rFonts w:ascii="Arial" w:hAnsi="Arial" w:cs="Arial"/>
      <w:color w:val="000A23"/>
      <w:spacing w:val="-2"/>
      <w:sz w:val="18"/>
      <w:szCs w:val="20"/>
      <w:lang w:val="en-GB"/>
    </w:rPr>
  </w:style>
  <w:style w:type="character" w:customStyle="1" w:styleId="cf01">
    <w:name w:val="cf01"/>
    <w:basedOn w:val="DefaultParagraphFont"/>
    <w:rsid w:val="005A5905"/>
    <w:rPr>
      <w:rFonts w:ascii="Segoe UI" w:hAnsi="Segoe UI" w:cs="Segoe UI" w:hint="default"/>
      <w:sz w:val="18"/>
      <w:szCs w:val="18"/>
    </w:rPr>
  </w:style>
  <w:style w:type="character" w:styleId="Mention">
    <w:name w:val="Mention"/>
    <w:basedOn w:val="DefaultParagraphFont"/>
    <w:uiPriority w:val="99"/>
    <w:unhideWhenUsed/>
    <w:rsid w:val="005A5905"/>
    <w:rPr>
      <w:color w:val="2B579A"/>
      <w:shd w:val="clear" w:color="auto" w:fill="E1DFDD"/>
    </w:rPr>
  </w:style>
  <w:style w:type="character" w:customStyle="1" w:styleId="A4">
    <w:name w:val="A4"/>
    <w:basedOn w:val="DefaultParagraphFont"/>
    <w:uiPriority w:val="99"/>
    <w:rsid w:val="005A5905"/>
    <w:rPr>
      <w:rFonts w:ascii="Lato" w:hAnsi="Lato" w:hint="default"/>
      <w:color w:val="000000"/>
    </w:rPr>
  </w:style>
  <w:style w:type="paragraph" w:customStyle="1" w:styleId="BasicParagraph">
    <w:name w:val="[Basic Paragraph]"/>
    <w:basedOn w:val="NoParagraphStyle"/>
    <w:uiPriority w:val="99"/>
    <w:rsid w:val="005A5905"/>
    <w:pPr>
      <w:widowControl/>
    </w:pPr>
    <w:rPr>
      <w:rFonts w:ascii="MinionPro-Regular" w:hAnsi="MinionPro-Regular"/>
      <w:b w:val="0"/>
      <w:bCs w:val="0"/>
      <w:caps w:val="0"/>
      <w:color w:val="000000"/>
      <w:sz w:val="24"/>
      <w:szCs w:val="24"/>
      <w:lang w:val="en-US"/>
    </w:rPr>
  </w:style>
  <w:style w:type="character" w:customStyle="1" w:styleId="Tableandchartnumber">
    <w:name w:val="Table and chart number"/>
    <w:uiPriority w:val="99"/>
    <w:rsid w:val="005A5905"/>
    <w:rPr>
      <w:rFonts w:ascii="Quicksand SemiBold" w:hAnsi="Quicksand SemiBold" w:cs="Quicksand SemiBold"/>
      <w:b/>
      <w:bCs/>
      <w:sz w:val="18"/>
      <w:szCs w:val="18"/>
    </w:rPr>
  </w:style>
  <w:style w:type="character" w:customStyle="1" w:styleId="Tableandchartdescription">
    <w:name w:val="Table and chart description"/>
    <w:basedOn w:val="Tableandchartnumber"/>
    <w:uiPriority w:val="99"/>
    <w:rsid w:val="005A5905"/>
    <w:rPr>
      <w:rFonts w:ascii="Quicksand" w:hAnsi="Quicksand" w:cs="Quicksand"/>
      <w:b/>
      <w:bCs/>
      <w:sz w:val="18"/>
      <w:szCs w:val="18"/>
    </w:rPr>
  </w:style>
  <w:style w:type="character" w:customStyle="1" w:styleId="normaltextrun">
    <w:name w:val="normaltextrun"/>
    <w:basedOn w:val="DefaultParagraphFont"/>
    <w:rsid w:val="005A5905"/>
  </w:style>
  <w:style w:type="character" w:customStyle="1" w:styleId="eop">
    <w:name w:val="eop"/>
    <w:basedOn w:val="DefaultParagraphFont"/>
    <w:rsid w:val="005A5905"/>
  </w:style>
  <w:style w:type="paragraph" w:customStyle="1" w:styleId="paragraph">
    <w:name w:val="paragraph"/>
    <w:basedOn w:val="Normal"/>
    <w:rsid w:val="005A5905"/>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msonormal0">
    <w:name w:val="msonormal"/>
    <w:basedOn w:val="Normal"/>
    <w:rsid w:val="005A5905"/>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xl65">
    <w:name w:val="xl65"/>
    <w:basedOn w:val="Normal"/>
    <w:rsid w:val="005A5905"/>
    <w:pPr>
      <w:pBdr>
        <w:left w:val="single" w:sz="12" w:space="0" w:color="FFFFFF"/>
        <w:right w:val="single" w:sz="12" w:space="0" w:color="FFFFFF"/>
      </w:pBdr>
      <w:shd w:val="clear" w:color="000000" w:fill="1F698E"/>
      <w:spacing w:before="100" w:beforeAutospacing="1" w:after="100" w:afterAutospacing="1"/>
      <w:jc w:val="center"/>
      <w:textAlignment w:val="center"/>
    </w:pPr>
    <w:rPr>
      <w:rFonts w:ascii="Calibri" w:eastAsia="Times New Roman" w:hAnsi="Calibri" w:cs="Calibri"/>
      <w:b/>
      <w:bCs/>
      <w:color w:val="FFFFFF"/>
      <w:sz w:val="24"/>
      <w:szCs w:val="24"/>
      <w:lang w:eastAsia="en-AU"/>
    </w:rPr>
  </w:style>
  <w:style w:type="table" w:customStyle="1" w:styleId="SRC">
    <w:name w:val="SRC"/>
    <w:basedOn w:val="TableNormal"/>
    <w:uiPriority w:val="99"/>
    <w:rsid w:val="005A5905"/>
    <w:pPr>
      <w:spacing w:before="60" w:after="60" w:line="240" w:lineRule="auto"/>
    </w:pPr>
    <w:rPr>
      <w:rFonts w:ascii="Arial" w:eastAsiaTheme="minorHAnsi" w:hAnsi="Arial"/>
      <w:sz w:val="18"/>
    </w:rPr>
    <w:tblPr>
      <w:tblStyleRowBandSize w:val="1"/>
      <w:tblStyleColBandSize w:val="1"/>
      <w:tblBorders>
        <w:bottom w:val="single" w:sz="4" w:space="0" w:color="3A5E5E" w:themeColor="accent4"/>
      </w:tblBorders>
    </w:tblPr>
    <w:tblStylePr w:type="firstRow">
      <w:pPr>
        <w:wordWrap/>
        <w:spacing w:beforeLines="0" w:before="60" w:beforeAutospacing="0" w:afterLines="0" w:after="60" w:afterAutospacing="0" w:line="240" w:lineRule="auto"/>
        <w:contextualSpacing w:val="0"/>
        <w:jc w:val="center"/>
      </w:pPr>
      <w:rPr>
        <w:rFonts w:ascii="Arial" w:hAnsi="Arial"/>
        <w:b/>
        <w:color w:val="FFFFFF" w:themeColor="background1"/>
        <w:sz w:val="18"/>
      </w:rPr>
      <w:tblPr/>
      <w:tcPr>
        <w:shd w:val="clear" w:color="auto" w:fill="525F0C" w:themeFill="accent1"/>
      </w:tcPr>
    </w:tblStylePr>
    <w:tblStylePr w:type="lastRow">
      <w:pPr>
        <w:wordWrap/>
        <w:spacing w:beforeLines="0" w:before="60" w:beforeAutospacing="0" w:afterLines="0" w:after="60" w:afterAutospacing="0" w:line="240" w:lineRule="auto"/>
        <w:contextualSpacing w:val="0"/>
      </w:pPr>
    </w:tblStylePr>
    <w:tblStylePr w:type="firstCol">
      <w:pPr>
        <w:wordWrap/>
        <w:spacing w:beforeLines="0" w:before="60" w:beforeAutospacing="0" w:afterLines="0" w:after="60" w:afterAutospacing="0" w:line="240" w:lineRule="auto"/>
        <w:contextualSpacing w:val="0"/>
        <w:jc w:val="left"/>
      </w:pPr>
      <w:tblPr/>
      <w:tcPr>
        <w:vAlign w:val="center"/>
      </w:tcPr>
    </w:tblStylePr>
    <w:tblStylePr w:type="band1Vert">
      <w:pPr>
        <w:wordWrap/>
        <w:spacing w:beforeLines="0" w:before="60" w:beforeAutospacing="0" w:afterLines="0" w:after="60" w:afterAutospacing="0" w:line="240" w:lineRule="auto"/>
        <w:ind w:rightChars="0" w:right="113"/>
        <w:contextualSpacing w:val="0"/>
        <w:jc w:val="right"/>
        <w:outlineLvl w:val="9"/>
      </w:pPr>
      <w:tblPr/>
      <w:tcPr>
        <w:vAlign w:val="center"/>
      </w:tcPr>
    </w:tblStylePr>
    <w:tblStylePr w:type="band2Vert">
      <w:pPr>
        <w:wordWrap/>
        <w:spacing w:beforeLines="0" w:before="60" w:beforeAutospacing="0" w:afterLines="0" w:after="60" w:afterAutospacing="0" w:line="240" w:lineRule="auto"/>
        <w:ind w:rightChars="0" w:right="113"/>
        <w:contextualSpacing w:val="0"/>
        <w:jc w:val="right"/>
      </w:pPr>
      <w:tblPr/>
      <w:tcPr>
        <w:vAlign w:val="center"/>
      </w:tcPr>
    </w:tblStylePr>
    <w:tblStylePr w:type="band1Horz">
      <w:pPr>
        <w:wordWrap/>
        <w:spacing w:beforeLines="0" w:before="60" w:beforeAutospacing="0" w:afterLines="0" w:after="60" w:afterAutospacing="0" w:line="240" w:lineRule="auto"/>
        <w:ind w:rightChars="0" w:right="0"/>
        <w:contextualSpacing w:val="0"/>
        <w:mirrorIndents w:val="0"/>
        <w:jc w:val="right"/>
      </w:pPr>
      <w:rPr>
        <w:rFonts w:ascii="Arial" w:hAnsi="Arial"/>
        <w:sz w:val="18"/>
      </w:rPr>
      <w:tblPr/>
      <w:tcPr>
        <w:shd w:val="clear" w:color="auto" w:fill="D2E3E3" w:themeFill="accent4" w:themeFillTint="33"/>
      </w:tcPr>
    </w:tblStylePr>
    <w:tblStylePr w:type="band2Horz">
      <w:pPr>
        <w:wordWrap/>
        <w:spacing w:beforeLines="0" w:before="60" w:beforeAutospacing="0" w:afterLines="0" w:after="60" w:afterAutospacing="0"/>
        <w:contextualSpacing w:val="0"/>
        <w:jc w:val="right"/>
      </w:pPr>
      <w:tblPr/>
      <w:tcPr>
        <w:vAlign w:val="center"/>
      </w:tcPr>
    </w:tblStylePr>
  </w:style>
  <w:style w:type="paragraph" w:customStyle="1" w:styleId="1ResponseFrame">
    <w:name w:val="1. Response Frame"/>
    <w:basedOn w:val="Normal"/>
    <w:qFormat/>
    <w:rsid w:val="005A5905"/>
    <w:pPr>
      <w:ind w:left="1701" w:hanging="567"/>
    </w:pPr>
    <w:rPr>
      <w:rFonts w:cs="Arial"/>
      <w:szCs w:val="20"/>
    </w:rPr>
  </w:style>
  <w:style w:type="paragraph" w:customStyle="1" w:styleId="QNameText">
    <w:name w:val="Q Name &amp; Text"/>
    <w:basedOn w:val="Normal"/>
    <w:next w:val="Normal"/>
    <w:qFormat/>
    <w:rsid w:val="005A5905"/>
    <w:pPr>
      <w:spacing w:after="120"/>
      <w:ind w:left="1134" w:hanging="1134"/>
    </w:pPr>
    <w:rPr>
      <w:szCs w:val="22"/>
    </w:rPr>
  </w:style>
  <w:style w:type="paragraph" w:customStyle="1" w:styleId="FigureNote">
    <w:name w:val="Figure Note"/>
    <w:basedOn w:val="Normal"/>
    <w:link w:val="FigureNoteChar"/>
    <w:qFormat/>
    <w:rsid w:val="005A5905"/>
    <w:pPr>
      <w:spacing w:before="120"/>
      <w:jc w:val="both"/>
    </w:pPr>
    <w:rPr>
      <w:rFonts w:eastAsia="Calibri" w:cs="Times New Roman"/>
      <w:sz w:val="16"/>
      <w:szCs w:val="22"/>
      <w:lang w:val="en-GB"/>
    </w:rPr>
  </w:style>
  <w:style w:type="character" w:customStyle="1" w:styleId="FigureNoteChar">
    <w:name w:val="Figure Note Char"/>
    <w:basedOn w:val="DefaultParagraphFont"/>
    <w:link w:val="FigureNote"/>
    <w:rsid w:val="005A5905"/>
    <w:rPr>
      <w:rFonts w:ascii="Arial" w:eastAsia="Calibri" w:hAnsi="Arial" w:cs="Times New Roman"/>
      <w:sz w:val="16"/>
      <w:lang w:val="en-GB"/>
    </w:rPr>
  </w:style>
  <w:style w:type="character" w:customStyle="1" w:styleId="ui-provider">
    <w:name w:val="ui-provider"/>
    <w:basedOn w:val="DefaultParagraphFont"/>
    <w:rsid w:val="005851EC"/>
  </w:style>
  <w:style w:type="paragraph" w:customStyle="1" w:styleId="Mainbodytext">
    <w:name w:val="Main body text"/>
    <w:basedOn w:val="NoParagraphStyle"/>
    <w:uiPriority w:val="99"/>
    <w:rsid w:val="006E6ECF"/>
    <w:pPr>
      <w:widowControl/>
      <w:suppressAutoHyphens/>
      <w:spacing w:after="113" w:line="240" w:lineRule="atLeast"/>
    </w:pPr>
    <w:rPr>
      <w:rFonts w:ascii="Public Sans Medium" w:hAnsi="Public Sans Medium" w:cs="Public Sans Medium"/>
      <w:b w:val="0"/>
      <w:bCs w:val="0"/>
      <w:caps w:val="0"/>
      <w:color w:val="000000"/>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89458">
      <w:bodyDiv w:val="1"/>
      <w:marLeft w:val="0"/>
      <w:marRight w:val="0"/>
      <w:marTop w:val="0"/>
      <w:marBottom w:val="0"/>
      <w:divBdr>
        <w:top w:val="none" w:sz="0" w:space="0" w:color="auto"/>
        <w:left w:val="none" w:sz="0" w:space="0" w:color="auto"/>
        <w:bottom w:val="none" w:sz="0" w:space="0" w:color="auto"/>
        <w:right w:val="none" w:sz="0" w:space="0" w:color="auto"/>
      </w:divBdr>
    </w:div>
    <w:div w:id="23529710">
      <w:bodyDiv w:val="1"/>
      <w:marLeft w:val="0"/>
      <w:marRight w:val="0"/>
      <w:marTop w:val="0"/>
      <w:marBottom w:val="0"/>
      <w:divBdr>
        <w:top w:val="none" w:sz="0" w:space="0" w:color="auto"/>
        <w:left w:val="none" w:sz="0" w:space="0" w:color="auto"/>
        <w:bottom w:val="none" w:sz="0" w:space="0" w:color="auto"/>
        <w:right w:val="none" w:sz="0" w:space="0" w:color="auto"/>
      </w:divBdr>
    </w:div>
    <w:div w:id="42868864">
      <w:bodyDiv w:val="1"/>
      <w:marLeft w:val="0"/>
      <w:marRight w:val="0"/>
      <w:marTop w:val="0"/>
      <w:marBottom w:val="0"/>
      <w:divBdr>
        <w:top w:val="none" w:sz="0" w:space="0" w:color="auto"/>
        <w:left w:val="none" w:sz="0" w:space="0" w:color="auto"/>
        <w:bottom w:val="none" w:sz="0" w:space="0" w:color="auto"/>
        <w:right w:val="none" w:sz="0" w:space="0" w:color="auto"/>
      </w:divBdr>
    </w:div>
    <w:div w:id="52237608">
      <w:bodyDiv w:val="1"/>
      <w:marLeft w:val="0"/>
      <w:marRight w:val="0"/>
      <w:marTop w:val="0"/>
      <w:marBottom w:val="0"/>
      <w:divBdr>
        <w:top w:val="none" w:sz="0" w:space="0" w:color="auto"/>
        <w:left w:val="none" w:sz="0" w:space="0" w:color="auto"/>
        <w:bottom w:val="none" w:sz="0" w:space="0" w:color="auto"/>
        <w:right w:val="none" w:sz="0" w:space="0" w:color="auto"/>
      </w:divBdr>
    </w:div>
    <w:div w:id="56979200">
      <w:bodyDiv w:val="1"/>
      <w:marLeft w:val="0"/>
      <w:marRight w:val="0"/>
      <w:marTop w:val="0"/>
      <w:marBottom w:val="0"/>
      <w:divBdr>
        <w:top w:val="none" w:sz="0" w:space="0" w:color="auto"/>
        <w:left w:val="none" w:sz="0" w:space="0" w:color="auto"/>
        <w:bottom w:val="none" w:sz="0" w:space="0" w:color="auto"/>
        <w:right w:val="none" w:sz="0" w:space="0" w:color="auto"/>
      </w:divBdr>
    </w:div>
    <w:div w:id="69500119">
      <w:bodyDiv w:val="1"/>
      <w:marLeft w:val="0"/>
      <w:marRight w:val="0"/>
      <w:marTop w:val="0"/>
      <w:marBottom w:val="0"/>
      <w:divBdr>
        <w:top w:val="none" w:sz="0" w:space="0" w:color="auto"/>
        <w:left w:val="none" w:sz="0" w:space="0" w:color="auto"/>
        <w:bottom w:val="none" w:sz="0" w:space="0" w:color="auto"/>
        <w:right w:val="none" w:sz="0" w:space="0" w:color="auto"/>
      </w:divBdr>
    </w:div>
    <w:div w:id="81492288">
      <w:bodyDiv w:val="1"/>
      <w:marLeft w:val="0"/>
      <w:marRight w:val="0"/>
      <w:marTop w:val="0"/>
      <w:marBottom w:val="0"/>
      <w:divBdr>
        <w:top w:val="none" w:sz="0" w:space="0" w:color="auto"/>
        <w:left w:val="none" w:sz="0" w:space="0" w:color="auto"/>
        <w:bottom w:val="none" w:sz="0" w:space="0" w:color="auto"/>
        <w:right w:val="none" w:sz="0" w:space="0" w:color="auto"/>
      </w:divBdr>
    </w:div>
    <w:div w:id="84887350">
      <w:bodyDiv w:val="1"/>
      <w:marLeft w:val="0"/>
      <w:marRight w:val="0"/>
      <w:marTop w:val="0"/>
      <w:marBottom w:val="0"/>
      <w:divBdr>
        <w:top w:val="none" w:sz="0" w:space="0" w:color="auto"/>
        <w:left w:val="none" w:sz="0" w:space="0" w:color="auto"/>
        <w:bottom w:val="none" w:sz="0" w:space="0" w:color="auto"/>
        <w:right w:val="none" w:sz="0" w:space="0" w:color="auto"/>
      </w:divBdr>
    </w:div>
    <w:div w:id="120199481">
      <w:bodyDiv w:val="1"/>
      <w:marLeft w:val="0"/>
      <w:marRight w:val="0"/>
      <w:marTop w:val="0"/>
      <w:marBottom w:val="0"/>
      <w:divBdr>
        <w:top w:val="none" w:sz="0" w:space="0" w:color="auto"/>
        <w:left w:val="none" w:sz="0" w:space="0" w:color="auto"/>
        <w:bottom w:val="none" w:sz="0" w:space="0" w:color="auto"/>
        <w:right w:val="none" w:sz="0" w:space="0" w:color="auto"/>
      </w:divBdr>
    </w:div>
    <w:div w:id="140583046">
      <w:bodyDiv w:val="1"/>
      <w:marLeft w:val="0"/>
      <w:marRight w:val="0"/>
      <w:marTop w:val="0"/>
      <w:marBottom w:val="0"/>
      <w:divBdr>
        <w:top w:val="none" w:sz="0" w:space="0" w:color="auto"/>
        <w:left w:val="none" w:sz="0" w:space="0" w:color="auto"/>
        <w:bottom w:val="none" w:sz="0" w:space="0" w:color="auto"/>
        <w:right w:val="none" w:sz="0" w:space="0" w:color="auto"/>
      </w:divBdr>
    </w:div>
    <w:div w:id="142356047">
      <w:bodyDiv w:val="1"/>
      <w:marLeft w:val="0"/>
      <w:marRight w:val="0"/>
      <w:marTop w:val="0"/>
      <w:marBottom w:val="0"/>
      <w:divBdr>
        <w:top w:val="none" w:sz="0" w:space="0" w:color="auto"/>
        <w:left w:val="none" w:sz="0" w:space="0" w:color="auto"/>
        <w:bottom w:val="none" w:sz="0" w:space="0" w:color="auto"/>
        <w:right w:val="none" w:sz="0" w:space="0" w:color="auto"/>
      </w:divBdr>
    </w:div>
    <w:div w:id="144468416">
      <w:bodyDiv w:val="1"/>
      <w:marLeft w:val="0"/>
      <w:marRight w:val="0"/>
      <w:marTop w:val="0"/>
      <w:marBottom w:val="0"/>
      <w:divBdr>
        <w:top w:val="none" w:sz="0" w:space="0" w:color="auto"/>
        <w:left w:val="none" w:sz="0" w:space="0" w:color="auto"/>
        <w:bottom w:val="none" w:sz="0" w:space="0" w:color="auto"/>
        <w:right w:val="none" w:sz="0" w:space="0" w:color="auto"/>
      </w:divBdr>
    </w:div>
    <w:div w:id="150171824">
      <w:bodyDiv w:val="1"/>
      <w:marLeft w:val="0"/>
      <w:marRight w:val="0"/>
      <w:marTop w:val="0"/>
      <w:marBottom w:val="0"/>
      <w:divBdr>
        <w:top w:val="none" w:sz="0" w:space="0" w:color="auto"/>
        <w:left w:val="none" w:sz="0" w:space="0" w:color="auto"/>
        <w:bottom w:val="none" w:sz="0" w:space="0" w:color="auto"/>
        <w:right w:val="none" w:sz="0" w:space="0" w:color="auto"/>
      </w:divBdr>
    </w:div>
    <w:div w:id="155925489">
      <w:bodyDiv w:val="1"/>
      <w:marLeft w:val="0"/>
      <w:marRight w:val="0"/>
      <w:marTop w:val="0"/>
      <w:marBottom w:val="0"/>
      <w:divBdr>
        <w:top w:val="none" w:sz="0" w:space="0" w:color="auto"/>
        <w:left w:val="none" w:sz="0" w:space="0" w:color="auto"/>
        <w:bottom w:val="none" w:sz="0" w:space="0" w:color="auto"/>
        <w:right w:val="none" w:sz="0" w:space="0" w:color="auto"/>
      </w:divBdr>
    </w:div>
    <w:div w:id="172427652">
      <w:bodyDiv w:val="1"/>
      <w:marLeft w:val="0"/>
      <w:marRight w:val="0"/>
      <w:marTop w:val="0"/>
      <w:marBottom w:val="0"/>
      <w:divBdr>
        <w:top w:val="none" w:sz="0" w:space="0" w:color="auto"/>
        <w:left w:val="none" w:sz="0" w:space="0" w:color="auto"/>
        <w:bottom w:val="none" w:sz="0" w:space="0" w:color="auto"/>
        <w:right w:val="none" w:sz="0" w:space="0" w:color="auto"/>
      </w:divBdr>
    </w:div>
    <w:div w:id="173540463">
      <w:bodyDiv w:val="1"/>
      <w:marLeft w:val="0"/>
      <w:marRight w:val="0"/>
      <w:marTop w:val="0"/>
      <w:marBottom w:val="0"/>
      <w:divBdr>
        <w:top w:val="none" w:sz="0" w:space="0" w:color="auto"/>
        <w:left w:val="none" w:sz="0" w:space="0" w:color="auto"/>
        <w:bottom w:val="none" w:sz="0" w:space="0" w:color="auto"/>
        <w:right w:val="none" w:sz="0" w:space="0" w:color="auto"/>
      </w:divBdr>
    </w:div>
    <w:div w:id="190411905">
      <w:bodyDiv w:val="1"/>
      <w:marLeft w:val="0"/>
      <w:marRight w:val="0"/>
      <w:marTop w:val="0"/>
      <w:marBottom w:val="0"/>
      <w:divBdr>
        <w:top w:val="none" w:sz="0" w:space="0" w:color="auto"/>
        <w:left w:val="none" w:sz="0" w:space="0" w:color="auto"/>
        <w:bottom w:val="none" w:sz="0" w:space="0" w:color="auto"/>
        <w:right w:val="none" w:sz="0" w:space="0" w:color="auto"/>
      </w:divBdr>
    </w:div>
    <w:div w:id="237444876">
      <w:bodyDiv w:val="1"/>
      <w:marLeft w:val="0"/>
      <w:marRight w:val="0"/>
      <w:marTop w:val="0"/>
      <w:marBottom w:val="0"/>
      <w:divBdr>
        <w:top w:val="none" w:sz="0" w:space="0" w:color="auto"/>
        <w:left w:val="none" w:sz="0" w:space="0" w:color="auto"/>
        <w:bottom w:val="none" w:sz="0" w:space="0" w:color="auto"/>
        <w:right w:val="none" w:sz="0" w:space="0" w:color="auto"/>
      </w:divBdr>
    </w:div>
    <w:div w:id="250360359">
      <w:bodyDiv w:val="1"/>
      <w:marLeft w:val="0"/>
      <w:marRight w:val="0"/>
      <w:marTop w:val="0"/>
      <w:marBottom w:val="0"/>
      <w:divBdr>
        <w:top w:val="none" w:sz="0" w:space="0" w:color="auto"/>
        <w:left w:val="none" w:sz="0" w:space="0" w:color="auto"/>
        <w:bottom w:val="none" w:sz="0" w:space="0" w:color="auto"/>
        <w:right w:val="none" w:sz="0" w:space="0" w:color="auto"/>
      </w:divBdr>
    </w:div>
    <w:div w:id="311063261">
      <w:bodyDiv w:val="1"/>
      <w:marLeft w:val="0"/>
      <w:marRight w:val="0"/>
      <w:marTop w:val="0"/>
      <w:marBottom w:val="0"/>
      <w:divBdr>
        <w:top w:val="none" w:sz="0" w:space="0" w:color="auto"/>
        <w:left w:val="none" w:sz="0" w:space="0" w:color="auto"/>
        <w:bottom w:val="none" w:sz="0" w:space="0" w:color="auto"/>
        <w:right w:val="none" w:sz="0" w:space="0" w:color="auto"/>
      </w:divBdr>
    </w:div>
    <w:div w:id="311563636">
      <w:bodyDiv w:val="1"/>
      <w:marLeft w:val="0"/>
      <w:marRight w:val="0"/>
      <w:marTop w:val="0"/>
      <w:marBottom w:val="0"/>
      <w:divBdr>
        <w:top w:val="none" w:sz="0" w:space="0" w:color="auto"/>
        <w:left w:val="none" w:sz="0" w:space="0" w:color="auto"/>
        <w:bottom w:val="none" w:sz="0" w:space="0" w:color="auto"/>
        <w:right w:val="none" w:sz="0" w:space="0" w:color="auto"/>
      </w:divBdr>
    </w:div>
    <w:div w:id="315303679">
      <w:bodyDiv w:val="1"/>
      <w:marLeft w:val="0"/>
      <w:marRight w:val="0"/>
      <w:marTop w:val="0"/>
      <w:marBottom w:val="0"/>
      <w:divBdr>
        <w:top w:val="none" w:sz="0" w:space="0" w:color="auto"/>
        <w:left w:val="none" w:sz="0" w:space="0" w:color="auto"/>
        <w:bottom w:val="none" w:sz="0" w:space="0" w:color="auto"/>
        <w:right w:val="none" w:sz="0" w:space="0" w:color="auto"/>
      </w:divBdr>
    </w:div>
    <w:div w:id="327101335">
      <w:bodyDiv w:val="1"/>
      <w:marLeft w:val="0"/>
      <w:marRight w:val="0"/>
      <w:marTop w:val="0"/>
      <w:marBottom w:val="0"/>
      <w:divBdr>
        <w:top w:val="none" w:sz="0" w:space="0" w:color="auto"/>
        <w:left w:val="none" w:sz="0" w:space="0" w:color="auto"/>
        <w:bottom w:val="none" w:sz="0" w:space="0" w:color="auto"/>
        <w:right w:val="none" w:sz="0" w:space="0" w:color="auto"/>
      </w:divBdr>
    </w:div>
    <w:div w:id="341977117">
      <w:bodyDiv w:val="1"/>
      <w:marLeft w:val="0"/>
      <w:marRight w:val="0"/>
      <w:marTop w:val="0"/>
      <w:marBottom w:val="0"/>
      <w:divBdr>
        <w:top w:val="none" w:sz="0" w:space="0" w:color="auto"/>
        <w:left w:val="none" w:sz="0" w:space="0" w:color="auto"/>
        <w:bottom w:val="none" w:sz="0" w:space="0" w:color="auto"/>
        <w:right w:val="none" w:sz="0" w:space="0" w:color="auto"/>
      </w:divBdr>
    </w:div>
    <w:div w:id="367610497">
      <w:bodyDiv w:val="1"/>
      <w:marLeft w:val="0"/>
      <w:marRight w:val="0"/>
      <w:marTop w:val="0"/>
      <w:marBottom w:val="0"/>
      <w:divBdr>
        <w:top w:val="none" w:sz="0" w:space="0" w:color="auto"/>
        <w:left w:val="none" w:sz="0" w:space="0" w:color="auto"/>
        <w:bottom w:val="none" w:sz="0" w:space="0" w:color="auto"/>
        <w:right w:val="none" w:sz="0" w:space="0" w:color="auto"/>
      </w:divBdr>
    </w:div>
    <w:div w:id="401831502">
      <w:bodyDiv w:val="1"/>
      <w:marLeft w:val="0"/>
      <w:marRight w:val="0"/>
      <w:marTop w:val="0"/>
      <w:marBottom w:val="0"/>
      <w:divBdr>
        <w:top w:val="none" w:sz="0" w:space="0" w:color="auto"/>
        <w:left w:val="none" w:sz="0" w:space="0" w:color="auto"/>
        <w:bottom w:val="none" w:sz="0" w:space="0" w:color="auto"/>
        <w:right w:val="none" w:sz="0" w:space="0" w:color="auto"/>
      </w:divBdr>
    </w:div>
    <w:div w:id="407730600">
      <w:bodyDiv w:val="1"/>
      <w:marLeft w:val="0"/>
      <w:marRight w:val="0"/>
      <w:marTop w:val="0"/>
      <w:marBottom w:val="0"/>
      <w:divBdr>
        <w:top w:val="none" w:sz="0" w:space="0" w:color="auto"/>
        <w:left w:val="none" w:sz="0" w:space="0" w:color="auto"/>
        <w:bottom w:val="none" w:sz="0" w:space="0" w:color="auto"/>
        <w:right w:val="none" w:sz="0" w:space="0" w:color="auto"/>
      </w:divBdr>
    </w:div>
    <w:div w:id="409277477">
      <w:bodyDiv w:val="1"/>
      <w:marLeft w:val="0"/>
      <w:marRight w:val="0"/>
      <w:marTop w:val="0"/>
      <w:marBottom w:val="0"/>
      <w:divBdr>
        <w:top w:val="none" w:sz="0" w:space="0" w:color="auto"/>
        <w:left w:val="none" w:sz="0" w:space="0" w:color="auto"/>
        <w:bottom w:val="none" w:sz="0" w:space="0" w:color="auto"/>
        <w:right w:val="none" w:sz="0" w:space="0" w:color="auto"/>
      </w:divBdr>
    </w:div>
    <w:div w:id="412435083">
      <w:bodyDiv w:val="1"/>
      <w:marLeft w:val="0"/>
      <w:marRight w:val="0"/>
      <w:marTop w:val="0"/>
      <w:marBottom w:val="0"/>
      <w:divBdr>
        <w:top w:val="none" w:sz="0" w:space="0" w:color="auto"/>
        <w:left w:val="none" w:sz="0" w:space="0" w:color="auto"/>
        <w:bottom w:val="none" w:sz="0" w:space="0" w:color="auto"/>
        <w:right w:val="none" w:sz="0" w:space="0" w:color="auto"/>
      </w:divBdr>
    </w:div>
    <w:div w:id="414397830">
      <w:bodyDiv w:val="1"/>
      <w:marLeft w:val="0"/>
      <w:marRight w:val="0"/>
      <w:marTop w:val="0"/>
      <w:marBottom w:val="0"/>
      <w:divBdr>
        <w:top w:val="none" w:sz="0" w:space="0" w:color="auto"/>
        <w:left w:val="none" w:sz="0" w:space="0" w:color="auto"/>
        <w:bottom w:val="none" w:sz="0" w:space="0" w:color="auto"/>
        <w:right w:val="none" w:sz="0" w:space="0" w:color="auto"/>
      </w:divBdr>
    </w:div>
    <w:div w:id="416098019">
      <w:bodyDiv w:val="1"/>
      <w:marLeft w:val="0"/>
      <w:marRight w:val="0"/>
      <w:marTop w:val="0"/>
      <w:marBottom w:val="0"/>
      <w:divBdr>
        <w:top w:val="none" w:sz="0" w:space="0" w:color="auto"/>
        <w:left w:val="none" w:sz="0" w:space="0" w:color="auto"/>
        <w:bottom w:val="none" w:sz="0" w:space="0" w:color="auto"/>
        <w:right w:val="none" w:sz="0" w:space="0" w:color="auto"/>
      </w:divBdr>
    </w:div>
    <w:div w:id="419448468">
      <w:bodyDiv w:val="1"/>
      <w:marLeft w:val="0"/>
      <w:marRight w:val="0"/>
      <w:marTop w:val="0"/>
      <w:marBottom w:val="0"/>
      <w:divBdr>
        <w:top w:val="none" w:sz="0" w:space="0" w:color="auto"/>
        <w:left w:val="none" w:sz="0" w:space="0" w:color="auto"/>
        <w:bottom w:val="none" w:sz="0" w:space="0" w:color="auto"/>
        <w:right w:val="none" w:sz="0" w:space="0" w:color="auto"/>
      </w:divBdr>
    </w:div>
    <w:div w:id="445974593">
      <w:bodyDiv w:val="1"/>
      <w:marLeft w:val="0"/>
      <w:marRight w:val="0"/>
      <w:marTop w:val="0"/>
      <w:marBottom w:val="0"/>
      <w:divBdr>
        <w:top w:val="none" w:sz="0" w:space="0" w:color="auto"/>
        <w:left w:val="none" w:sz="0" w:space="0" w:color="auto"/>
        <w:bottom w:val="none" w:sz="0" w:space="0" w:color="auto"/>
        <w:right w:val="none" w:sz="0" w:space="0" w:color="auto"/>
      </w:divBdr>
    </w:div>
    <w:div w:id="450587637">
      <w:bodyDiv w:val="1"/>
      <w:marLeft w:val="0"/>
      <w:marRight w:val="0"/>
      <w:marTop w:val="0"/>
      <w:marBottom w:val="0"/>
      <w:divBdr>
        <w:top w:val="none" w:sz="0" w:space="0" w:color="auto"/>
        <w:left w:val="none" w:sz="0" w:space="0" w:color="auto"/>
        <w:bottom w:val="none" w:sz="0" w:space="0" w:color="auto"/>
        <w:right w:val="none" w:sz="0" w:space="0" w:color="auto"/>
      </w:divBdr>
    </w:div>
    <w:div w:id="451637477">
      <w:bodyDiv w:val="1"/>
      <w:marLeft w:val="0"/>
      <w:marRight w:val="0"/>
      <w:marTop w:val="0"/>
      <w:marBottom w:val="0"/>
      <w:divBdr>
        <w:top w:val="none" w:sz="0" w:space="0" w:color="auto"/>
        <w:left w:val="none" w:sz="0" w:space="0" w:color="auto"/>
        <w:bottom w:val="none" w:sz="0" w:space="0" w:color="auto"/>
        <w:right w:val="none" w:sz="0" w:space="0" w:color="auto"/>
      </w:divBdr>
    </w:div>
    <w:div w:id="475688043">
      <w:bodyDiv w:val="1"/>
      <w:marLeft w:val="0"/>
      <w:marRight w:val="0"/>
      <w:marTop w:val="0"/>
      <w:marBottom w:val="0"/>
      <w:divBdr>
        <w:top w:val="none" w:sz="0" w:space="0" w:color="auto"/>
        <w:left w:val="none" w:sz="0" w:space="0" w:color="auto"/>
        <w:bottom w:val="none" w:sz="0" w:space="0" w:color="auto"/>
        <w:right w:val="none" w:sz="0" w:space="0" w:color="auto"/>
      </w:divBdr>
    </w:div>
    <w:div w:id="496381226">
      <w:bodyDiv w:val="1"/>
      <w:marLeft w:val="0"/>
      <w:marRight w:val="0"/>
      <w:marTop w:val="0"/>
      <w:marBottom w:val="0"/>
      <w:divBdr>
        <w:top w:val="none" w:sz="0" w:space="0" w:color="auto"/>
        <w:left w:val="none" w:sz="0" w:space="0" w:color="auto"/>
        <w:bottom w:val="none" w:sz="0" w:space="0" w:color="auto"/>
        <w:right w:val="none" w:sz="0" w:space="0" w:color="auto"/>
      </w:divBdr>
    </w:div>
    <w:div w:id="511382667">
      <w:bodyDiv w:val="1"/>
      <w:marLeft w:val="0"/>
      <w:marRight w:val="0"/>
      <w:marTop w:val="0"/>
      <w:marBottom w:val="0"/>
      <w:divBdr>
        <w:top w:val="none" w:sz="0" w:space="0" w:color="auto"/>
        <w:left w:val="none" w:sz="0" w:space="0" w:color="auto"/>
        <w:bottom w:val="none" w:sz="0" w:space="0" w:color="auto"/>
        <w:right w:val="none" w:sz="0" w:space="0" w:color="auto"/>
      </w:divBdr>
    </w:div>
    <w:div w:id="515383504">
      <w:bodyDiv w:val="1"/>
      <w:marLeft w:val="0"/>
      <w:marRight w:val="0"/>
      <w:marTop w:val="0"/>
      <w:marBottom w:val="0"/>
      <w:divBdr>
        <w:top w:val="none" w:sz="0" w:space="0" w:color="auto"/>
        <w:left w:val="none" w:sz="0" w:space="0" w:color="auto"/>
        <w:bottom w:val="none" w:sz="0" w:space="0" w:color="auto"/>
        <w:right w:val="none" w:sz="0" w:space="0" w:color="auto"/>
      </w:divBdr>
    </w:div>
    <w:div w:id="518012109">
      <w:bodyDiv w:val="1"/>
      <w:marLeft w:val="0"/>
      <w:marRight w:val="0"/>
      <w:marTop w:val="0"/>
      <w:marBottom w:val="0"/>
      <w:divBdr>
        <w:top w:val="none" w:sz="0" w:space="0" w:color="auto"/>
        <w:left w:val="none" w:sz="0" w:space="0" w:color="auto"/>
        <w:bottom w:val="none" w:sz="0" w:space="0" w:color="auto"/>
        <w:right w:val="none" w:sz="0" w:space="0" w:color="auto"/>
      </w:divBdr>
    </w:div>
    <w:div w:id="530067799">
      <w:bodyDiv w:val="1"/>
      <w:marLeft w:val="0"/>
      <w:marRight w:val="0"/>
      <w:marTop w:val="0"/>
      <w:marBottom w:val="0"/>
      <w:divBdr>
        <w:top w:val="none" w:sz="0" w:space="0" w:color="auto"/>
        <w:left w:val="none" w:sz="0" w:space="0" w:color="auto"/>
        <w:bottom w:val="none" w:sz="0" w:space="0" w:color="auto"/>
        <w:right w:val="none" w:sz="0" w:space="0" w:color="auto"/>
      </w:divBdr>
    </w:div>
    <w:div w:id="537007248">
      <w:bodyDiv w:val="1"/>
      <w:marLeft w:val="0"/>
      <w:marRight w:val="0"/>
      <w:marTop w:val="0"/>
      <w:marBottom w:val="0"/>
      <w:divBdr>
        <w:top w:val="none" w:sz="0" w:space="0" w:color="auto"/>
        <w:left w:val="none" w:sz="0" w:space="0" w:color="auto"/>
        <w:bottom w:val="none" w:sz="0" w:space="0" w:color="auto"/>
        <w:right w:val="none" w:sz="0" w:space="0" w:color="auto"/>
      </w:divBdr>
    </w:div>
    <w:div w:id="546989330">
      <w:bodyDiv w:val="1"/>
      <w:marLeft w:val="0"/>
      <w:marRight w:val="0"/>
      <w:marTop w:val="0"/>
      <w:marBottom w:val="0"/>
      <w:divBdr>
        <w:top w:val="none" w:sz="0" w:space="0" w:color="auto"/>
        <w:left w:val="none" w:sz="0" w:space="0" w:color="auto"/>
        <w:bottom w:val="none" w:sz="0" w:space="0" w:color="auto"/>
        <w:right w:val="none" w:sz="0" w:space="0" w:color="auto"/>
      </w:divBdr>
    </w:div>
    <w:div w:id="560948389">
      <w:bodyDiv w:val="1"/>
      <w:marLeft w:val="0"/>
      <w:marRight w:val="0"/>
      <w:marTop w:val="0"/>
      <w:marBottom w:val="0"/>
      <w:divBdr>
        <w:top w:val="none" w:sz="0" w:space="0" w:color="auto"/>
        <w:left w:val="none" w:sz="0" w:space="0" w:color="auto"/>
        <w:bottom w:val="none" w:sz="0" w:space="0" w:color="auto"/>
        <w:right w:val="none" w:sz="0" w:space="0" w:color="auto"/>
      </w:divBdr>
    </w:div>
    <w:div w:id="576669662">
      <w:bodyDiv w:val="1"/>
      <w:marLeft w:val="0"/>
      <w:marRight w:val="0"/>
      <w:marTop w:val="0"/>
      <w:marBottom w:val="0"/>
      <w:divBdr>
        <w:top w:val="none" w:sz="0" w:space="0" w:color="auto"/>
        <w:left w:val="none" w:sz="0" w:space="0" w:color="auto"/>
        <w:bottom w:val="none" w:sz="0" w:space="0" w:color="auto"/>
        <w:right w:val="none" w:sz="0" w:space="0" w:color="auto"/>
      </w:divBdr>
    </w:div>
    <w:div w:id="600795378">
      <w:bodyDiv w:val="1"/>
      <w:marLeft w:val="0"/>
      <w:marRight w:val="0"/>
      <w:marTop w:val="0"/>
      <w:marBottom w:val="0"/>
      <w:divBdr>
        <w:top w:val="none" w:sz="0" w:space="0" w:color="auto"/>
        <w:left w:val="none" w:sz="0" w:space="0" w:color="auto"/>
        <w:bottom w:val="none" w:sz="0" w:space="0" w:color="auto"/>
        <w:right w:val="none" w:sz="0" w:space="0" w:color="auto"/>
      </w:divBdr>
    </w:div>
    <w:div w:id="603346223">
      <w:bodyDiv w:val="1"/>
      <w:marLeft w:val="0"/>
      <w:marRight w:val="0"/>
      <w:marTop w:val="0"/>
      <w:marBottom w:val="0"/>
      <w:divBdr>
        <w:top w:val="none" w:sz="0" w:space="0" w:color="auto"/>
        <w:left w:val="none" w:sz="0" w:space="0" w:color="auto"/>
        <w:bottom w:val="none" w:sz="0" w:space="0" w:color="auto"/>
        <w:right w:val="none" w:sz="0" w:space="0" w:color="auto"/>
      </w:divBdr>
    </w:div>
    <w:div w:id="613098468">
      <w:bodyDiv w:val="1"/>
      <w:marLeft w:val="0"/>
      <w:marRight w:val="0"/>
      <w:marTop w:val="0"/>
      <w:marBottom w:val="0"/>
      <w:divBdr>
        <w:top w:val="none" w:sz="0" w:space="0" w:color="auto"/>
        <w:left w:val="none" w:sz="0" w:space="0" w:color="auto"/>
        <w:bottom w:val="none" w:sz="0" w:space="0" w:color="auto"/>
        <w:right w:val="none" w:sz="0" w:space="0" w:color="auto"/>
      </w:divBdr>
    </w:div>
    <w:div w:id="632291563">
      <w:bodyDiv w:val="1"/>
      <w:marLeft w:val="0"/>
      <w:marRight w:val="0"/>
      <w:marTop w:val="0"/>
      <w:marBottom w:val="0"/>
      <w:divBdr>
        <w:top w:val="none" w:sz="0" w:space="0" w:color="auto"/>
        <w:left w:val="none" w:sz="0" w:space="0" w:color="auto"/>
        <w:bottom w:val="none" w:sz="0" w:space="0" w:color="auto"/>
        <w:right w:val="none" w:sz="0" w:space="0" w:color="auto"/>
      </w:divBdr>
    </w:div>
    <w:div w:id="643849989">
      <w:bodyDiv w:val="1"/>
      <w:marLeft w:val="0"/>
      <w:marRight w:val="0"/>
      <w:marTop w:val="0"/>
      <w:marBottom w:val="0"/>
      <w:divBdr>
        <w:top w:val="none" w:sz="0" w:space="0" w:color="auto"/>
        <w:left w:val="none" w:sz="0" w:space="0" w:color="auto"/>
        <w:bottom w:val="none" w:sz="0" w:space="0" w:color="auto"/>
        <w:right w:val="none" w:sz="0" w:space="0" w:color="auto"/>
      </w:divBdr>
    </w:div>
    <w:div w:id="649024541">
      <w:bodyDiv w:val="1"/>
      <w:marLeft w:val="0"/>
      <w:marRight w:val="0"/>
      <w:marTop w:val="0"/>
      <w:marBottom w:val="0"/>
      <w:divBdr>
        <w:top w:val="none" w:sz="0" w:space="0" w:color="auto"/>
        <w:left w:val="none" w:sz="0" w:space="0" w:color="auto"/>
        <w:bottom w:val="none" w:sz="0" w:space="0" w:color="auto"/>
        <w:right w:val="none" w:sz="0" w:space="0" w:color="auto"/>
      </w:divBdr>
    </w:div>
    <w:div w:id="659848832">
      <w:bodyDiv w:val="1"/>
      <w:marLeft w:val="0"/>
      <w:marRight w:val="0"/>
      <w:marTop w:val="0"/>
      <w:marBottom w:val="0"/>
      <w:divBdr>
        <w:top w:val="none" w:sz="0" w:space="0" w:color="auto"/>
        <w:left w:val="none" w:sz="0" w:space="0" w:color="auto"/>
        <w:bottom w:val="none" w:sz="0" w:space="0" w:color="auto"/>
        <w:right w:val="none" w:sz="0" w:space="0" w:color="auto"/>
      </w:divBdr>
    </w:div>
    <w:div w:id="662120254">
      <w:bodyDiv w:val="1"/>
      <w:marLeft w:val="0"/>
      <w:marRight w:val="0"/>
      <w:marTop w:val="0"/>
      <w:marBottom w:val="0"/>
      <w:divBdr>
        <w:top w:val="none" w:sz="0" w:space="0" w:color="auto"/>
        <w:left w:val="none" w:sz="0" w:space="0" w:color="auto"/>
        <w:bottom w:val="none" w:sz="0" w:space="0" w:color="auto"/>
        <w:right w:val="none" w:sz="0" w:space="0" w:color="auto"/>
      </w:divBdr>
    </w:div>
    <w:div w:id="663313584">
      <w:bodyDiv w:val="1"/>
      <w:marLeft w:val="0"/>
      <w:marRight w:val="0"/>
      <w:marTop w:val="0"/>
      <w:marBottom w:val="0"/>
      <w:divBdr>
        <w:top w:val="none" w:sz="0" w:space="0" w:color="auto"/>
        <w:left w:val="none" w:sz="0" w:space="0" w:color="auto"/>
        <w:bottom w:val="none" w:sz="0" w:space="0" w:color="auto"/>
        <w:right w:val="none" w:sz="0" w:space="0" w:color="auto"/>
      </w:divBdr>
    </w:div>
    <w:div w:id="676423193">
      <w:bodyDiv w:val="1"/>
      <w:marLeft w:val="0"/>
      <w:marRight w:val="0"/>
      <w:marTop w:val="0"/>
      <w:marBottom w:val="0"/>
      <w:divBdr>
        <w:top w:val="none" w:sz="0" w:space="0" w:color="auto"/>
        <w:left w:val="none" w:sz="0" w:space="0" w:color="auto"/>
        <w:bottom w:val="none" w:sz="0" w:space="0" w:color="auto"/>
        <w:right w:val="none" w:sz="0" w:space="0" w:color="auto"/>
      </w:divBdr>
    </w:div>
    <w:div w:id="703092291">
      <w:bodyDiv w:val="1"/>
      <w:marLeft w:val="0"/>
      <w:marRight w:val="0"/>
      <w:marTop w:val="0"/>
      <w:marBottom w:val="0"/>
      <w:divBdr>
        <w:top w:val="none" w:sz="0" w:space="0" w:color="auto"/>
        <w:left w:val="none" w:sz="0" w:space="0" w:color="auto"/>
        <w:bottom w:val="none" w:sz="0" w:space="0" w:color="auto"/>
        <w:right w:val="none" w:sz="0" w:space="0" w:color="auto"/>
      </w:divBdr>
    </w:div>
    <w:div w:id="703600436">
      <w:bodyDiv w:val="1"/>
      <w:marLeft w:val="0"/>
      <w:marRight w:val="0"/>
      <w:marTop w:val="0"/>
      <w:marBottom w:val="0"/>
      <w:divBdr>
        <w:top w:val="none" w:sz="0" w:space="0" w:color="auto"/>
        <w:left w:val="none" w:sz="0" w:space="0" w:color="auto"/>
        <w:bottom w:val="none" w:sz="0" w:space="0" w:color="auto"/>
        <w:right w:val="none" w:sz="0" w:space="0" w:color="auto"/>
      </w:divBdr>
    </w:div>
    <w:div w:id="704675189">
      <w:bodyDiv w:val="1"/>
      <w:marLeft w:val="0"/>
      <w:marRight w:val="0"/>
      <w:marTop w:val="0"/>
      <w:marBottom w:val="0"/>
      <w:divBdr>
        <w:top w:val="none" w:sz="0" w:space="0" w:color="auto"/>
        <w:left w:val="none" w:sz="0" w:space="0" w:color="auto"/>
        <w:bottom w:val="none" w:sz="0" w:space="0" w:color="auto"/>
        <w:right w:val="none" w:sz="0" w:space="0" w:color="auto"/>
      </w:divBdr>
    </w:div>
    <w:div w:id="709182679">
      <w:bodyDiv w:val="1"/>
      <w:marLeft w:val="0"/>
      <w:marRight w:val="0"/>
      <w:marTop w:val="0"/>
      <w:marBottom w:val="0"/>
      <w:divBdr>
        <w:top w:val="none" w:sz="0" w:space="0" w:color="auto"/>
        <w:left w:val="none" w:sz="0" w:space="0" w:color="auto"/>
        <w:bottom w:val="none" w:sz="0" w:space="0" w:color="auto"/>
        <w:right w:val="none" w:sz="0" w:space="0" w:color="auto"/>
      </w:divBdr>
    </w:div>
    <w:div w:id="716703290">
      <w:bodyDiv w:val="1"/>
      <w:marLeft w:val="0"/>
      <w:marRight w:val="0"/>
      <w:marTop w:val="0"/>
      <w:marBottom w:val="0"/>
      <w:divBdr>
        <w:top w:val="none" w:sz="0" w:space="0" w:color="auto"/>
        <w:left w:val="none" w:sz="0" w:space="0" w:color="auto"/>
        <w:bottom w:val="none" w:sz="0" w:space="0" w:color="auto"/>
        <w:right w:val="none" w:sz="0" w:space="0" w:color="auto"/>
      </w:divBdr>
    </w:div>
    <w:div w:id="717971829">
      <w:bodyDiv w:val="1"/>
      <w:marLeft w:val="0"/>
      <w:marRight w:val="0"/>
      <w:marTop w:val="0"/>
      <w:marBottom w:val="0"/>
      <w:divBdr>
        <w:top w:val="none" w:sz="0" w:space="0" w:color="auto"/>
        <w:left w:val="none" w:sz="0" w:space="0" w:color="auto"/>
        <w:bottom w:val="none" w:sz="0" w:space="0" w:color="auto"/>
        <w:right w:val="none" w:sz="0" w:space="0" w:color="auto"/>
      </w:divBdr>
    </w:div>
    <w:div w:id="726996528">
      <w:bodyDiv w:val="1"/>
      <w:marLeft w:val="0"/>
      <w:marRight w:val="0"/>
      <w:marTop w:val="0"/>
      <w:marBottom w:val="0"/>
      <w:divBdr>
        <w:top w:val="none" w:sz="0" w:space="0" w:color="auto"/>
        <w:left w:val="none" w:sz="0" w:space="0" w:color="auto"/>
        <w:bottom w:val="none" w:sz="0" w:space="0" w:color="auto"/>
        <w:right w:val="none" w:sz="0" w:space="0" w:color="auto"/>
      </w:divBdr>
    </w:div>
    <w:div w:id="755443787">
      <w:bodyDiv w:val="1"/>
      <w:marLeft w:val="0"/>
      <w:marRight w:val="0"/>
      <w:marTop w:val="0"/>
      <w:marBottom w:val="0"/>
      <w:divBdr>
        <w:top w:val="none" w:sz="0" w:space="0" w:color="auto"/>
        <w:left w:val="none" w:sz="0" w:space="0" w:color="auto"/>
        <w:bottom w:val="none" w:sz="0" w:space="0" w:color="auto"/>
        <w:right w:val="none" w:sz="0" w:space="0" w:color="auto"/>
      </w:divBdr>
    </w:div>
    <w:div w:id="762186959">
      <w:bodyDiv w:val="1"/>
      <w:marLeft w:val="0"/>
      <w:marRight w:val="0"/>
      <w:marTop w:val="0"/>
      <w:marBottom w:val="0"/>
      <w:divBdr>
        <w:top w:val="none" w:sz="0" w:space="0" w:color="auto"/>
        <w:left w:val="none" w:sz="0" w:space="0" w:color="auto"/>
        <w:bottom w:val="none" w:sz="0" w:space="0" w:color="auto"/>
        <w:right w:val="none" w:sz="0" w:space="0" w:color="auto"/>
      </w:divBdr>
    </w:div>
    <w:div w:id="789201591">
      <w:bodyDiv w:val="1"/>
      <w:marLeft w:val="0"/>
      <w:marRight w:val="0"/>
      <w:marTop w:val="0"/>
      <w:marBottom w:val="0"/>
      <w:divBdr>
        <w:top w:val="none" w:sz="0" w:space="0" w:color="auto"/>
        <w:left w:val="none" w:sz="0" w:space="0" w:color="auto"/>
        <w:bottom w:val="none" w:sz="0" w:space="0" w:color="auto"/>
        <w:right w:val="none" w:sz="0" w:space="0" w:color="auto"/>
      </w:divBdr>
    </w:div>
    <w:div w:id="789588952">
      <w:bodyDiv w:val="1"/>
      <w:marLeft w:val="0"/>
      <w:marRight w:val="0"/>
      <w:marTop w:val="0"/>
      <w:marBottom w:val="0"/>
      <w:divBdr>
        <w:top w:val="none" w:sz="0" w:space="0" w:color="auto"/>
        <w:left w:val="none" w:sz="0" w:space="0" w:color="auto"/>
        <w:bottom w:val="none" w:sz="0" w:space="0" w:color="auto"/>
        <w:right w:val="none" w:sz="0" w:space="0" w:color="auto"/>
      </w:divBdr>
    </w:div>
    <w:div w:id="799807969">
      <w:bodyDiv w:val="1"/>
      <w:marLeft w:val="0"/>
      <w:marRight w:val="0"/>
      <w:marTop w:val="0"/>
      <w:marBottom w:val="0"/>
      <w:divBdr>
        <w:top w:val="none" w:sz="0" w:space="0" w:color="auto"/>
        <w:left w:val="none" w:sz="0" w:space="0" w:color="auto"/>
        <w:bottom w:val="none" w:sz="0" w:space="0" w:color="auto"/>
        <w:right w:val="none" w:sz="0" w:space="0" w:color="auto"/>
      </w:divBdr>
    </w:div>
    <w:div w:id="902758810">
      <w:bodyDiv w:val="1"/>
      <w:marLeft w:val="0"/>
      <w:marRight w:val="0"/>
      <w:marTop w:val="0"/>
      <w:marBottom w:val="0"/>
      <w:divBdr>
        <w:top w:val="none" w:sz="0" w:space="0" w:color="auto"/>
        <w:left w:val="none" w:sz="0" w:space="0" w:color="auto"/>
        <w:bottom w:val="none" w:sz="0" w:space="0" w:color="auto"/>
        <w:right w:val="none" w:sz="0" w:space="0" w:color="auto"/>
      </w:divBdr>
    </w:div>
    <w:div w:id="915826508">
      <w:bodyDiv w:val="1"/>
      <w:marLeft w:val="0"/>
      <w:marRight w:val="0"/>
      <w:marTop w:val="0"/>
      <w:marBottom w:val="0"/>
      <w:divBdr>
        <w:top w:val="none" w:sz="0" w:space="0" w:color="auto"/>
        <w:left w:val="none" w:sz="0" w:space="0" w:color="auto"/>
        <w:bottom w:val="none" w:sz="0" w:space="0" w:color="auto"/>
        <w:right w:val="none" w:sz="0" w:space="0" w:color="auto"/>
      </w:divBdr>
    </w:div>
    <w:div w:id="923029236">
      <w:bodyDiv w:val="1"/>
      <w:marLeft w:val="0"/>
      <w:marRight w:val="0"/>
      <w:marTop w:val="0"/>
      <w:marBottom w:val="0"/>
      <w:divBdr>
        <w:top w:val="none" w:sz="0" w:space="0" w:color="auto"/>
        <w:left w:val="none" w:sz="0" w:space="0" w:color="auto"/>
        <w:bottom w:val="none" w:sz="0" w:space="0" w:color="auto"/>
        <w:right w:val="none" w:sz="0" w:space="0" w:color="auto"/>
      </w:divBdr>
    </w:div>
    <w:div w:id="937639777">
      <w:bodyDiv w:val="1"/>
      <w:marLeft w:val="0"/>
      <w:marRight w:val="0"/>
      <w:marTop w:val="0"/>
      <w:marBottom w:val="0"/>
      <w:divBdr>
        <w:top w:val="none" w:sz="0" w:space="0" w:color="auto"/>
        <w:left w:val="none" w:sz="0" w:space="0" w:color="auto"/>
        <w:bottom w:val="none" w:sz="0" w:space="0" w:color="auto"/>
        <w:right w:val="none" w:sz="0" w:space="0" w:color="auto"/>
      </w:divBdr>
    </w:div>
    <w:div w:id="949893727">
      <w:bodyDiv w:val="1"/>
      <w:marLeft w:val="0"/>
      <w:marRight w:val="0"/>
      <w:marTop w:val="0"/>
      <w:marBottom w:val="0"/>
      <w:divBdr>
        <w:top w:val="none" w:sz="0" w:space="0" w:color="auto"/>
        <w:left w:val="none" w:sz="0" w:space="0" w:color="auto"/>
        <w:bottom w:val="none" w:sz="0" w:space="0" w:color="auto"/>
        <w:right w:val="none" w:sz="0" w:space="0" w:color="auto"/>
      </w:divBdr>
    </w:div>
    <w:div w:id="950939216">
      <w:bodyDiv w:val="1"/>
      <w:marLeft w:val="0"/>
      <w:marRight w:val="0"/>
      <w:marTop w:val="0"/>
      <w:marBottom w:val="0"/>
      <w:divBdr>
        <w:top w:val="none" w:sz="0" w:space="0" w:color="auto"/>
        <w:left w:val="none" w:sz="0" w:space="0" w:color="auto"/>
        <w:bottom w:val="none" w:sz="0" w:space="0" w:color="auto"/>
        <w:right w:val="none" w:sz="0" w:space="0" w:color="auto"/>
      </w:divBdr>
    </w:div>
    <w:div w:id="956331609">
      <w:bodyDiv w:val="1"/>
      <w:marLeft w:val="0"/>
      <w:marRight w:val="0"/>
      <w:marTop w:val="0"/>
      <w:marBottom w:val="0"/>
      <w:divBdr>
        <w:top w:val="none" w:sz="0" w:space="0" w:color="auto"/>
        <w:left w:val="none" w:sz="0" w:space="0" w:color="auto"/>
        <w:bottom w:val="none" w:sz="0" w:space="0" w:color="auto"/>
        <w:right w:val="none" w:sz="0" w:space="0" w:color="auto"/>
      </w:divBdr>
    </w:div>
    <w:div w:id="980422266">
      <w:bodyDiv w:val="1"/>
      <w:marLeft w:val="0"/>
      <w:marRight w:val="0"/>
      <w:marTop w:val="0"/>
      <w:marBottom w:val="0"/>
      <w:divBdr>
        <w:top w:val="none" w:sz="0" w:space="0" w:color="auto"/>
        <w:left w:val="none" w:sz="0" w:space="0" w:color="auto"/>
        <w:bottom w:val="none" w:sz="0" w:space="0" w:color="auto"/>
        <w:right w:val="none" w:sz="0" w:space="0" w:color="auto"/>
      </w:divBdr>
    </w:div>
    <w:div w:id="990870873">
      <w:bodyDiv w:val="1"/>
      <w:marLeft w:val="0"/>
      <w:marRight w:val="0"/>
      <w:marTop w:val="0"/>
      <w:marBottom w:val="0"/>
      <w:divBdr>
        <w:top w:val="none" w:sz="0" w:space="0" w:color="auto"/>
        <w:left w:val="none" w:sz="0" w:space="0" w:color="auto"/>
        <w:bottom w:val="none" w:sz="0" w:space="0" w:color="auto"/>
        <w:right w:val="none" w:sz="0" w:space="0" w:color="auto"/>
      </w:divBdr>
    </w:div>
    <w:div w:id="1007438375">
      <w:bodyDiv w:val="1"/>
      <w:marLeft w:val="0"/>
      <w:marRight w:val="0"/>
      <w:marTop w:val="0"/>
      <w:marBottom w:val="0"/>
      <w:divBdr>
        <w:top w:val="none" w:sz="0" w:space="0" w:color="auto"/>
        <w:left w:val="none" w:sz="0" w:space="0" w:color="auto"/>
        <w:bottom w:val="none" w:sz="0" w:space="0" w:color="auto"/>
        <w:right w:val="none" w:sz="0" w:space="0" w:color="auto"/>
      </w:divBdr>
    </w:div>
    <w:div w:id="1020474559">
      <w:bodyDiv w:val="1"/>
      <w:marLeft w:val="0"/>
      <w:marRight w:val="0"/>
      <w:marTop w:val="0"/>
      <w:marBottom w:val="0"/>
      <w:divBdr>
        <w:top w:val="none" w:sz="0" w:space="0" w:color="auto"/>
        <w:left w:val="none" w:sz="0" w:space="0" w:color="auto"/>
        <w:bottom w:val="none" w:sz="0" w:space="0" w:color="auto"/>
        <w:right w:val="none" w:sz="0" w:space="0" w:color="auto"/>
      </w:divBdr>
    </w:div>
    <w:div w:id="1025058932">
      <w:bodyDiv w:val="1"/>
      <w:marLeft w:val="0"/>
      <w:marRight w:val="0"/>
      <w:marTop w:val="0"/>
      <w:marBottom w:val="0"/>
      <w:divBdr>
        <w:top w:val="none" w:sz="0" w:space="0" w:color="auto"/>
        <w:left w:val="none" w:sz="0" w:space="0" w:color="auto"/>
        <w:bottom w:val="none" w:sz="0" w:space="0" w:color="auto"/>
        <w:right w:val="none" w:sz="0" w:space="0" w:color="auto"/>
      </w:divBdr>
    </w:div>
    <w:div w:id="1054936273">
      <w:bodyDiv w:val="1"/>
      <w:marLeft w:val="0"/>
      <w:marRight w:val="0"/>
      <w:marTop w:val="0"/>
      <w:marBottom w:val="0"/>
      <w:divBdr>
        <w:top w:val="none" w:sz="0" w:space="0" w:color="auto"/>
        <w:left w:val="none" w:sz="0" w:space="0" w:color="auto"/>
        <w:bottom w:val="none" w:sz="0" w:space="0" w:color="auto"/>
        <w:right w:val="none" w:sz="0" w:space="0" w:color="auto"/>
      </w:divBdr>
    </w:div>
    <w:div w:id="1076972111">
      <w:bodyDiv w:val="1"/>
      <w:marLeft w:val="0"/>
      <w:marRight w:val="0"/>
      <w:marTop w:val="0"/>
      <w:marBottom w:val="0"/>
      <w:divBdr>
        <w:top w:val="none" w:sz="0" w:space="0" w:color="auto"/>
        <w:left w:val="none" w:sz="0" w:space="0" w:color="auto"/>
        <w:bottom w:val="none" w:sz="0" w:space="0" w:color="auto"/>
        <w:right w:val="none" w:sz="0" w:space="0" w:color="auto"/>
      </w:divBdr>
    </w:div>
    <w:div w:id="1085224779">
      <w:bodyDiv w:val="1"/>
      <w:marLeft w:val="0"/>
      <w:marRight w:val="0"/>
      <w:marTop w:val="0"/>
      <w:marBottom w:val="0"/>
      <w:divBdr>
        <w:top w:val="none" w:sz="0" w:space="0" w:color="auto"/>
        <w:left w:val="none" w:sz="0" w:space="0" w:color="auto"/>
        <w:bottom w:val="none" w:sz="0" w:space="0" w:color="auto"/>
        <w:right w:val="none" w:sz="0" w:space="0" w:color="auto"/>
      </w:divBdr>
    </w:div>
    <w:div w:id="1108769774">
      <w:bodyDiv w:val="1"/>
      <w:marLeft w:val="0"/>
      <w:marRight w:val="0"/>
      <w:marTop w:val="0"/>
      <w:marBottom w:val="0"/>
      <w:divBdr>
        <w:top w:val="none" w:sz="0" w:space="0" w:color="auto"/>
        <w:left w:val="none" w:sz="0" w:space="0" w:color="auto"/>
        <w:bottom w:val="none" w:sz="0" w:space="0" w:color="auto"/>
        <w:right w:val="none" w:sz="0" w:space="0" w:color="auto"/>
      </w:divBdr>
    </w:div>
    <w:div w:id="1115710430">
      <w:bodyDiv w:val="1"/>
      <w:marLeft w:val="0"/>
      <w:marRight w:val="0"/>
      <w:marTop w:val="0"/>
      <w:marBottom w:val="0"/>
      <w:divBdr>
        <w:top w:val="none" w:sz="0" w:space="0" w:color="auto"/>
        <w:left w:val="none" w:sz="0" w:space="0" w:color="auto"/>
        <w:bottom w:val="none" w:sz="0" w:space="0" w:color="auto"/>
        <w:right w:val="none" w:sz="0" w:space="0" w:color="auto"/>
      </w:divBdr>
    </w:div>
    <w:div w:id="1117454572">
      <w:bodyDiv w:val="1"/>
      <w:marLeft w:val="0"/>
      <w:marRight w:val="0"/>
      <w:marTop w:val="0"/>
      <w:marBottom w:val="0"/>
      <w:divBdr>
        <w:top w:val="none" w:sz="0" w:space="0" w:color="auto"/>
        <w:left w:val="none" w:sz="0" w:space="0" w:color="auto"/>
        <w:bottom w:val="none" w:sz="0" w:space="0" w:color="auto"/>
        <w:right w:val="none" w:sz="0" w:space="0" w:color="auto"/>
      </w:divBdr>
    </w:div>
    <w:div w:id="1121655405">
      <w:bodyDiv w:val="1"/>
      <w:marLeft w:val="0"/>
      <w:marRight w:val="0"/>
      <w:marTop w:val="0"/>
      <w:marBottom w:val="0"/>
      <w:divBdr>
        <w:top w:val="none" w:sz="0" w:space="0" w:color="auto"/>
        <w:left w:val="none" w:sz="0" w:space="0" w:color="auto"/>
        <w:bottom w:val="none" w:sz="0" w:space="0" w:color="auto"/>
        <w:right w:val="none" w:sz="0" w:space="0" w:color="auto"/>
      </w:divBdr>
    </w:div>
    <w:div w:id="1135878547">
      <w:bodyDiv w:val="1"/>
      <w:marLeft w:val="0"/>
      <w:marRight w:val="0"/>
      <w:marTop w:val="0"/>
      <w:marBottom w:val="0"/>
      <w:divBdr>
        <w:top w:val="none" w:sz="0" w:space="0" w:color="auto"/>
        <w:left w:val="none" w:sz="0" w:space="0" w:color="auto"/>
        <w:bottom w:val="none" w:sz="0" w:space="0" w:color="auto"/>
        <w:right w:val="none" w:sz="0" w:space="0" w:color="auto"/>
      </w:divBdr>
    </w:div>
    <w:div w:id="1151825147">
      <w:bodyDiv w:val="1"/>
      <w:marLeft w:val="0"/>
      <w:marRight w:val="0"/>
      <w:marTop w:val="0"/>
      <w:marBottom w:val="0"/>
      <w:divBdr>
        <w:top w:val="none" w:sz="0" w:space="0" w:color="auto"/>
        <w:left w:val="none" w:sz="0" w:space="0" w:color="auto"/>
        <w:bottom w:val="none" w:sz="0" w:space="0" w:color="auto"/>
        <w:right w:val="none" w:sz="0" w:space="0" w:color="auto"/>
      </w:divBdr>
    </w:div>
    <w:div w:id="1189248200">
      <w:bodyDiv w:val="1"/>
      <w:marLeft w:val="0"/>
      <w:marRight w:val="0"/>
      <w:marTop w:val="0"/>
      <w:marBottom w:val="0"/>
      <w:divBdr>
        <w:top w:val="none" w:sz="0" w:space="0" w:color="auto"/>
        <w:left w:val="none" w:sz="0" w:space="0" w:color="auto"/>
        <w:bottom w:val="none" w:sz="0" w:space="0" w:color="auto"/>
        <w:right w:val="none" w:sz="0" w:space="0" w:color="auto"/>
      </w:divBdr>
    </w:div>
    <w:div w:id="1205945391">
      <w:bodyDiv w:val="1"/>
      <w:marLeft w:val="0"/>
      <w:marRight w:val="0"/>
      <w:marTop w:val="0"/>
      <w:marBottom w:val="0"/>
      <w:divBdr>
        <w:top w:val="none" w:sz="0" w:space="0" w:color="auto"/>
        <w:left w:val="none" w:sz="0" w:space="0" w:color="auto"/>
        <w:bottom w:val="none" w:sz="0" w:space="0" w:color="auto"/>
        <w:right w:val="none" w:sz="0" w:space="0" w:color="auto"/>
      </w:divBdr>
    </w:div>
    <w:div w:id="1211309805">
      <w:bodyDiv w:val="1"/>
      <w:marLeft w:val="0"/>
      <w:marRight w:val="0"/>
      <w:marTop w:val="0"/>
      <w:marBottom w:val="0"/>
      <w:divBdr>
        <w:top w:val="none" w:sz="0" w:space="0" w:color="auto"/>
        <w:left w:val="none" w:sz="0" w:space="0" w:color="auto"/>
        <w:bottom w:val="none" w:sz="0" w:space="0" w:color="auto"/>
        <w:right w:val="none" w:sz="0" w:space="0" w:color="auto"/>
      </w:divBdr>
    </w:div>
    <w:div w:id="1213541609">
      <w:bodyDiv w:val="1"/>
      <w:marLeft w:val="0"/>
      <w:marRight w:val="0"/>
      <w:marTop w:val="0"/>
      <w:marBottom w:val="0"/>
      <w:divBdr>
        <w:top w:val="none" w:sz="0" w:space="0" w:color="auto"/>
        <w:left w:val="none" w:sz="0" w:space="0" w:color="auto"/>
        <w:bottom w:val="none" w:sz="0" w:space="0" w:color="auto"/>
        <w:right w:val="none" w:sz="0" w:space="0" w:color="auto"/>
      </w:divBdr>
    </w:div>
    <w:div w:id="1225944418">
      <w:bodyDiv w:val="1"/>
      <w:marLeft w:val="0"/>
      <w:marRight w:val="0"/>
      <w:marTop w:val="0"/>
      <w:marBottom w:val="0"/>
      <w:divBdr>
        <w:top w:val="none" w:sz="0" w:space="0" w:color="auto"/>
        <w:left w:val="none" w:sz="0" w:space="0" w:color="auto"/>
        <w:bottom w:val="none" w:sz="0" w:space="0" w:color="auto"/>
        <w:right w:val="none" w:sz="0" w:space="0" w:color="auto"/>
      </w:divBdr>
    </w:div>
    <w:div w:id="1240598296">
      <w:bodyDiv w:val="1"/>
      <w:marLeft w:val="0"/>
      <w:marRight w:val="0"/>
      <w:marTop w:val="0"/>
      <w:marBottom w:val="0"/>
      <w:divBdr>
        <w:top w:val="none" w:sz="0" w:space="0" w:color="auto"/>
        <w:left w:val="none" w:sz="0" w:space="0" w:color="auto"/>
        <w:bottom w:val="none" w:sz="0" w:space="0" w:color="auto"/>
        <w:right w:val="none" w:sz="0" w:space="0" w:color="auto"/>
      </w:divBdr>
    </w:div>
    <w:div w:id="1292321437">
      <w:bodyDiv w:val="1"/>
      <w:marLeft w:val="0"/>
      <w:marRight w:val="0"/>
      <w:marTop w:val="0"/>
      <w:marBottom w:val="0"/>
      <w:divBdr>
        <w:top w:val="none" w:sz="0" w:space="0" w:color="auto"/>
        <w:left w:val="none" w:sz="0" w:space="0" w:color="auto"/>
        <w:bottom w:val="none" w:sz="0" w:space="0" w:color="auto"/>
        <w:right w:val="none" w:sz="0" w:space="0" w:color="auto"/>
      </w:divBdr>
    </w:div>
    <w:div w:id="1292326510">
      <w:bodyDiv w:val="1"/>
      <w:marLeft w:val="0"/>
      <w:marRight w:val="0"/>
      <w:marTop w:val="0"/>
      <w:marBottom w:val="0"/>
      <w:divBdr>
        <w:top w:val="none" w:sz="0" w:space="0" w:color="auto"/>
        <w:left w:val="none" w:sz="0" w:space="0" w:color="auto"/>
        <w:bottom w:val="none" w:sz="0" w:space="0" w:color="auto"/>
        <w:right w:val="none" w:sz="0" w:space="0" w:color="auto"/>
      </w:divBdr>
    </w:div>
    <w:div w:id="1317761052">
      <w:bodyDiv w:val="1"/>
      <w:marLeft w:val="0"/>
      <w:marRight w:val="0"/>
      <w:marTop w:val="0"/>
      <w:marBottom w:val="0"/>
      <w:divBdr>
        <w:top w:val="none" w:sz="0" w:space="0" w:color="auto"/>
        <w:left w:val="none" w:sz="0" w:space="0" w:color="auto"/>
        <w:bottom w:val="none" w:sz="0" w:space="0" w:color="auto"/>
        <w:right w:val="none" w:sz="0" w:space="0" w:color="auto"/>
      </w:divBdr>
    </w:div>
    <w:div w:id="1322927451">
      <w:bodyDiv w:val="1"/>
      <w:marLeft w:val="0"/>
      <w:marRight w:val="0"/>
      <w:marTop w:val="0"/>
      <w:marBottom w:val="0"/>
      <w:divBdr>
        <w:top w:val="none" w:sz="0" w:space="0" w:color="auto"/>
        <w:left w:val="none" w:sz="0" w:space="0" w:color="auto"/>
        <w:bottom w:val="none" w:sz="0" w:space="0" w:color="auto"/>
        <w:right w:val="none" w:sz="0" w:space="0" w:color="auto"/>
      </w:divBdr>
    </w:div>
    <w:div w:id="1329596546">
      <w:bodyDiv w:val="1"/>
      <w:marLeft w:val="0"/>
      <w:marRight w:val="0"/>
      <w:marTop w:val="0"/>
      <w:marBottom w:val="0"/>
      <w:divBdr>
        <w:top w:val="none" w:sz="0" w:space="0" w:color="auto"/>
        <w:left w:val="none" w:sz="0" w:space="0" w:color="auto"/>
        <w:bottom w:val="none" w:sz="0" w:space="0" w:color="auto"/>
        <w:right w:val="none" w:sz="0" w:space="0" w:color="auto"/>
      </w:divBdr>
    </w:div>
    <w:div w:id="1339850621">
      <w:bodyDiv w:val="1"/>
      <w:marLeft w:val="0"/>
      <w:marRight w:val="0"/>
      <w:marTop w:val="0"/>
      <w:marBottom w:val="0"/>
      <w:divBdr>
        <w:top w:val="none" w:sz="0" w:space="0" w:color="auto"/>
        <w:left w:val="none" w:sz="0" w:space="0" w:color="auto"/>
        <w:bottom w:val="none" w:sz="0" w:space="0" w:color="auto"/>
        <w:right w:val="none" w:sz="0" w:space="0" w:color="auto"/>
      </w:divBdr>
    </w:div>
    <w:div w:id="1345670110">
      <w:bodyDiv w:val="1"/>
      <w:marLeft w:val="0"/>
      <w:marRight w:val="0"/>
      <w:marTop w:val="0"/>
      <w:marBottom w:val="0"/>
      <w:divBdr>
        <w:top w:val="none" w:sz="0" w:space="0" w:color="auto"/>
        <w:left w:val="none" w:sz="0" w:space="0" w:color="auto"/>
        <w:bottom w:val="none" w:sz="0" w:space="0" w:color="auto"/>
        <w:right w:val="none" w:sz="0" w:space="0" w:color="auto"/>
      </w:divBdr>
    </w:div>
    <w:div w:id="1373117075">
      <w:bodyDiv w:val="1"/>
      <w:marLeft w:val="0"/>
      <w:marRight w:val="0"/>
      <w:marTop w:val="0"/>
      <w:marBottom w:val="0"/>
      <w:divBdr>
        <w:top w:val="none" w:sz="0" w:space="0" w:color="auto"/>
        <w:left w:val="none" w:sz="0" w:space="0" w:color="auto"/>
        <w:bottom w:val="none" w:sz="0" w:space="0" w:color="auto"/>
        <w:right w:val="none" w:sz="0" w:space="0" w:color="auto"/>
      </w:divBdr>
    </w:div>
    <w:div w:id="1379743468">
      <w:bodyDiv w:val="1"/>
      <w:marLeft w:val="0"/>
      <w:marRight w:val="0"/>
      <w:marTop w:val="0"/>
      <w:marBottom w:val="0"/>
      <w:divBdr>
        <w:top w:val="none" w:sz="0" w:space="0" w:color="auto"/>
        <w:left w:val="none" w:sz="0" w:space="0" w:color="auto"/>
        <w:bottom w:val="none" w:sz="0" w:space="0" w:color="auto"/>
        <w:right w:val="none" w:sz="0" w:space="0" w:color="auto"/>
      </w:divBdr>
    </w:div>
    <w:div w:id="1386828135">
      <w:bodyDiv w:val="1"/>
      <w:marLeft w:val="0"/>
      <w:marRight w:val="0"/>
      <w:marTop w:val="0"/>
      <w:marBottom w:val="0"/>
      <w:divBdr>
        <w:top w:val="none" w:sz="0" w:space="0" w:color="auto"/>
        <w:left w:val="none" w:sz="0" w:space="0" w:color="auto"/>
        <w:bottom w:val="none" w:sz="0" w:space="0" w:color="auto"/>
        <w:right w:val="none" w:sz="0" w:space="0" w:color="auto"/>
      </w:divBdr>
    </w:div>
    <w:div w:id="1412922987">
      <w:bodyDiv w:val="1"/>
      <w:marLeft w:val="0"/>
      <w:marRight w:val="0"/>
      <w:marTop w:val="0"/>
      <w:marBottom w:val="0"/>
      <w:divBdr>
        <w:top w:val="none" w:sz="0" w:space="0" w:color="auto"/>
        <w:left w:val="none" w:sz="0" w:space="0" w:color="auto"/>
        <w:bottom w:val="none" w:sz="0" w:space="0" w:color="auto"/>
        <w:right w:val="none" w:sz="0" w:space="0" w:color="auto"/>
      </w:divBdr>
    </w:div>
    <w:div w:id="1425495967">
      <w:bodyDiv w:val="1"/>
      <w:marLeft w:val="0"/>
      <w:marRight w:val="0"/>
      <w:marTop w:val="0"/>
      <w:marBottom w:val="0"/>
      <w:divBdr>
        <w:top w:val="none" w:sz="0" w:space="0" w:color="auto"/>
        <w:left w:val="none" w:sz="0" w:space="0" w:color="auto"/>
        <w:bottom w:val="none" w:sz="0" w:space="0" w:color="auto"/>
        <w:right w:val="none" w:sz="0" w:space="0" w:color="auto"/>
      </w:divBdr>
    </w:div>
    <w:div w:id="1428380972">
      <w:bodyDiv w:val="1"/>
      <w:marLeft w:val="0"/>
      <w:marRight w:val="0"/>
      <w:marTop w:val="0"/>
      <w:marBottom w:val="0"/>
      <w:divBdr>
        <w:top w:val="none" w:sz="0" w:space="0" w:color="auto"/>
        <w:left w:val="none" w:sz="0" w:space="0" w:color="auto"/>
        <w:bottom w:val="none" w:sz="0" w:space="0" w:color="auto"/>
        <w:right w:val="none" w:sz="0" w:space="0" w:color="auto"/>
      </w:divBdr>
    </w:div>
    <w:div w:id="1457991746">
      <w:bodyDiv w:val="1"/>
      <w:marLeft w:val="0"/>
      <w:marRight w:val="0"/>
      <w:marTop w:val="0"/>
      <w:marBottom w:val="0"/>
      <w:divBdr>
        <w:top w:val="none" w:sz="0" w:space="0" w:color="auto"/>
        <w:left w:val="none" w:sz="0" w:space="0" w:color="auto"/>
        <w:bottom w:val="none" w:sz="0" w:space="0" w:color="auto"/>
        <w:right w:val="none" w:sz="0" w:space="0" w:color="auto"/>
      </w:divBdr>
    </w:div>
    <w:div w:id="1469281574">
      <w:bodyDiv w:val="1"/>
      <w:marLeft w:val="0"/>
      <w:marRight w:val="0"/>
      <w:marTop w:val="0"/>
      <w:marBottom w:val="0"/>
      <w:divBdr>
        <w:top w:val="none" w:sz="0" w:space="0" w:color="auto"/>
        <w:left w:val="none" w:sz="0" w:space="0" w:color="auto"/>
        <w:bottom w:val="none" w:sz="0" w:space="0" w:color="auto"/>
        <w:right w:val="none" w:sz="0" w:space="0" w:color="auto"/>
      </w:divBdr>
    </w:div>
    <w:div w:id="1473981771">
      <w:bodyDiv w:val="1"/>
      <w:marLeft w:val="0"/>
      <w:marRight w:val="0"/>
      <w:marTop w:val="0"/>
      <w:marBottom w:val="0"/>
      <w:divBdr>
        <w:top w:val="none" w:sz="0" w:space="0" w:color="auto"/>
        <w:left w:val="none" w:sz="0" w:space="0" w:color="auto"/>
        <w:bottom w:val="none" w:sz="0" w:space="0" w:color="auto"/>
        <w:right w:val="none" w:sz="0" w:space="0" w:color="auto"/>
      </w:divBdr>
    </w:div>
    <w:div w:id="1478912707">
      <w:bodyDiv w:val="1"/>
      <w:marLeft w:val="0"/>
      <w:marRight w:val="0"/>
      <w:marTop w:val="0"/>
      <w:marBottom w:val="0"/>
      <w:divBdr>
        <w:top w:val="none" w:sz="0" w:space="0" w:color="auto"/>
        <w:left w:val="none" w:sz="0" w:space="0" w:color="auto"/>
        <w:bottom w:val="none" w:sz="0" w:space="0" w:color="auto"/>
        <w:right w:val="none" w:sz="0" w:space="0" w:color="auto"/>
      </w:divBdr>
    </w:div>
    <w:div w:id="1481531042">
      <w:bodyDiv w:val="1"/>
      <w:marLeft w:val="0"/>
      <w:marRight w:val="0"/>
      <w:marTop w:val="0"/>
      <w:marBottom w:val="0"/>
      <w:divBdr>
        <w:top w:val="none" w:sz="0" w:space="0" w:color="auto"/>
        <w:left w:val="none" w:sz="0" w:space="0" w:color="auto"/>
        <w:bottom w:val="none" w:sz="0" w:space="0" w:color="auto"/>
        <w:right w:val="none" w:sz="0" w:space="0" w:color="auto"/>
      </w:divBdr>
    </w:div>
    <w:div w:id="1522469924">
      <w:bodyDiv w:val="1"/>
      <w:marLeft w:val="0"/>
      <w:marRight w:val="0"/>
      <w:marTop w:val="0"/>
      <w:marBottom w:val="0"/>
      <w:divBdr>
        <w:top w:val="none" w:sz="0" w:space="0" w:color="auto"/>
        <w:left w:val="none" w:sz="0" w:space="0" w:color="auto"/>
        <w:bottom w:val="none" w:sz="0" w:space="0" w:color="auto"/>
        <w:right w:val="none" w:sz="0" w:space="0" w:color="auto"/>
      </w:divBdr>
    </w:div>
    <w:div w:id="1538739264">
      <w:bodyDiv w:val="1"/>
      <w:marLeft w:val="0"/>
      <w:marRight w:val="0"/>
      <w:marTop w:val="0"/>
      <w:marBottom w:val="0"/>
      <w:divBdr>
        <w:top w:val="none" w:sz="0" w:space="0" w:color="auto"/>
        <w:left w:val="none" w:sz="0" w:space="0" w:color="auto"/>
        <w:bottom w:val="none" w:sz="0" w:space="0" w:color="auto"/>
        <w:right w:val="none" w:sz="0" w:space="0" w:color="auto"/>
      </w:divBdr>
    </w:div>
    <w:div w:id="1562523193">
      <w:bodyDiv w:val="1"/>
      <w:marLeft w:val="0"/>
      <w:marRight w:val="0"/>
      <w:marTop w:val="0"/>
      <w:marBottom w:val="0"/>
      <w:divBdr>
        <w:top w:val="none" w:sz="0" w:space="0" w:color="auto"/>
        <w:left w:val="none" w:sz="0" w:space="0" w:color="auto"/>
        <w:bottom w:val="none" w:sz="0" w:space="0" w:color="auto"/>
        <w:right w:val="none" w:sz="0" w:space="0" w:color="auto"/>
      </w:divBdr>
    </w:div>
    <w:div w:id="1572810026">
      <w:bodyDiv w:val="1"/>
      <w:marLeft w:val="0"/>
      <w:marRight w:val="0"/>
      <w:marTop w:val="0"/>
      <w:marBottom w:val="0"/>
      <w:divBdr>
        <w:top w:val="none" w:sz="0" w:space="0" w:color="auto"/>
        <w:left w:val="none" w:sz="0" w:space="0" w:color="auto"/>
        <w:bottom w:val="none" w:sz="0" w:space="0" w:color="auto"/>
        <w:right w:val="none" w:sz="0" w:space="0" w:color="auto"/>
      </w:divBdr>
    </w:div>
    <w:div w:id="1611008152">
      <w:bodyDiv w:val="1"/>
      <w:marLeft w:val="0"/>
      <w:marRight w:val="0"/>
      <w:marTop w:val="0"/>
      <w:marBottom w:val="0"/>
      <w:divBdr>
        <w:top w:val="none" w:sz="0" w:space="0" w:color="auto"/>
        <w:left w:val="none" w:sz="0" w:space="0" w:color="auto"/>
        <w:bottom w:val="none" w:sz="0" w:space="0" w:color="auto"/>
        <w:right w:val="none" w:sz="0" w:space="0" w:color="auto"/>
      </w:divBdr>
    </w:div>
    <w:div w:id="1621835632">
      <w:bodyDiv w:val="1"/>
      <w:marLeft w:val="0"/>
      <w:marRight w:val="0"/>
      <w:marTop w:val="0"/>
      <w:marBottom w:val="0"/>
      <w:divBdr>
        <w:top w:val="none" w:sz="0" w:space="0" w:color="auto"/>
        <w:left w:val="none" w:sz="0" w:space="0" w:color="auto"/>
        <w:bottom w:val="none" w:sz="0" w:space="0" w:color="auto"/>
        <w:right w:val="none" w:sz="0" w:space="0" w:color="auto"/>
      </w:divBdr>
    </w:div>
    <w:div w:id="1639147113">
      <w:bodyDiv w:val="1"/>
      <w:marLeft w:val="0"/>
      <w:marRight w:val="0"/>
      <w:marTop w:val="0"/>
      <w:marBottom w:val="0"/>
      <w:divBdr>
        <w:top w:val="none" w:sz="0" w:space="0" w:color="auto"/>
        <w:left w:val="none" w:sz="0" w:space="0" w:color="auto"/>
        <w:bottom w:val="none" w:sz="0" w:space="0" w:color="auto"/>
        <w:right w:val="none" w:sz="0" w:space="0" w:color="auto"/>
      </w:divBdr>
    </w:div>
    <w:div w:id="1668053513">
      <w:bodyDiv w:val="1"/>
      <w:marLeft w:val="0"/>
      <w:marRight w:val="0"/>
      <w:marTop w:val="0"/>
      <w:marBottom w:val="0"/>
      <w:divBdr>
        <w:top w:val="none" w:sz="0" w:space="0" w:color="auto"/>
        <w:left w:val="none" w:sz="0" w:space="0" w:color="auto"/>
        <w:bottom w:val="none" w:sz="0" w:space="0" w:color="auto"/>
        <w:right w:val="none" w:sz="0" w:space="0" w:color="auto"/>
      </w:divBdr>
    </w:div>
    <w:div w:id="1686980272">
      <w:bodyDiv w:val="1"/>
      <w:marLeft w:val="0"/>
      <w:marRight w:val="0"/>
      <w:marTop w:val="0"/>
      <w:marBottom w:val="0"/>
      <w:divBdr>
        <w:top w:val="none" w:sz="0" w:space="0" w:color="auto"/>
        <w:left w:val="none" w:sz="0" w:space="0" w:color="auto"/>
        <w:bottom w:val="none" w:sz="0" w:space="0" w:color="auto"/>
        <w:right w:val="none" w:sz="0" w:space="0" w:color="auto"/>
      </w:divBdr>
    </w:div>
    <w:div w:id="1695308064">
      <w:bodyDiv w:val="1"/>
      <w:marLeft w:val="0"/>
      <w:marRight w:val="0"/>
      <w:marTop w:val="0"/>
      <w:marBottom w:val="0"/>
      <w:divBdr>
        <w:top w:val="none" w:sz="0" w:space="0" w:color="auto"/>
        <w:left w:val="none" w:sz="0" w:space="0" w:color="auto"/>
        <w:bottom w:val="none" w:sz="0" w:space="0" w:color="auto"/>
        <w:right w:val="none" w:sz="0" w:space="0" w:color="auto"/>
      </w:divBdr>
    </w:div>
    <w:div w:id="1716733655">
      <w:bodyDiv w:val="1"/>
      <w:marLeft w:val="0"/>
      <w:marRight w:val="0"/>
      <w:marTop w:val="0"/>
      <w:marBottom w:val="0"/>
      <w:divBdr>
        <w:top w:val="none" w:sz="0" w:space="0" w:color="auto"/>
        <w:left w:val="none" w:sz="0" w:space="0" w:color="auto"/>
        <w:bottom w:val="none" w:sz="0" w:space="0" w:color="auto"/>
        <w:right w:val="none" w:sz="0" w:space="0" w:color="auto"/>
      </w:divBdr>
    </w:div>
    <w:div w:id="1730883450">
      <w:bodyDiv w:val="1"/>
      <w:marLeft w:val="0"/>
      <w:marRight w:val="0"/>
      <w:marTop w:val="0"/>
      <w:marBottom w:val="0"/>
      <w:divBdr>
        <w:top w:val="none" w:sz="0" w:space="0" w:color="auto"/>
        <w:left w:val="none" w:sz="0" w:space="0" w:color="auto"/>
        <w:bottom w:val="none" w:sz="0" w:space="0" w:color="auto"/>
        <w:right w:val="none" w:sz="0" w:space="0" w:color="auto"/>
      </w:divBdr>
    </w:div>
    <w:div w:id="1755324141">
      <w:bodyDiv w:val="1"/>
      <w:marLeft w:val="0"/>
      <w:marRight w:val="0"/>
      <w:marTop w:val="0"/>
      <w:marBottom w:val="0"/>
      <w:divBdr>
        <w:top w:val="none" w:sz="0" w:space="0" w:color="auto"/>
        <w:left w:val="none" w:sz="0" w:space="0" w:color="auto"/>
        <w:bottom w:val="none" w:sz="0" w:space="0" w:color="auto"/>
        <w:right w:val="none" w:sz="0" w:space="0" w:color="auto"/>
      </w:divBdr>
    </w:div>
    <w:div w:id="1764835281">
      <w:bodyDiv w:val="1"/>
      <w:marLeft w:val="0"/>
      <w:marRight w:val="0"/>
      <w:marTop w:val="0"/>
      <w:marBottom w:val="0"/>
      <w:divBdr>
        <w:top w:val="none" w:sz="0" w:space="0" w:color="auto"/>
        <w:left w:val="none" w:sz="0" w:space="0" w:color="auto"/>
        <w:bottom w:val="none" w:sz="0" w:space="0" w:color="auto"/>
        <w:right w:val="none" w:sz="0" w:space="0" w:color="auto"/>
      </w:divBdr>
    </w:div>
    <w:div w:id="1817917848">
      <w:bodyDiv w:val="1"/>
      <w:marLeft w:val="0"/>
      <w:marRight w:val="0"/>
      <w:marTop w:val="0"/>
      <w:marBottom w:val="0"/>
      <w:divBdr>
        <w:top w:val="none" w:sz="0" w:space="0" w:color="auto"/>
        <w:left w:val="none" w:sz="0" w:space="0" w:color="auto"/>
        <w:bottom w:val="none" w:sz="0" w:space="0" w:color="auto"/>
        <w:right w:val="none" w:sz="0" w:space="0" w:color="auto"/>
      </w:divBdr>
    </w:div>
    <w:div w:id="1822429553">
      <w:bodyDiv w:val="1"/>
      <w:marLeft w:val="0"/>
      <w:marRight w:val="0"/>
      <w:marTop w:val="0"/>
      <w:marBottom w:val="0"/>
      <w:divBdr>
        <w:top w:val="none" w:sz="0" w:space="0" w:color="auto"/>
        <w:left w:val="none" w:sz="0" w:space="0" w:color="auto"/>
        <w:bottom w:val="none" w:sz="0" w:space="0" w:color="auto"/>
        <w:right w:val="none" w:sz="0" w:space="0" w:color="auto"/>
      </w:divBdr>
    </w:div>
    <w:div w:id="1832676440">
      <w:bodyDiv w:val="1"/>
      <w:marLeft w:val="0"/>
      <w:marRight w:val="0"/>
      <w:marTop w:val="0"/>
      <w:marBottom w:val="0"/>
      <w:divBdr>
        <w:top w:val="none" w:sz="0" w:space="0" w:color="auto"/>
        <w:left w:val="none" w:sz="0" w:space="0" w:color="auto"/>
        <w:bottom w:val="none" w:sz="0" w:space="0" w:color="auto"/>
        <w:right w:val="none" w:sz="0" w:space="0" w:color="auto"/>
      </w:divBdr>
    </w:div>
    <w:div w:id="1840385004">
      <w:bodyDiv w:val="1"/>
      <w:marLeft w:val="0"/>
      <w:marRight w:val="0"/>
      <w:marTop w:val="0"/>
      <w:marBottom w:val="0"/>
      <w:divBdr>
        <w:top w:val="none" w:sz="0" w:space="0" w:color="auto"/>
        <w:left w:val="none" w:sz="0" w:space="0" w:color="auto"/>
        <w:bottom w:val="none" w:sz="0" w:space="0" w:color="auto"/>
        <w:right w:val="none" w:sz="0" w:space="0" w:color="auto"/>
      </w:divBdr>
    </w:div>
    <w:div w:id="1871065514">
      <w:bodyDiv w:val="1"/>
      <w:marLeft w:val="0"/>
      <w:marRight w:val="0"/>
      <w:marTop w:val="0"/>
      <w:marBottom w:val="0"/>
      <w:divBdr>
        <w:top w:val="none" w:sz="0" w:space="0" w:color="auto"/>
        <w:left w:val="none" w:sz="0" w:space="0" w:color="auto"/>
        <w:bottom w:val="none" w:sz="0" w:space="0" w:color="auto"/>
        <w:right w:val="none" w:sz="0" w:space="0" w:color="auto"/>
      </w:divBdr>
    </w:div>
    <w:div w:id="1902324537">
      <w:bodyDiv w:val="1"/>
      <w:marLeft w:val="0"/>
      <w:marRight w:val="0"/>
      <w:marTop w:val="0"/>
      <w:marBottom w:val="0"/>
      <w:divBdr>
        <w:top w:val="none" w:sz="0" w:space="0" w:color="auto"/>
        <w:left w:val="none" w:sz="0" w:space="0" w:color="auto"/>
        <w:bottom w:val="none" w:sz="0" w:space="0" w:color="auto"/>
        <w:right w:val="none" w:sz="0" w:space="0" w:color="auto"/>
      </w:divBdr>
    </w:div>
    <w:div w:id="1907374917">
      <w:bodyDiv w:val="1"/>
      <w:marLeft w:val="0"/>
      <w:marRight w:val="0"/>
      <w:marTop w:val="0"/>
      <w:marBottom w:val="0"/>
      <w:divBdr>
        <w:top w:val="none" w:sz="0" w:space="0" w:color="auto"/>
        <w:left w:val="none" w:sz="0" w:space="0" w:color="auto"/>
        <w:bottom w:val="none" w:sz="0" w:space="0" w:color="auto"/>
        <w:right w:val="none" w:sz="0" w:space="0" w:color="auto"/>
      </w:divBdr>
    </w:div>
    <w:div w:id="1907951705">
      <w:bodyDiv w:val="1"/>
      <w:marLeft w:val="0"/>
      <w:marRight w:val="0"/>
      <w:marTop w:val="0"/>
      <w:marBottom w:val="0"/>
      <w:divBdr>
        <w:top w:val="none" w:sz="0" w:space="0" w:color="auto"/>
        <w:left w:val="none" w:sz="0" w:space="0" w:color="auto"/>
        <w:bottom w:val="none" w:sz="0" w:space="0" w:color="auto"/>
        <w:right w:val="none" w:sz="0" w:space="0" w:color="auto"/>
      </w:divBdr>
    </w:div>
    <w:div w:id="1946501976">
      <w:bodyDiv w:val="1"/>
      <w:marLeft w:val="0"/>
      <w:marRight w:val="0"/>
      <w:marTop w:val="0"/>
      <w:marBottom w:val="0"/>
      <w:divBdr>
        <w:top w:val="none" w:sz="0" w:space="0" w:color="auto"/>
        <w:left w:val="none" w:sz="0" w:space="0" w:color="auto"/>
        <w:bottom w:val="none" w:sz="0" w:space="0" w:color="auto"/>
        <w:right w:val="none" w:sz="0" w:space="0" w:color="auto"/>
      </w:divBdr>
    </w:div>
    <w:div w:id="1975283010">
      <w:bodyDiv w:val="1"/>
      <w:marLeft w:val="0"/>
      <w:marRight w:val="0"/>
      <w:marTop w:val="0"/>
      <w:marBottom w:val="0"/>
      <w:divBdr>
        <w:top w:val="none" w:sz="0" w:space="0" w:color="auto"/>
        <w:left w:val="none" w:sz="0" w:space="0" w:color="auto"/>
        <w:bottom w:val="none" w:sz="0" w:space="0" w:color="auto"/>
        <w:right w:val="none" w:sz="0" w:space="0" w:color="auto"/>
      </w:divBdr>
    </w:div>
    <w:div w:id="2024090376">
      <w:bodyDiv w:val="1"/>
      <w:marLeft w:val="0"/>
      <w:marRight w:val="0"/>
      <w:marTop w:val="0"/>
      <w:marBottom w:val="0"/>
      <w:divBdr>
        <w:top w:val="none" w:sz="0" w:space="0" w:color="auto"/>
        <w:left w:val="none" w:sz="0" w:space="0" w:color="auto"/>
        <w:bottom w:val="none" w:sz="0" w:space="0" w:color="auto"/>
        <w:right w:val="none" w:sz="0" w:space="0" w:color="auto"/>
      </w:divBdr>
    </w:div>
    <w:div w:id="2027367270">
      <w:bodyDiv w:val="1"/>
      <w:marLeft w:val="0"/>
      <w:marRight w:val="0"/>
      <w:marTop w:val="0"/>
      <w:marBottom w:val="0"/>
      <w:divBdr>
        <w:top w:val="none" w:sz="0" w:space="0" w:color="auto"/>
        <w:left w:val="none" w:sz="0" w:space="0" w:color="auto"/>
        <w:bottom w:val="none" w:sz="0" w:space="0" w:color="auto"/>
        <w:right w:val="none" w:sz="0" w:space="0" w:color="auto"/>
      </w:divBdr>
    </w:div>
    <w:div w:id="2030640324">
      <w:bodyDiv w:val="1"/>
      <w:marLeft w:val="0"/>
      <w:marRight w:val="0"/>
      <w:marTop w:val="0"/>
      <w:marBottom w:val="0"/>
      <w:divBdr>
        <w:top w:val="none" w:sz="0" w:space="0" w:color="auto"/>
        <w:left w:val="none" w:sz="0" w:space="0" w:color="auto"/>
        <w:bottom w:val="none" w:sz="0" w:space="0" w:color="auto"/>
        <w:right w:val="none" w:sz="0" w:space="0" w:color="auto"/>
      </w:divBdr>
    </w:div>
    <w:div w:id="2091197912">
      <w:bodyDiv w:val="1"/>
      <w:marLeft w:val="0"/>
      <w:marRight w:val="0"/>
      <w:marTop w:val="0"/>
      <w:marBottom w:val="0"/>
      <w:divBdr>
        <w:top w:val="none" w:sz="0" w:space="0" w:color="auto"/>
        <w:left w:val="none" w:sz="0" w:space="0" w:color="auto"/>
        <w:bottom w:val="none" w:sz="0" w:space="0" w:color="auto"/>
        <w:right w:val="none" w:sz="0" w:space="0" w:color="auto"/>
      </w:divBdr>
    </w:div>
    <w:div w:id="2094739777">
      <w:bodyDiv w:val="1"/>
      <w:marLeft w:val="0"/>
      <w:marRight w:val="0"/>
      <w:marTop w:val="0"/>
      <w:marBottom w:val="0"/>
      <w:divBdr>
        <w:top w:val="none" w:sz="0" w:space="0" w:color="auto"/>
        <w:left w:val="none" w:sz="0" w:space="0" w:color="auto"/>
        <w:bottom w:val="none" w:sz="0" w:space="0" w:color="auto"/>
        <w:right w:val="none" w:sz="0" w:space="0" w:color="auto"/>
      </w:divBdr>
    </w:div>
    <w:div w:id="2120177950">
      <w:bodyDiv w:val="1"/>
      <w:marLeft w:val="0"/>
      <w:marRight w:val="0"/>
      <w:marTop w:val="0"/>
      <w:marBottom w:val="0"/>
      <w:divBdr>
        <w:top w:val="none" w:sz="0" w:space="0" w:color="auto"/>
        <w:left w:val="none" w:sz="0" w:space="0" w:color="auto"/>
        <w:bottom w:val="none" w:sz="0" w:space="0" w:color="auto"/>
        <w:right w:val="none" w:sz="0" w:space="0" w:color="auto"/>
      </w:divBdr>
    </w:div>
    <w:div w:id="2122408708">
      <w:bodyDiv w:val="1"/>
      <w:marLeft w:val="0"/>
      <w:marRight w:val="0"/>
      <w:marTop w:val="0"/>
      <w:marBottom w:val="0"/>
      <w:divBdr>
        <w:top w:val="none" w:sz="0" w:space="0" w:color="auto"/>
        <w:left w:val="none" w:sz="0" w:space="0" w:color="auto"/>
        <w:bottom w:val="none" w:sz="0" w:space="0" w:color="auto"/>
        <w:right w:val="none" w:sz="0" w:space="0" w:color="auto"/>
      </w:divBdr>
    </w:div>
    <w:div w:id="2140412647">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21" Type="http://schemas.openxmlformats.org/officeDocument/2006/relationships/header" Target="header1.xml"/><Relationship Id="rId42" Type="http://schemas.openxmlformats.org/officeDocument/2006/relationships/chart" Target="charts/chart23.xml"/><Relationship Id="rId47" Type="http://schemas.openxmlformats.org/officeDocument/2006/relationships/chart" Target="charts/chart27.xml"/><Relationship Id="rId63" Type="http://schemas.openxmlformats.org/officeDocument/2006/relationships/chart" Target="charts/chart35.xml"/><Relationship Id="rId68" Type="http://schemas.openxmlformats.org/officeDocument/2006/relationships/chart" Target="charts/chart40.xml"/><Relationship Id="rId84" Type="http://schemas.openxmlformats.org/officeDocument/2006/relationships/chart" Target="charts/chart48.xml"/><Relationship Id="rId89" Type="http://schemas.openxmlformats.org/officeDocument/2006/relationships/chart" Target="charts/chart53.xml"/><Relationship Id="rId16" Type="http://schemas.openxmlformats.org/officeDocument/2006/relationships/footer" Target="footer1.xml"/><Relationship Id="rId107" Type="http://schemas.openxmlformats.org/officeDocument/2006/relationships/theme" Target="theme/theme1.xml"/><Relationship Id="rId11" Type="http://schemas.openxmlformats.org/officeDocument/2006/relationships/hyperlink" Target="http://www.qilt.edu.au" TargetMode="External"/><Relationship Id="rId32" Type="http://schemas.openxmlformats.org/officeDocument/2006/relationships/chart" Target="charts/chart13.xml"/><Relationship Id="rId37" Type="http://schemas.openxmlformats.org/officeDocument/2006/relationships/chart" Target="charts/chart18.xml"/><Relationship Id="rId53" Type="http://schemas.openxmlformats.org/officeDocument/2006/relationships/chart" Target="charts/chart30.xml"/><Relationship Id="rId58" Type="http://schemas.openxmlformats.org/officeDocument/2006/relationships/image" Target="media/image2.png"/><Relationship Id="rId74" Type="http://schemas.openxmlformats.org/officeDocument/2006/relationships/header" Target="header10.xml"/><Relationship Id="rId79" Type="http://schemas.openxmlformats.org/officeDocument/2006/relationships/header" Target="header13.xml"/><Relationship Id="rId102" Type="http://schemas.openxmlformats.org/officeDocument/2006/relationships/hyperlink" Target="https://srcentre.com.au/" TargetMode="External"/><Relationship Id="rId5" Type="http://schemas.openxmlformats.org/officeDocument/2006/relationships/numbering" Target="numbering.xml"/><Relationship Id="rId90" Type="http://schemas.openxmlformats.org/officeDocument/2006/relationships/chart" Target="charts/chart54.xml"/><Relationship Id="rId95" Type="http://schemas.openxmlformats.org/officeDocument/2006/relationships/chart" Target="charts/chart59.xml"/><Relationship Id="rId22" Type="http://schemas.openxmlformats.org/officeDocument/2006/relationships/footer" Target="footer2.xml"/><Relationship Id="rId27" Type="http://schemas.openxmlformats.org/officeDocument/2006/relationships/chart" Target="charts/chart8.xml"/><Relationship Id="rId43" Type="http://schemas.openxmlformats.org/officeDocument/2006/relationships/chart" Target="charts/chart24.xml"/><Relationship Id="rId48" Type="http://schemas.openxmlformats.org/officeDocument/2006/relationships/chart" Target="charts/chart28.xml"/><Relationship Id="rId64" Type="http://schemas.openxmlformats.org/officeDocument/2006/relationships/chart" Target="charts/chart36.xml"/><Relationship Id="rId69" Type="http://schemas.openxmlformats.org/officeDocument/2006/relationships/chart" Target="charts/chart41.xml"/><Relationship Id="rId80" Type="http://schemas.openxmlformats.org/officeDocument/2006/relationships/chart" Target="charts/chart46.xml"/><Relationship Id="rId85" Type="http://schemas.openxmlformats.org/officeDocument/2006/relationships/chart" Target="charts/chart49.xml"/><Relationship Id="rId12" Type="http://schemas.openxmlformats.org/officeDocument/2006/relationships/hyperlink" Target="mailto:qilt@srcentre.com.au" TargetMode="External"/><Relationship Id="rId17" Type="http://schemas.openxmlformats.org/officeDocument/2006/relationships/hyperlink" Target="https://www.qilt.edu.au/" TargetMode="External"/><Relationship Id="rId33" Type="http://schemas.openxmlformats.org/officeDocument/2006/relationships/chart" Target="charts/chart14.xml"/><Relationship Id="rId38" Type="http://schemas.openxmlformats.org/officeDocument/2006/relationships/chart" Target="charts/chart19.xml"/><Relationship Id="rId59" Type="http://schemas.openxmlformats.org/officeDocument/2006/relationships/chart" Target="charts/chart31.xml"/><Relationship Id="rId103" Type="http://schemas.openxmlformats.org/officeDocument/2006/relationships/image" Target="media/image3.png"/><Relationship Id="rId20" Type="http://schemas.openxmlformats.org/officeDocument/2006/relationships/chart" Target="charts/chart4.xml"/><Relationship Id="rId41" Type="http://schemas.openxmlformats.org/officeDocument/2006/relationships/chart" Target="charts/chart22.xml"/><Relationship Id="rId54" Type="http://schemas.openxmlformats.org/officeDocument/2006/relationships/header" Target="header6.xml"/><Relationship Id="rId62" Type="http://schemas.openxmlformats.org/officeDocument/2006/relationships/chart" Target="charts/chart34.xml"/><Relationship Id="rId70" Type="http://schemas.openxmlformats.org/officeDocument/2006/relationships/chart" Target="charts/chart42.xml"/><Relationship Id="rId75" Type="http://schemas.openxmlformats.org/officeDocument/2006/relationships/header" Target="header11.xml"/><Relationship Id="rId83" Type="http://schemas.openxmlformats.org/officeDocument/2006/relationships/footer" Target="footer6.xml"/><Relationship Id="rId88" Type="http://schemas.openxmlformats.org/officeDocument/2006/relationships/chart" Target="charts/chart52.xml"/><Relationship Id="rId91" Type="http://schemas.openxmlformats.org/officeDocument/2006/relationships/chart" Target="charts/chart55.xml"/><Relationship Id="rId96" Type="http://schemas.openxmlformats.org/officeDocument/2006/relationships/chart" Target="charts/chart60.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2.xml"/><Relationship Id="rId23" Type="http://schemas.openxmlformats.org/officeDocument/2006/relationships/chart" Target="charts/chart5.xml"/><Relationship Id="rId28" Type="http://schemas.openxmlformats.org/officeDocument/2006/relationships/chart" Target="charts/chart9.xml"/><Relationship Id="rId36" Type="http://schemas.openxmlformats.org/officeDocument/2006/relationships/chart" Target="charts/chart17.xml"/><Relationship Id="rId49" Type="http://schemas.openxmlformats.org/officeDocument/2006/relationships/header" Target="header4.xml"/><Relationship Id="rId57" Type="http://schemas.openxmlformats.org/officeDocument/2006/relationships/footer" Target="footer5.xml"/><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chart" Target="charts/chart12.xml"/><Relationship Id="rId44" Type="http://schemas.openxmlformats.org/officeDocument/2006/relationships/chart" Target="charts/chart25.xml"/><Relationship Id="rId52" Type="http://schemas.openxmlformats.org/officeDocument/2006/relationships/header" Target="header5.xml"/><Relationship Id="rId60" Type="http://schemas.openxmlformats.org/officeDocument/2006/relationships/chart" Target="charts/chart32.xml"/><Relationship Id="rId65" Type="http://schemas.openxmlformats.org/officeDocument/2006/relationships/chart" Target="charts/chart37.xml"/><Relationship Id="rId73" Type="http://schemas.openxmlformats.org/officeDocument/2006/relationships/chart" Target="charts/chart43.xml"/><Relationship Id="rId78" Type="http://schemas.openxmlformats.org/officeDocument/2006/relationships/chart" Target="charts/chart45.xml"/><Relationship Id="rId81" Type="http://schemas.openxmlformats.org/officeDocument/2006/relationships/chart" Target="charts/chart47.xml"/><Relationship Id="rId86" Type="http://schemas.openxmlformats.org/officeDocument/2006/relationships/chart" Target="charts/chart50.xml"/><Relationship Id="rId94" Type="http://schemas.openxmlformats.org/officeDocument/2006/relationships/chart" Target="charts/chart58.xml"/><Relationship Id="rId99" Type="http://schemas.openxmlformats.org/officeDocument/2006/relationships/header" Target="header16.xml"/><Relationship Id="rId101" Type="http://schemas.openxmlformats.org/officeDocument/2006/relationships/hyperlink" Target="mailto:info@srcentre.com.au"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hyperlink" Target="https://www.qilt.edu.au/" TargetMode="External"/><Relationship Id="rId39" Type="http://schemas.openxmlformats.org/officeDocument/2006/relationships/chart" Target="charts/chart20.xml"/><Relationship Id="rId34" Type="http://schemas.openxmlformats.org/officeDocument/2006/relationships/chart" Target="charts/chart15.xml"/><Relationship Id="rId50" Type="http://schemas.openxmlformats.org/officeDocument/2006/relationships/footer" Target="footer3.xml"/><Relationship Id="rId55" Type="http://schemas.openxmlformats.org/officeDocument/2006/relationships/footer" Target="footer4.xml"/><Relationship Id="rId76" Type="http://schemas.openxmlformats.org/officeDocument/2006/relationships/chart" Target="charts/chart44.xml"/><Relationship Id="rId97" Type="http://schemas.openxmlformats.org/officeDocument/2006/relationships/chart" Target="charts/chart61.xml"/><Relationship Id="rId104" Type="http://schemas.openxmlformats.org/officeDocument/2006/relationships/image" Target="media/image4.svg"/><Relationship Id="rId7" Type="http://schemas.openxmlformats.org/officeDocument/2006/relationships/settings" Target="settings.xml"/><Relationship Id="rId71" Type="http://schemas.openxmlformats.org/officeDocument/2006/relationships/header" Target="header8.xml"/><Relationship Id="rId92" Type="http://schemas.openxmlformats.org/officeDocument/2006/relationships/chart" Target="charts/chart56.xml"/><Relationship Id="rId2" Type="http://schemas.openxmlformats.org/officeDocument/2006/relationships/customXml" Target="../customXml/item2.xml"/><Relationship Id="rId29" Type="http://schemas.openxmlformats.org/officeDocument/2006/relationships/chart" Target="charts/chart10.xml"/><Relationship Id="rId24" Type="http://schemas.openxmlformats.org/officeDocument/2006/relationships/header" Target="header2.xml"/><Relationship Id="rId40" Type="http://schemas.openxmlformats.org/officeDocument/2006/relationships/chart" Target="charts/chart21.xml"/><Relationship Id="rId45" Type="http://schemas.openxmlformats.org/officeDocument/2006/relationships/chart" Target="charts/chart26.xml"/><Relationship Id="rId66" Type="http://schemas.openxmlformats.org/officeDocument/2006/relationships/chart" Target="charts/chart38.xml"/><Relationship Id="rId87" Type="http://schemas.openxmlformats.org/officeDocument/2006/relationships/chart" Target="charts/chart51.xml"/><Relationship Id="rId61" Type="http://schemas.openxmlformats.org/officeDocument/2006/relationships/chart" Target="charts/chart33.xml"/><Relationship Id="rId82" Type="http://schemas.openxmlformats.org/officeDocument/2006/relationships/header" Target="header14.xml"/><Relationship Id="rId19" Type="http://schemas.openxmlformats.org/officeDocument/2006/relationships/chart" Target="charts/chart3.xml"/><Relationship Id="rId14" Type="http://schemas.openxmlformats.org/officeDocument/2006/relationships/chart" Target="charts/chart1.xml"/><Relationship Id="rId30" Type="http://schemas.openxmlformats.org/officeDocument/2006/relationships/chart" Target="charts/chart11.xml"/><Relationship Id="rId35" Type="http://schemas.openxmlformats.org/officeDocument/2006/relationships/chart" Target="charts/chart16.xml"/><Relationship Id="rId56" Type="http://schemas.openxmlformats.org/officeDocument/2006/relationships/header" Target="header7.xml"/><Relationship Id="rId77" Type="http://schemas.openxmlformats.org/officeDocument/2006/relationships/header" Target="header12.xml"/><Relationship Id="rId100" Type="http://schemas.openxmlformats.org/officeDocument/2006/relationships/footer" Target="footer7.xml"/><Relationship Id="rId105" Type="http://schemas.openxmlformats.org/officeDocument/2006/relationships/footer" Target="footer8.xml"/><Relationship Id="rId8" Type="http://schemas.openxmlformats.org/officeDocument/2006/relationships/webSettings" Target="webSettings.xml"/><Relationship Id="rId51" Type="http://schemas.openxmlformats.org/officeDocument/2006/relationships/chart" Target="charts/chart29.xml"/><Relationship Id="rId72" Type="http://schemas.openxmlformats.org/officeDocument/2006/relationships/header" Target="header9.xml"/><Relationship Id="rId93" Type="http://schemas.openxmlformats.org/officeDocument/2006/relationships/chart" Target="charts/chart57.xml"/><Relationship Id="rId98" Type="http://schemas.openxmlformats.org/officeDocument/2006/relationships/header" Target="header15.xml"/><Relationship Id="rId3" Type="http://schemas.openxmlformats.org/officeDocument/2006/relationships/customXml" Target="../customXml/item3.xml"/><Relationship Id="rId25" Type="http://schemas.openxmlformats.org/officeDocument/2006/relationships/chart" Target="charts/chart6.xml"/><Relationship Id="rId46" Type="http://schemas.openxmlformats.org/officeDocument/2006/relationships/header" Target="header3.xml"/><Relationship Id="rId67" Type="http://schemas.openxmlformats.org/officeDocument/2006/relationships/chart" Target="charts/chart39.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https://srcentre.sharepoint.com/sites/QILT/Workbench/SES/2024/National%20Reporting/2024%20SES%20National%20Report%20figures%20(250430).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https://srcentre.sharepoint.com/sites/QILT/Workbench/SES/2024/National%20Reporting/2024%20SES%20National%20Report%20figures%20(250430).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embeddings/oleObject1.bin"/></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embeddings/oleObject2.bin"/></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https://srcentre.sharepoint.com/sites/QILT/Workbench/SES/2024/National%20Reporting/2024%20SES%20National%20Report%20figures%20(250430).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https://srcentre.sharepoint.com/sites/QILT/Workbench/SES/2024/National%20Reporting/2024%20SES%20National%20Report%20figures%20(250430).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srcentre.local\drives\z\Consulting\Jobs\QILT\SES\2024\11.%20Reporting\Analytical%20report\National%20Report\Workings\2024%20SES%20National%20Report%20figures%20(250304).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1.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https://srcentre.sharepoint.com/sites/QILT/Workbench/SES/2024/National%20Reporting/2024%20SES%20National%20Report%20figures%20(250430).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https://srcentre.sharepoint.com/sites/QILT/Workbench/SES/2024/National%20Reporting/2024%20SES%20National%20Report%20figures%20(250430).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https://srcentre.sharepoint.com/sites/QILT/Workbench/SES/2024/National%20Reporting/2024%20SES%20National%20Report%20figures%20(250430).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https://srcentre.sharepoint.com/sites/QILT/Workbench/SES/2024/National%20Reporting/2024%20SES%20National%20Report%20figures%20(250430).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package" Target="../embeddings/Microsoft_Excel_Worksheet2.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Worksheet3.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https://srcentre.sharepoint.com/sites/QILT/Workbench/SES/2024/National%20Reporting/2024%20SES%20National%20Report%20figures%20(250430).xlsx"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https://srcentre.sharepoint.com/sites/QILT/Workbench/SES/2024/National%20Reporting/2024%20SES%20National%20Report%20figures%20(250430).xlsx"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oleObject" Target="https://srcentre.sharepoint.com/sites/QILT/Workbench/SES/2024/National%20Reporting/2024%20SES%20National%20Report%20figures%20(250430).xlsx" TargetMode="Externa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oleObject" Target="https://srcentre.sharepoint.com/sites/QILT/Workbench/SES/2024/National%20Reporting/2024%20SES%20National%20Report%20figures%20(250430).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package" Target="../embeddings/Microsoft_Excel_Worksheet4.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srcentre.local\drives\z\Consulting\Jobs\QILT\SES\2024\11.%20Reporting\Analytical%20report\National%20Report\Workings\2024%20SES%20National%20Report%20figures%20(250324).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srcentre.local\drives\z\Consulting\Jobs\QILT\SES\2024\11.%20Reporting\Analytical%20report\National%20Report\Workings\2024%20SES%20National%20Report%20figures%20(25043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'Sense of belonging'!$B$47</c:f>
              <c:strCache>
                <c:ptCount val="1"/>
                <c:pt idx="0">
                  <c:v>Undergraduate</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479-44D4-8681-E8C10FD94C55}"/>
                </c:ext>
              </c:extLst>
            </c:dLbl>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479-44D4-8681-E8C10FD94C55}"/>
                </c:ext>
              </c:extLst>
            </c:dLbl>
            <c:dLbl>
              <c:idx val="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479-44D4-8681-E8C10FD94C55}"/>
                </c:ext>
              </c:extLst>
            </c:dLbl>
            <c:dLbl>
              <c:idx val="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479-44D4-8681-E8C10FD94C55}"/>
                </c:ext>
              </c:extLst>
            </c:dLbl>
            <c:dLbl>
              <c:idx val="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479-44D4-8681-E8C10FD94C55}"/>
                </c:ext>
              </c:extLst>
            </c:dLbl>
            <c:spPr>
              <a:noFill/>
              <a:ln>
                <a:noFill/>
              </a:ln>
              <a:effectLst/>
            </c:spPr>
            <c:txPr>
              <a:bodyPr rot="0" spcFirstLastPara="1" vertOverflow="ellipsis" vert="horz" wrap="square" anchor="ctr" anchorCtr="1"/>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'Sense of belonging'!$K$46:$R$46</c:f>
              <c:numCache>
                <c:formatCode>General</c:formatCode>
                <c:ptCount val="8"/>
                <c:pt idx="0">
                  <c:v>2017</c:v>
                </c:pt>
                <c:pt idx="1">
                  <c:v>2018</c:v>
                </c:pt>
                <c:pt idx="2">
                  <c:v>2019</c:v>
                </c:pt>
                <c:pt idx="3">
                  <c:v>2020</c:v>
                </c:pt>
                <c:pt idx="4">
                  <c:v>2021</c:v>
                </c:pt>
                <c:pt idx="5">
                  <c:v>2022</c:v>
                </c:pt>
                <c:pt idx="6">
                  <c:v>2023</c:v>
                </c:pt>
                <c:pt idx="7">
                  <c:v>2024</c:v>
                </c:pt>
              </c:numCache>
            </c:numRef>
          </c:cat>
          <c:val>
            <c:numRef>
              <c:f>'Sense of belonging'!$K$50:$R$50</c:f>
              <c:numCache>
                <c:formatCode>0.0%</c:formatCode>
                <c:ptCount val="8"/>
                <c:pt idx="0">
                  <c:v>0.51400000000000001</c:v>
                </c:pt>
                <c:pt idx="1">
                  <c:v>0.52800000000000002</c:v>
                </c:pt>
                <c:pt idx="2">
                  <c:v>0.51700000000000002</c:v>
                </c:pt>
                <c:pt idx="3">
                  <c:v>0.41099999999999998</c:v>
                </c:pt>
                <c:pt idx="4">
                  <c:v>0.42199999999999999</c:v>
                </c:pt>
                <c:pt idx="5">
                  <c:v>0.46500000000000002</c:v>
                </c:pt>
                <c:pt idx="6">
                  <c:v>0.46300000000000002</c:v>
                </c:pt>
                <c:pt idx="7">
                  <c:v>0.46600000000000003</c:v>
                </c:pt>
              </c:numCache>
            </c:numRef>
          </c:val>
          <c:smooth val="0"/>
          <c:extLst>
            <c:ext xmlns:c16="http://schemas.microsoft.com/office/drawing/2014/chart" uri="{C3380CC4-5D6E-409C-BE32-E72D297353CC}">
              <c16:uniqueId val="{00000005-8479-44D4-8681-E8C10FD94C55}"/>
            </c:ext>
          </c:extLst>
        </c:ser>
        <c:ser>
          <c:idx val="2"/>
          <c:order val="1"/>
          <c:tx>
            <c:strRef>
              <c:f>'Sense of belonging'!$B$53</c:f>
              <c:strCache>
                <c:ptCount val="1"/>
                <c:pt idx="0">
                  <c:v>Postgraduate coursework</c:v>
                </c:pt>
              </c:strCache>
            </c:strRef>
          </c:tx>
          <c:spPr>
            <a:ln w="28575" cap="rnd">
              <a:solidFill>
                <a:srgbClr val="F3772C"/>
              </a:solidFill>
              <a:round/>
            </a:ln>
            <a:effectLst/>
          </c:spPr>
          <c:marker>
            <c:symbol val="circle"/>
            <c:size val="5"/>
            <c:spPr>
              <a:solidFill>
                <a:srgbClr val="F3772C"/>
              </a:solidFill>
              <a:ln w="9525">
                <a:solidFill>
                  <a:srgbClr val="F3772C"/>
                </a:solidFill>
              </a:ln>
              <a:effectLst/>
            </c:spPr>
          </c:marker>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479-44D4-8681-E8C10FD94C55}"/>
                </c:ext>
              </c:extLst>
            </c:dLbl>
            <c:dLbl>
              <c:idx val="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479-44D4-8681-E8C10FD94C55}"/>
                </c:ext>
              </c:extLst>
            </c:dLbl>
            <c:dLbl>
              <c:idx val="2"/>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479-44D4-8681-E8C10FD94C55}"/>
                </c:ext>
              </c:extLst>
            </c:dLbl>
            <c:dLbl>
              <c:idx val="4"/>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479-44D4-8681-E8C10FD94C55}"/>
                </c:ext>
              </c:extLst>
            </c:dLbl>
            <c:dLbl>
              <c:idx val="5"/>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479-44D4-8681-E8C10FD94C55}"/>
                </c:ext>
              </c:extLst>
            </c:dLbl>
            <c:spPr>
              <a:noFill/>
              <a:ln>
                <a:noFill/>
              </a:ln>
              <a:effectLst/>
            </c:spPr>
            <c:txPr>
              <a:bodyPr rot="0" spcFirstLastPara="1" vertOverflow="ellipsis" vert="horz" wrap="square" anchor="ctr" anchorCtr="1"/>
              <a:lstStyle/>
              <a:p>
                <a:pPr>
                  <a:defRPr sz="900" b="0" i="0" u="none" strike="noStrike" kern="1200" baseline="0">
                    <a:solidFill>
                      <a:schemeClr val="accent3">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'Sense of belonging'!$K$46:$R$46</c:f>
              <c:numCache>
                <c:formatCode>General</c:formatCode>
                <c:ptCount val="8"/>
                <c:pt idx="0">
                  <c:v>2017</c:v>
                </c:pt>
                <c:pt idx="1">
                  <c:v>2018</c:v>
                </c:pt>
                <c:pt idx="2">
                  <c:v>2019</c:v>
                </c:pt>
                <c:pt idx="3">
                  <c:v>2020</c:v>
                </c:pt>
                <c:pt idx="4">
                  <c:v>2021</c:v>
                </c:pt>
                <c:pt idx="5">
                  <c:v>2022</c:v>
                </c:pt>
                <c:pt idx="6">
                  <c:v>2023</c:v>
                </c:pt>
                <c:pt idx="7">
                  <c:v>2024</c:v>
                </c:pt>
              </c:numCache>
            </c:numRef>
          </c:cat>
          <c:val>
            <c:numRef>
              <c:f>'Sense of belonging'!$K$56:$R$56</c:f>
              <c:numCache>
                <c:formatCode>0.0%</c:formatCode>
                <c:ptCount val="8"/>
                <c:pt idx="0">
                  <c:v>0.48299999999999998</c:v>
                </c:pt>
                <c:pt idx="1">
                  <c:v>0.51100000000000001</c:v>
                </c:pt>
                <c:pt idx="2">
                  <c:v>0.51500000000000001</c:v>
                </c:pt>
                <c:pt idx="3">
                  <c:v>0.434</c:v>
                </c:pt>
                <c:pt idx="4">
                  <c:v>0.39700000000000002</c:v>
                </c:pt>
                <c:pt idx="5">
                  <c:v>0.44700000000000001</c:v>
                </c:pt>
                <c:pt idx="6">
                  <c:v>0.48499999999999999</c:v>
                </c:pt>
                <c:pt idx="7">
                  <c:v>0.51900000000000002</c:v>
                </c:pt>
              </c:numCache>
            </c:numRef>
          </c:val>
          <c:smooth val="0"/>
          <c:extLst>
            <c:ext xmlns:c16="http://schemas.microsoft.com/office/drawing/2014/chart" uri="{C3380CC4-5D6E-409C-BE32-E72D297353CC}">
              <c16:uniqueId val="{0000000B-8479-44D4-8681-E8C10FD94C55}"/>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55000000000000004"/>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'FOCUS_Study mode'!$D$2</c:f>
          <c:strCache>
            <c:ptCount val="1"/>
            <c:pt idx="0">
              <c:v>Postgraduate coursework</c:v>
            </c:pt>
          </c:strCache>
        </c:strRef>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'FOCUS_Study mode'!$E$3</c:f>
              <c:strCache>
                <c:ptCount val="1"/>
                <c:pt idx="0">
                  <c:v>Internal/multi-mode</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'FOCUS_Study mode'!$A$4:$A$11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'FOCUS_Study mode'!$E$4:$E$11</c:f>
              <c:numCache>
                <c:formatCode>0.0%</c:formatCode>
                <c:ptCount val="8"/>
                <c:pt idx="0">
                  <c:v>0.75074177499999994</c:v>
                </c:pt>
                <c:pt idx="1">
                  <c:v>0.757480665</c:v>
                </c:pt>
                <c:pt idx="2">
                  <c:v>0.75256583499999996</c:v>
                </c:pt>
                <c:pt idx="3">
                  <c:v>0.65382245500000002</c:v>
                </c:pt>
                <c:pt idx="4">
                  <c:v>0.71122337999999996</c:v>
                </c:pt>
                <c:pt idx="5">
                  <c:v>0.753467145</c:v>
                </c:pt>
                <c:pt idx="6">
                  <c:v>0.76462272499999995</c:v>
                </c:pt>
                <c:pt idx="7">
                  <c:v>0.7609999999999999</c:v>
                </c:pt>
              </c:numCache>
            </c:numRef>
          </c:val>
          <c:smooth val="0"/>
          <c:extLst>
            <c:ext xmlns:c16="http://schemas.microsoft.com/office/drawing/2014/chart" uri="{C3380CC4-5D6E-409C-BE32-E72D297353CC}">
              <c16:uniqueId val="{00000000-B255-4992-8D7D-5A046A5CFA88}"/>
            </c:ext>
          </c:extLst>
        </c:ser>
        <c:ser>
          <c:idx val="2"/>
          <c:order val="1"/>
          <c:tx>
            <c:strRef>
              <c:f>'FOCUS_Study mode'!$D$3</c:f>
              <c:strCache>
                <c:ptCount val="1"/>
                <c:pt idx="0">
                  <c:v>External</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'FOCUS_Study mode'!$A$4:$A$11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'FOCUS_Study mode'!$D$4:$D$11</c:f>
              <c:numCache>
                <c:formatCode>0.0%</c:formatCode>
                <c:ptCount val="8"/>
                <c:pt idx="0">
                  <c:v>0.77552845500000001</c:v>
                </c:pt>
                <c:pt idx="1">
                  <c:v>0.79527828499999997</c:v>
                </c:pt>
                <c:pt idx="2">
                  <c:v>0.791732408</c:v>
                </c:pt>
                <c:pt idx="3">
                  <c:v>0.76707270699999996</c:v>
                </c:pt>
                <c:pt idx="4">
                  <c:v>0.77707424400000003</c:v>
                </c:pt>
                <c:pt idx="5">
                  <c:v>0.79238797299999997</c:v>
                </c:pt>
                <c:pt idx="6">
                  <c:v>0.78506581900000005</c:v>
                </c:pt>
                <c:pt idx="7">
                  <c:v>0.78500000000000003</c:v>
                </c:pt>
              </c:numCache>
            </c:numRef>
          </c:val>
          <c:smooth val="0"/>
          <c:extLst>
            <c:ext xmlns:c16="http://schemas.microsoft.com/office/drawing/2014/chart" uri="{C3380CC4-5D6E-409C-BE32-E72D297353CC}">
              <c16:uniqueId val="{00000001-B255-4992-8D7D-5A046A5CFA88}"/>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5"/>
        </c:scaling>
        <c:delete val="1"/>
        <c:axPos val="l"/>
        <c:numFmt formatCode="0.0%" sourceLinked="1"/>
        <c:majorTickMark val="none"/>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'FOCUS_Study mode'!$B$2</c:f>
          <c:strCache>
            <c:ptCount val="1"/>
            <c:pt idx="0">
              <c:v>Undergraduate</c:v>
            </c:pt>
          </c:strCache>
        </c:strRef>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'FOCUS_Study mode'!$C$29</c:f>
              <c:strCache>
                <c:ptCount val="1"/>
                <c:pt idx="0">
                  <c:v>Internal/multi-mode</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E04-4787-89B6-30762F11C1F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'FOCUS_Study mode'!$A$30:$A$37</c:f>
              <c:numCache>
                <c:formatCode>General</c:formatCode>
                <c:ptCount val="8"/>
                <c:pt idx="0">
                  <c:v>2017</c:v>
                </c:pt>
                <c:pt idx="1">
                  <c:v>2018</c:v>
                </c:pt>
                <c:pt idx="2">
                  <c:v>2019</c:v>
                </c:pt>
                <c:pt idx="3">
                  <c:v>2020</c:v>
                </c:pt>
                <c:pt idx="4">
                  <c:v>2021</c:v>
                </c:pt>
                <c:pt idx="5">
                  <c:v>2022</c:v>
                </c:pt>
                <c:pt idx="6">
                  <c:v>2023</c:v>
                </c:pt>
                <c:pt idx="7">
                  <c:v>2024</c:v>
                </c:pt>
              </c:numCache>
            </c:numRef>
          </c:cat>
          <c:val>
            <c:numRef>
              <c:f>'FOCUS_Study mode'!$C$30:$C$37</c:f>
              <c:numCache>
                <c:formatCode>0.0%</c:formatCode>
                <c:ptCount val="8"/>
                <c:pt idx="0">
                  <c:v>0.80900000000000005</c:v>
                </c:pt>
                <c:pt idx="1">
                  <c:v>0.81599999999999995</c:v>
                </c:pt>
                <c:pt idx="2">
                  <c:v>0.81599999999999995</c:v>
                </c:pt>
                <c:pt idx="3">
                  <c:v>0.77800000000000002</c:v>
                </c:pt>
                <c:pt idx="4">
                  <c:v>0.79400000000000004</c:v>
                </c:pt>
                <c:pt idx="5">
                  <c:v>0.80700000000000005</c:v>
                </c:pt>
                <c:pt idx="6">
                  <c:v>0.81400000000000006</c:v>
                </c:pt>
                <c:pt idx="7">
                  <c:v>0.81299999999999994</c:v>
                </c:pt>
              </c:numCache>
            </c:numRef>
          </c:val>
          <c:smooth val="0"/>
          <c:extLst>
            <c:ext xmlns:c16="http://schemas.microsoft.com/office/drawing/2014/chart" uri="{C3380CC4-5D6E-409C-BE32-E72D297353CC}">
              <c16:uniqueId val="{00000001-CE04-4787-89B6-30762F11C1FA}"/>
            </c:ext>
          </c:extLst>
        </c:ser>
        <c:ser>
          <c:idx val="2"/>
          <c:order val="1"/>
          <c:tx>
            <c:strRef>
              <c:f>'FOCUS_Study mode'!$B$29</c:f>
              <c:strCache>
                <c:ptCount val="1"/>
                <c:pt idx="0">
                  <c:v>External</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dLbl>
              <c:idx val="3"/>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E04-4787-89B6-30762F11C1F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'FOCUS_Study mode'!$A$30:$A$37</c:f>
              <c:numCache>
                <c:formatCode>General</c:formatCode>
                <c:ptCount val="8"/>
                <c:pt idx="0">
                  <c:v>2017</c:v>
                </c:pt>
                <c:pt idx="1">
                  <c:v>2018</c:v>
                </c:pt>
                <c:pt idx="2">
                  <c:v>2019</c:v>
                </c:pt>
                <c:pt idx="3">
                  <c:v>2020</c:v>
                </c:pt>
                <c:pt idx="4">
                  <c:v>2021</c:v>
                </c:pt>
                <c:pt idx="5">
                  <c:v>2022</c:v>
                </c:pt>
                <c:pt idx="6">
                  <c:v>2023</c:v>
                </c:pt>
                <c:pt idx="7">
                  <c:v>2024</c:v>
                </c:pt>
              </c:numCache>
            </c:numRef>
          </c:cat>
          <c:val>
            <c:numRef>
              <c:f>'FOCUS_Study mode'!$B$30:$B$37</c:f>
              <c:numCache>
                <c:formatCode>0.0%</c:formatCode>
                <c:ptCount val="8"/>
                <c:pt idx="0">
                  <c:v>0.77400000000000002</c:v>
                </c:pt>
                <c:pt idx="1">
                  <c:v>0.78400000000000003</c:v>
                </c:pt>
                <c:pt idx="2">
                  <c:v>0.78400000000000003</c:v>
                </c:pt>
                <c:pt idx="3">
                  <c:v>0.79500000000000004</c:v>
                </c:pt>
                <c:pt idx="4">
                  <c:v>0.78299999999999992</c:v>
                </c:pt>
                <c:pt idx="5">
                  <c:v>0.79</c:v>
                </c:pt>
                <c:pt idx="6">
                  <c:v>0.79099999999999993</c:v>
                </c:pt>
                <c:pt idx="7">
                  <c:v>0.78500000000000003</c:v>
                </c:pt>
              </c:numCache>
            </c:numRef>
          </c:val>
          <c:smooth val="0"/>
          <c:extLst>
            <c:ext xmlns:c16="http://schemas.microsoft.com/office/drawing/2014/chart" uri="{C3380CC4-5D6E-409C-BE32-E72D297353CC}">
              <c16:uniqueId val="{00000003-CE04-4787-89B6-30762F11C1FA}"/>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5"/>
        </c:scaling>
        <c:delete val="1"/>
        <c:axPos val="l"/>
        <c:numFmt formatCode="0.0%" sourceLinked="1"/>
        <c:majorTickMark val="none"/>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'FOCUS_Study mode'!$D$2</c:f>
          <c:strCache>
            <c:ptCount val="1"/>
            <c:pt idx="0">
              <c:v>Postgraduate coursework</c:v>
            </c:pt>
          </c:strCache>
        </c:strRef>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'FOCUS_Study mode'!$E$29</c:f>
              <c:strCache>
                <c:ptCount val="1"/>
                <c:pt idx="0">
                  <c:v>Internal/multi-mode</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'FOCUS_Study mode'!$A$30:$A$37</c:f>
              <c:numCache>
                <c:formatCode>General</c:formatCode>
                <c:ptCount val="8"/>
                <c:pt idx="0">
                  <c:v>2017</c:v>
                </c:pt>
                <c:pt idx="1">
                  <c:v>2018</c:v>
                </c:pt>
                <c:pt idx="2">
                  <c:v>2019</c:v>
                </c:pt>
                <c:pt idx="3">
                  <c:v>2020</c:v>
                </c:pt>
                <c:pt idx="4">
                  <c:v>2021</c:v>
                </c:pt>
                <c:pt idx="5">
                  <c:v>2022</c:v>
                </c:pt>
                <c:pt idx="6">
                  <c:v>2023</c:v>
                </c:pt>
                <c:pt idx="7">
                  <c:v>2024</c:v>
                </c:pt>
              </c:numCache>
            </c:numRef>
          </c:cat>
          <c:val>
            <c:numRef>
              <c:f>'FOCUS_Study mode'!$E$30:$E$37</c:f>
              <c:numCache>
                <c:formatCode>0.0%</c:formatCode>
                <c:ptCount val="8"/>
                <c:pt idx="0">
                  <c:v>0.81900000000000006</c:v>
                </c:pt>
                <c:pt idx="1">
                  <c:v>0.82</c:v>
                </c:pt>
                <c:pt idx="2">
                  <c:v>0.82</c:v>
                </c:pt>
                <c:pt idx="3">
                  <c:v>0.78400000000000003</c:v>
                </c:pt>
                <c:pt idx="4">
                  <c:v>0.80099999999999993</c:v>
                </c:pt>
                <c:pt idx="5">
                  <c:v>0.82700000000000007</c:v>
                </c:pt>
                <c:pt idx="6">
                  <c:v>0.84200000000000008</c:v>
                </c:pt>
                <c:pt idx="7">
                  <c:v>0.84900000000000009</c:v>
                </c:pt>
              </c:numCache>
            </c:numRef>
          </c:val>
          <c:smooth val="0"/>
          <c:extLst>
            <c:ext xmlns:c16="http://schemas.microsoft.com/office/drawing/2014/chart" uri="{C3380CC4-5D6E-409C-BE32-E72D297353CC}">
              <c16:uniqueId val="{00000000-A01E-4C25-B820-AD9E58AD5D0A}"/>
            </c:ext>
          </c:extLst>
        </c:ser>
        <c:ser>
          <c:idx val="2"/>
          <c:order val="1"/>
          <c:tx>
            <c:strRef>
              <c:f>'FOCUS_Study mode'!$D$3</c:f>
              <c:strCache>
                <c:ptCount val="1"/>
                <c:pt idx="0">
                  <c:v>External</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'FOCUS_Study mode'!$A$30:$A$37</c:f>
              <c:numCache>
                <c:formatCode>General</c:formatCode>
                <c:ptCount val="8"/>
                <c:pt idx="0">
                  <c:v>2017</c:v>
                </c:pt>
                <c:pt idx="1">
                  <c:v>2018</c:v>
                </c:pt>
                <c:pt idx="2">
                  <c:v>2019</c:v>
                </c:pt>
                <c:pt idx="3">
                  <c:v>2020</c:v>
                </c:pt>
                <c:pt idx="4">
                  <c:v>2021</c:v>
                </c:pt>
                <c:pt idx="5">
                  <c:v>2022</c:v>
                </c:pt>
                <c:pt idx="6">
                  <c:v>2023</c:v>
                </c:pt>
                <c:pt idx="7">
                  <c:v>2024</c:v>
                </c:pt>
              </c:numCache>
            </c:numRef>
          </c:cat>
          <c:val>
            <c:numRef>
              <c:f>'FOCUS_Study mode'!$D$30:$D$37</c:f>
              <c:numCache>
                <c:formatCode>0.0%</c:formatCode>
                <c:ptCount val="8"/>
                <c:pt idx="0">
                  <c:v>0.747</c:v>
                </c:pt>
                <c:pt idx="1">
                  <c:v>0.75700000000000001</c:v>
                </c:pt>
                <c:pt idx="2">
                  <c:v>0.7609999999999999</c:v>
                </c:pt>
                <c:pt idx="3">
                  <c:v>0.78099999999999992</c:v>
                </c:pt>
                <c:pt idx="4">
                  <c:v>0.76200000000000001</c:v>
                </c:pt>
                <c:pt idx="5">
                  <c:v>0.78099999999999992</c:v>
                </c:pt>
                <c:pt idx="6">
                  <c:v>0.77300000000000002</c:v>
                </c:pt>
                <c:pt idx="7">
                  <c:v>0.77099999999999991</c:v>
                </c:pt>
              </c:numCache>
            </c:numRef>
          </c:val>
          <c:smooth val="0"/>
          <c:extLst>
            <c:ext xmlns:c16="http://schemas.microsoft.com/office/drawing/2014/chart" uri="{C3380CC4-5D6E-409C-BE32-E72D297353CC}">
              <c16:uniqueId val="{00000001-A01E-4C25-B820-AD9E58AD5D0A}"/>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5"/>
        </c:scaling>
        <c:delete val="1"/>
        <c:axPos val="l"/>
        <c:numFmt formatCode="0.0%" sourceLinked="1"/>
        <c:majorTickMark val="none"/>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'FOCUS_Study mode'!$B$2</c:f>
          <c:strCache>
            <c:ptCount val="1"/>
            <c:pt idx="0">
              <c:v>Undergraduate</c:v>
            </c:pt>
          </c:strCache>
        </c:strRef>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'FOCUS_Study mode'!$C$55</c:f>
              <c:strCache>
                <c:ptCount val="1"/>
                <c:pt idx="0">
                  <c:v>Internal/multi-mode</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Pt>
            <c:idx val="6"/>
            <c:marker>
              <c:symbol val="circle"/>
              <c:size val="5"/>
              <c:spPr>
                <a:solidFill>
                  <a:srgbClr val="EE3B6F"/>
                </a:solidFill>
                <a:ln w="9525">
                  <a:solidFill>
                    <a:srgbClr val="EE3B6F"/>
                  </a:solidFill>
                </a:ln>
                <a:effectLst/>
              </c:spPr>
            </c:marker>
            <c:bubble3D val="0"/>
            <c:spPr>
              <a:ln w="28575" cap="rnd">
                <a:solidFill>
                  <a:srgbClr val="EE3B6F"/>
                </a:solidFill>
                <a:prstDash val="sysDash"/>
                <a:round/>
              </a:ln>
              <a:effectLst/>
            </c:spPr>
            <c:extLst>
              <c:ext xmlns:c16="http://schemas.microsoft.com/office/drawing/2014/chart" uri="{C3380CC4-5D6E-409C-BE32-E72D297353CC}">
                <c16:uniqueId val="{00000001-1618-4C88-A3EE-882FAE0FE1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'FOCUS_Study mode'!$A$56:$A$63</c:f>
              <c:numCache>
                <c:formatCode>General</c:formatCode>
                <c:ptCount val="8"/>
                <c:pt idx="0">
                  <c:v>2017</c:v>
                </c:pt>
                <c:pt idx="1">
                  <c:v>2018</c:v>
                </c:pt>
                <c:pt idx="2">
                  <c:v>2019</c:v>
                </c:pt>
                <c:pt idx="3">
                  <c:v>2020</c:v>
                </c:pt>
                <c:pt idx="4">
                  <c:v>2021</c:v>
                </c:pt>
                <c:pt idx="5">
                  <c:v>2022</c:v>
                </c:pt>
                <c:pt idx="6">
                  <c:v>2023</c:v>
                </c:pt>
                <c:pt idx="7">
                  <c:v>2024</c:v>
                </c:pt>
              </c:numCache>
            </c:numRef>
          </c:cat>
          <c:val>
            <c:numRef>
              <c:f>'FOCUS_Study mode'!$C$56:$C$63</c:f>
              <c:numCache>
                <c:formatCode>0.0%</c:formatCode>
                <c:ptCount val="8"/>
                <c:pt idx="0">
                  <c:v>0.629</c:v>
                </c:pt>
                <c:pt idx="1">
                  <c:v>0.63300000000000001</c:v>
                </c:pt>
                <c:pt idx="2">
                  <c:v>0.63500000000000001</c:v>
                </c:pt>
                <c:pt idx="3">
                  <c:v>0.46700000000000003</c:v>
                </c:pt>
                <c:pt idx="4">
                  <c:v>0.52100000000000002</c:v>
                </c:pt>
                <c:pt idx="5">
                  <c:v>0.59599999999999997</c:v>
                </c:pt>
                <c:pt idx="6">
                  <c:v>0.63600000000000001</c:v>
                </c:pt>
                <c:pt idx="7">
                  <c:v>0.65</c:v>
                </c:pt>
              </c:numCache>
            </c:numRef>
          </c:val>
          <c:smooth val="0"/>
          <c:extLst>
            <c:ext xmlns:c16="http://schemas.microsoft.com/office/drawing/2014/chart" uri="{C3380CC4-5D6E-409C-BE32-E72D297353CC}">
              <c16:uniqueId val="{00000002-1618-4C88-A3EE-882FAE0FE1E5}"/>
            </c:ext>
          </c:extLst>
        </c:ser>
        <c:ser>
          <c:idx val="2"/>
          <c:order val="1"/>
          <c:tx>
            <c:strRef>
              <c:f>'FOCUS_Study mode'!$B$55</c:f>
              <c:strCache>
                <c:ptCount val="1"/>
                <c:pt idx="0">
                  <c:v>External</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Pt>
            <c:idx val="6"/>
            <c:marker>
              <c:symbol val="circle"/>
              <c:size val="5"/>
              <c:spPr>
                <a:solidFill>
                  <a:srgbClr val="FCB942"/>
                </a:solidFill>
                <a:ln w="9525">
                  <a:solidFill>
                    <a:srgbClr val="FCB942"/>
                  </a:solidFill>
                </a:ln>
                <a:effectLst/>
              </c:spPr>
            </c:marker>
            <c:bubble3D val="0"/>
            <c:spPr>
              <a:ln w="28575" cap="rnd">
                <a:solidFill>
                  <a:srgbClr val="FCB942"/>
                </a:solidFill>
                <a:prstDash val="sysDash"/>
                <a:round/>
              </a:ln>
              <a:effectLst/>
            </c:spPr>
            <c:extLst>
              <c:ext xmlns:c16="http://schemas.microsoft.com/office/drawing/2014/chart" uri="{C3380CC4-5D6E-409C-BE32-E72D297353CC}">
                <c16:uniqueId val="{00000004-1618-4C88-A3EE-882FAE0FE1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'FOCUS_Study mode'!$A$56:$A$63</c:f>
              <c:numCache>
                <c:formatCode>General</c:formatCode>
                <c:ptCount val="8"/>
                <c:pt idx="0">
                  <c:v>2017</c:v>
                </c:pt>
                <c:pt idx="1">
                  <c:v>2018</c:v>
                </c:pt>
                <c:pt idx="2">
                  <c:v>2019</c:v>
                </c:pt>
                <c:pt idx="3">
                  <c:v>2020</c:v>
                </c:pt>
                <c:pt idx="4">
                  <c:v>2021</c:v>
                </c:pt>
                <c:pt idx="5">
                  <c:v>2022</c:v>
                </c:pt>
                <c:pt idx="6">
                  <c:v>2023</c:v>
                </c:pt>
                <c:pt idx="7">
                  <c:v>2024</c:v>
                </c:pt>
              </c:numCache>
            </c:numRef>
          </c:cat>
          <c:val>
            <c:numRef>
              <c:f>'FOCUS_Study mode'!$B$56:$B$63</c:f>
              <c:numCache>
                <c:formatCode>0.0%</c:formatCode>
                <c:ptCount val="8"/>
                <c:pt idx="0">
                  <c:v>0.21899999999999997</c:v>
                </c:pt>
                <c:pt idx="1">
                  <c:v>0.25</c:v>
                </c:pt>
                <c:pt idx="2">
                  <c:v>0.24299999999999999</c:v>
                </c:pt>
                <c:pt idx="3">
                  <c:v>0.32899999999999996</c:v>
                </c:pt>
                <c:pt idx="4">
                  <c:v>0.248</c:v>
                </c:pt>
                <c:pt idx="5">
                  <c:v>0.28000000000000003</c:v>
                </c:pt>
                <c:pt idx="6">
                  <c:v>0.24100000000000002</c:v>
                </c:pt>
                <c:pt idx="7">
                  <c:v>0.223</c:v>
                </c:pt>
              </c:numCache>
            </c:numRef>
          </c:val>
          <c:smooth val="0"/>
          <c:extLst>
            <c:ext xmlns:c16="http://schemas.microsoft.com/office/drawing/2014/chart" uri="{C3380CC4-5D6E-409C-BE32-E72D297353CC}">
              <c16:uniqueId val="{00000005-1618-4C88-A3EE-882FAE0FE1E5}"/>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8"/>
          <c:min val="0.1"/>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'FOCUS_Study mode'!$D$2</c:f>
          <c:strCache>
            <c:ptCount val="1"/>
            <c:pt idx="0">
              <c:v>Postgraduate coursework</c:v>
            </c:pt>
          </c:strCache>
        </c:strRef>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'FOCUS_Study mode'!$E$29</c:f>
              <c:strCache>
                <c:ptCount val="1"/>
                <c:pt idx="0">
                  <c:v>Internal/multi-mode</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Pt>
            <c:idx val="6"/>
            <c:marker>
              <c:symbol val="circle"/>
              <c:size val="5"/>
              <c:spPr>
                <a:solidFill>
                  <a:srgbClr val="EE3B6F"/>
                </a:solidFill>
                <a:ln w="9525">
                  <a:solidFill>
                    <a:srgbClr val="EE3B6F"/>
                  </a:solidFill>
                </a:ln>
                <a:effectLst/>
              </c:spPr>
            </c:marker>
            <c:bubble3D val="0"/>
            <c:spPr>
              <a:ln w="28575" cap="rnd">
                <a:solidFill>
                  <a:srgbClr val="EE3B6F"/>
                </a:solidFill>
                <a:prstDash val="sysDash"/>
                <a:round/>
              </a:ln>
              <a:effectLst/>
            </c:spPr>
            <c:extLst>
              <c:ext xmlns:c16="http://schemas.microsoft.com/office/drawing/2014/chart" uri="{C3380CC4-5D6E-409C-BE32-E72D297353CC}">
                <c16:uniqueId val="{00000001-1B8D-4515-9EAE-EDB02D5F32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'FOCUS_Study mode'!$A$56:$A$63</c:f>
              <c:numCache>
                <c:formatCode>General</c:formatCode>
                <c:ptCount val="8"/>
                <c:pt idx="0">
                  <c:v>2017</c:v>
                </c:pt>
                <c:pt idx="1">
                  <c:v>2018</c:v>
                </c:pt>
                <c:pt idx="2">
                  <c:v>2019</c:v>
                </c:pt>
                <c:pt idx="3">
                  <c:v>2020</c:v>
                </c:pt>
                <c:pt idx="4">
                  <c:v>2021</c:v>
                </c:pt>
                <c:pt idx="5">
                  <c:v>2022</c:v>
                </c:pt>
                <c:pt idx="6">
                  <c:v>2023</c:v>
                </c:pt>
                <c:pt idx="7">
                  <c:v>2024</c:v>
                </c:pt>
              </c:numCache>
            </c:numRef>
          </c:cat>
          <c:val>
            <c:numRef>
              <c:f>'FOCUS_Study mode'!$E$56:$E$63</c:f>
              <c:numCache>
                <c:formatCode>0.0%</c:formatCode>
                <c:ptCount val="8"/>
                <c:pt idx="0">
                  <c:v>0.60399999999999998</c:v>
                </c:pt>
                <c:pt idx="1">
                  <c:v>0.60299999999999998</c:v>
                </c:pt>
                <c:pt idx="2">
                  <c:v>0.61299999999999999</c:v>
                </c:pt>
                <c:pt idx="3">
                  <c:v>0.48100000000000004</c:v>
                </c:pt>
                <c:pt idx="4">
                  <c:v>0.5</c:v>
                </c:pt>
                <c:pt idx="5">
                  <c:v>0.59499999999999997</c:v>
                </c:pt>
                <c:pt idx="6">
                  <c:v>0.69299999999999995</c:v>
                </c:pt>
                <c:pt idx="7">
                  <c:v>0.73799999999999999</c:v>
                </c:pt>
              </c:numCache>
            </c:numRef>
          </c:val>
          <c:smooth val="0"/>
          <c:extLst>
            <c:ext xmlns:c16="http://schemas.microsoft.com/office/drawing/2014/chart" uri="{C3380CC4-5D6E-409C-BE32-E72D297353CC}">
              <c16:uniqueId val="{00000002-1B8D-4515-9EAE-EDB02D5F320C}"/>
            </c:ext>
          </c:extLst>
        </c:ser>
        <c:ser>
          <c:idx val="2"/>
          <c:order val="1"/>
          <c:tx>
            <c:strRef>
              <c:f>'FOCUS_Study mode'!$D$3</c:f>
              <c:strCache>
                <c:ptCount val="1"/>
                <c:pt idx="0">
                  <c:v>External</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Pt>
            <c:idx val="6"/>
            <c:marker>
              <c:symbol val="circle"/>
              <c:size val="5"/>
              <c:spPr>
                <a:solidFill>
                  <a:srgbClr val="FCB942"/>
                </a:solidFill>
                <a:ln w="9525">
                  <a:solidFill>
                    <a:srgbClr val="FCB942"/>
                  </a:solidFill>
                </a:ln>
                <a:effectLst/>
              </c:spPr>
            </c:marker>
            <c:bubble3D val="0"/>
            <c:spPr>
              <a:ln w="28575" cap="rnd">
                <a:solidFill>
                  <a:srgbClr val="FCB942"/>
                </a:solidFill>
                <a:prstDash val="sysDash"/>
                <a:round/>
              </a:ln>
              <a:effectLst/>
            </c:spPr>
            <c:extLst>
              <c:ext xmlns:c16="http://schemas.microsoft.com/office/drawing/2014/chart" uri="{C3380CC4-5D6E-409C-BE32-E72D297353CC}">
                <c16:uniqueId val="{00000004-1B8D-4515-9EAE-EDB02D5F32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'FOCUS_Study mode'!$A$56:$A$63</c:f>
              <c:numCache>
                <c:formatCode>General</c:formatCode>
                <c:ptCount val="8"/>
                <c:pt idx="0">
                  <c:v>2017</c:v>
                </c:pt>
                <c:pt idx="1">
                  <c:v>2018</c:v>
                </c:pt>
                <c:pt idx="2">
                  <c:v>2019</c:v>
                </c:pt>
                <c:pt idx="3">
                  <c:v>2020</c:v>
                </c:pt>
                <c:pt idx="4">
                  <c:v>2021</c:v>
                </c:pt>
                <c:pt idx="5">
                  <c:v>2022</c:v>
                </c:pt>
                <c:pt idx="6">
                  <c:v>2023</c:v>
                </c:pt>
                <c:pt idx="7">
                  <c:v>2024</c:v>
                </c:pt>
              </c:numCache>
            </c:numRef>
          </c:cat>
          <c:val>
            <c:numRef>
              <c:f>'FOCUS_Study mode'!$D$56:$D$63</c:f>
              <c:numCache>
                <c:formatCode>0.0%</c:formatCode>
                <c:ptCount val="8"/>
                <c:pt idx="0">
                  <c:v>0.19800000000000001</c:v>
                </c:pt>
                <c:pt idx="1">
                  <c:v>0.21299999999999999</c:v>
                </c:pt>
                <c:pt idx="2">
                  <c:v>0.21600000000000003</c:v>
                </c:pt>
                <c:pt idx="3">
                  <c:v>0.27399999999999997</c:v>
                </c:pt>
                <c:pt idx="4">
                  <c:v>0.23300000000000001</c:v>
                </c:pt>
                <c:pt idx="5">
                  <c:v>0.28499999999999998</c:v>
                </c:pt>
                <c:pt idx="6">
                  <c:v>0.247</c:v>
                </c:pt>
                <c:pt idx="7">
                  <c:v>0.22399999999999998</c:v>
                </c:pt>
              </c:numCache>
            </c:numRef>
          </c:val>
          <c:smooth val="0"/>
          <c:extLst>
            <c:ext xmlns:c16="http://schemas.microsoft.com/office/drawing/2014/chart" uri="{C3380CC4-5D6E-409C-BE32-E72D297353CC}">
              <c16:uniqueId val="{00000005-1B8D-4515-9EAE-EDB02D5F320C}"/>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1"/>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FOCUS_ALL_ALL_6Y!$B$3</c:f>
          <c:strCache>
            <c:ptCount val="1"/>
            <c:pt idx="0">
              <c:v>Undergraduate</c:v>
            </c:pt>
          </c:strCache>
        </c:strRef>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barChart>
        <c:barDir val="col"/>
        <c:grouping val="clustered"/>
        <c:varyColors val="0"/>
        <c:ser>
          <c:idx val="0"/>
          <c:order val="0"/>
          <c:tx>
            <c:strRef>
              <c:f>FOCUS_ALL_ALL_6Y!$B$4</c:f>
              <c:strCache>
                <c:ptCount val="1"/>
                <c:pt idx="0">
                  <c:v>Commencing</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Public Sans"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FOCUS_ALL_ALL_6Y!$C$2:$H$2</c:f>
              <c:strCache>
                <c:ptCount val="6"/>
                <c:pt idx="0">
                  <c:v>Skills Development</c:v>
                </c:pt>
                <c:pt idx="1">
                  <c:v>Peer Engagement</c:v>
                </c:pt>
                <c:pt idx="2">
                  <c:v>Teaching Quality 
and Engagement</c:v>
                </c:pt>
                <c:pt idx="3">
                  <c:v>Student Support 
and Services</c:v>
                </c:pt>
                <c:pt idx="4">
                  <c:v>Learning Resources</c:v>
                </c:pt>
                <c:pt idx="5">
                  <c:v>Overall Educational Experience</c:v>
                </c:pt>
              </c:strCache>
            </c:strRef>
          </c:cat>
          <c:val>
            <c:numRef>
              <c:f>FOCUS_ALL_ALL_6Y!$C$4:$H$4</c:f>
              <c:numCache>
                <c:formatCode>0.0%</c:formatCode>
                <c:ptCount val="6"/>
                <c:pt idx="0">
                  <c:v>0.8</c:v>
                </c:pt>
                <c:pt idx="1">
                  <c:v>0.60599999999999998</c:v>
                </c:pt>
                <c:pt idx="2">
                  <c:v>0.82400000000000007</c:v>
                </c:pt>
                <c:pt idx="3">
                  <c:v>0.7390000000000001</c:v>
                </c:pt>
                <c:pt idx="4">
                  <c:v>0.86</c:v>
                </c:pt>
                <c:pt idx="5">
                  <c:v>0.79200000000000004</c:v>
                </c:pt>
              </c:numCache>
            </c:numRef>
          </c:val>
          <c:extLst>
            <c:ext xmlns:c16="http://schemas.microsoft.com/office/drawing/2014/chart" uri="{C3380CC4-5D6E-409C-BE32-E72D297353CC}">
              <c16:uniqueId val="{00000000-569C-4441-8BCE-30B7569BC5AC}"/>
            </c:ext>
          </c:extLst>
        </c:ser>
        <c:ser>
          <c:idx val="1"/>
          <c:order val="1"/>
          <c:tx>
            <c:strRef>
              <c:f>FOCUS_ALL_ALL_6Y!$B$5</c:f>
              <c:strCache>
                <c:ptCount val="1"/>
                <c:pt idx="0">
                  <c:v>Later year</c:v>
                </c:pt>
              </c:strCache>
            </c:strRef>
          </c:tx>
          <c:spPr>
            <a:solidFill>
              <a:schemeClr val="accent5"/>
            </a:solidFill>
            <a:ln>
              <a:noFill/>
            </a:ln>
            <a:effectLst/>
          </c:spPr>
          <c:invertIfNegative val="0"/>
          <c:dLbls>
            <c:dLbl>
              <c:idx val="1"/>
              <c:layout>
                <c:manualLayout>
                  <c:x val="3.5528485522771593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69C-4441-8BCE-30B7569BC5A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Public Sans"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FOCUS_ALL_ALL_6Y!$C$2:$H$2</c:f>
              <c:strCache>
                <c:ptCount val="6"/>
                <c:pt idx="0">
                  <c:v>Skills Development</c:v>
                </c:pt>
                <c:pt idx="1">
                  <c:v>Peer Engagement</c:v>
                </c:pt>
                <c:pt idx="2">
                  <c:v>Teaching Quality 
and Engagement</c:v>
                </c:pt>
                <c:pt idx="3">
                  <c:v>Student Support 
and Services</c:v>
                </c:pt>
                <c:pt idx="4">
                  <c:v>Learning Resources</c:v>
                </c:pt>
                <c:pt idx="5">
                  <c:v>Overall Educational Experience</c:v>
                </c:pt>
              </c:strCache>
            </c:strRef>
          </c:cat>
          <c:val>
            <c:numRef>
              <c:f>FOCUS_ALL_ALL_6Y!$C$5:$H$5</c:f>
              <c:numCache>
                <c:formatCode>0.0%</c:formatCode>
                <c:ptCount val="6"/>
                <c:pt idx="0">
                  <c:v>0.82400000000000007</c:v>
                </c:pt>
                <c:pt idx="1">
                  <c:v>0.59499999999999997</c:v>
                </c:pt>
                <c:pt idx="2">
                  <c:v>0.77300000000000002</c:v>
                </c:pt>
                <c:pt idx="3">
                  <c:v>0.66900000000000004</c:v>
                </c:pt>
                <c:pt idx="4">
                  <c:v>0.77900000000000003</c:v>
                </c:pt>
                <c:pt idx="5">
                  <c:v>0.72599999999999998</c:v>
                </c:pt>
              </c:numCache>
            </c:numRef>
          </c:val>
          <c:extLst>
            <c:ext xmlns:c16="http://schemas.microsoft.com/office/drawing/2014/chart" uri="{C3380CC4-5D6E-409C-BE32-E72D297353CC}">
              <c16:uniqueId val="{00000002-569C-4441-8BCE-30B7569BC5AC}"/>
            </c:ext>
          </c:extLst>
        </c:ser>
        <c:dLbls>
          <c:showLegendKey val="0"/>
          <c:showVal val="0"/>
          <c:showCatName val="0"/>
          <c:showSerName val="0"/>
          <c:showPercent val="0"/>
          <c:showBubbleSize val="0"/>
        </c:dLbls>
        <c:gapWidth val="134"/>
        <c:overlap val="-20"/>
        <c:axId val="2101262719"/>
        <c:axId val="2101264639"/>
      </c:barChart>
      <c:catAx>
        <c:axId val="2101262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2101264639"/>
        <c:crosses val="autoZero"/>
        <c:auto val="1"/>
        <c:lblAlgn val="ctr"/>
        <c:lblOffset val="100"/>
        <c:noMultiLvlLbl val="0"/>
      </c:catAx>
      <c:valAx>
        <c:axId val="2101264639"/>
        <c:scaling>
          <c:orientation val="minMax"/>
        </c:scaling>
        <c:delete val="1"/>
        <c:axPos val="l"/>
        <c:numFmt formatCode="0.0%" sourceLinked="1"/>
        <c:majorTickMark val="none"/>
        <c:minorTickMark val="none"/>
        <c:tickLblPos val="nextTo"/>
        <c:crossAx val="21012627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FOCUS_ALL_ALL_6Y!$B$6</c:f>
          <c:strCache>
            <c:ptCount val="1"/>
            <c:pt idx="0">
              <c:v>Postgraduate coursework</c:v>
            </c:pt>
          </c:strCache>
        </c:strRef>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barChart>
        <c:barDir val="col"/>
        <c:grouping val="clustered"/>
        <c:varyColors val="0"/>
        <c:ser>
          <c:idx val="0"/>
          <c:order val="0"/>
          <c:tx>
            <c:strRef>
              <c:f>FOCUS_ALL_ALL_6Y!$B$7</c:f>
              <c:strCache>
                <c:ptCount val="1"/>
                <c:pt idx="0">
                  <c:v>Commencing</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Public Sans"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FOCUS_ALL_ALL_6Y!$C$2:$H$2</c:f>
              <c:strCache>
                <c:ptCount val="6"/>
                <c:pt idx="0">
                  <c:v>Skills Development</c:v>
                </c:pt>
                <c:pt idx="1">
                  <c:v>Peer Engagement</c:v>
                </c:pt>
                <c:pt idx="2">
                  <c:v>Teaching Quality 
and Engagement</c:v>
                </c:pt>
                <c:pt idx="3">
                  <c:v>Student Support 
and Services</c:v>
                </c:pt>
                <c:pt idx="4">
                  <c:v>Learning Resources</c:v>
                </c:pt>
                <c:pt idx="5">
                  <c:v>Overall Educational Experience</c:v>
                </c:pt>
              </c:strCache>
            </c:strRef>
          </c:cat>
          <c:val>
            <c:numRef>
              <c:f>FOCUS_ALL_ALL_6Y!$C$7:$H$7</c:f>
              <c:numCache>
                <c:formatCode>0.0%</c:formatCode>
                <c:ptCount val="6"/>
                <c:pt idx="0">
                  <c:v>0.82099999999999995</c:v>
                </c:pt>
                <c:pt idx="1">
                  <c:v>0.59799999999999998</c:v>
                </c:pt>
                <c:pt idx="2">
                  <c:v>0.83799999999999997</c:v>
                </c:pt>
                <c:pt idx="3">
                  <c:v>0.77400000000000002</c:v>
                </c:pt>
                <c:pt idx="4">
                  <c:v>0.85599999999999998</c:v>
                </c:pt>
                <c:pt idx="5">
                  <c:v>0.77900000000000003</c:v>
                </c:pt>
              </c:numCache>
            </c:numRef>
          </c:val>
          <c:extLst>
            <c:ext xmlns:c16="http://schemas.microsoft.com/office/drawing/2014/chart" uri="{C3380CC4-5D6E-409C-BE32-E72D297353CC}">
              <c16:uniqueId val="{00000000-81F3-4D75-AF85-AF29A2243594}"/>
            </c:ext>
          </c:extLst>
        </c:ser>
        <c:ser>
          <c:idx val="1"/>
          <c:order val="1"/>
          <c:tx>
            <c:strRef>
              <c:f>FOCUS_ALL_ALL_6Y!$B$8</c:f>
              <c:strCache>
                <c:ptCount val="1"/>
                <c:pt idx="0">
                  <c:v>Later year</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Public Sans"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FOCUS_ALL_ALL_6Y!$C$2:$H$2</c:f>
              <c:strCache>
                <c:ptCount val="6"/>
                <c:pt idx="0">
                  <c:v>Skills Development</c:v>
                </c:pt>
                <c:pt idx="1">
                  <c:v>Peer Engagement</c:v>
                </c:pt>
                <c:pt idx="2">
                  <c:v>Teaching Quality 
and Engagement</c:v>
                </c:pt>
                <c:pt idx="3">
                  <c:v>Student Support 
and Services</c:v>
                </c:pt>
                <c:pt idx="4">
                  <c:v>Learning Resources</c:v>
                </c:pt>
                <c:pt idx="5">
                  <c:v>Overall Educational Experience</c:v>
                </c:pt>
              </c:strCache>
            </c:strRef>
          </c:cat>
          <c:val>
            <c:numRef>
              <c:f>FOCUS_ALL_ALL_6Y!$C$8:$H$8</c:f>
              <c:numCache>
                <c:formatCode>0.0%</c:formatCode>
                <c:ptCount val="6"/>
                <c:pt idx="0">
                  <c:v>0.84099999999999997</c:v>
                </c:pt>
                <c:pt idx="1">
                  <c:v>0.64200000000000002</c:v>
                </c:pt>
                <c:pt idx="2">
                  <c:v>0.81799999999999995</c:v>
                </c:pt>
                <c:pt idx="3">
                  <c:v>0.75900000000000001</c:v>
                </c:pt>
                <c:pt idx="4">
                  <c:v>0.84499999999999997</c:v>
                </c:pt>
                <c:pt idx="5">
                  <c:v>0.755</c:v>
                </c:pt>
              </c:numCache>
            </c:numRef>
          </c:val>
          <c:extLst>
            <c:ext xmlns:c16="http://schemas.microsoft.com/office/drawing/2014/chart" uri="{C3380CC4-5D6E-409C-BE32-E72D297353CC}">
              <c16:uniqueId val="{00000001-81F3-4D75-AF85-AF29A2243594}"/>
            </c:ext>
          </c:extLst>
        </c:ser>
        <c:dLbls>
          <c:showLegendKey val="0"/>
          <c:showVal val="0"/>
          <c:showCatName val="0"/>
          <c:showSerName val="0"/>
          <c:showPercent val="0"/>
          <c:showBubbleSize val="0"/>
        </c:dLbls>
        <c:gapWidth val="134"/>
        <c:overlap val="-20"/>
        <c:axId val="2101262719"/>
        <c:axId val="2101264639"/>
      </c:barChart>
      <c:catAx>
        <c:axId val="2101262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2101264639"/>
        <c:crosses val="autoZero"/>
        <c:auto val="1"/>
        <c:lblAlgn val="ctr"/>
        <c:lblOffset val="100"/>
        <c:noMultiLvlLbl val="0"/>
      </c:catAx>
      <c:valAx>
        <c:axId val="2101264639"/>
        <c:scaling>
          <c:orientation val="minMax"/>
        </c:scaling>
        <c:delete val="1"/>
        <c:axPos val="l"/>
        <c:numFmt formatCode="0.0%" sourceLinked="1"/>
        <c:majorTickMark val="none"/>
        <c:minorTickMark val="none"/>
        <c:tickLblPos val="nextTo"/>
        <c:crossAx val="21012627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FOCUS_Citizenship!$D$1</c:f>
          <c:strCache>
            <c:ptCount val="1"/>
            <c:pt idx="0">
              <c:v>Undergraduate</c:v>
            </c:pt>
          </c:strCache>
        </c:strRef>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FOCUS_Citizenship!$D$28</c:f>
              <c:strCache>
                <c:ptCount val="1"/>
                <c:pt idx="0">
                  <c:v>Domestic</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FOCUS_Citizenship!$E$1:$L$1</c:f>
              <c:numCache>
                <c:formatCode>General</c:formatCode>
                <c:ptCount val="8"/>
                <c:pt idx="0">
                  <c:v>2017</c:v>
                </c:pt>
                <c:pt idx="1">
                  <c:v>2018</c:v>
                </c:pt>
                <c:pt idx="2">
                  <c:v>2019</c:v>
                </c:pt>
                <c:pt idx="3">
                  <c:v>2020</c:v>
                </c:pt>
                <c:pt idx="4">
                  <c:v>2021</c:v>
                </c:pt>
                <c:pt idx="5">
                  <c:v>2022</c:v>
                </c:pt>
                <c:pt idx="6">
                  <c:v>2023</c:v>
                </c:pt>
                <c:pt idx="7">
                  <c:v>2024</c:v>
                </c:pt>
              </c:numCache>
            </c:numRef>
          </c:cat>
          <c:val>
            <c:numRef>
              <c:f>FOCUS_Citizenship!$E$28:$L$28</c:f>
              <c:numCache>
                <c:formatCode>0.0%</c:formatCode>
                <c:ptCount val="8"/>
                <c:pt idx="0">
                  <c:v>0.79200000000000004</c:v>
                </c:pt>
                <c:pt idx="1">
                  <c:v>0.79900000000000004</c:v>
                </c:pt>
                <c:pt idx="2">
                  <c:v>0.79099999999999993</c:v>
                </c:pt>
                <c:pt idx="3">
                  <c:v>0.7</c:v>
                </c:pt>
                <c:pt idx="4">
                  <c:v>0.74099999999999999</c:v>
                </c:pt>
                <c:pt idx="5">
                  <c:v>0.76200000000000001</c:v>
                </c:pt>
                <c:pt idx="6">
                  <c:v>0.76900000000000002</c:v>
                </c:pt>
                <c:pt idx="7">
                  <c:v>0.76900000000000002</c:v>
                </c:pt>
              </c:numCache>
            </c:numRef>
          </c:val>
          <c:smooth val="0"/>
          <c:extLst>
            <c:ext xmlns:c16="http://schemas.microsoft.com/office/drawing/2014/chart" uri="{C3380CC4-5D6E-409C-BE32-E72D297353CC}">
              <c16:uniqueId val="{00000000-019C-490D-A460-E86DDDAA790E}"/>
            </c:ext>
          </c:extLst>
        </c:ser>
        <c:ser>
          <c:idx val="2"/>
          <c:order val="1"/>
          <c:tx>
            <c:strRef>
              <c:f>FOCUS_Citizenship!$D$29</c:f>
              <c:strCache>
                <c:ptCount val="1"/>
                <c:pt idx="0">
                  <c:v>International</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FOCUS_Citizenship!$E$1:$L$1</c:f>
              <c:numCache>
                <c:formatCode>General</c:formatCode>
                <c:ptCount val="8"/>
                <c:pt idx="0">
                  <c:v>2017</c:v>
                </c:pt>
                <c:pt idx="1">
                  <c:v>2018</c:v>
                </c:pt>
                <c:pt idx="2">
                  <c:v>2019</c:v>
                </c:pt>
                <c:pt idx="3">
                  <c:v>2020</c:v>
                </c:pt>
                <c:pt idx="4">
                  <c:v>2021</c:v>
                </c:pt>
                <c:pt idx="5">
                  <c:v>2022</c:v>
                </c:pt>
                <c:pt idx="6">
                  <c:v>2023</c:v>
                </c:pt>
                <c:pt idx="7">
                  <c:v>2024</c:v>
                </c:pt>
              </c:numCache>
            </c:numRef>
          </c:cat>
          <c:val>
            <c:numRef>
              <c:f>FOCUS_Citizenship!$E$29:$L$29</c:f>
              <c:numCache>
                <c:formatCode>0.0%</c:formatCode>
                <c:ptCount val="8"/>
                <c:pt idx="0">
                  <c:v>0.747</c:v>
                </c:pt>
                <c:pt idx="1">
                  <c:v>0.76200000000000001</c:v>
                </c:pt>
                <c:pt idx="2">
                  <c:v>0.753</c:v>
                </c:pt>
                <c:pt idx="3">
                  <c:v>0.63</c:v>
                </c:pt>
                <c:pt idx="4">
                  <c:v>0.67200000000000004</c:v>
                </c:pt>
                <c:pt idx="5">
                  <c:v>0.74400000000000011</c:v>
                </c:pt>
                <c:pt idx="6">
                  <c:v>0.75800000000000001</c:v>
                </c:pt>
                <c:pt idx="7">
                  <c:v>0.74900000000000011</c:v>
                </c:pt>
              </c:numCache>
            </c:numRef>
          </c:val>
          <c:smooth val="0"/>
          <c:extLst>
            <c:ext xmlns:c16="http://schemas.microsoft.com/office/drawing/2014/chart" uri="{C3380CC4-5D6E-409C-BE32-E72D297353CC}">
              <c16:uniqueId val="{00000001-019C-490D-A460-E86DDDAA790E}"/>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9"/>
          <c:min val="0.4"/>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FOCUS_Citizenship!$D$6</c:f>
          <c:strCache>
            <c:ptCount val="1"/>
            <c:pt idx="0">
              <c:v>Postgraduate coursework</c:v>
            </c:pt>
          </c:strCache>
        </c:strRef>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FOCUS_Citizenship!$D$33</c:f>
              <c:strCache>
                <c:ptCount val="1"/>
                <c:pt idx="0">
                  <c:v>Domestic</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5"/>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3EE-4680-969A-D785652F548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FOCUS_Citizenship!$E$6:$L$6</c:f>
              <c:numCache>
                <c:formatCode>General</c:formatCode>
                <c:ptCount val="8"/>
                <c:pt idx="0">
                  <c:v>2017</c:v>
                </c:pt>
                <c:pt idx="1">
                  <c:v>2018</c:v>
                </c:pt>
                <c:pt idx="2">
                  <c:v>2019</c:v>
                </c:pt>
                <c:pt idx="3">
                  <c:v>2020</c:v>
                </c:pt>
                <c:pt idx="4">
                  <c:v>2021</c:v>
                </c:pt>
                <c:pt idx="5">
                  <c:v>2022</c:v>
                </c:pt>
                <c:pt idx="6">
                  <c:v>2023</c:v>
                </c:pt>
                <c:pt idx="7">
                  <c:v>2024</c:v>
                </c:pt>
              </c:numCache>
            </c:numRef>
          </c:cat>
          <c:val>
            <c:numRef>
              <c:f>FOCUS_Citizenship!$E$33:$L$33</c:f>
              <c:numCache>
                <c:formatCode>0.0%</c:formatCode>
                <c:ptCount val="8"/>
                <c:pt idx="0">
                  <c:v>0.76300000000000001</c:v>
                </c:pt>
                <c:pt idx="1">
                  <c:v>0.77900000000000003</c:v>
                </c:pt>
                <c:pt idx="2">
                  <c:v>0.77300000000000002</c:v>
                </c:pt>
                <c:pt idx="3">
                  <c:v>0.73799999999999999</c:v>
                </c:pt>
                <c:pt idx="4">
                  <c:v>0.75700000000000001</c:v>
                </c:pt>
                <c:pt idx="5">
                  <c:v>0.7659999999999999</c:v>
                </c:pt>
                <c:pt idx="6">
                  <c:v>0.77099999999999991</c:v>
                </c:pt>
                <c:pt idx="7">
                  <c:v>0.77200000000000002</c:v>
                </c:pt>
              </c:numCache>
            </c:numRef>
          </c:val>
          <c:smooth val="0"/>
          <c:extLst>
            <c:ext xmlns:c16="http://schemas.microsoft.com/office/drawing/2014/chart" uri="{C3380CC4-5D6E-409C-BE32-E72D297353CC}">
              <c16:uniqueId val="{00000001-53EE-4680-969A-D785652F5489}"/>
            </c:ext>
          </c:extLst>
        </c:ser>
        <c:ser>
          <c:idx val="2"/>
          <c:order val="1"/>
          <c:tx>
            <c:strRef>
              <c:f>FOCUS_Citizenship!$D$34</c:f>
              <c:strCache>
                <c:ptCount val="1"/>
                <c:pt idx="0">
                  <c:v>International</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dLbl>
              <c:idx val="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3EE-4680-969A-D785652F548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FOCUS_Citizenship!$E$6:$L$6</c:f>
              <c:numCache>
                <c:formatCode>General</c:formatCode>
                <c:ptCount val="8"/>
                <c:pt idx="0">
                  <c:v>2017</c:v>
                </c:pt>
                <c:pt idx="1">
                  <c:v>2018</c:v>
                </c:pt>
                <c:pt idx="2">
                  <c:v>2019</c:v>
                </c:pt>
                <c:pt idx="3">
                  <c:v>2020</c:v>
                </c:pt>
                <c:pt idx="4">
                  <c:v>2021</c:v>
                </c:pt>
                <c:pt idx="5">
                  <c:v>2022</c:v>
                </c:pt>
                <c:pt idx="6">
                  <c:v>2023</c:v>
                </c:pt>
                <c:pt idx="7">
                  <c:v>2024</c:v>
                </c:pt>
              </c:numCache>
            </c:numRef>
          </c:cat>
          <c:val>
            <c:numRef>
              <c:f>FOCUS_Citizenship!$E$34:$L$34</c:f>
              <c:numCache>
                <c:formatCode>0.0%</c:formatCode>
                <c:ptCount val="8"/>
                <c:pt idx="0">
                  <c:v>0.747</c:v>
                </c:pt>
                <c:pt idx="1">
                  <c:v>0.75099999999999989</c:v>
                </c:pt>
                <c:pt idx="2">
                  <c:v>0.748</c:v>
                </c:pt>
                <c:pt idx="3">
                  <c:v>0.63700000000000001</c:v>
                </c:pt>
                <c:pt idx="4">
                  <c:v>0.69099999999999995</c:v>
                </c:pt>
                <c:pt idx="5">
                  <c:v>0.76900000000000002</c:v>
                </c:pt>
                <c:pt idx="6">
                  <c:v>0.77</c:v>
                </c:pt>
                <c:pt idx="7">
                  <c:v>0.76300000000000001</c:v>
                </c:pt>
              </c:numCache>
            </c:numRef>
          </c:val>
          <c:smooth val="0"/>
          <c:extLst>
            <c:ext xmlns:c16="http://schemas.microsoft.com/office/drawing/2014/chart" uri="{C3380CC4-5D6E-409C-BE32-E72D297353CC}">
              <c16:uniqueId val="{00000003-53EE-4680-969A-D785652F5489}"/>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9"/>
          <c:min val="0.4"/>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FOCUS_Citizenship!$D$1</c:f>
          <c:strCache>
            <c:ptCount val="1"/>
            <c:pt idx="0">
              <c:v>Undergraduate</c:v>
            </c:pt>
          </c:strCache>
        </c:strRef>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FOCUS_Citizenship!$D$2</c:f>
              <c:strCache>
                <c:ptCount val="1"/>
                <c:pt idx="0">
                  <c:v>Domestic</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Pt>
            <c:idx val="6"/>
            <c:marker>
              <c:symbol val="circle"/>
              <c:size val="5"/>
              <c:spPr>
                <a:solidFill>
                  <a:srgbClr val="EE3B6F"/>
                </a:solidFill>
                <a:ln w="9525">
                  <a:solidFill>
                    <a:srgbClr val="EE3B6F"/>
                  </a:solidFill>
                </a:ln>
                <a:effectLst/>
              </c:spPr>
            </c:marker>
            <c:bubble3D val="0"/>
            <c:spPr>
              <a:ln w="28575" cap="rnd">
                <a:solidFill>
                  <a:srgbClr val="EE3B6F"/>
                </a:solidFill>
                <a:prstDash val="sysDash"/>
                <a:round/>
              </a:ln>
              <a:effectLst/>
            </c:spPr>
            <c:extLst>
              <c:ext xmlns:c16="http://schemas.microsoft.com/office/drawing/2014/chart" uri="{C3380CC4-5D6E-409C-BE32-E72D297353CC}">
                <c16:uniqueId val="{00000001-6E2A-4CF4-BD9E-B1938F2D552F}"/>
              </c:ext>
            </c:extLst>
          </c:dPt>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E2A-4CF4-BD9E-B1938F2D552F}"/>
                </c:ext>
              </c:extLst>
            </c:dLbl>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2A-4CF4-BD9E-B1938F2D552F}"/>
                </c:ext>
              </c:extLst>
            </c:dLbl>
            <c:dLbl>
              <c:idx val="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E2A-4CF4-BD9E-B1938F2D552F}"/>
                </c:ext>
              </c:extLst>
            </c:dLbl>
            <c:dLbl>
              <c:idx val="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E2A-4CF4-BD9E-B1938F2D552F}"/>
                </c:ext>
              </c:extLst>
            </c:dLbl>
            <c:spPr>
              <a:noFill/>
              <a:ln>
                <a:noFill/>
              </a:ln>
              <a:effectLst/>
            </c:spPr>
            <c:txPr>
              <a:bodyPr rot="0" spcFirstLastPara="1" vertOverflow="ellipsis" vert="horz" wrap="square" anchor="ctr" anchorCtr="1"/>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FOCUS_Citizenship!$E$1:$L$1</c:f>
              <c:numCache>
                <c:formatCode>General</c:formatCode>
                <c:ptCount val="8"/>
                <c:pt idx="0">
                  <c:v>2017</c:v>
                </c:pt>
                <c:pt idx="1">
                  <c:v>2018</c:v>
                </c:pt>
                <c:pt idx="2">
                  <c:v>2019</c:v>
                </c:pt>
                <c:pt idx="3">
                  <c:v>2020</c:v>
                </c:pt>
                <c:pt idx="4">
                  <c:v>2021</c:v>
                </c:pt>
                <c:pt idx="5">
                  <c:v>2022</c:v>
                </c:pt>
                <c:pt idx="6">
                  <c:v>2023</c:v>
                </c:pt>
                <c:pt idx="7">
                  <c:v>2024</c:v>
                </c:pt>
              </c:numCache>
            </c:numRef>
          </c:cat>
          <c:val>
            <c:numRef>
              <c:f>FOCUS_Citizenship!$E$2:$L$2</c:f>
              <c:numCache>
                <c:formatCode>0.0%</c:formatCode>
                <c:ptCount val="8"/>
                <c:pt idx="0">
                  <c:v>0.6</c:v>
                </c:pt>
                <c:pt idx="1">
                  <c:v>0.60299999999999998</c:v>
                </c:pt>
                <c:pt idx="2">
                  <c:v>0.60299999999999998</c:v>
                </c:pt>
                <c:pt idx="3">
                  <c:v>0.435</c:v>
                </c:pt>
                <c:pt idx="4">
                  <c:v>0.48700000000000004</c:v>
                </c:pt>
                <c:pt idx="5">
                  <c:v>0.54</c:v>
                </c:pt>
                <c:pt idx="6">
                  <c:v>0.56600000000000006</c:v>
                </c:pt>
                <c:pt idx="7">
                  <c:v>0.57399999999999995</c:v>
                </c:pt>
              </c:numCache>
            </c:numRef>
          </c:val>
          <c:smooth val="0"/>
          <c:extLst>
            <c:ext xmlns:c16="http://schemas.microsoft.com/office/drawing/2014/chart" uri="{C3380CC4-5D6E-409C-BE32-E72D297353CC}">
              <c16:uniqueId val="{00000006-6E2A-4CF4-BD9E-B1938F2D552F}"/>
            </c:ext>
          </c:extLst>
        </c:ser>
        <c:ser>
          <c:idx val="2"/>
          <c:order val="1"/>
          <c:tx>
            <c:strRef>
              <c:f>FOCUS_Citizenship!$D$3</c:f>
              <c:strCache>
                <c:ptCount val="1"/>
                <c:pt idx="0">
                  <c:v>International</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Pt>
            <c:idx val="6"/>
            <c:marker>
              <c:symbol val="circle"/>
              <c:size val="5"/>
              <c:spPr>
                <a:solidFill>
                  <a:srgbClr val="FCB942"/>
                </a:solidFill>
                <a:ln w="9525">
                  <a:solidFill>
                    <a:srgbClr val="FCB942"/>
                  </a:solidFill>
                </a:ln>
                <a:effectLst/>
              </c:spPr>
            </c:marker>
            <c:bubble3D val="0"/>
            <c:spPr>
              <a:ln w="28575" cap="rnd">
                <a:solidFill>
                  <a:srgbClr val="FCB942"/>
                </a:solidFill>
                <a:prstDash val="sysDash"/>
                <a:round/>
              </a:ln>
              <a:effectLst/>
            </c:spPr>
            <c:extLst>
              <c:ext xmlns:c16="http://schemas.microsoft.com/office/drawing/2014/chart" uri="{C3380CC4-5D6E-409C-BE32-E72D297353CC}">
                <c16:uniqueId val="{00000008-6E2A-4CF4-BD9E-B1938F2D552F}"/>
              </c:ext>
            </c:extLst>
          </c:dPt>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E2A-4CF4-BD9E-B1938F2D552F}"/>
                </c:ext>
              </c:extLst>
            </c:dLbl>
            <c:dLbl>
              <c:idx val="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E2A-4CF4-BD9E-B1938F2D552F}"/>
                </c:ext>
              </c:extLst>
            </c:dLbl>
            <c:dLbl>
              <c:idx val="2"/>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E2A-4CF4-BD9E-B1938F2D552F}"/>
                </c:ext>
              </c:extLst>
            </c:dLbl>
            <c:dLbl>
              <c:idx val="4"/>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E2A-4CF4-BD9E-B1938F2D552F}"/>
                </c:ext>
              </c:extLst>
            </c:dLbl>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FOCUS_Citizenship!$E$1:$L$1</c:f>
              <c:numCache>
                <c:formatCode>General</c:formatCode>
                <c:ptCount val="8"/>
                <c:pt idx="0">
                  <c:v>2017</c:v>
                </c:pt>
                <c:pt idx="1">
                  <c:v>2018</c:v>
                </c:pt>
                <c:pt idx="2">
                  <c:v>2019</c:v>
                </c:pt>
                <c:pt idx="3">
                  <c:v>2020</c:v>
                </c:pt>
                <c:pt idx="4">
                  <c:v>2021</c:v>
                </c:pt>
                <c:pt idx="5">
                  <c:v>2022</c:v>
                </c:pt>
                <c:pt idx="6">
                  <c:v>2023</c:v>
                </c:pt>
                <c:pt idx="7">
                  <c:v>2024</c:v>
                </c:pt>
              </c:numCache>
            </c:numRef>
          </c:cat>
          <c:val>
            <c:numRef>
              <c:f>FOCUS_Citizenship!$E$3:$L$3</c:f>
              <c:numCache>
                <c:formatCode>0.0%</c:formatCode>
                <c:ptCount val="8"/>
                <c:pt idx="0">
                  <c:v>0.57399999999999995</c:v>
                </c:pt>
                <c:pt idx="1">
                  <c:v>0.58200000000000007</c:v>
                </c:pt>
                <c:pt idx="2">
                  <c:v>0.59399999999999997</c:v>
                </c:pt>
                <c:pt idx="3">
                  <c:v>0.48700000000000004</c:v>
                </c:pt>
                <c:pt idx="4">
                  <c:v>0.48399999999999999</c:v>
                </c:pt>
                <c:pt idx="5">
                  <c:v>0.61499999999999999</c:v>
                </c:pt>
                <c:pt idx="6">
                  <c:v>0.69499999999999995</c:v>
                </c:pt>
                <c:pt idx="7">
                  <c:v>0.72199999999999998</c:v>
                </c:pt>
              </c:numCache>
            </c:numRef>
          </c:val>
          <c:smooth val="0"/>
          <c:extLst>
            <c:ext xmlns:c16="http://schemas.microsoft.com/office/drawing/2014/chart" uri="{C3380CC4-5D6E-409C-BE32-E72D297353CC}">
              <c16:uniqueId val="{0000000D-6E2A-4CF4-BD9E-B1938F2D552F}"/>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8"/>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9634089163781752E-2"/>
          <c:y val="0.12710747373487008"/>
          <c:w val="0.96073182167243654"/>
          <c:h val="0.75674540682414704"/>
        </c:manualLayout>
      </c:layout>
      <c:lineChart>
        <c:grouping val="standard"/>
        <c:varyColors val="0"/>
        <c:ser>
          <c:idx val="1"/>
          <c:order val="0"/>
          <c:tx>
            <c:strRef>
              <c:f>'CONSID by UG PGC'!$B$10</c:f>
              <c:strCache>
                <c:ptCount val="1"/>
                <c:pt idx="0">
                  <c:v> Undergraduate</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541-41B0-BB8D-858B525E8AED}"/>
                </c:ext>
              </c:extLst>
            </c:dLbl>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541-41B0-BB8D-858B525E8AED}"/>
                </c:ext>
              </c:extLst>
            </c:dLbl>
            <c:dLbl>
              <c:idx val="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541-41B0-BB8D-858B525E8AED}"/>
                </c:ext>
              </c:extLst>
            </c:dLbl>
            <c:dLbl>
              <c:idx val="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541-41B0-BB8D-858B525E8AED}"/>
                </c:ext>
              </c:extLst>
            </c:dLbl>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541-41B0-BB8D-858B525E8AED}"/>
                </c:ext>
              </c:extLst>
            </c:dLbl>
            <c:dLbl>
              <c:idx val="7"/>
              <c:layout>
                <c:manualLayout>
                  <c:x val="-2.9794765442204232E-2"/>
                  <c:y val="-4.92299895280986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541-41B0-BB8D-858B525E8AED}"/>
                </c:ext>
              </c:extLst>
            </c:dLbl>
            <c:spPr>
              <a:noFill/>
              <a:ln>
                <a:noFill/>
              </a:ln>
              <a:effectLst/>
            </c:spPr>
            <c:txPr>
              <a:bodyPr rot="0" spcFirstLastPara="1" vertOverflow="ellipsis" vert="horz" wrap="square" anchor="ctr" anchorCtr="1"/>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'CONSID by UG PGC'!$A$11:$A$18</c:f>
              <c:numCache>
                <c:formatCode>General</c:formatCode>
                <c:ptCount val="8"/>
                <c:pt idx="0">
                  <c:v>2017</c:v>
                </c:pt>
                <c:pt idx="1">
                  <c:v>2018</c:v>
                </c:pt>
                <c:pt idx="2">
                  <c:v>2019</c:v>
                </c:pt>
                <c:pt idx="3">
                  <c:v>2020</c:v>
                </c:pt>
                <c:pt idx="4">
                  <c:v>2021</c:v>
                </c:pt>
                <c:pt idx="5">
                  <c:v>2022</c:v>
                </c:pt>
                <c:pt idx="6">
                  <c:v>2023</c:v>
                </c:pt>
                <c:pt idx="7">
                  <c:v>2024</c:v>
                </c:pt>
              </c:numCache>
            </c:numRef>
          </c:cat>
          <c:val>
            <c:numRef>
              <c:f>'CONSID by UG PGC'!$B$11:$B$18</c:f>
              <c:numCache>
                <c:formatCode>0.0%</c:formatCode>
                <c:ptCount val="8"/>
                <c:pt idx="0">
                  <c:v>0.19899999999999998</c:v>
                </c:pt>
                <c:pt idx="1">
                  <c:v>0.19399999999999998</c:v>
                </c:pt>
                <c:pt idx="2">
                  <c:v>0.19699999999999998</c:v>
                </c:pt>
                <c:pt idx="3">
                  <c:v>0.19500000000000001</c:v>
                </c:pt>
                <c:pt idx="4">
                  <c:v>0.19399999999999998</c:v>
                </c:pt>
                <c:pt idx="5">
                  <c:v>0.188</c:v>
                </c:pt>
                <c:pt idx="6">
                  <c:v>0.187</c:v>
                </c:pt>
                <c:pt idx="7">
                  <c:v>0.183</c:v>
                </c:pt>
              </c:numCache>
            </c:numRef>
          </c:val>
          <c:smooth val="0"/>
          <c:extLst>
            <c:ext xmlns:c16="http://schemas.microsoft.com/office/drawing/2014/chart" uri="{C3380CC4-5D6E-409C-BE32-E72D297353CC}">
              <c16:uniqueId val="{00000006-E541-41B0-BB8D-858B525E8AED}"/>
            </c:ext>
          </c:extLst>
        </c:ser>
        <c:ser>
          <c:idx val="2"/>
          <c:order val="1"/>
          <c:tx>
            <c:strRef>
              <c:f>'CONSID by UG PGC'!$C$10</c:f>
              <c:strCache>
                <c:ptCount val="1"/>
                <c:pt idx="0">
                  <c:v> Postgraduate coursework</c:v>
                </c:pt>
              </c:strCache>
            </c:strRef>
          </c:tx>
          <c:spPr>
            <a:ln w="28575" cap="rnd">
              <a:solidFill>
                <a:srgbClr val="F3772C"/>
              </a:solidFill>
              <a:round/>
            </a:ln>
            <a:effectLst/>
          </c:spPr>
          <c:marker>
            <c:symbol val="circle"/>
            <c:size val="5"/>
            <c:spPr>
              <a:solidFill>
                <a:srgbClr val="F3772C"/>
              </a:solidFill>
              <a:ln w="9525">
                <a:solidFill>
                  <a:srgbClr val="F3772C"/>
                </a:solidFill>
              </a:ln>
              <a:effectLst/>
            </c:spPr>
          </c:marker>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541-41B0-BB8D-858B525E8AED}"/>
                </c:ext>
              </c:extLst>
            </c:dLbl>
            <c:dLbl>
              <c:idx val="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541-41B0-BB8D-858B525E8AED}"/>
                </c:ext>
              </c:extLst>
            </c:dLbl>
            <c:dLbl>
              <c:idx val="2"/>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541-41B0-BB8D-858B525E8AED}"/>
                </c:ext>
              </c:extLst>
            </c:dLbl>
            <c:dLbl>
              <c:idx val="5"/>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541-41B0-BB8D-858B525E8AED}"/>
                </c:ext>
              </c:extLst>
            </c:dLbl>
            <c:dLbl>
              <c:idx val="6"/>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541-41B0-BB8D-858B525E8AED}"/>
                </c:ext>
              </c:extLst>
            </c:dLbl>
            <c:dLbl>
              <c:idx val="7"/>
              <c:layout>
                <c:manualLayout>
                  <c:x val="-3.3364599835619096E-2"/>
                  <c:y val="5.28746359299573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541-41B0-BB8D-858B525E8AED}"/>
                </c:ext>
              </c:extLst>
            </c:dLbl>
            <c:spPr>
              <a:noFill/>
              <a:ln>
                <a:noFill/>
              </a:ln>
              <a:effectLst/>
            </c:spPr>
            <c:txPr>
              <a:bodyPr rot="0" spcFirstLastPara="1" vertOverflow="ellipsis" vert="horz" wrap="square" anchor="ctr" anchorCtr="1"/>
              <a:lstStyle/>
              <a:p>
                <a:pPr>
                  <a:defRPr sz="900" b="0" i="0" u="none" strike="noStrike" kern="1200" baseline="0">
                    <a:solidFill>
                      <a:schemeClr val="accent3">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'CONSID by UG PGC'!$A$11:$A$18</c:f>
              <c:numCache>
                <c:formatCode>General</c:formatCode>
                <c:ptCount val="8"/>
                <c:pt idx="0">
                  <c:v>2017</c:v>
                </c:pt>
                <c:pt idx="1">
                  <c:v>2018</c:v>
                </c:pt>
                <c:pt idx="2">
                  <c:v>2019</c:v>
                </c:pt>
                <c:pt idx="3">
                  <c:v>2020</c:v>
                </c:pt>
                <c:pt idx="4">
                  <c:v>2021</c:v>
                </c:pt>
                <c:pt idx="5">
                  <c:v>2022</c:v>
                </c:pt>
                <c:pt idx="6">
                  <c:v>2023</c:v>
                </c:pt>
                <c:pt idx="7">
                  <c:v>2024</c:v>
                </c:pt>
              </c:numCache>
            </c:numRef>
          </c:cat>
          <c:val>
            <c:numRef>
              <c:f>'CONSID by UG PGC'!$C$11:$C$18</c:f>
              <c:numCache>
                <c:formatCode>0.0%</c:formatCode>
                <c:ptCount val="8"/>
                <c:pt idx="0">
                  <c:v>0.182</c:v>
                </c:pt>
                <c:pt idx="1">
                  <c:v>0.17300000000000001</c:v>
                </c:pt>
                <c:pt idx="2">
                  <c:v>0.17499999999999999</c:v>
                </c:pt>
                <c:pt idx="3">
                  <c:v>0.20399999999999999</c:v>
                </c:pt>
                <c:pt idx="4">
                  <c:v>0.20499999999999999</c:v>
                </c:pt>
                <c:pt idx="5">
                  <c:v>0.17699999999999999</c:v>
                </c:pt>
                <c:pt idx="6">
                  <c:v>0.16800000000000001</c:v>
                </c:pt>
                <c:pt idx="7">
                  <c:v>0.16</c:v>
                </c:pt>
              </c:numCache>
            </c:numRef>
          </c:val>
          <c:smooth val="0"/>
          <c:extLst>
            <c:ext xmlns:c16="http://schemas.microsoft.com/office/drawing/2014/chart" uri="{C3380CC4-5D6E-409C-BE32-E72D297353CC}">
              <c16:uniqueId val="{0000000D-E541-41B0-BB8D-858B525E8AED}"/>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25"/>
          <c:min val="0.1"/>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Medium"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FOCUS_UG_ALL_6Y_E942!$D$6</c:f>
          <c:strCache>
            <c:ptCount val="1"/>
            <c:pt idx="0">
              <c:v>Postgraduate coursework</c:v>
            </c:pt>
          </c:strCache>
        </c:strRef>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FOCUS_UG_ALL_6Y_E942!$D$7</c:f>
              <c:strCache>
                <c:ptCount val="1"/>
                <c:pt idx="0">
                  <c:v>Domestic</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Pt>
            <c:idx val="6"/>
            <c:marker>
              <c:symbol val="circle"/>
              <c:size val="5"/>
              <c:spPr>
                <a:solidFill>
                  <a:srgbClr val="EE3B6F"/>
                </a:solidFill>
                <a:ln w="9525">
                  <a:solidFill>
                    <a:srgbClr val="EE3B6F"/>
                  </a:solidFill>
                </a:ln>
                <a:effectLst/>
              </c:spPr>
            </c:marker>
            <c:bubble3D val="0"/>
            <c:spPr>
              <a:ln w="28575" cap="rnd">
                <a:solidFill>
                  <a:srgbClr val="EE3B6F"/>
                </a:solidFill>
                <a:prstDash val="sysDash"/>
                <a:round/>
              </a:ln>
              <a:effectLst/>
            </c:spPr>
            <c:extLst>
              <c:ext xmlns:c16="http://schemas.microsoft.com/office/drawing/2014/chart" uri="{C3380CC4-5D6E-409C-BE32-E72D297353CC}">
                <c16:uniqueId val="{00000001-7854-4BF1-A016-28598706D9F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FOCUS_UG_ALL_6Y_E942!$E$6:$L$6</c:f>
              <c:numCache>
                <c:formatCode>General</c:formatCode>
                <c:ptCount val="8"/>
                <c:pt idx="0">
                  <c:v>2017</c:v>
                </c:pt>
                <c:pt idx="1">
                  <c:v>2018</c:v>
                </c:pt>
                <c:pt idx="2">
                  <c:v>2019</c:v>
                </c:pt>
                <c:pt idx="3">
                  <c:v>2020</c:v>
                </c:pt>
                <c:pt idx="4">
                  <c:v>2021</c:v>
                </c:pt>
                <c:pt idx="5">
                  <c:v>2022</c:v>
                </c:pt>
                <c:pt idx="6">
                  <c:v>2023</c:v>
                </c:pt>
                <c:pt idx="7">
                  <c:v>2024</c:v>
                </c:pt>
              </c:numCache>
            </c:numRef>
          </c:cat>
          <c:val>
            <c:numRef>
              <c:f>FOCUS_UG_ALL_6Y_E942!$E$7:$L$7</c:f>
              <c:numCache>
                <c:formatCode>0.0%</c:formatCode>
                <c:ptCount val="8"/>
                <c:pt idx="0">
                  <c:v>0.46100000000000002</c:v>
                </c:pt>
                <c:pt idx="1">
                  <c:v>0.45700000000000002</c:v>
                </c:pt>
                <c:pt idx="2">
                  <c:v>0.46200000000000002</c:v>
                </c:pt>
                <c:pt idx="3">
                  <c:v>0.36199999999999999</c:v>
                </c:pt>
                <c:pt idx="4">
                  <c:v>0.373</c:v>
                </c:pt>
                <c:pt idx="5">
                  <c:v>0.41299999999999998</c:v>
                </c:pt>
                <c:pt idx="6">
                  <c:v>0.39600000000000002</c:v>
                </c:pt>
                <c:pt idx="7">
                  <c:v>0.40500000000000003</c:v>
                </c:pt>
              </c:numCache>
            </c:numRef>
          </c:val>
          <c:smooth val="0"/>
          <c:extLst>
            <c:ext xmlns:c16="http://schemas.microsoft.com/office/drawing/2014/chart" uri="{C3380CC4-5D6E-409C-BE32-E72D297353CC}">
              <c16:uniqueId val="{00000002-7854-4BF1-A016-28598706D9F7}"/>
            </c:ext>
          </c:extLst>
        </c:ser>
        <c:ser>
          <c:idx val="2"/>
          <c:order val="1"/>
          <c:tx>
            <c:strRef>
              <c:f>FOCUS_UG_ALL_6Y_E942!$D$8</c:f>
              <c:strCache>
                <c:ptCount val="1"/>
                <c:pt idx="0">
                  <c:v>International</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Pt>
            <c:idx val="6"/>
            <c:marker>
              <c:symbol val="circle"/>
              <c:size val="5"/>
              <c:spPr>
                <a:solidFill>
                  <a:srgbClr val="FCB942"/>
                </a:solidFill>
                <a:ln w="9525">
                  <a:solidFill>
                    <a:srgbClr val="FCB942"/>
                  </a:solidFill>
                </a:ln>
                <a:effectLst/>
              </c:spPr>
            </c:marker>
            <c:bubble3D val="0"/>
            <c:spPr>
              <a:ln w="28575" cap="rnd">
                <a:solidFill>
                  <a:srgbClr val="FCB942"/>
                </a:solidFill>
                <a:prstDash val="sysDash"/>
                <a:round/>
              </a:ln>
              <a:effectLst/>
            </c:spPr>
            <c:extLst>
              <c:ext xmlns:c16="http://schemas.microsoft.com/office/drawing/2014/chart" uri="{C3380CC4-5D6E-409C-BE32-E72D297353CC}">
                <c16:uniqueId val="{00000004-7854-4BF1-A016-28598706D9F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FOCUS_UG_ALL_6Y_E942!$E$6:$L$6</c:f>
              <c:numCache>
                <c:formatCode>General</c:formatCode>
                <c:ptCount val="8"/>
                <c:pt idx="0">
                  <c:v>2017</c:v>
                </c:pt>
                <c:pt idx="1">
                  <c:v>2018</c:v>
                </c:pt>
                <c:pt idx="2">
                  <c:v>2019</c:v>
                </c:pt>
                <c:pt idx="3">
                  <c:v>2020</c:v>
                </c:pt>
                <c:pt idx="4">
                  <c:v>2021</c:v>
                </c:pt>
                <c:pt idx="5">
                  <c:v>2022</c:v>
                </c:pt>
                <c:pt idx="6">
                  <c:v>2023</c:v>
                </c:pt>
                <c:pt idx="7">
                  <c:v>2024</c:v>
                </c:pt>
              </c:numCache>
            </c:numRef>
          </c:cat>
          <c:val>
            <c:numRef>
              <c:f>FOCUS_UG_ALL_6Y_E942!$E$8:$L$8</c:f>
              <c:numCache>
                <c:formatCode>0.0%</c:formatCode>
                <c:ptCount val="8"/>
                <c:pt idx="0">
                  <c:v>0.59399999999999997</c:v>
                </c:pt>
                <c:pt idx="1">
                  <c:v>0.59499999999999997</c:v>
                </c:pt>
                <c:pt idx="2">
                  <c:v>0.60599999999999998</c:v>
                </c:pt>
                <c:pt idx="3">
                  <c:v>0.47899999999999998</c:v>
                </c:pt>
                <c:pt idx="4">
                  <c:v>0.48799999999999999</c:v>
                </c:pt>
                <c:pt idx="5">
                  <c:v>0.622</c:v>
                </c:pt>
                <c:pt idx="6">
                  <c:v>0.74299999999999999</c:v>
                </c:pt>
                <c:pt idx="7">
                  <c:v>0.77700000000000002</c:v>
                </c:pt>
              </c:numCache>
            </c:numRef>
          </c:val>
          <c:smooth val="0"/>
          <c:extLst>
            <c:ext xmlns:c16="http://schemas.microsoft.com/office/drawing/2014/chart" uri="{C3380CC4-5D6E-409C-BE32-E72D297353CC}">
              <c16:uniqueId val="{00000005-7854-4BF1-A016-28598706D9F7}"/>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8"/>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FOCUS_Disability!$B$2</c:f>
          <c:strCache>
            <c:ptCount val="1"/>
            <c:pt idx="0">
              <c:v>Undergraduate</c:v>
            </c:pt>
          </c:strCache>
        </c:strRef>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FOCUS_Disability!$C$3</c:f>
              <c:strCache>
                <c:ptCount val="1"/>
                <c:pt idx="0">
                  <c:v>No disability reported</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FOCUS_Disability!$A$4:$A$11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FOCUS_Disability!$C$4:$C$11</c:f>
              <c:numCache>
                <c:formatCode>0.0%</c:formatCode>
                <c:ptCount val="8"/>
                <c:pt idx="0">
                  <c:v>0.78700000000000003</c:v>
                </c:pt>
                <c:pt idx="1">
                  <c:v>0.79400000000000004</c:v>
                </c:pt>
                <c:pt idx="2">
                  <c:v>0.78599999999999992</c:v>
                </c:pt>
                <c:pt idx="3">
                  <c:v>0.68900000000000006</c:v>
                </c:pt>
                <c:pt idx="4">
                  <c:v>0.73299999999999998</c:v>
                </c:pt>
                <c:pt idx="5">
                  <c:v>0.7609999999999999</c:v>
                </c:pt>
                <c:pt idx="6">
                  <c:v>0.77</c:v>
                </c:pt>
                <c:pt idx="7">
                  <c:v>0.76900000000000002</c:v>
                </c:pt>
              </c:numCache>
            </c:numRef>
          </c:val>
          <c:smooth val="0"/>
          <c:extLst>
            <c:ext xmlns:c16="http://schemas.microsoft.com/office/drawing/2014/chart" uri="{C3380CC4-5D6E-409C-BE32-E72D297353CC}">
              <c16:uniqueId val="{00000000-4B61-4380-ACA4-F22B1D60CF5C}"/>
            </c:ext>
          </c:extLst>
        </c:ser>
        <c:ser>
          <c:idx val="2"/>
          <c:order val="1"/>
          <c:tx>
            <c:strRef>
              <c:f>FOCUS_Disability!$B$3</c:f>
              <c:strCache>
                <c:ptCount val="1"/>
                <c:pt idx="0">
                  <c:v>Disability reported</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FOCUS_Disability!$A$4:$A$11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FOCUS_Disability!$B$4:$B$11</c:f>
              <c:numCache>
                <c:formatCode>0.0%</c:formatCode>
                <c:ptCount val="8"/>
                <c:pt idx="0">
                  <c:v>0.75800000000000001</c:v>
                </c:pt>
                <c:pt idx="1">
                  <c:v>0.77500000000000002</c:v>
                </c:pt>
                <c:pt idx="2">
                  <c:v>0.76300000000000001</c:v>
                </c:pt>
                <c:pt idx="3">
                  <c:v>0.65700000000000003</c:v>
                </c:pt>
                <c:pt idx="4">
                  <c:v>0.69900000000000007</c:v>
                </c:pt>
                <c:pt idx="5">
                  <c:v>0.73799999999999999</c:v>
                </c:pt>
                <c:pt idx="6">
                  <c:v>0.75099999999999989</c:v>
                </c:pt>
                <c:pt idx="7">
                  <c:v>0.74099999999999999</c:v>
                </c:pt>
              </c:numCache>
            </c:numRef>
          </c:val>
          <c:smooth val="0"/>
          <c:extLst>
            <c:ext xmlns:c16="http://schemas.microsoft.com/office/drawing/2014/chart" uri="{C3380CC4-5D6E-409C-BE32-E72D297353CC}">
              <c16:uniqueId val="{00000001-4B61-4380-ACA4-F22B1D60CF5C}"/>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5"/>
        </c:scaling>
        <c:delete val="1"/>
        <c:axPos val="l"/>
        <c:numFmt formatCode="0.0%" sourceLinked="1"/>
        <c:majorTickMark val="none"/>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FOCUS_Disability!$D$2</c:f>
          <c:strCache>
            <c:ptCount val="1"/>
            <c:pt idx="0">
              <c:v>Postgraduate coursework</c:v>
            </c:pt>
          </c:strCache>
        </c:strRef>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FOCUS_Disability!$E$3</c:f>
              <c:strCache>
                <c:ptCount val="1"/>
                <c:pt idx="0">
                  <c:v>No disability reported</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FOCUS_Disability!$A$4:$A$11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FOCUS_Disability!$E$4:$E$11</c:f>
              <c:numCache>
                <c:formatCode>0.0%</c:formatCode>
                <c:ptCount val="8"/>
                <c:pt idx="0">
                  <c:v>0.75700000000000001</c:v>
                </c:pt>
                <c:pt idx="1">
                  <c:v>0.7659999999999999</c:v>
                </c:pt>
                <c:pt idx="2">
                  <c:v>0.7609999999999999</c:v>
                </c:pt>
                <c:pt idx="3">
                  <c:v>0.68599999999999994</c:v>
                </c:pt>
                <c:pt idx="4">
                  <c:v>0.7340000000000001</c:v>
                </c:pt>
                <c:pt idx="5">
                  <c:v>0.77099999999999991</c:v>
                </c:pt>
                <c:pt idx="6">
                  <c:v>0.77300000000000002</c:v>
                </c:pt>
                <c:pt idx="7">
                  <c:v>0.76800000000000002</c:v>
                </c:pt>
              </c:numCache>
            </c:numRef>
          </c:val>
          <c:smooth val="0"/>
          <c:extLst>
            <c:ext xmlns:c16="http://schemas.microsoft.com/office/drawing/2014/chart" uri="{C3380CC4-5D6E-409C-BE32-E72D297353CC}">
              <c16:uniqueId val="{00000000-188B-4DD1-A6F2-DB73809F722A}"/>
            </c:ext>
          </c:extLst>
        </c:ser>
        <c:ser>
          <c:idx val="2"/>
          <c:order val="1"/>
          <c:tx>
            <c:strRef>
              <c:f>FOCUS_Disability!$D$3</c:f>
              <c:strCache>
                <c:ptCount val="1"/>
                <c:pt idx="0">
                  <c:v>Disability reported</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FOCUS_Disability!$A$4:$A$11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FOCUS_Disability!$D$4:$D$11</c:f>
              <c:numCache>
                <c:formatCode>0.0%</c:formatCode>
                <c:ptCount val="8"/>
                <c:pt idx="0">
                  <c:v>0.72299999999999998</c:v>
                </c:pt>
                <c:pt idx="1">
                  <c:v>0.746</c:v>
                </c:pt>
                <c:pt idx="2">
                  <c:v>0.73099999999999998</c:v>
                </c:pt>
                <c:pt idx="3">
                  <c:v>0.66200000000000003</c:v>
                </c:pt>
                <c:pt idx="4">
                  <c:v>0.69099999999999995</c:v>
                </c:pt>
                <c:pt idx="5">
                  <c:v>0.70799999999999996</c:v>
                </c:pt>
                <c:pt idx="6">
                  <c:v>0.74400000000000011</c:v>
                </c:pt>
                <c:pt idx="7">
                  <c:v>0.754</c:v>
                </c:pt>
              </c:numCache>
            </c:numRef>
          </c:val>
          <c:smooth val="0"/>
          <c:extLst>
            <c:ext xmlns:c16="http://schemas.microsoft.com/office/drawing/2014/chart" uri="{C3380CC4-5D6E-409C-BE32-E72D297353CC}">
              <c16:uniqueId val="{00000001-188B-4DD1-A6F2-DB73809F722A}"/>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5"/>
        </c:scaling>
        <c:delete val="1"/>
        <c:axPos val="l"/>
        <c:numFmt formatCode="0.0%" sourceLinked="1"/>
        <c:majorTickMark val="none"/>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'FOCUS_Home language'!$D$8</c:f>
          <c:strCache>
            <c:ptCount val="1"/>
            <c:pt idx="0">
              <c:v>Postgraduate coursework</c:v>
            </c:pt>
          </c:strCache>
        </c:strRef>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'FOCUS_Home language'!$D$11</c:f>
              <c:strCache>
                <c:ptCount val="1"/>
                <c:pt idx="0">
                  <c:v>English</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5"/>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393-41C3-8D06-E85326C06DF4}"/>
                </c:ext>
              </c:extLst>
            </c:dLbl>
            <c:spPr>
              <a:noFill/>
              <a:ln>
                <a:noFill/>
              </a:ln>
              <a:effectLst/>
            </c:spPr>
            <c:txPr>
              <a:bodyPr rot="0" spcFirstLastPara="1" vertOverflow="ellipsis" vert="horz" wrap="square" anchor="ctr" anchorCtr="1"/>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'FOCUS_Home language'!$E$8:$L$8</c:f>
              <c:numCache>
                <c:formatCode>General</c:formatCode>
                <c:ptCount val="8"/>
                <c:pt idx="0">
                  <c:v>2017</c:v>
                </c:pt>
                <c:pt idx="1">
                  <c:v>2018</c:v>
                </c:pt>
                <c:pt idx="2">
                  <c:v>2019</c:v>
                </c:pt>
                <c:pt idx="3">
                  <c:v>2020</c:v>
                </c:pt>
                <c:pt idx="4">
                  <c:v>2021</c:v>
                </c:pt>
                <c:pt idx="5">
                  <c:v>2022</c:v>
                </c:pt>
                <c:pt idx="6">
                  <c:v>2023</c:v>
                </c:pt>
                <c:pt idx="7">
                  <c:v>2024</c:v>
                </c:pt>
              </c:numCache>
            </c:numRef>
          </c:cat>
          <c:val>
            <c:numRef>
              <c:f>'FOCUS_Home language'!$E$11:$L$11</c:f>
              <c:numCache>
                <c:formatCode>0.0%</c:formatCode>
                <c:ptCount val="8"/>
                <c:pt idx="0">
                  <c:v>0.75599999999999989</c:v>
                </c:pt>
                <c:pt idx="1">
                  <c:v>0.77300000000000002</c:v>
                </c:pt>
                <c:pt idx="2">
                  <c:v>0.77099999999999991</c:v>
                </c:pt>
                <c:pt idx="3">
                  <c:v>0.71</c:v>
                </c:pt>
                <c:pt idx="4">
                  <c:v>0.752</c:v>
                </c:pt>
                <c:pt idx="5">
                  <c:v>0.76700000000000002</c:v>
                </c:pt>
                <c:pt idx="6">
                  <c:v>0.77400000000000002</c:v>
                </c:pt>
                <c:pt idx="7">
                  <c:v>0.77400000000000002</c:v>
                </c:pt>
              </c:numCache>
            </c:numRef>
          </c:val>
          <c:smooth val="0"/>
          <c:extLst>
            <c:ext xmlns:c16="http://schemas.microsoft.com/office/drawing/2014/chart" uri="{C3380CC4-5D6E-409C-BE32-E72D297353CC}">
              <c16:uniqueId val="{00000001-6393-41C3-8D06-E85326C06DF4}"/>
            </c:ext>
          </c:extLst>
        </c:ser>
        <c:ser>
          <c:idx val="2"/>
          <c:order val="1"/>
          <c:tx>
            <c:strRef>
              <c:f>'FOCUS_Home language'!$D$12</c:f>
              <c:strCache>
                <c:ptCount val="1"/>
                <c:pt idx="0">
                  <c:v>Other</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dLbl>
              <c:idx val="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393-41C3-8D06-E85326C06DF4}"/>
                </c:ext>
              </c:extLst>
            </c:dLbl>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'FOCUS_Home language'!$E$8:$L$8</c:f>
              <c:numCache>
                <c:formatCode>General</c:formatCode>
                <c:ptCount val="8"/>
                <c:pt idx="0">
                  <c:v>2017</c:v>
                </c:pt>
                <c:pt idx="1">
                  <c:v>2018</c:v>
                </c:pt>
                <c:pt idx="2">
                  <c:v>2019</c:v>
                </c:pt>
                <c:pt idx="3">
                  <c:v>2020</c:v>
                </c:pt>
                <c:pt idx="4">
                  <c:v>2021</c:v>
                </c:pt>
                <c:pt idx="5">
                  <c:v>2022</c:v>
                </c:pt>
                <c:pt idx="6">
                  <c:v>2023</c:v>
                </c:pt>
                <c:pt idx="7">
                  <c:v>2024</c:v>
                </c:pt>
              </c:numCache>
            </c:numRef>
          </c:cat>
          <c:val>
            <c:numRef>
              <c:f>'FOCUS_Home language'!$E$12:$L$12</c:f>
              <c:numCache>
                <c:formatCode>0.0%</c:formatCode>
                <c:ptCount val="8"/>
                <c:pt idx="0">
                  <c:v>0.755</c:v>
                </c:pt>
                <c:pt idx="1">
                  <c:v>0.75099999999999989</c:v>
                </c:pt>
                <c:pt idx="2">
                  <c:v>0.74299999999999999</c:v>
                </c:pt>
                <c:pt idx="3">
                  <c:v>0.64300000000000002</c:v>
                </c:pt>
                <c:pt idx="4">
                  <c:v>0.69499999999999995</c:v>
                </c:pt>
                <c:pt idx="5">
                  <c:v>0.76800000000000002</c:v>
                </c:pt>
                <c:pt idx="6">
                  <c:v>0.76500000000000001</c:v>
                </c:pt>
                <c:pt idx="7">
                  <c:v>0.75900000000000001</c:v>
                </c:pt>
              </c:numCache>
            </c:numRef>
          </c:val>
          <c:smooth val="0"/>
          <c:extLst>
            <c:ext xmlns:c16="http://schemas.microsoft.com/office/drawing/2014/chart" uri="{C3380CC4-5D6E-409C-BE32-E72D297353CC}">
              <c16:uniqueId val="{00000003-6393-41C3-8D06-E85326C06DF4}"/>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9"/>
          <c:min val="0.4"/>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sz="900">
          <a:solidFill>
            <a:sysClr val="windowText" lastClr="000000"/>
          </a:solidFill>
          <a:latin typeface="Public Sans" pitchFamily="2" charset="0"/>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'FOCUS_Home language'!$D$2</c:f>
          <c:strCache>
            <c:ptCount val="1"/>
            <c:pt idx="0">
              <c:v>Undergraduate</c:v>
            </c:pt>
          </c:strCache>
        </c:strRef>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'FOCUS_Home language'!$D$5</c:f>
              <c:strCache>
                <c:ptCount val="1"/>
                <c:pt idx="0">
                  <c:v>English</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'FOCUS_Home language'!$E$2:$L$2</c:f>
              <c:numCache>
                <c:formatCode>General</c:formatCode>
                <c:ptCount val="8"/>
                <c:pt idx="0">
                  <c:v>2017</c:v>
                </c:pt>
                <c:pt idx="1">
                  <c:v>2018</c:v>
                </c:pt>
                <c:pt idx="2">
                  <c:v>2019</c:v>
                </c:pt>
                <c:pt idx="3">
                  <c:v>2020</c:v>
                </c:pt>
                <c:pt idx="4">
                  <c:v>2021</c:v>
                </c:pt>
                <c:pt idx="5">
                  <c:v>2022</c:v>
                </c:pt>
                <c:pt idx="6">
                  <c:v>2023</c:v>
                </c:pt>
                <c:pt idx="7">
                  <c:v>2024</c:v>
                </c:pt>
              </c:numCache>
            </c:numRef>
          </c:cat>
          <c:val>
            <c:numRef>
              <c:f>'FOCUS_Home language'!$E$5:$L$5</c:f>
              <c:numCache>
                <c:formatCode>0.0%</c:formatCode>
                <c:ptCount val="8"/>
                <c:pt idx="0">
                  <c:v>0.79</c:v>
                </c:pt>
                <c:pt idx="1">
                  <c:v>0.79900000000000004</c:v>
                </c:pt>
                <c:pt idx="2">
                  <c:v>0.79</c:v>
                </c:pt>
                <c:pt idx="3">
                  <c:v>0.69599999999999995</c:v>
                </c:pt>
                <c:pt idx="4">
                  <c:v>0.74</c:v>
                </c:pt>
                <c:pt idx="5">
                  <c:v>0.76700000000000002</c:v>
                </c:pt>
                <c:pt idx="6">
                  <c:v>0.77</c:v>
                </c:pt>
                <c:pt idx="7">
                  <c:v>0.77</c:v>
                </c:pt>
              </c:numCache>
            </c:numRef>
          </c:val>
          <c:smooth val="0"/>
          <c:extLst>
            <c:ext xmlns:c16="http://schemas.microsoft.com/office/drawing/2014/chart" uri="{C3380CC4-5D6E-409C-BE32-E72D297353CC}">
              <c16:uniqueId val="{00000000-601A-4131-9E99-48055F60B8FB}"/>
            </c:ext>
          </c:extLst>
        </c:ser>
        <c:ser>
          <c:idx val="2"/>
          <c:order val="1"/>
          <c:tx>
            <c:strRef>
              <c:f>'FOCUS_Home language'!$D$6</c:f>
              <c:strCache>
                <c:ptCount val="1"/>
                <c:pt idx="0">
                  <c:v>Other</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'FOCUS_Home language'!$E$2:$L$2</c:f>
              <c:numCache>
                <c:formatCode>General</c:formatCode>
                <c:ptCount val="8"/>
                <c:pt idx="0">
                  <c:v>2017</c:v>
                </c:pt>
                <c:pt idx="1">
                  <c:v>2018</c:v>
                </c:pt>
                <c:pt idx="2">
                  <c:v>2019</c:v>
                </c:pt>
                <c:pt idx="3">
                  <c:v>2020</c:v>
                </c:pt>
                <c:pt idx="4">
                  <c:v>2021</c:v>
                </c:pt>
                <c:pt idx="5">
                  <c:v>2022</c:v>
                </c:pt>
                <c:pt idx="6">
                  <c:v>2023</c:v>
                </c:pt>
                <c:pt idx="7">
                  <c:v>2024</c:v>
                </c:pt>
              </c:numCache>
            </c:numRef>
          </c:cat>
          <c:val>
            <c:numRef>
              <c:f>'FOCUS_Home language'!$E$6:$L$6</c:f>
              <c:numCache>
                <c:formatCode>0.0%</c:formatCode>
                <c:ptCount val="8"/>
                <c:pt idx="0">
                  <c:v>0.75700000000000001</c:v>
                </c:pt>
                <c:pt idx="1">
                  <c:v>0.75900000000000001</c:v>
                </c:pt>
                <c:pt idx="2">
                  <c:v>0.754</c:v>
                </c:pt>
                <c:pt idx="3">
                  <c:v>0.63300000000000001</c:v>
                </c:pt>
                <c:pt idx="4">
                  <c:v>0.68200000000000005</c:v>
                </c:pt>
                <c:pt idx="5">
                  <c:v>0.72799999999999998</c:v>
                </c:pt>
                <c:pt idx="6">
                  <c:v>0.753</c:v>
                </c:pt>
                <c:pt idx="7">
                  <c:v>0.74400000000000011</c:v>
                </c:pt>
              </c:numCache>
            </c:numRef>
          </c:val>
          <c:smooth val="0"/>
          <c:extLst>
            <c:ext xmlns:c16="http://schemas.microsoft.com/office/drawing/2014/chart" uri="{C3380CC4-5D6E-409C-BE32-E72D297353CC}">
              <c16:uniqueId val="{00000001-601A-4131-9E99-48055F60B8FB}"/>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9"/>
          <c:min val="0.4"/>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sz="900">
          <a:solidFill>
            <a:sysClr val="windowText" lastClr="000000"/>
          </a:solidFill>
          <a:latin typeface="Public Sans" pitchFamily="2" charset="0"/>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FOCUS_Indigenous!$B$2</c:f>
          <c:strCache>
            <c:ptCount val="1"/>
            <c:pt idx="0">
              <c:v>Undergraduate</c:v>
            </c:pt>
          </c:strCache>
        </c:strRef>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FOCUS_Indigenous!$C$3</c:f>
              <c:strCache>
                <c:ptCount val="1"/>
                <c:pt idx="0">
                  <c:v>Non-Indigenous</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Pt>
            <c:idx val="6"/>
            <c:marker>
              <c:symbol val="circle"/>
              <c:size val="5"/>
              <c:spPr>
                <a:solidFill>
                  <a:srgbClr val="EE3B6F"/>
                </a:solidFill>
                <a:ln w="9525">
                  <a:solidFill>
                    <a:srgbClr val="EE3B6F"/>
                  </a:solidFill>
                </a:ln>
                <a:effectLst/>
              </c:spPr>
            </c:marker>
            <c:bubble3D val="0"/>
            <c:spPr>
              <a:ln w="28575" cap="rnd">
                <a:solidFill>
                  <a:srgbClr val="EE3B6F"/>
                </a:solidFill>
                <a:prstDash val="sysDash"/>
                <a:round/>
              </a:ln>
              <a:effectLst/>
            </c:spPr>
            <c:extLst>
              <c:ext xmlns:c16="http://schemas.microsoft.com/office/drawing/2014/chart" uri="{C3380CC4-5D6E-409C-BE32-E72D297353CC}">
                <c16:uniqueId val="{00000001-D446-40B5-9624-7CFB32A03CDE}"/>
              </c:ext>
            </c:extLst>
          </c:dPt>
          <c:dLbls>
            <c:spPr>
              <a:noFill/>
              <a:ln>
                <a:noFill/>
              </a:ln>
              <a:effectLst/>
            </c:spPr>
            <c:txPr>
              <a:bodyPr rot="0" spcFirstLastPara="1" vertOverflow="ellipsis" vert="horz" wrap="square" anchor="ctr" anchorCtr="1"/>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FOCUS_Indigenous!$A$4:$A$11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FOCUS_Indigenous!$C$4:$C$11</c:f>
              <c:numCache>
                <c:formatCode>0.0%</c:formatCode>
                <c:ptCount val="8"/>
                <c:pt idx="0">
                  <c:v>0.60099999999999998</c:v>
                </c:pt>
                <c:pt idx="1">
                  <c:v>0.60399999999999998</c:v>
                </c:pt>
                <c:pt idx="2">
                  <c:v>0.60399999999999998</c:v>
                </c:pt>
                <c:pt idx="3">
                  <c:v>0.436</c:v>
                </c:pt>
                <c:pt idx="4">
                  <c:v>0.48799999999999999</c:v>
                </c:pt>
                <c:pt idx="5">
                  <c:v>0.54100000000000004</c:v>
                </c:pt>
                <c:pt idx="6">
                  <c:v>0.56700000000000006</c:v>
                </c:pt>
                <c:pt idx="7">
                  <c:v>0.57499999999999996</c:v>
                </c:pt>
              </c:numCache>
            </c:numRef>
          </c:val>
          <c:smooth val="0"/>
          <c:extLst>
            <c:ext xmlns:c16="http://schemas.microsoft.com/office/drawing/2014/chart" uri="{C3380CC4-5D6E-409C-BE32-E72D297353CC}">
              <c16:uniqueId val="{00000002-D446-40B5-9624-7CFB32A03CDE}"/>
            </c:ext>
          </c:extLst>
        </c:ser>
        <c:ser>
          <c:idx val="2"/>
          <c:order val="1"/>
          <c:tx>
            <c:strRef>
              <c:f>FOCUS_Indigenous!$B$3</c:f>
              <c:strCache>
                <c:ptCount val="1"/>
                <c:pt idx="0">
                  <c:v>First Nations</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Pt>
            <c:idx val="6"/>
            <c:marker>
              <c:symbol val="circle"/>
              <c:size val="5"/>
              <c:spPr>
                <a:solidFill>
                  <a:srgbClr val="FCB942"/>
                </a:solidFill>
                <a:ln w="9525">
                  <a:solidFill>
                    <a:srgbClr val="FCB942"/>
                  </a:solidFill>
                </a:ln>
                <a:effectLst/>
              </c:spPr>
            </c:marker>
            <c:bubble3D val="0"/>
            <c:spPr>
              <a:ln w="28575" cap="rnd">
                <a:solidFill>
                  <a:srgbClr val="FCB942"/>
                </a:solidFill>
                <a:prstDash val="sysDash"/>
                <a:round/>
              </a:ln>
              <a:effectLst/>
            </c:spPr>
            <c:extLst>
              <c:ext xmlns:c16="http://schemas.microsoft.com/office/drawing/2014/chart" uri="{C3380CC4-5D6E-409C-BE32-E72D297353CC}">
                <c16:uniqueId val="{00000004-D446-40B5-9624-7CFB32A03CDE}"/>
              </c:ext>
            </c:extLst>
          </c:dPt>
          <c:dLbls>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FOCUS_Indigenous!$A$4:$A$11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FOCUS_Indigenous!$B$4:$B$11</c:f>
              <c:numCache>
                <c:formatCode>0.0%</c:formatCode>
                <c:ptCount val="8"/>
                <c:pt idx="0">
                  <c:v>0.53400000000000003</c:v>
                </c:pt>
                <c:pt idx="1">
                  <c:v>0.54600000000000004</c:v>
                </c:pt>
                <c:pt idx="2">
                  <c:v>0.54700000000000004</c:v>
                </c:pt>
                <c:pt idx="3">
                  <c:v>0.41200000000000003</c:v>
                </c:pt>
                <c:pt idx="4">
                  <c:v>0.45899999999999996</c:v>
                </c:pt>
                <c:pt idx="5">
                  <c:v>0.47700000000000004</c:v>
                </c:pt>
                <c:pt idx="6">
                  <c:v>0.504</c:v>
                </c:pt>
                <c:pt idx="7">
                  <c:v>0.50600000000000001</c:v>
                </c:pt>
              </c:numCache>
            </c:numRef>
          </c:val>
          <c:smooth val="0"/>
          <c:extLst>
            <c:ext xmlns:c16="http://schemas.microsoft.com/office/drawing/2014/chart" uri="{C3380CC4-5D6E-409C-BE32-E72D297353CC}">
              <c16:uniqueId val="{00000005-D446-40B5-9624-7CFB32A03CDE}"/>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70000000000000007"/>
          <c:min val="0.2"/>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FOCUS_Indigenous!$D$2</c:f>
          <c:strCache>
            <c:ptCount val="1"/>
            <c:pt idx="0">
              <c:v>Postgraduate coursework</c:v>
            </c:pt>
          </c:strCache>
        </c:strRef>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FOCUS_Indigenous!$E$3</c:f>
              <c:strCache>
                <c:ptCount val="1"/>
                <c:pt idx="0">
                  <c:v>Non-Indigenous</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Pt>
            <c:idx val="6"/>
            <c:marker>
              <c:symbol val="circle"/>
              <c:size val="5"/>
              <c:spPr>
                <a:solidFill>
                  <a:srgbClr val="EE3B6F"/>
                </a:solidFill>
                <a:ln w="9525">
                  <a:solidFill>
                    <a:srgbClr val="EE3B6F"/>
                  </a:solidFill>
                </a:ln>
                <a:effectLst/>
              </c:spPr>
            </c:marker>
            <c:bubble3D val="0"/>
            <c:spPr>
              <a:ln w="28575" cap="rnd">
                <a:solidFill>
                  <a:srgbClr val="EE3B6F"/>
                </a:solidFill>
                <a:prstDash val="sysDash"/>
                <a:round/>
              </a:ln>
              <a:effectLst/>
            </c:spPr>
            <c:extLst>
              <c:ext xmlns:c16="http://schemas.microsoft.com/office/drawing/2014/chart" uri="{C3380CC4-5D6E-409C-BE32-E72D297353CC}">
                <c16:uniqueId val="{00000001-3FE1-4E6C-85D5-99ED92C6FDE8}"/>
              </c:ext>
            </c:extLst>
          </c:dPt>
          <c:dLbls>
            <c:dLbl>
              <c:idx val="6"/>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FE1-4E6C-85D5-99ED92C6FDE8}"/>
                </c:ext>
              </c:extLst>
            </c:dLbl>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FE1-4E6C-85D5-99ED92C6FDE8}"/>
                </c:ext>
              </c:extLst>
            </c:dLbl>
            <c:spPr>
              <a:noFill/>
              <a:ln>
                <a:noFill/>
              </a:ln>
              <a:effectLst/>
            </c:spPr>
            <c:txPr>
              <a:bodyPr rot="0" spcFirstLastPara="1" vertOverflow="ellipsis" vert="horz" wrap="square" anchor="ctr" anchorCtr="1"/>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FOCUS_Indigenous!$A$4:$A$11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FOCUS_Indigenous!$E$4:$E$11</c:f>
              <c:numCache>
                <c:formatCode>0.0%</c:formatCode>
                <c:ptCount val="8"/>
                <c:pt idx="0">
                  <c:v>0.46200000000000002</c:v>
                </c:pt>
                <c:pt idx="1">
                  <c:v>0.45799999999999996</c:v>
                </c:pt>
                <c:pt idx="2">
                  <c:v>0.46299999999999997</c:v>
                </c:pt>
                <c:pt idx="3">
                  <c:v>0.36200000000000004</c:v>
                </c:pt>
                <c:pt idx="4">
                  <c:v>0.373</c:v>
                </c:pt>
                <c:pt idx="5">
                  <c:v>0.41299999999999998</c:v>
                </c:pt>
                <c:pt idx="6">
                  <c:v>0.39500000000000002</c:v>
                </c:pt>
                <c:pt idx="7">
                  <c:v>0.40500000000000003</c:v>
                </c:pt>
              </c:numCache>
            </c:numRef>
          </c:val>
          <c:smooth val="0"/>
          <c:extLst>
            <c:ext xmlns:c16="http://schemas.microsoft.com/office/drawing/2014/chart" uri="{C3380CC4-5D6E-409C-BE32-E72D297353CC}">
              <c16:uniqueId val="{00000003-3FE1-4E6C-85D5-99ED92C6FDE8}"/>
            </c:ext>
          </c:extLst>
        </c:ser>
        <c:ser>
          <c:idx val="2"/>
          <c:order val="1"/>
          <c:tx>
            <c:strRef>
              <c:f>FOCUS_Indigenous!$D$3</c:f>
              <c:strCache>
                <c:ptCount val="1"/>
                <c:pt idx="0">
                  <c:v>First Nations</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Pt>
            <c:idx val="6"/>
            <c:marker>
              <c:symbol val="circle"/>
              <c:size val="5"/>
              <c:spPr>
                <a:solidFill>
                  <a:srgbClr val="FCB942"/>
                </a:solidFill>
                <a:ln w="9525">
                  <a:solidFill>
                    <a:srgbClr val="FCB942"/>
                  </a:solidFill>
                </a:ln>
                <a:effectLst/>
              </c:spPr>
            </c:marker>
            <c:bubble3D val="0"/>
            <c:spPr>
              <a:ln w="28575" cap="rnd">
                <a:solidFill>
                  <a:srgbClr val="FCB942"/>
                </a:solidFill>
                <a:prstDash val="sysDash"/>
                <a:round/>
              </a:ln>
              <a:effectLst/>
            </c:spPr>
            <c:extLst>
              <c:ext xmlns:c16="http://schemas.microsoft.com/office/drawing/2014/chart" uri="{C3380CC4-5D6E-409C-BE32-E72D297353CC}">
                <c16:uniqueId val="{00000005-3FE1-4E6C-85D5-99ED92C6FDE8}"/>
              </c:ext>
            </c:extLst>
          </c:dPt>
          <c:dLbls>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FE1-4E6C-85D5-99ED92C6FDE8}"/>
                </c:ext>
              </c:extLst>
            </c:dLbl>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FE1-4E6C-85D5-99ED92C6FDE8}"/>
                </c:ext>
              </c:extLst>
            </c:dLbl>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FOCUS_Indigenous!$A$4:$A$11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FOCUS_Indigenous!$D$4:$D$11</c:f>
              <c:numCache>
                <c:formatCode>0.0%</c:formatCode>
                <c:ptCount val="8"/>
                <c:pt idx="0">
                  <c:v>0.40500000000000003</c:v>
                </c:pt>
                <c:pt idx="1">
                  <c:v>0.41499999999999998</c:v>
                </c:pt>
                <c:pt idx="2">
                  <c:v>0.42200000000000004</c:v>
                </c:pt>
                <c:pt idx="3">
                  <c:v>0.34499999999999997</c:v>
                </c:pt>
                <c:pt idx="4">
                  <c:v>0.36899999999999999</c:v>
                </c:pt>
                <c:pt idx="5">
                  <c:v>0.40100000000000002</c:v>
                </c:pt>
                <c:pt idx="6">
                  <c:v>0.43200000000000005</c:v>
                </c:pt>
                <c:pt idx="7">
                  <c:v>0.41700000000000004</c:v>
                </c:pt>
              </c:numCache>
            </c:numRef>
          </c:val>
          <c:smooth val="0"/>
          <c:extLst>
            <c:ext xmlns:c16="http://schemas.microsoft.com/office/drawing/2014/chart" uri="{C3380CC4-5D6E-409C-BE32-E72D297353CC}">
              <c16:uniqueId val="{00000007-3FE1-4E6C-85D5-99ED92C6FDE8}"/>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70000000000000007"/>
          <c:min val="0.2"/>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449851291738526E-2"/>
          <c:y val="3.0577952944030862E-2"/>
          <c:w val="0.92674398475557318"/>
          <c:h val="0.50973095661208878"/>
        </c:manualLayout>
      </c:layout>
      <c:barChart>
        <c:barDir val="col"/>
        <c:grouping val="clustered"/>
        <c:varyColors val="0"/>
        <c:ser>
          <c:idx val="0"/>
          <c:order val="0"/>
          <c:spPr>
            <a:solidFill>
              <a:schemeClr val="accent4"/>
            </a:solidFill>
            <a:ln>
              <a:solidFill>
                <a:schemeClr val="accent4"/>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CHAR_UG_ALL_1Y_AREA!$B$5:$B$25</c:f>
              <c:strCache>
                <c:ptCount val="21"/>
                <c:pt idx="0">
                  <c:v>Agriculture and environmental studies</c:v>
                </c:pt>
                <c:pt idx="1">
                  <c:v>Architecture and built environment</c:v>
                </c:pt>
                <c:pt idx="2">
                  <c:v>Business and management</c:v>
                </c:pt>
                <c:pt idx="3">
                  <c:v>Communications</c:v>
                </c:pt>
                <c:pt idx="4">
                  <c:v>Computing and information systems</c:v>
                </c:pt>
                <c:pt idx="5">
                  <c:v>Creative arts</c:v>
                </c:pt>
                <c:pt idx="6">
                  <c:v>Dentistry</c:v>
                </c:pt>
                <c:pt idx="7">
                  <c:v>Engineering</c:v>
                </c:pt>
                <c:pt idx="8">
                  <c:v>Health services and support</c:v>
                </c:pt>
                <c:pt idx="9">
                  <c:v>Humanities, culture and social sciences</c:v>
                </c:pt>
                <c:pt idx="10">
                  <c:v>Law and paralegal studies</c:v>
                </c:pt>
                <c:pt idx="11">
                  <c:v>Medicine</c:v>
                </c:pt>
                <c:pt idx="12">
                  <c:v>Nursing</c:v>
                </c:pt>
                <c:pt idx="13">
                  <c:v>Pharmacy</c:v>
                </c:pt>
                <c:pt idx="14">
                  <c:v>Psychology</c:v>
                </c:pt>
                <c:pt idx="15">
                  <c:v>Rehabilitation</c:v>
                </c:pt>
                <c:pt idx="16">
                  <c:v>Science and mathematics</c:v>
                </c:pt>
                <c:pt idx="17">
                  <c:v>Social work</c:v>
                </c:pt>
                <c:pt idx="18">
                  <c:v>Teacher education</c:v>
                </c:pt>
                <c:pt idx="19">
                  <c:v>Tourism, hospitality, personal services, sport and recreation</c:v>
                </c:pt>
                <c:pt idx="20">
                  <c:v>Veterinary science</c:v>
                </c:pt>
              </c:strCache>
            </c:strRef>
          </c:cat>
          <c:val>
            <c:numRef>
              <c:f>CHAR_UG_ALL_1Y_AREA!$I$5:$I$25</c:f>
              <c:numCache>
                <c:formatCode>0.0%</c:formatCode>
                <c:ptCount val="21"/>
                <c:pt idx="0">
                  <c:v>1.3000000000000001E-2</c:v>
                </c:pt>
                <c:pt idx="1">
                  <c:v>2.3E-2</c:v>
                </c:pt>
                <c:pt idx="2">
                  <c:v>0.13400000000000001</c:v>
                </c:pt>
                <c:pt idx="3">
                  <c:v>2.8999999999999998E-2</c:v>
                </c:pt>
                <c:pt idx="4">
                  <c:v>7.0999999999999994E-2</c:v>
                </c:pt>
                <c:pt idx="5">
                  <c:v>4.8000000000000001E-2</c:v>
                </c:pt>
                <c:pt idx="6">
                  <c:v>4.0000000000000001E-3</c:v>
                </c:pt>
                <c:pt idx="7">
                  <c:v>6.5000000000000002E-2</c:v>
                </c:pt>
                <c:pt idx="8">
                  <c:v>7.8E-2</c:v>
                </c:pt>
                <c:pt idx="9">
                  <c:v>9.0999999999999998E-2</c:v>
                </c:pt>
                <c:pt idx="10">
                  <c:v>3.9E-2</c:v>
                </c:pt>
                <c:pt idx="11">
                  <c:v>1.1000000000000001E-2</c:v>
                </c:pt>
                <c:pt idx="12">
                  <c:v>9.4E-2</c:v>
                </c:pt>
                <c:pt idx="13">
                  <c:v>6.9999999999999993E-3</c:v>
                </c:pt>
                <c:pt idx="14">
                  <c:v>5.4000000000000006E-2</c:v>
                </c:pt>
                <c:pt idx="15">
                  <c:v>1.9E-2</c:v>
                </c:pt>
                <c:pt idx="16">
                  <c:v>9.8000000000000004E-2</c:v>
                </c:pt>
                <c:pt idx="17">
                  <c:v>0.03</c:v>
                </c:pt>
                <c:pt idx="18">
                  <c:v>8.4000000000000005E-2</c:v>
                </c:pt>
                <c:pt idx="19">
                  <c:v>3.0000000000000001E-3</c:v>
                </c:pt>
                <c:pt idx="20">
                  <c:v>4.0000000000000001E-3</c:v>
                </c:pt>
              </c:numCache>
            </c:numRef>
          </c:val>
          <c:extLst>
            <c:ext xmlns:c16="http://schemas.microsoft.com/office/drawing/2014/chart" uri="{C3380CC4-5D6E-409C-BE32-E72D297353CC}">
              <c16:uniqueId val="{00000000-68D9-4AF5-8FA1-791B79A43BAB}"/>
            </c:ext>
          </c:extLst>
        </c:ser>
        <c:dLbls>
          <c:dLblPos val="outEnd"/>
          <c:showLegendKey val="0"/>
          <c:showVal val="1"/>
          <c:showCatName val="0"/>
          <c:showSerName val="0"/>
          <c:showPercent val="0"/>
          <c:showBubbleSize val="0"/>
        </c:dLbls>
        <c:gapWidth val="100"/>
        <c:overlap val="-27"/>
        <c:axId val="1831750607"/>
        <c:axId val="1831747247"/>
      </c:barChart>
      <c:catAx>
        <c:axId val="1831750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31747247"/>
        <c:crosses val="autoZero"/>
        <c:auto val="1"/>
        <c:lblAlgn val="ctr"/>
        <c:lblOffset val="100"/>
        <c:noMultiLvlLbl val="0"/>
      </c:catAx>
      <c:valAx>
        <c:axId val="1831747247"/>
        <c:scaling>
          <c:orientation val="minMax"/>
          <c:max val="0.15000000000000002"/>
          <c:min val="0"/>
        </c:scaling>
        <c:delete val="1"/>
        <c:axPos val="l"/>
        <c:numFmt formatCode="0.0%" sourceLinked="1"/>
        <c:majorTickMark val="out"/>
        <c:minorTickMark val="none"/>
        <c:tickLblPos val="nextTo"/>
        <c:crossAx val="1831750607"/>
        <c:crosses val="autoZero"/>
        <c:crossBetween val="between"/>
      </c:valAx>
      <c:spPr>
        <a:noFill/>
        <a:ln>
          <a:noFill/>
        </a:ln>
        <a:effectLst/>
      </c:spPr>
    </c:plotArea>
    <c:plotVisOnly val="1"/>
    <c:dispBlanksAs val="gap"/>
    <c:showDLblsOverMax val="0"/>
    <c:extLst/>
  </c:chart>
  <c:spPr>
    <a:solidFill>
      <a:sysClr val="window" lastClr="FFFFFF">
        <a:lumMod val="95000"/>
      </a:sysClr>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063881624533408E-3"/>
          <c:y val="3.2925925925925928E-2"/>
          <c:w val="0.98438722367509335"/>
          <c:h val="0.50335759259259261"/>
        </c:manualLayout>
      </c:layout>
      <c:barChart>
        <c:barDir val="col"/>
        <c:grouping val="clustered"/>
        <c:varyColors val="0"/>
        <c:ser>
          <c:idx val="0"/>
          <c:order val="0"/>
          <c:spPr>
            <a:solidFill>
              <a:srgbClr val="FCB942"/>
            </a:solidFill>
            <a:ln>
              <a:solidFill>
                <a:srgbClr val="FCB94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CHAR_PGC_ALL_1Y_AREA!$B$5:$B$25</c:f>
              <c:strCache>
                <c:ptCount val="21"/>
                <c:pt idx="0">
                  <c:v>Agriculture and environmental studies</c:v>
                </c:pt>
                <c:pt idx="1">
                  <c:v>Architecture and built environment</c:v>
                </c:pt>
                <c:pt idx="2">
                  <c:v>Business and management</c:v>
                </c:pt>
                <c:pt idx="3">
                  <c:v>Communications</c:v>
                </c:pt>
                <c:pt idx="4">
                  <c:v>Computing and information systems</c:v>
                </c:pt>
                <c:pt idx="5">
                  <c:v>Creative arts</c:v>
                </c:pt>
                <c:pt idx="6">
                  <c:v>Dentistry</c:v>
                </c:pt>
                <c:pt idx="7">
                  <c:v>Engineering</c:v>
                </c:pt>
                <c:pt idx="8">
                  <c:v>Health services and support</c:v>
                </c:pt>
                <c:pt idx="9">
                  <c:v>Humanities, culture and social sciences</c:v>
                </c:pt>
                <c:pt idx="10">
                  <c:v>Law and paralegal studies</c:v>
                </c:pt>
                <c:pt idx="11">
                  <c:v>Medicine</c:v>
                </c:pt>
                <c:pt idx="12">
                  <c:v>Nursing</c:v>
                </c:pt>
                <c:pt idx="13">
                  <c:v>Pharmacy</c:v>
                </c:pt>
                <c:pt idx="14">
                  <c:v>Psychology</c:v>
                </c:pt>
                <c:pt idx="15">
                  <c:v>Rehabilitation</c:v>
                </c:pt>
                <c:pt idx="16">
                  <c:v>Science and mathematics</c:v>
                </c:pt>
                <c:pt idx="17">
                  <c:v>Social work</c:v>
                </c:pt>
                <c:pt idx="18">
                  <c:v>Teacher education</c:v>
                </c:pt>
                <c:pt idx="19">
                  <c:v>Tourism, hospitality, personal services, sport and recreation</c:v>
                </c:pt>
                <c:pt idx="20">
                  <c:v>Veterinary science</c:v>
                </c:pt>
              </c:strCache>
            </c:strRef>
          </c:cat>
          <c:val>
            <c:numRef>
              <c:f>CHAR_PGC_ALL_1Y_AREA!$I$5:$I$25</c:f>
              <c:numCache>
                <c:formatCode>0.0%</c:formatCode>
                <c:ptCount val="21"/>
                <c:pt idx="0">
                  <c:v>1.3999999999999999E-2</c:v>
                </c:pt>
                <c:pt idx="1">
                  <c:v>2.1000000000000001E-2</c:v>
                </c:pt>
                <c:pt idx="2">
                  <c:v>0.27</c:v>
                </c:pt>
                <c:pt idx="3">
                  <c:v>1.7000000000000001E-2</c:v>
                </c:pt>
                <c:pt idx="4">
                  <c:v>0.13300000000000001</c:v>
                </c:pt>
                <c:pt idx="5">
                  <c:v>1.1000000000000001E-2</c:v>
                </c:pt>
                <c:pt idx="6">
                  <c:v>2E-3</c:v>
                </c:pt>
                <c:pt idx="7">
                  <c:v>5.2999999999999999E-2</c:v>
                </c:pt>
                <c:pt idx="8">
                  <c:v>6.4000000000000001E-2</c:v>
                </c:pt>
                <c:pt idx="9">
                  <c:v>5.2999999999999999E-2</c:v>
                </c:pt>
                <c:pt idx="10">
                  <c:v>3.2000000000000001E-2</c:v>
                </c:pt>
                <c:pt idx="11">
                  <c:v>2.3E-2</c:v>
                </c:pt>
                <c:pt idx="12">
                  <c:v>4.8000000000000001E-2</c:v>
                </c:pt>
                <c:pt idx="13">
                  <c:v>4.0000000000000001E-3</c:v>
                </c:pt>
                <c:pt idx="14">
                  <c:v>3.5000000000000003E-2</c:v>
                </c:pt>
                <c:pt idx="15">
                  <c:v>8.0000000000000002E-3</c:v>
                </c:pt>
                <c:pt idx="16">
                  <c:v>3.7000000000000005E-2</c:v>
                </c:pt>
                <c:pt idx="17">
                  <c:v>5.2999999999999999E-2</c:v>
                </c:pt>
                <c:pt idx="18">
                  <c:v>0.11900000000000001</c:v>
                </c:pt>
                <c:pt idx="19">
                  <c:v>1E-3</c:v>
                </c:pt>
                <c:pt idx="20">
                  <c:v>2E-3</c:v>
                </c:pt>
              </c:numCache>
            </c:numRef>
          </c:val>
          <c:extLst>
            <c:ext xmlns:c16="http://schemas.microsoft.com/office/drawing/2014/chart" uri="{C3380CC4-5D6E-409C-BE32-E72D297353CC}">
              <c16:uniqueId val="{00000000-18EC-4BD4-B4EA-A1181A9CBFCB}"/>
            </c:ext>
          </c:extLst>
        </c:ser>
        <c:dLbls>
          <c:showLegendKey val="0"/>
          <c:showVal val="0"/>
          <c:showCatName val="0"/>
          <c:showSerName val="0"/>
          <c:showPercent val="0"/>
          <c:showBubbleSize val="0"/>
        </c:dLbls>
        <c:gapWidth val="100"/>
        <c:overlap val="-27"/>
        <c:axId val="1831750607"/>
        <c:axId val="1831747247"/>
      </c:barChart>
      <c:catAx>
        <c:axId val="1831750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31747247"/>
        <c:crosses val="autoZero"/>
        <c:auto val="1"/>
        <c:lblAlgn val="ctr"/>
        <c:lblOffset val="100"/>
        <c:noMultiLvlLbl val="0"/>
      </c:catAx>
      <c:valAx>
        <c:axId val="1831747247"/>
        <c:scaling>
          <c:orientation val="minMax"/>
        </c:scaling>
        <c:delete val="1"/>
        <c:axPos val="l"/>
        <c:numFmt formatCode="0.0%" sourceLinked="1"/>
        <c:majorTickMark val="none"/>
        <c:minorTickMark val="none"/>
        <c:tickLblPos val="nextTo"/>
        <c:crossAx val="1831750607"/>
        <c:crosses val="autoZero"/>
        <c:crossBetween val="between"/>
      </c:valAx>
      <c:spPr>
        <a:noFill/>
        <a:ln>
          <a:noFill/>
        </a:ln>
        <a:effectLst/>
      </c:spPr>
    </c:plotArea>
    <c:plotVisOnly val="1"/>
    <c:dispBlanksAs val="gap"/>
    <c:showDLblsOverMax val="0"/>
    <c:extLst/>
  </c:chart>
  <c:spPr>
    <a:solidFill>
      <a:sysClr val="window" lastClr="FFFFFF">
        <a:lumMod val="95000"/>
      </a:sysClr>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4">
                <a:lumMod val="20000"/>
                <a:lumOff val="80000"/>
              </a:schemeClr>
            </a:solidFill>
            <a:ln>
              <a:noFill/>
            </a:ln>
            <a:effectLst/>
          </c:spPr>
          <c:invertIfNegative val="0"/>
          <c:dPt>
            <c:idx val="15"/>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01-7C9C-4F24-A609-C96FE234697F}"/>
              </c:ext>
            </c:extLst>
          </c:dPt>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Public Sans" pitchFamily="2" charset="0"/>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FOCUS_UG_ALL_1Y_AREA!$L$5:$L$26</c:f>
                <c:numCache>
                  <c:formatCode>General</c:formatCode>
                  <c:ptCount val="22"/>
                  <c:pt idx="0">
                    <c:v>1.0000000000000009E-2</c:v>
                  </c:pt>
                  <c:pt idx="1">
                    <c:v>1.7000000000000126E-2</c:v>
                  </c:pt>
                  <c:pt idx="2">
                    <c:v>8.999999999999897E-3</c:v>
                  </c:pt>
                  <c:pt idx="3">
                    <c:v>6.0000000000001164E-3</c:v>
                  </c:pt>
                  <c:pt idx="4">
                    <c:v>2.300000000000002E-2</c:v>
                  </c:pt>
                  <c:pt idx="5">
                    <c:v>5.0000000000000044E-3</c:v>
                  </c:pt>
                  <c:pt idx="6">
                    <c:v>4.0000000000001146E-3</c:v>
                  </c:pt>
                  <c:pt idx="7">
                    <c:v>5.0000000000000044E-3</c:v>
                  </c:pt>
                  <c:pt idx="8">
                    <c:v>5.9999999999998943E-3</c:v>
                  </c:pt>
                  <c:pt idx="9">
                    <c:v>4.0000000000001146E-3</c:v>
                  </c:pt>
                  <c:pt idx="10">
                    <c:v>8.0000000000001181E-3</c:v>
                  </c:pt>
                  <c:pt idx="11">
                    <c:v>4.0000000000000036E-3</c:v>
                  </c:pt>
                  <c:pt idx="12">
                    <c:v>7.9999999999998961E-3</c:v>
                  </c:pt>
                  <c:pt idx="13">
                    <c:v>1.5000000000000013E-2</c:v>
                  </c:pt>
                  <c:pt idx="14">
                    <c:v>1.19999999999999E-2</c:v>
                  </c:pt>
                  <c:pt idx="15">
                    <c:v>2.0000000000000018E-3</c:v>
                  </c:pt>
                  <c:pt idx="16">
                    <c:v>4.0000000000000036E-3</c:v>
                  </c:pt>
                  <c:pt idx="17">
                    <c:v>1.0000000000000009E-2</c:v>
                  </c:pt>
                  <c:pt idx="18">
                    <c:v>6.0000000000000053E-3</c:v>
                  </c:pt>
                  <c:pt idx="19">
                    <c:v>4.0000000000000036E-3</c:v>
                  </c:pt>
                  <c:pt idx="20">
                    <c:v>2.1000000000000019E-2</c:v>
                  </c:pt>
                  <c:pt idx="21">
                    <c:v>6.0000000000001164E-3</c:v>
                  </c:pt>
                </c:numCache>
              </c:numRef>
            </c:plus>
            <c:minus>
              <c:numRef>
                <c:f>FOCUS_UG_ALL_1Y_AREA!$M$5:$M$26</c:f>
                <c:numCache>
                  <c:formatCode>General</c:formatCode>
                  <c:ptCount val="22"/>
                  <c:pt idx="0">
                    <c:v>1.0000000000000009E-2</c:v>
                  </c:pt>
                  <c:pt idx="1">
                    <c:v>1.9000000000000017E-2</c:v>
                  </c:pt>
                  <c:pt idx="2">
                    <c:v>9.000000000000008E-3</c:v>
                  </c:pt>
                  <c:pt idx="3">
                    <c:v>6.9999999999998952E-3</c:v>
                  </c:pt>
                  <c:pt idx="4">
                    <c:v>2.7000000000000024E-2</c:v>
                  </c:pt>
                  <c:pt idx="5">
                    <c:v>4.0000000000001146E-3</c:v>
                  </c:pt>
                  <c:pt idx="6">
                    <c:v>3.9999999999998925E-3</c:v>
                  </c:pt>
                  <c:pt idx="7">
                    <c:v>6.0000000000001164E-3</c:v>
                  </c:pt>
                  <c:pt idx="8">
                    <c:v>6.0000000000001164E-3</c:v>
                  </c:pt>
                  <c:pt idx="9">
                    <c:v>4.9999999999998934E-3</c:v>
                  </c:pt>
                  <c:pt idx="10">
                    <c:v>6.9999999999998952E-3</c:v>
                  </c:pt>
                  <c:pt idx="11">
                    <c:v>5.0000000000000044E-3</c:v>
                  </c:pt>
                  <c:pt idx="12">
                    <c:v>9.000000000000008E-3</c:v>
                  </c:pt>
                  <c:pt idx="13">
                    <c:v>1.7000000000000015E-2</c:v>
                  </c:pt>
                  <c:pt idx="14">
                    <c:v>1.2000000000000011E-2</c:v>
                  </c:pt>
                  <c:pt idx="15">
                    <c:v>1.0000000000000009E-3</c:v>
                  </c:pt>
                  <c:pt idx="16">
                    <c:v>5.0000000000000044E-3</c:v>
                  </c:pt>
                  <c:pt idx="17">
                    <c:v>1.0000000000000009E-2</c:v>
                  </c:pt>
                  <c:pt idx="18">
                    <c:v>6.0000000000000053E-3</c:v>
                  </c:pt>
                  <c:pt idx="19">
                    <c:v>4.0000000000000036E-3</c:v>
                  </c:pt>
                  <c:pt idx="20">
                    <c:v>2.2999999999999909E-2</c:v>
                  </c:pt>
                  <c:pt idx="21">
                    <c:v>5.0000000000000044E-3</c:v>
                  </c:pt>
                </c:numCache>
              </c:numRef>
            </c:minus>
            <c:spPr>
              <a:noFill/>
              <a:ln w="9525" cap="flat" cmpd="sng" algn="ctr">
                <a:solidFill>
                  <a:schemeClr val="tx1">
                    <a:lumMod val="65000"/>
                    <a:lumOff val="35000"/>
                  </a:schemeClr>
                </a:solidFill>
                <a:round/>
              </a:ln>
              <a:effectLst/>
            </c:spPr>
          </c:errBars>
          <c:cat>
            <c:strRef>
              <c:f>FOCUS_UG_ALL_1Y_AREA!$B$5:$B$26</c:f>
              <c:strCache>
                <c:ptCount val="22"/>
                <c:pt idx="0">
                  <c:v>Agriculture and environmental studies</c:v>
                </c:pt>
                <c:pt idx="1">
                  <c:v>Veterinary science</c:v>
                </c:pt>
                <c:pt idx="2">
                  <c:v>Rehabilitation</c:v>
                </c:pt>
                <c:pt idx="3">
                  <c:v>Law and paralegal studies</c:v>
                </c:pt>
                <c:pt idx="4">
                  <c:v>Tourism, hospitality, personal services, sport and recreation</c:v>
                </c:pt>
                <c:pt idx="5">
                  <c:v>Health services and support</c:v>
                </c:pt>
                <c:pt idx="6">
                  <c:v>Humanities, culture and social sciences</c:v>
                </c:pt>
                <c:pt idx="7">
                  <c:v>Psychology</c:v>
                </c:pt>
                <c:pt idx="8">
                  <c:v>Creative arts</c:v>
                </c:pt>
                <c:pt idx="9">
                  <c:v>Teacher education</c:v>
                </c:pt>
                <c:pt idx="10">
                  <c:v>Social work</c:v>
                </c:pt>
                <c:pt idx="11">
                  <c:v>Science and mathematics</c:v>
                </c:pt>
                <c:pt idx="12">
                  <c:v>Communications</c:v>
                </c:pt>
                <c:pt idx="13">
                  <c:v>Pharmacy</c:v>
                </c:pt>
                <c:pt idx="14">
                  <c:v>Medicine</c:v>
                </c:pt>
                <c:pt idx="15">
                  <c:v>Total</c:v>
                </c:pt>
                <c:pt idx="16">
                  <c:v>Nursing</c:v>
                </c:pt>
                <c:pt idx="17">
                  <c:v>Architecture and built environment</c:v>
                </c:pt>
                <c:pt idx="18">
                  <c:v>Engineering</c:v>
                </c:pt>
                <c:pt idx="19">
                  <c:v>Business and management</c:v>
                </c:pt>
                <c:pt idx="20">
                  <c:v>Dentistry</c:v>
                </c:pt>
                <c:pt idx="21">
                  <c:v>Computing and information systems</c:v>
                </c:pt>
              </c:strCache>
            </c:strRef>
          </c:cat>
          <c:val>
            <c:numRef>
              <c:f>FOCUS_UG_ALL_1Y_AREA!$I$5:$I$26</c:f>
              <c:numCache>
                <c:formatCode>0.0%</c:formatCode>
                <c:ptCount val="22"/>
                <c:pt idx="0">
                  <c:v>0.84799999999999998</c:v>
                </c:pt>
                <c:pt idx="1">
                  <c:v>0.82499999999999996</c:v>
                </c:pt>
                <c:pt idx="2">
                  <c:v>0.81900000000000006</c:v>
                </c:pt>
                <c:pt idx="3">
                  <c:v>0.81099999999999994</c:v>
                </c:pt>
                <c:pt idx="4">
                  <c:v>0.80900000000000005</c:v>
                </c:pt>
                <c:pt idx="5">
                  <c:v>0.80500000000000005</c:v>
                </c:pt>
                <c:pt idx="6">
                  <c:v>0.79799999999999993</c:v>
                </c:pt>
                <c:pt idx="7">
                  <c:v>0.79700000000000004</c:v>
                </c:pt>
                <c:pt idx="8">
                  <c:v>0.78700000000000003</c:v>
                </c:pt>
                <c:pt idx="9">
                  <c:v>0.78299999999999992</c:v>
                </c:pt>
                <c:pt idx="10">
                  <c:v>0.78099999999999992</c:v>
                </c:pt>
                <c:pt idx="11">
                  <c:v>0.77500000000000002</c:v>
                </c:pt>
                <c:pt idx="12">
                  <c:v>0.77300000000000002</c:v>
                </c:pt>
                <c:pt idx="13">
                  <c:v>0.77200000000000002</c:v>
                </c:pt>
                <c:pt idx="14">
                  <c:v>0.76900000000000002</c:v>
                </c:pt>
                <c:pt idx="15">
                  <c:v>0.76500000000000001</c:v>
                </c:pt>
                <c:pt idx="16">
                  <c:v>0.76400000000000001</c:v>
                </c:pt>
                <c:pt idx="17">
                  <c:v>0.72900000000000009</c:v>
                </c:pt>
                <c:pt idx="18">
                  <c:v>0.72699999999999998</c:v>
                </c:pt>
                <c:pt idx="19">
                  <c:v>0.72199999999999998</c:v>
                </c:pt>
                <c:pt idx="20">
                  <c:v>0.72</c:v>
                </c:pt>
                <c:pt idx="21">
                  <c:v>0.67299999999999993</c:v>
                </c:pt>
              </c:numCache>
            </c:numRef>
          </c:val>
          <c:extLst>
            <c:ext xmlns:c16="http://schemas.microsoft.com/office/drawing/2014/chart" uri="{C3380CC4-5D6E-409C-BE32-E72D297353CC}">
              <c16:uniqueId val="{00000002-7C9C-4F24-A609-C96FE234697F}"/>
            </c:ext>
          </c:extLst>
        </c:ser>
        <c:dLbls>
          <c:showLegendKey val="0"/>
          <c:showVal val="0"/>
          <c:showCatName val="0"/>
          <c:showSerName val="0"/>
          <c:showPercent val="0"/>
          <c:showBubbleSize val="0"/>
        </c:dLbls>
        <c:gapWidth val="120"/>
        <c:overlap val="-27"/>
        <c:axId val="1461866271"/>
        <c:axId val="1461864831"/>
      </c:barChart>
      <c:catAx>
        <c:axId val="1461866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461864831"/>
        <c:crosses val="autoZero"/>
        <c:auto val="1"/>
        <c:lblAlgn val="ctr"/>
        <c:lblOffset val="100"/>
        <c:noMultiLvlLbl val="0"/>
      </c:catAx>
      <c:valAx>
        <c:axId val="1461864831"/>
        <c:scaling>
          <c:orientation val="minMax"/>
        </c:scaling>
        <c:delete val="1"/>
        <c:axPos val="l"/>
        <c:numFmt formatCode="0.0%" sourceLinked="1"/>
        <c:majorTickMark val="none"/>
        <c:minorTickMark val="none"/>
        <c:tickLblPos val="nextTo"/>
        <c:crossAx val="146186627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latin typeface="Public Sans" pitchFamily="2"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'FOCUS_UG_ALL_11-YY_YEAR'!$C$4</c:f>
              <c:strCache>
                <c:ptCount val="1"/>
                <c:pt idx="0">
                  <c:v>Skills Development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4"/>
              <c:layout>
                <c:manualLayout>
                  <c:x val="-2.9095606781776345E-2"/>
                  <c:y val="2.14649986767661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CD5-4D3C-B84F-2FFE5BC23EBD}"/>
                </c:ext>
              </c:extLst>
            </c:dLbl>
            <c:dLbl>
              <c:idx val="5"/>
              <c:layout>
                <c:manualLayout>
                  <c:x val="-3.4799659943497159E-2"/>
                  <c:y val="-2.54474563796559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E86-4CCA-945F-BEA714ED386A}"/>
                </c:ext>
              </c:extLst>
            </c:dLbl>
            <c:dLbl>
              <c:idx val="6"/>
              <c:layout>
                <c:manualLayout>
                  <c:x val="-3.4799659943497159E-2"/>
                  <c:y val="-2.28724595984018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E86-4CCA-945F-BEA714ED386A}"/>
                </c:ext>
              </c:extLst>
            </c:dLbl>
            <c:dLbl>
              <c:idx val="7"/>
              <c:layout>
                <c:manualLayout>
                  <c:x val="2.9183975765405563E-3"/>
                  <c:y val="2.8775082141383073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77C-4D63-9A66-A7BF3531DB9C}"/>
                </c:ext>
              </c:extLst>
            </c:dLbl>
            <c:spPr>
              <a:noFill/>
              <a:ln>
                <a:noFill/>
              </a:ln>
              <a:effectLst/>
            </c:spPr>
            <c:txPr>
              <a:bodyPr rot="0" spcFirstLastPara="1" vertOverflow="ellipsis" vert="horz" wrap="square" anchor="ctr" anchorCtr="1"/>
              <a:lstStyle/>
              <a:p>
                <a:pPr>
                  <a:defRPr sz="800" b="0" i="0" u="none" strike="noStrike" kern="1200" baseline="0">
                    <a:solidFill>
                      <a:schemeClr val="accent1">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'FOCUS_UG_ALL_11-YY_YEAR'!$B$11:$B$18</c:f>
              <c:strCache>
                <c:ptCount val="8"/>
                <c:pt idx="0">
                  <c:v>2017</c:v>
                </c:pt>
                <c:pt idx="1">
                  <c:v>2018</c:v>
                </c:pt>
                <c:pt idx="2">
                  <c:v>2019</c:v>
                </c:pt>
                <c:pt idx="3">
                  <c:v>2020</c:v>
                </c:pt>
                <c:pt idx="4">
                  <c:v>2021</c:v>
                </c:pt>
                <c:pt idx="5">
                  <c:v>2022</c:v>
                </c:pt>
                <c:pt idx="6">
                  <c:v>2023</c:v>
                </c:pt>
                <c:pt idx="7">
                  <c:v>2024</c:v>
                </c:pt>
              </c:strCache>
            </c:strRef>
          </c:cat>
          <c:val>
            <c:numRef>
              <c:f>'FOCUS_UG_ALL_11-YY_YEAR'!$C$11:$C$18</c:f>
              <c:numCache>
                <c:formatCode>0.0%</c:formatCode>
                <c:ptCount val="8"/>
                <c:pt idx="0">
                  <c:v>0.80599999999999994</c:v>
                </c:pt>
                <c:pt idx="1">
                  <c:v>0.81400000000000006</c:v>
                </c:pt>
                <c:pt idx="2">
                  <c:v>0.81299999999999994</c:v>
                </c:pt>
                <c:pt idx="3">
                  <c:v>0.78</c:v>
                </c:pt>
                <c:pt idx="4">
                  <c:v>0.79299999999999993</c:v>
                </c:pt>
                <c:pt idx="5">
                  <c:v>0.80500000000000005</c:v>
                </c:pt>
                <c:pt idx="6">
                  <c:v>0.81099999999999994</c:v>
                </c:pt>
                <c:pt idx="7">
                  <c:v>0.81</c:v>
                </c:pt>
              </c:numCache>
            </c:numRef>
          </c:val>
          <c:smooth val="0"/>
          <c:extLst>
            <c:ext xmlns:c16="http://schemas.microsoft.com/office/drawing/2014/chart" uri="{C3380CC4-5D6E-409C-BE32-E72D297353CC}">
              <c16:uniqueId val="{00000001-DCD5-4D3C-B84F-2FFE5BC23EBD}"/>
            </c:ext>
          </c:extLst>
        </c:ser>
        <c:ser>
          <c:idx val="1"/>
          <c:order val="1"/>
          <c:tx>
            <c:strRef>
              <c:f>'FOCUS_UG_ALL_11-YY_YEAR'!$D$4</c:f>
              <c:strCache>
                <c:ptCount val="1"/>
                <c:pt idx="0">
                  <c:v>Peer Engagement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Pt>
            <c:idx val="6"/>
            <c:marker>
              <c:symbol val="circle"/>
              <c:size val="5"/>
              <c:spPr>
                <a:solidFill>
                  <a:schemeClr val="accent2"/>
                </a:solidFill>
                <a:ln w="9525">
                  <a:solidFill>
                    <a:schemeClr val="accent2"/>
                  </a:solidFill>
                </a:ln>
                <a:effectLst/>
              </c:spPr>
            </c:marker>
            <c:bubble3D val="0"/>
            <c:spPr>
              <a:ln w="28575" cap="rnd">
                <a:solidFill>
                  <a:schemeClr val="accent2"/>
                </a:solidFill>
                <a:prstDash val="sysDash"/>
                <a:round/>
              </a:ln>
              <a:effectLst/>
            </c:spPr>
            <c:extLst>
              <c:ext xmlns:c16="http://schemas.microsoft.com/office/drawing/2014/chart" uri="{C3380CC4-5D6E-409C-BE32-E72D297353CC}">
                <c16:uniqueId val="{00000003-DCD5-4D3C-B84F-2FFE5BC23EBD}"/>
              </c:ext>
            </c:extLst>
          </c:dPt>
          <c:dLbls>
            <c:spPr>
              <a:noFill/>
              <a:ln>
                <a:noFill/>
              </a:ln>
              <a:effectLst/>
            </c:spPr>
            <c:txPr>
              <a:bodyPr rot="0" spcFirstLastPara="1" vertOverflow="ellipsis" vert="horz" wrap="square" anchor="ctr" anchorCtr="1"/>
              <a:lstStyle/>
              <a:p>
                <a:pPr>
                  <a:defRPr sz="800" b="0" i="0" u="none" strike="noStrike" kern="1200" baseline="0">
                    <a:solidFill>
                      <a:schemeClr val="accent2">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'FOCUS_UG_ALL_11-YY_YEAR'!$B$11:$B$18</c:f>
              <c:strCache>
                <c:ptCount val="8"/>
                <c:pt idx="0">
                  <c:v>2017</c:v>
                </c:pt>
                <c:pt idx="1">
                  <c:v>2018</c:v>
                </c:pt>
                <c:pt idx="2">
                  <c:v>2019</c:v>
                </c:pt>
                <c:pt idx="3">
                  <c:v>2020</c:v>
                </c:pt>
                <c:pt idx="4">
                  <c:v>2021</c:v>
                </c:pt>
                <c:pt idx="5">
                  <c:v>2022</c:v>
                </c:pt>
                <c:pt idx="6">
                  <c:v>2023</c:v>
                </c:pt>
                <c:pt idx="7">
                  <c:v>2024</c:v>
                </c:pt>
              </c:strCache>
            </c:strRef>
          </c:cat>
          <c:val>
            <c:numRef>
              <c:f>'FOCUS_UG_ALL_11-YY_YEAR'!$D$11:$D$18</c:f>
              <c:numCache>
                <c:formatCode>0.0%</c:formatCode>
                <c:ptCount val="8"/>
                <c:pt idx="0">
                  <c:v>0.59599999999999997</c:v>
                </c:pt>
                <c:pt idx="1">
                  <c:v>0.59899999999999998</c:v>
                </c:pt>
                <c:pt idx="2">
                  <c:v>0.60199999999999998</c:v>
                </c:pt>
                <c:pt idx="3">
                  <c:v>0.44500000000000001</c:v>
                </c:pt>
                <c:pt idx="4">
                  <c:v>0.48700000000000004</c:v>
                </c:pt>
                <c:pt idx="5">
                  <c:v>0.55200000000000005</c:v>
                </c:pt>
                <c:pt idx="6">
                  <c:v>0.58799999999999997</c:v>
                </c:pt>
                <c:pt idx="7">
                  <c:v>0.60199999999999998</c:v>
                </c:pt>
              </c:numCache>
            </c:numRef>
          </c:val>
          <c:smooth val="0"/>
          <c:extLst>
            <c:ext xmlns:c16="http://schemas.microsoft.com/office/drawing/2014/chart" uri="{C3380CC4-5D6E-409C-BE32-E72D297353CC}">
              <c16:uniqueId val="{00000004-DCD5-4D3C-B84F-2FFE5BC23EBD}"/>
            </c:ext>
          </c:extLst>
        </c:ser>
        <c:ser>
          <c:idx val="2"/>
          <c:order val="2"/>
          <c:tx>
            <c:strRef>
              <c:f>'FOCUS_UG_ALL_11-YY_YEAR'!$E$4</c:f>
              <c:strCache>
                <c:ptCount val="1"/>
                <c:pt idx="0">
                  <c:v>Teaching Quality and Engagement</c:v>
                </c:pt>
              </c:strCache>
            </c:strRef>
          </c:tx>
          <c:spPr>
            <a:ln w="28575" cap="rnd">
              <a:solidFill>
                <a:schemeClr val="accent5"/>
              </a:solidFill>
              <a:round/>
            </a:ln>
            <a:effectLst/>
          </c:spPr>
          <c:marker>
            <c:symbol val="circle"/>
            <c:size val="5"/>
            <c:spPr>
              <a:solidFill>
                <a:schemeClr val="accent5"/>
              </a:solidFill>
              <a:ln w="9525">
                <a:solidFill>
                  <a:schemeClr val="accent5">
                    <a:alpha val="95000"/>
                  </a:schemeClr>
                </a:solidFill>
              </a:ln>
              <a:effectLst/>
            </c:spPr>
          </c:marker>
          <c:dLbls>
            <c:dLbl>
              <c:idx val="4"/>
              <c:layout>
                <c:manualLayout>
                  <c:x val="1.228420704837631E-2"/>
                  <c:y val="1.746881871515770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CD5-4D3C-B84F-2FFE5BC23EBD}"/>
                </c:ext>
              </c:extLst>
            </c:dLbl>
            <c:dLbl>
              <c:idx val="5"/>
              <c:layout>
                <c:manualLayout>
                  <c:x val="-3.4799659943497159E-2"/>
                  <c:y val="2.28724595984018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E86-4CCA-945F-BEA714ED386A}"/>
                </c:ext>
              </c:extLst>
            </c:dLbl>
            <c:spPr>
              <a:noFill/>
              <a:ln>
                <a:noFill/>
              </a:ln>
              <a:effectLst/>
            </c:spPr>
            <c:txPr>
              <a:bodyPr rot="0" spcFirstLastPara="1" vertOverflow="ellipsis" vert="horz" wrap="square" anchor="ctr" anchorCtr="1"/>
              <a:lstStyle/>
              <a:p>
                <a:pPr>
                  <a:defRPr sz="800" b="0" i="0" u="none" strike="noStrike" kern="1200" baseline="0">
                    <a:solidFill>
                      <a:schemeClr val="accent5">
                        <a:lumMod val="75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'FOCUS_UG_ALL_11-YY_YEAR'!$B$11:$B$18</c:f>
              <c:strCache>
                <c:ptCount val="8"/>
                <c:pt idx="0">
                  <c:v>2017</c:v>
                </c:pt>
                <c:pt idx="1">
                  <c:v>2018</c:v>
                </c:pt>
                <c:pt idx="2">
                  <c:v>2019</c:v>
                </c:pt>
                <c:pt idx="3">
                  <c:v>2020</c:v>
                </c:pt>
                <c:pt idx="4">
                  <c:v>2021</c:v>
                </c:pt>
                <c:pt idx="5">
                  <c:v>2022</c:v>
                </c:pt>
                <c:pt idx="6">
                  <c:v>2023</c:v>
                </c:pt>
                <c:pt idx="7">
                  <c:v>2024</c:v>
                </c:pt>
              </c:strCache>
            </c:strRef>
          </c:cat>
          <c:val>
            <c:numRef>
              <c:f>'FOCUS_UG_ALL_11-YY_YEAR'!$E$11:$E$18</c:f>
              <c:numCache>
                <c:formatCode>0.0%</c:formatCode>
                <c:ptCount val="8"/>
                <c:pt idx="0">
                  <c:v>0.80299999999999994</c:v>
                </c:pt>
                <c:pt idx="1">
                  <c:v>0.81400000000000006</c:v>
                </c:pt>
                <c:pt idx="2">
                  <c:v>0.81</c:v>
                </c:pt>
                <c:pt idx="3">
                  <c:v>0.78</c:v>
                </c:pt>
                <c:pt idx="4">
                  <c:v>0.79400000000000004</c:v>
                </c:pt>
                <c:pt idx="5">
                  <c:v>0.80099999999999993</c:v>
                </c:pt>
                <c:pt idx="6">
                  <c:v>0.80700000000000005</c:v>
                </c:pt>
                <c:pt idx="7">
                  <c:v>0.80299999999999994</c:v>
                </c:pt>
              </c:numCache>
            </c:numRef>
          </c:val>
          <c:smooth val="0"/>
          <c:extLst>
            <c:ext xmlns:c16="http://schemas.microsoft.com/office/drawing/2014/chart" uri="{C3380CC4-5D6E-409C-BE32-E72D297353CC}">
              <c16:uniqueId val="{00000006-DCD5-4D3C-B84F-2FFE5BC23EBD}"/>
            </c:ext>
          </c:extLst>
        </c:ser>
        <c:ser>
          <c:idx val="3"/>
          <c:order val="3"/>
          <c:tx>
            <c:strRef>
              <c:f>'FOCUS_UG_ALL_11-YY_YEAR'!$F$4</c:f>
              <c:strCache>
                <c:ptCount val="1"/>
                <c:pt idx="0">
                  <c:v>Student Support and Services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Pt>
            <c:idx val="6"/>
            <c:marker>
              <c:symbol val="circle"/>
              <c:size val="5"/>
              <c:spPr>
                <a:solidFill>
                  <a:schemeClr val="accent4"/>
                </a:solidFill>
                <a:ln w="9525">
                  <a:solidFill>
                    <a:schemeClr val="accent4"/>
                  </a:solidFill>
                </a:ln>
                <a:effectLst/>
              </c:spPr>
            </c:marker>
            <c:bubble3D val="0"/>
            <c:spPr>
              <a:ln w="28575" cap="rnd">
                <a:solidFill>
                  <a:schemeClr val="accent4"/>
                </a:solidFill>
                <a:prstDash val="sysDash"/>
                <a:round/>
              </a:ln>
              <a:effectLst/>
            </c:spPr>
            <c:extLst>
              <c:ext xmlns:c16="http://schemas.microsoft.com/office/drawing/2014/chart" uri="{C3380CC4-5D6E-409C-BE32-E72D297353CC}">
                <c16:uniqueId val="{00000008-DCD5-4D3C-B84F-2FFE5BC23EBD}"/>
              </c:ext>
            </c:extLst>
          </c:dPt>
          <c:dLbls>
            <c:dLbl>
              <c:idx val="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CD5-4D3C-B84F-2FFE5BC23EBD}"/>
                </c:ext>
              </c:extLst>
            </c:dLbl>
            <c:dLbl>
              <c:idx val="4"/>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CD5-4D3C-B84F-2FFE5BC23EBD}"/>
                </c:ext>
              </c:extLst>
            </c:dLbl>
            <c:dLbl>
              <c:idx val="5"/>
              <c:layout>
                <c:manualLayout>
                  <c:x val="-3.2913757067495275E-2"/>
                  <c:y val="-2.28724595984018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E86-4CCA-945F-BEA714ED386A}"/>
                </c:ext>
              </c:extLst>
            </c:dLbl>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'FOCUS_UG_ALL_11-YY_YEAR'!$B$11:$B$18</c:f>
              <c:strCache>
                <c:ptCount val="8"/>
                <c:pt idx="0">
                  <c:v>2017</c:v>
                </c:pt>
                <c:pt idx="1">
                  <c:v>2018</c:v>
                </c:pt>
                <c:pt idx="2">
                  <c:v>2019</c:v>
                </c:pt>
                <c:pt idx="3">
                  <c:v>2020</c:v>
                </c:pt>
                <c:pt idx="4">
                  <c:v>2021</c:v>
                </c:pt>
                <c:pt idx="5">
                  <c:v>2022</c:v>
                </c:pt>
                <c:pt idx="6">
                  <c:v>2023</c:v>
                </c:pt>
                <c:pt idx="7">
                  <c:v>2024</c:v>
                </c:pt>
              </c:strCache>
            </c:strRef>
          </c:cat>
          <c:val>
            <c:numRef>
              <c:f>'FOCUS_UG_ALL_11-YY_YEAR'!$F$11:$F$18</c:f>
              <c:numCache>
                <c:formatCode>0.0%</c:formatCode>
                <c:ptCount val="8"/>
                <c:pt idx="0">
                  <c:v>0.72799999999999998</c:v>
                </c:pt>
                <c:pt idx="1">
                  <c:v>0.7340000000000001</c:v>
                </c:pt>
                <c:pt idx="2">
                  <c:v>0.74099999999999999</c:v>
                </c:pt>
                <c:pt idx="3">
                  <c:v>0.73699999999999999</c:v>
                </c:pt>
                <c:pt idx="4">
                  <c:v>0.72599999999999998</c:v>
                </c:pt>
                <c:pt idx="5">
                  <c:v>0.72900000000000009</c:v>
                </c:pt>
                <c:pt idx="6">
                  <c:v>0.71200000000000008</c:v>
                </c:pt>
                <c:pt idx="7">
                  <c:v>0.71200000000000008</c:v>
                </c:pt>
              </c:numCache>
            </c:numRef>
          </c:val>
          <c:smooth val="0"/>
          <c:extLst>
            <c:ext xmlns:c16="http://schemas.microsoft.com/office/drawing/2014/chart" uri="{C3380CC4-5D6E-409C-BE32-E72D297353CC}">
              <c16:uniqueId val="{0000000B-DCD5-4D3C-B84F-2FFE5BC23EBD}"/>
            </c:ext>
          </c:extLst>
        </c:ser>
        <c:ser>
          <c:idx val="4"/>
          <c:order val="4"/>
          <c:tx>
            <c:strRef>
              <c:f>'FOCUS_UG_ALL_11-YY_YEAR'!$G$4</c:f>
              <c:strCache>
                <c:ptCount val="1"/>
                <c:pt idx="0">
                  <c:v>Learning Resources</c:v>
                </c:pt>
              </c:strCache>
            </c:strRef>
          </c:tx>
          <c:spPr>
            <a:ln w="28575" cap="rnd">
              <a:solidFill>
                <a:schemeClr val="accent3"/>
              </a:solidFill>
              <a:round/>
            </a:ln>
            <a:effectLst/>
          </c:spPr>
          <c:marker>
            <c:symbol val="circle"/>
            <c:size val="5"/>
            <c:spPr>
              <a:solidFill>
                <a:schemeClr val="accent3">
                  <a:alpha val="93000"/>
                </a:schemeClr>
              </a:solidFill>
              <a:ln w="9525">
                <a:solidFill>
                  <a:schemeClr val="accent3"/>
                </a:solidFill>
              </a:ln>
              <a:effectLst/>
            </c:spPr>
          </c:marker>
          <c:dLbls>
            <c:dLbl>
              <c:idx val="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CD5-4D3C-B84F-2FFE5BC23EBD}"/>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accent3">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'FOCUS_UG_ALL_11-YY_YEAR'!$B$11:$B$18</c:f>
              <c:strCache>
                <c:ptCount val="8"/>
                <c:pt idx="0">
                  <c:v>2017</c:v>
                </c:pt>
                <c:pt idx="1">
                  <c:v>2018</c:v>
                </c:pt>
                <c:pt idx="2">
                  <c:v>2019</c:v>
                </c:pt>
                <c:pt idx="3">
                  <c:v>2020</c:v>
                </c:pt>
                <c:pt idx="4">
                  <c:v>2021</c:v>
                </c:pt>
                <c:pt idx="5">
                  <c:v>2022</c:v>
                </c:pt>
                <c:pt idx="6">
                  <c:v>2023</c:v>
                </c:pt>
                <c:pt idx="7">
                  <c:v>2024</c:v>
                </c:pt>
              </c:strCache>
            </c:strRef>
          </c:cat>
          <c:val>
            <c:numRef>
              <c:f>'FOCUS_UG_ALL_11-YY_YEAR'!$G$11:$G$18</c:f>
              <c:numCache>
                <c:formatCode>0.0%</c:formatCode>
                <c:ptCount val="8"/>
                <c:pt idx="0">
                  <c:v>0.83299999999999996</c:v>
                </c:pt>
                <c:pt idx="1">
                  <c:v>0.84400000000000008</c:v>
                </c:pt>
                <c:pt idx="2">
                  <c:v>0.83900000000000008</c:v>
                </c:pt>
                <c:pt idx="3">
                  <c:v>0.76</c:v>
                </c:pt>
                <c:pt idx="4">
                  <c:v>0.8</c:v>
                </c:pt>
                <c:pt idx="5">
                  <c:v>0.83599999999999997</c:v>
                </c:pt>
                <c:pt idx="6">
                  <c:v>0.83799999999999997</c:v>
                </c:pt>
                <c:pt idx="7">
                  <c:v>0.82799999999999996</c:v>
                </c:pt>
              </c:numCache>
            </c:numRef>
          </c:val>
          <c:smooth val="0"/>
          <c:extLst>
            <c:ext xmlns:c16="http://schemas.microsoft.com/office/drawing/2014/chart" uri="{C3380CC4-5D6E-409C-BE32-E72D297353CC}">
              <c16:uniqueId val="{0000000D-DCD5-4D3C-B84F-2FFE5BC23EBD}"/>
            </c:ext>
          </c:extLst>
        </c:ser>
        <c:ser>
          <c:idx val="5"/>
          <c:order val="5"/>
          <c:tx>
            <c:strRef>
              <c:f>'FOCUS_UG_ALL_11-YY_YEAR'!$H$4</c:f>
              <c:strCache>
                <c:ptCount val="1"/>
                <c:pt idx="0">
                  <c:v>Overall Educational Experience</c:v>
                </c:pt>
              </c:strCache>
            </c:strRef>
          </c:tx>
          <c:spPr>
            <a:ln w="28575" cap="rnd">
              <a:solidFill>
                <a:schemeClr val="tx2"/>
              </a:solidFill>
              <a:round/>
            </a:ln>
            <a:effectLst/>
          </c:spPr>
          <c:marker>
            <c:symbol val="circle"/>
            <c:size val="5"/>
            <c:spPr>
              <a:solidFill>
                <a:schemeClr val="tx2"/>
              </a:solidFill>
              <a:ln w="9525">
                <a:solidFill>
                  <a:schemeClr val="tx2"/>
                </a:solidFill>
              </a:ln>
              <a:effectLst/>
            </c:spPr>
          </c:marker>
          <c:dLbls>
            <c:dLbl>
              <c:idx val="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CD5-4D3C-B84F-2FFE5BC23EBD}"/>
                </c:ext>
              </c:extLst>
            </c:dLbl>
            <c:dLbl>
              <c:idx val="5"/>
              <c:layout>
                <c:manualLayout>
                  <c:x val="-3.668556281949905E-2"/>
                  <c:y val="-2.02974628171479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CD5-4D3C-B84F-2FFE5BC23EBD}"/>
                </c:ext>
              </c:extLst>
            </c:dLbl>
            <c:dLbl>
              <c:idx val="6"/>
              <c:layout>
                <c:manualLayout>
                  <c:x val="-3.4799659943497159E-2"/>
                  <c:y val="2.09024856829165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CD5-4D3C-B84F-2FFE5BC23EBD}"/>
                </c:ext>
              </c:extLst>
            </c:dLbl>
            <c:dLbl>
              <c:idx val="7"/>
              <c:layout>
                <c:manualLayout>
                  <c:x val="-3.4799659943497159E-2"/>
                  <c:y val="2.54474563796559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E86-4CCA-945F-BEA714ED386A}"/>
                </c:ext>
              </c:extLst>
            </c:dLbl>
            <c:spPr>
              <a:noFill/>
              <a:ln>
                <a:noFill/>
              </a:ln>
              <a:effectLst/>
            </c:spPr>
            <c:txPr>
              <a:bodyPr rot="0" spcFirstLastPara="1" vertOverflow="ellipsis" vert="horz" wrap="square" anchor="ctr" anchorCtr="1"/>
              <a:lstStyle/>
              <a:p>
                <a:pPr>
                  <a:defRPr sz="800" b="0" i="0" u="none" strike="noStrike" kern="1200" baseline="0">
                    <a:solidFill>
                      <a:schemeClr val="tx2">
                        <a:lumMod val="75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'FOCUS_UG_ALL_11-YY_YEAR'!$B$11:$B$18</c:f>
              <c:strCache>
                <c:ptCount val="8"/>
                <c:pt idx="0">
                  <c:v>2017</c:v>
                </c:pt>
                <c:pt idx="1">
                  <c:v>2018</c:v>
                </c:pt>
                <c:pt idx="2">
                  <c:v>2019</c:v>
                </c:pt>
                <c:pt idx="3">
                  <c:v>2020</c:v>
                </c:pt>
                <c:pt idx="4">
                  <c:v>2021</c:v>
                </c:pt>
                <c:pt idx="5">
                  <c:v>2022</c:v>
                </c:pt>
                <c:pt idx="6">
                  <c:v>2023</c:v>
                </c:pt>
                <c:pt idx="7">
                  <c:v>2024</c:v>
                </c:pt>
              </c:strCache>
            </c:strRef>
          </c:cat>
          <c:val>
            <c:numRef>
              <c:f>'FOCUS_UG_ALL_11-YY_YEAR'!$H$11:$H$18</c:f>
              <c:numCache>
                <c:formatCode>0.0%</c:formatCode>
                <c:ptCount val="8"/>
                <c:pt idx="0">
                  <c:v>0.78500000000000003</c:v>
                </c:pt>
                <c:pt idx="1">
                  <c:v>0.79299999999999993</c:v>
                </c:pt>
                <c:pt idx="2">
                  <c:v>0.78500000000000003</c:v>
                </c:pt>
                <c:pt idx="3">
                  <c:v>0.68700000000000006</c:v>
                </c:pt>
                <c:pt idx="4">
                  <c:v>0.73099999999999998</c:v>
                </c:pt>
                <c:pt idx="5">
                  <c:v>0.75900000000000001</c:v>
                </c:pt>
                <c:pt idx="6">
                  <c:v>0.76700000000000002</c:v>
                </c:pt>
                <c:pt idx="7">
                  <c:v>0.76500000000000001</c:v>
                </c:pt>
              </c:numCache>
            </c:numRef>
          </c:val>
          <c:smooth val="0"/>
          <c:extLst>
            <c:ext xmlns:c16="http://schemas.microsoft.com/office/drawing/2014/chart" uri="{C3380CC4-5D6E-409C-BE32-E72D297353CC}">
              <c16:uniqueId val="{00000011-DCD5-4D3C-B84F-2FFE5BC23EBD}"/>
            </c:ext>
          </c:extLst>
        </c:ser>
        <c:dLbls>
          <c:dLblPos val="t"/>
          <c:showLegendKey val="0"/>
          <c:showVal val="1"/>
          <c:showCatName val="0"/>
          <c:showSerName val="0"/>
          <c:showPercent val="0"/>
          <c:showBubbleSize val="0"/>
        </c:dLbls>
        <c:marker val="1"/>
        <c:smooth val="0"/>
        <c:axId val="916666480"/>
        <c:axId val="916666896"/>
      </c:lineChart>
      <c:catAx>
        <c:axId val="91666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6666896"/>
        <c:crosses val="autoZero"/>
        <c:auto val="1"/>
        <c:lblAlgn val="ctr"/>
        <c:lblOffset val="100"/>
        <c:noMultiLvlLbl val="0"/>
      </c:catAx>
      <c:valAx>
        <c:axId val="916666896"/>
        <c:scaling>
          <c:orientation val="minMax"/>
          <c:max val="0.9"/>
          <c:min val="0.4"/>
        </c:scaling>
        <c:delete val="1"/>
        <c:axPos val="l"/>
        <c:numFmt formatCode="0.0%" sourceLinked="1"/>
        <c:majorTickMark val="out"/>
        <c:minorTickMark val="none"/>
        <c:tickLblPos val="nextTo"/>
        <c:crossAx val="916666480"/>
        <c:crosses val="autoZero"/>
        <c:crossBetween val="between"/>
        <c:majorUnit val="10"/>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mn-lt"/>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5">
                <a:lumMod val="40000"/>
                <a:lumOff val="60000"/>
              </a:schemeClr>
            </a:solidFill>
            <a:ln>
              <a:noFill/>
            </a:ln>
            <a:effectLst/>
          </c:spPr>
          <c:invertIfNegative val="0"/>
          <c:dPt>
            <c:idx val="9"/>
            <c:invertIfNegative val="0"/>
            <c:bubble3D val="0"/>
            <c:spPr>
              <a:solidFill>
                <a:schemeClr val="accent5"/>
              </a:solidFill>
              <a:ln>
                <a:noFill/>
              </a:ln>
              <a:effectLst/>
            </c:spPr>
            <c:extLst>
              <c:ext xmlns:c16="http://schemas.microsoft.com/office/drawing/2014/chart" uri="{C3380CC4-5D6E-409C-BE32-E72D297353CC}">
                <c16:uniqueId val="{00000001-5E20-4CD5-BC5E-C91D60C7F0AA}"/>
              </c:ext>
            </c:extLst>
          </c:dPt>
          <c:dPt>
            <c:idx val="15"/>
            <c:invertIfNegative val="0"/>
            <c:bubble3D val="0"/>
            <c:spPr>
              <a:solidFill>
                <a:schemeClr val="accent5">
                  <a:lumMod val="40000"/>
                  <a:lumOff val="60000"/>
                </a:schemeClr>
              </a:solidFill>
              <a:ln>
                <a:noFill/>
              </a:ln>
              <a:effectLst/>
            </c:spPr>
            <c:extLst>
              <c:ext xmlns:c16="http://schemas.microsoft.com/office/drawing/2014/chart" uri="{C3380CC4-5D6E-409C-BE32-E72D297353CC}">
                <c16:uniqueId val="{00000003-5E20-4CD5-BC5E-C91D60C7F0AA}"/>
              </c:ext>
            </c:extLst>
          </c:dPt>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Public Sans" pitchFamily="2" charset="0"/>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FOCUS_PGC_ALL_1Y_AREA!$L$5:$L$26</c:f>
                <c:numCache>
                  <c:formatCode>General</c:formatCode>
                  <c:ptCount val="22"/>
                  <c:pt idx="0">
                    <c:v>6.0000000000001164E-3</c:v>
                  </c:pt>
                  <c:pt idx="1">
                    <c:v>6.0000000000001164E-3</c:v>
                  </c:pt>
                  <c:pt idx="2">
                    <c:v>1.2999999999999901E-2</c:v>
                  </c:pt>
                  <c:pt idx="3">
                    <c:v>3.0000000000000027E-3</c:v>
                  </c:pt>
                  <c:pt idx="4">
                    <c:v>7.9999999999998961E-3</c:v>
                  </c:pt>
                  <c:pt idx="5">
                    <c:v>9.000000000000119E-3</c:v>
                  </c:pt>
                  <c:pt idx="6">
                    <c:v>1.2000000000000011E-2</c:v>
                  </c:pt>
                  <c:pt idx="7">
                    <c:v>9.000000000000008E-3</c:v>
                  </c:pt>
                  <c:pt idx="8">
                    <c:v>7.0000000000000062E-3</c:v>
                  </c:pt>
                  <c:pt idx="9">
                    <c:v>2.0000000000000018E-3</c:v>
                  </c:pt>
                  <c:pt idx="10">
                    <c:v>5.0000000000000044E-3</c:v>
                  </c:pt>
                  <c:pt idx="11">
                    <c:v>2.7000000000000024E-2</c:v>
                  </c:pt>
                  <c:pt idx="12">
                    <c:v>5.4000000000000048E-2</c:v>
                  </c:pt>
                  <c:pt idx="13">
                    <c:v>1.7000000000000126E-2</c:v>
                  </c:pt>
                  <c:pt idx="14">
                    <c:v>7.0000000000000062E-3</c:v>
                  </c:pt>
                  <c:pt idx="15">
                    <c:v>1.0999999999999899E-2</c:v>
                  </c:pt>
                  <c:pt idx="16">
                    <c:v>1.3000000000000012E-2</c:v>
                  </c:pt>
                  <c:pt idx="17">
                    <c:v>5.0000000000000044E-3</c:v>
                  </c:pt>
                  <c:pt idx="18">
                    <c:v>3.9000000000000146E-2</c:v>
                  </c:pt>
                  <c:pt idx="19">
                    <c:v>2.200000000000002E-2</c:v>
                  </c:pt>
                  <c:pt idx="20">
                    <c:v>1.2000000000000011E-2</c:v>
                  </c:pt>
                  <c:pt idx="21">
                    <c:v>4.6000000000000041E-2</c:v>
                  </c:pt>
                </c:numCache>
              </c:numRef>
            </c:plus>
            <c:minus>
              <c:numRef>
                <c:f>FOCUS_PGC_ALL_1Y_AREA!$M$5:$M$26</c:f>
                <c:numCache>
                  <c:formatCode>General</c:formatCode>
                  <c:ptCount val="22"/>
                  <c:pt idx="0">
                    <c:v>5.9999999999998943E-3</c:v>
                  </c:pt>
                  <c:pt idx="1">
                    <c:v>6.9999999999998952E-3</c:v>
                  </c:pt>
                  <c:pt idx="2">
                    <c:v>1.4000000000000123E-2</c:v>
                  </c:pt>
                  <c:pt idx="3">
                    <c:v>4.0000000000000036E-3</c:v>
                  </c:pt>
                  <c:pt idx="4">
                    <c:v>8.0000000000000071E-3</c:v>
                  </c:pt>
                  <c:pt idx="5">
                    <c:v>8.999999999999897E-3</c:v>
                  </c:pt>
                  <c:pt idx="6">
                    <c:v>1.3999999999999901E-2</c:v>
                  </c:pt>
                  <c:pt idx="7">
                    <c:v>9.000000000000119E-3</c:v>
                  </c:pt>
                  <c:pt idx="8">
                    <c:v>8.0000000000000071E-3</c:v>
                  </c:pt>
                  <c:pt idx="9">
                    <c:v>2.0000000000000018E-3</c:v>
                  </c:pt>
                  <c:pt idx="10">
                    <c:v>5.0000000000000044E-3</c:v>
                  </c:pt>
                  <c:pt idx="11">
                    <c:v>3.0999999999999917E-2</c:v>
                  </c:pt>
                  <c:pt idx="12">
                    <c:v>6.7999999999999949E-2</c:v>
                  </c:pt>
                  <c:pt idx="13">
                    <c:v>1.6999999999999793E-2</c:v>
                  </c:pt>
                  <c:pt idx="14">
                    <c:v>7.9999999999998961E-3</c:v>
                  </c:pt>
                  <c:pt idx="15">
                    <c:v>1.1000000000000121E-2</c:v>
                  </c:pt>
                  <c:pt idx="16">
                    <c:v>1.4000000000000012E-2</c:v>
                  </c:pt>
                  <c:pt idx="17">
                    <c:v>5.0000000000000044E-3</c:v>
                  </c:pt>
                  <c:pt idx="18">
                    <c:v>4.4999999999999929E-2</c:v>
                  </c:pt>
                  <c:pt idx="19">
                    <c:v>2.2999999999999909E-2</c:v>
                  </c:pt>
                  <c:pt idx="20">
                    <c:v>1.4000000000000123E-2</c:v>
                  </c:pt>
                  <c:pt idx="21">
                    <c:v>4.6000000000000041E-2</c:v>
                  </c:pt>
                </c:numCache>
              </c:numRef>
            </c:minus>
            <c:spPr>
              <a:noFill/>
              <a:ln w="9525" cap="flat" cmpd="sng" algn="ctr">
                <a:solidFill>
                  <a:schemeClr val="tx1">
                    <a:lumMod val="65000"/>
                    <a:lumOff val="35000"/>
                  </a:schemeClr>
                </a:solidFill>
                <a:round/>
              </a:ln>
              <a:effectLst/>
            </c:spPr>
          </c:errBars>
          <c:cat>
            <c:strRef>
              <c:f>FOCUS_PGC_ALL_1Y_AREA!$B$5:$B$26</c:f>
              <c:strCache>
                <c:ptCount val="22"/>
                <c:pt idx="0">
                  <c:v>Humanities, culture and social sciences</c:v>
                </c:pt>
                <c:pt idx="1">
                  <c:v>Health services and support</c:v>
                </c:pt>
                <c:pt idx="2">
                  <c:v>Agriculture and environmental studies</c:v>
                </c:pt>
                <c:pt idx="3">
                  <c:v>Business and management</c:v>
                </c:pt>
                <c:pt idx="4">
                  <c:v>Nursing</c:v>
                </c:pt>
                <c:pt idx="5">
                  <c:v>Science and mathematics</c:v>
                </c:pt>
                <c:pt idx="6">
                  <c:v>Communications</c:v>
                </c:pt>
                <c:pt idx="7">
                  <c:v>Psychology</c:v>
                </c:pt>
                <c:pt idx="8">
                  <c:v>Social work</c:v>
                </c:pt>
                <c:pt idx="9">
                  <c:v>Total</c:v>
                </c:pt>
                <c:pt idx="10">
                  <c:v>Teacher education</c:v>
                </c:pt>
                <c:pt idx="11">
                  <c:v>Pharmacy</c:v>
                </c:pt>
                <c:pt idx="12">
                  <c:v>Tourism, hospitality, personal services, sport and recreation</c:v>
                </c:pt>
                <c:pt idx="13">
                  <c:v>Creative arts</c:v>
                </c:pt>
                <c:pt idx="14">
                  <c:v>Engineering</c:v>
                </c:pt>
                <c:pt idx="15">
                  <c:v>Law and paralegal studies</c:v>
                </c:pt>
                <c:pt idx="16">
                  <c:v>Architecture and built environment</c:v>
                </c:pt>
                <c:pt idx="17">
                  <c:v>Computing and information systems</c:v>
                </c:pt>
                <c:pt idx="18">
                  <c:v>Veterinary science</c:v>
                </c:pt>
                <c:pt idx="19">
                  <c:v>Rehabilitation</c:v>
                </c:pt>
                <c:pt idx="20">
                  <c:v>Medicine</c:v>
                </c:pt>
                <c:pt idx="21">
                  <c:v>Dentistry</c:v>
                </c:pt>
              </c:strCache>
            </c:strRef>
          </c:cat>
          <c:val>
            <c:numRef>
              <c:f>FOCUS_PGC_ALL_1Y_AREA!$I$5:$I$26</c:f>
              <c:numCache>
                <c:formatCode>0.0%</c:formatCode>
                <c:ptCount val="22"/>
                <c:pt idx="0">
                  <c:v>0.84799999999999998</c:v>
                </c:pt>
                <c:pt idx="1">
                  <c:v>0.81599999999999995</c:v>
                </c:pt>
                <c:pt idx="2">
                  <c:v>0.79</c:v>
                </c:pt>
                <c:pt idx="3">
                  <c:v>0.78200000000000003</c:v>
                </c:pt>
                <c:pt idx="4">
                  <c:v>0.78</c:v>
                </c:pt>
                <c:pt idx="5">
                  <c:v>0.77599999999999991</c:v>
                </c:pt>
                <c:pt idx="6">
                  <c:v>0.77099999999999991</c:v>
                </c:pt>
                <c:pt idx="7">
                  <c:v>0.77</c:v>
                </c:pt>
                <c:pt idx="8">
                  <c:v>0.76800000000000002</c:v>
                </c:pt>
                <c:pt idx="9">
                  <c:v>0.76700000000000002</c:v>
                </c:pt>
                <c:pt idx="10">
                  <c:v>0.7609999999999999</c:v>
                </c:pt>
                <c:pt idx="11">
                  <c:v>0.76</c:v>
                </c:pt>
                <c:pt idx="12">
                  <c:v>0.76</c:v>
                </c:pt>
                <c:pt idx="13">
                  <c:v>0.75599999999999989</c:v>
                </c:pt>
                <c:pt idx="14">
                  <c:v>0.747</c:v>
                </c:pt>
                <c:pt idx="15">
                  <c:v>0.74400000000000011</c:v>
                </c:pt>
                <c:pt idx="16">
                  <c:v>0.72699999999999998</c:v>
                </c:pt>
                <c:pt idx="17">
                  <c:v>0.71599999999999997</c:v>
                </c:pt>
                <c:pt idx="18">
                  <c:v>0.71</c:v>
                </c:pt>
                <c:pt idx="19">
                  <c:v>0.70799999999999996</c:v>
                </c:pt>
                <c:pt idx="20">
                  <c:v>0.69700000000000006</c:v>
                </c:pt>
                <c:pt idx="21">
                  <c:v>0.52500000000000002</c:v>
                </c:pt>
              </c:numCache>
            </c:numRef>
          </c:val>
          <c:extLst>
            <c:ext xmlns:c16="http://schemas.microsoft.com/office/drawing/2014/chart" uri="{C3380CC4-5D6E-409C-BE32-E72D297353CC}">
              <c16:uniqueId val="{00000004-5E20-4CD5-BC5E-C91D60C7F0AA}"/>
            </c:ext>
          </c:extLst>
        </c:ser>
        <c:dLbls>
          <c:showLegendKey val="0"/>
          <c:showVal val="0"/>
          <c:showCatName val="0"/>
          <c:showSerName val="0"/>
          <c:showPercent val="0"/>
          <c:showBubbleSize val="0"/>
        </c:dLbls>
        <c:gapWidth val="120"/>
        <c:overlap val="-27"/>
        <c:axId val="1461866271"/>
        <c:axId val="1461864831"/>
      </c:barChart>
      <c:catAx>
        <c:axId val="1461866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461864831"/>
        <c:crosses val="autoZero"/>
        <c:auto val="1"/>
        <c:lblAlgn val="ctr"/>
        <c:lblOffset val="100"/>
        <c:noMultiLvlLbl val="0"/>
      </c:catAx>
      <c:valAx>
        <c:axId val="1461864831"/>
        <c:scaling>
          <c:orientation val="minMax"/>
        </c:scaling>
        <c:delete val="1"/>
        <c:axPos val="l"/>
        <c:numFmt formatCode="0.0%" sourceLinked="1"/>
        <c:majorTickMark val="none"/>
        <c:minorTickMark val="none"/>
        <c:tickLblPos val="nextTo"/>
        <c:crossAx val="146186627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latin typeface="Public Sans" pitchFamily="2" charset="0"/>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r>
              <a:rPr lang="en-AU" sz="1050">
                <a:solidFill>
                  <a:sysClr val="windowText" lastClr="000000"/>
                </a:solidFill>
              </a:rPr>
              <a:t>Skills</a:t>
            </a:r>
            <a:r>
              <a:rPr lang="en-AU" sz="1050" baseline="0">
                <a:solidFill>
                  <a:sysClr val="windowText" lastClr="000000"/>
                </a:solidFill>
              </a:rPr>
              <a:t> Development</a:t>
            </a:r>
            <a:endParaRPr lang="en-AU" sz="1050">
              <a:solidFill>
                <a:sysClr val="windowText" lastClr="000000"/>
              </a:solidFill>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endParaRPr lang="en-AU"/>
        </a:p>
      </c:txPr>
    </c:title>
    <c:autoTitleDeleted val="0"/>
    <c:plotArea>
      <c:layout/>
      <c:lineChart>
        <c:grouping val="standard"/>
        <c:varyColors val="0"/>
        <c:ser>
          <c:idx val="1"/>
          <c:order val="0"/>
          <c:tx>
            <c:strRef>
              <c:f>FOCUS_UG_ALL_6Y_HEPTYPE!$B$34</c:f>
              <c:strCache>
                <c:ptCount val="1"/>
                <c:pt idx="0">
                  <c:v>NUHEIs</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FOCUS_UG_ALL_6Y_HEPTYPE!$D$32:$J$32</c:f>
              <c:numCache>
                <c:formatCode>General</c:formatCode>
                <c:ptCount val="6"/>
                <c:pt idx="0">
                  <c:v>2019</c:v>
                </c:pt>
                <c:pt idx="1">
                  <c:v>2020</c:v>
                </c:pt>
                <c:pt idx="2">
                  <c:v>2021</c:v>
                </c:pt>
                <c:pt idx="3">
                  <c:v>2022</c:v>
                </c:pt>
                <c:pt idx="4">
                  <c:v>2023</c:v>
                </c:pt>
                <c:pt idx="5">
                  <c:v>2024</c:v>
                </c:pt>
              </c:numCache>
            </c:numRef>
          </c:cat>
          <c:val>
            <c:numRef>
              <c:f>FOCUS_UG_ALL_6Y_HEPTYPE!$D$34:$J$34</c:f>
              <c:numCache>
                <c:formatCode>0.0%</c:formatCode>
                <c:ptCount val="6"/>
                <c:pt idx="0">
                  <c:v>0.81799999999999995</c:v>
                </c:pt>
                <c:pt idx="1">
                  <c:v>0.79700000000000004</c:v>
                </c:pt>
                <c:pt idx="2">
                  <c:v>0.80900000000000005</c:v>
                </c:pt>
                <c:pt idx="3">
                  <c:v>0.82400000000000007</c:v>
                </c:pt>
                <c:pt idx="4">
                  <c:v>0.83900000000000008</c:v>
                </c:pt>
                <c:pt idx="5">
                  <c:v>0.83700000000000008</c:v>
                </c:pt>
              </c:numCache>
            </c:numRef>
          </c:val>
          <c:smooth val="0"/>
          <c:extLst>
            <c:ext xmlns:c16="http://schemas.microsoft.com/office/drawing/2014/chart" uri="{C3380CC4-5D6E-409C-BE32-E72D297353CC}">
              <c16:uniqueId val="{00000000-4F06-4793-A55D-0569633FEB04}"/>
            </c:ext>
          </c:extLst>
        </c:ser>
        <c:ser>
          <c:idx val="2"/>
          <c:order val="1"/>
          <c:tx>
            <c:strRef>
              <c:f>FOCUS_UG_ALL_6Y_HEPTYPE!$B$35</c:f>
              <c:strCache>
                <c:ptCount val="1"/>
                <c:pt idx="0">
                  <c:v>Universities</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FOCUS_UG_ALL_6Y_HEPTYPE!$D$32:$J$32</c:f>
              <c:numCache>
                <c:formatCode>General</c:formatCode>
                <c:ptCount val="6"/>
                <c:pt idx="0">
                  <c:v>2019</c:v>
                </c:pt>
                <c:pt idx="1">
                  <c:v>2020</c:v>
                </c:pt>
                <c:pt idx="2">
                  <c:v>2021</c:v>
                </c:pt>
                <c:pt idx="3">
                  <c:v>2022</c:v>
                </c:pt>
                <c:pt idx="4">
                  <c:v>2023</c:v>
                </c:pt>
                <c:pt idx="5">
                  <c:v>2024</c:v>
                </c:pt>
              </c:numCache>
            </c:numRef>
          </c:cat>
          <c:val>
            <c:numRef>
              <c:f>FOCUS_UG_ALL_6Y_HEPTYPE!$D$35:$J$35</c:f>
              <c:numCache>
                <c:formatCode>0.0%</c:formatCode>
                <c:ptCount val="6"/>
                <c:pt idx="0">
                  <c:v>0.81299999999999994</c:v>
                </c:pt>
                <c:pt idx="1">
                  <c:v>0.77900000000000003</c:v>
                </c:pt>
                <c:pt idx="2">
                  <c:v>0.79099999999999993</c:v>
                </c:pt>
                <c:pt idx="3">
                  <c:v>0.80299999999999994</c:v>
                </c:pt>
                <c:pt idx="4">
                  <c:v>0.80799999999999994</c:v>
                </c:pt>
                <c:pt idx="5">
                  <c:v>0.80700000000000005</c:v>
                </c:pt>
              </c:numCache>
            </c:numRef>
          </c:val>
          <c:smooth val="0"/>
          <c:extLst>
            <c:ext xmlns:c16="http://schemas.microsoft.com/office/drawing/2014/chart" uri="{C3380CC4-5D6E-409C-BE32-E72D297353CC}">
              <c16:uniqueId val="{00000001-4F06-4793-A55D-0569633FEB04}"/>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r>
              <a:rPr lang="en-AU" sz="1050">
                <a:solidFill>
                  <a:sysClr val="windowText" lastClr="000000"/>
                </a:solidFill>
              </a:rPr>
              <a:t>Peer Engagement</a:t>
            </a: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FOCUS_UG_ALL_6Y_HEPTYPE!$B$34</c:f>
              <c:strCache>
                <c:ptCount val="1"/>
                <c:pt idx="0">
                  <c:v>NUHEIs</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Pt>
            <c:idx val="4"/>
            <c:marker>
              <c:symbol val="circle"/>
              <c:size val="5"/>
              <c:spPr>
                <a:solidFill>
                  <a:srgbClr val="EE3B6F"/>
                </a:solidFill>
                <a:ln w="9525">
                  <a:solidFill>
                    <a:srgbClr val="EE3B6F"/>
                  </a:solidFill>
                </a:ln>
                <a:effectLst/>
              </c:spPr>
            </c:marker>
            <c:bubble3D val="0"/>
            <c:spPr>
              <a:ln w="28575" cap="rnd">
                <a:solidFill>
                  <a:srgbClr val="EE3B6F"/>
                </a:solidFill>
                <a:prstDash val="sysDash"/>
                <a:round/>
              </a:ln>
              <a:effectLst/>
            </c:spPr>
            <c:extLst>
              <c:ext xmlns:c16="http://schemas.microsoft.com/office/drawing/2014/chart" uri="{C3380CC4-5D6E-409C-BE32-E72D297353CC}">
                <c16:uniqueId val="{00000001-4AC8-428D-B445-6B012E4EC9EB}"/>
              </c:ext>
            </c:extLst>
          </c:dPt>
          <c:dPt>
            <c:idx val="5"/>
            <c:marker>
              <c:symbol val="circle"/>
              <c:size val="5"/>
              <c:spPr>
                <a:solidFill>
                  <a:srgbClr val="EE3B6F"/>
                </a:solidFill>
                <a:ln w="9525">
                  <a:solidFill>
                    <a:srgbClr val="EE3B6F"/>
                  </a:solidFill>
                </a:ln>
                <a:effectLst/>
              </c:spPr>
            </c:marker>
            <c:bubble3D val="0"/>
            <c:extLst>
              <c:ext xmlns:c16="http://schemas.microsoft.com/office/drawing/2014/chart" uri="{C3380CC4-5D6E-409C-BE32-E72D297353CC}">
                <c16:uniqueId val="{00000002-4AC8-428D-B445-6B012E4EC9EB}"/>
              </c:ext>
            </c:extLst>
          </c:dPt>
          <c:dLbls>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FOCUS_UG_ALL_6Y_HEPTYPE!$K$32:$Q$32</c:f>
              <c:numCache>
                <c:formatCode>General</c:formatCode>
                <c:ptCount val="6"/>
                <c:pt idx="0">
                  <c:v>2019</c:v>
                </c:pt>
                <c:pt idx="1">
                  <c:v>2020</c:v>
                </c:pt>
                <c:pt idx="2">
                  <c:v>2021</c:v>
                </c:pt>
                <c:pt idx="3">
                  <c:v>2022</c:v>
                </c:pt>
                <c:pt idx="4">
                  <c:v>2023</c:v>
                </c:pt>
                <c:pt idx="5">
                  <c:v>2024</c:v>
                </c:pt>
              </c:numCache>
            </c:numRef>
          </c:cat>
          <c:val>
            <c:numRef>
              <c:f>FOCUS_UG_ALL_6Y_HEPTYPE!$K$34:$Q$34</c:f>
              <c:numCache>
                <c:formatCode>0.0%</c:formatCode>
                <c:ptCount val="6"/>
                <c:pt idx="0">
                  <c:v>0.63100000000000001</c:v>
                </c:pt>
                <c:pt idx="1">
                  <c:v>0.55600000000000005</c:v>
                </c:pt>
                <c:pt idx="2">
                  <c:v>0.57100000000000006</c:v>
                </c:pt>
                <c:pt idx="3">
                  <c:v>0.61699999999999999</c:v>
                </c:pt>
                <c:pt idx="4">
                  <c:v>0.67900000000000005</c:v>
                </c:pt>
                <c:pt idx="5">
                  <c:v>0.70700000000000007</c:v>
                </c:pt>
              </c:numCache>
            </c:numRef>
          </c:val>
          <c:smooth val="0"/>
          <c:extLst>
            <c:ext xmlns:c16="http://schemas.microsoft.com/office/drawing/2014/chart" uri="{C3380CC4-5D6E-409C-BE32-E72D297353CC}">
              <c16:uniqueId val="{00000003-4AC8-428D-B445-6B012E4EC9EB}"/>
            </c:ext>
          </c:extLst>
        </c:ser>
        <c:ser>
          <c:idx val="2"/>
          <c:order val="1"/>
          <c:tx>
            <c:strRef>
              <c:f>FOCUS_UG_ALL_6Y_HEPTYPE!$B$35</c:f>
              <c:strCache>
                <c:ptCount val="1"/>
                <c:pt idx="0">
                  <c:v>Universities</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Pt>
            <c:idx val="4"/>
            <c:marker>
              <c:symbol val="circle"/>
              <c:size val="5"/>
              <c:spPr>
                <a:solidFill>
                  <a:srgbClr val="FCB942"/>
                </a:solidFill>
                <a:ln w="9525">
                  <a:solidFill>
                    <a:srgbClr val="FCB942"/>
                  </a:solidFill>
                </a:ln>
                <a:effectLst/>
              </c:spPr>
            </c:marker>
            <c:bubble3D val="0"/>
            <c:spPr>
              <a:ln w="28575" cap="rnd">
                <a:solidFill>
                  <a:srgbClr val="FCB942"/>
                </a:solidFill>
                <a:prstDash val="sysDash"/>
                <a:round/>
              </a:ln>
              <a:effectLst/>
            </c:spPr>
            <c:extLst>
              <c:ext xmlns:c16="http://schemas.microsoft.com/office/drawing/2014/chart" uri="{C3380CC4-5D6E-409C-BE32-E72D297353CC}">
                <c16:uniqueId val="{00000005-4AC8-428D-B445-6B012E4EC9EB}"/>
              </c:ext>
            </c:extLst>
          </c:dPt>
          <c:dLbls>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FOCUS_UG_ALL_6Y_HEPTYPE!$K$32:$Q$32</c:f>
              <c:numCache>
                <c:formatCode>General</c:formatCode>
                <c:ptCount val="6"/>
                <c:pt idx="0">
                  <c:v>2019</c:v>
                </c:pt>
                <c:pt idx="1">
                  <c:v>2020</c:v>
                </c:pt>
                <c:pt idx="2">
                  <c:v>2021</c:v>
                </c:pt>
                <c:pt idx="3">
                  <c:v>2022</c:v>
                </c:pt>
                <c:pt idx="4">
                  <c:v>2023</c:v>
                </c:pt>
                <c:pt idx="5">
                  <c:v>2024</c:v>
                </c:pt>
              </c:numCache>
            </c:numRef>
          </c:cat>
          <c:val>
            <c:numRef>
              <c:f>FOCUS_UG_ALL_6Y_HEPTYPE!$K$35:$Q$35</c:f>
              <c:numCache>
                <c:formatCode>0.0%</c:formatCode>
                <c:ptCount val="6"/>
                <c:pt idx="0">
                  <c:v>0.59899999999999998</c:v>
                </c:pt>
                <c:pt idx="1">
                  <c:v>0.43200000000000005</c:v>
                </c:pt>
                <c:pt idx="2">
                  <c:v>0.47899999999999998</c:v>
                </c:pt>
                <c:pt idx="3">
                  <c:v>0.54600000000000004</c:v>
                </c:pt>
                <c:pt idx="4">
                  <c:v>0.57899999999999996</c:v>
                </c:pt>
                <c:pt idx="5">
                  <c:v>0.58899999999999997</c:v>
                </c:pt>
              </c:numCache>
            </c:numRef>
          </c:val>
          <c:smooth val="0"/>
          <c:extLst>
            <c:ext xmlns:c16="http://schemas.microsoft.com/office/drawing/2014/chart" uri="{C3380CC4-5D6E-409C-BE32-E72D297353CC}">
              <c16:uniqueId val="{00000006-4AC8-428D-B445-6B012E4EC9EB}"/>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9"/>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r>
              <a:rPr lang="en-AU" sz="1050">
                <a:solidFill>
                  <a:sysClr val="windowText" lastClr="000000"/>
                </a:solidFill>
              </a:rPr>
              <a:t>Teaching Quality and Engagement</a:t>
            </a: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FOCUS_UG_ALL_6Y_HEPTYPE!$B$34</c:f>
              <c:strCache>
                <c:ptCount val="1"/>
                <c:pt idx="0">
                  <c:v>NUHEIs</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FOCUS_UG_ALL_6Y_HEPTYPE!$R$32:$X$32</c:f>
              <c:numCache>
                <c:formatCode>General</c:formatCode>
                <c:ptCount val="6"/>
                <c:pt idx="0">
                  <c:v>2019</c:v>
                </c:pt>
                <c:pt idx="1">
                  <c:v>2020</c:v>
                </c:pt>
                <c:pt idx="2">
                  <c:v>2021</c:v>
                </c:pt>
                <c:pt idx="3">
                  <c:v>2022</c:v>
                </c:pt>
                <c:pt idx="4">
                  <c:v>2023</c:v>
                </c:pt>
                <c:pt idx="5">
                  <c:v>2024</c:v>
                </c:pt>
              </c:numCache>
            </c:numRef>
          </c:cat>
          <c:val>
            <c:numRef>
              <c:f>FOCUS_UG_ALL_6Y_HEPTYPE!$R$34:$X$34</c:f>
              <c:numCache>
                <c:formatCode>0.0%</c:formatCode>
                <c:ptCount val="6"/>
                <c:pt idx="0">
                  <c:v>0.82099999999999995</c:v>
                </c:pt>
                <c:pt idx="1">
                  <c:v>0.80599999999999994</c:v>
                </c:pt>
                <c:pt idx="2">
                  <c:v>0.81299999999999994</c:v>
                </c:pt>
                <c:pt idx="3">
                  <c:v>0.83400000000000007</c:v>
                </c:pt>
                <c:pt idx="4">
                  <c:v>0.84599999999999997</c:v>
                </c:pt>
                <c:pt idx="5">
                  <c:v>0.83700000000000008</c:v>
                </c:pt>
              </c:numCache>
            </c:numRef>
          </c:val>
          <c:smooth val="0"/>
          <c:extLst>
            <c:ext xmlns:c16="http://schemas.microsoft.com/office/drawing/2014/chart" uri="{C3380CC4-5D6E-409C-BE32-E72D297353CC}">
              <c16:uniqueId val="{00000000-09D4-4262-B66A-6E57C9B6BB7A}"/>
            </c:ext>
          </c:extLst>
        </c:ser>
        <c:ser>
          <c:idx val="2"/>
          <c:order val="1"/>
          <c:tx>
            <c:strRef>
              <c:f>FOCUS_UG_ALL_6Y_HEPTYPE!$B$35</c:f>
              <c:strCache>
                <c:ptCount val="1"/>
                <c:pt idx="0">
                  <c:v>Universities</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FOCUS_UG_ALL_6Y_HEPTYPE!$R$32:$X$32</c:f>
              <c:numCache>
                <c:formatCode>General</c:formatCode>
                <c:ptCount val="6"/>
                <c:pt idx="0">
                  <c:v>2019</c:v>
                </c:pt>
                <c:pt idx="1">
                  <c:v>2020</c:v>
                </c:pt>
                <c:pt idx="2">
                  <c:v>2021</c:v>
                </c:pt>
                <c:pt idx="3">
                  <c:v>2022</c:v>
                </c:pt>
                <c:pt idx="4">
                  <c:v>2023</c:v>
                </c:pt>
                <c:pt idx="5">
                  <c:v>2024</c:v>
                </c:pt>
              </c:numCache>
            </c:numRef>
          </c:cat>
          <c:val>
            <c:numRef>
              <c:f>FOCUS_UG_ALL_6Y_HEPTYPE!$R$35:$X$35</c:f>
              <c:numCache>
                <c:formatCode>0.0%</c:formatCode>
                <c:ptCount val="6"/>
                <c:pt idx="0">
                  <c:v>0.80900000000000005</c:v>
                </c:pt>
                <c:pt idx="1">
                  <c:v>0.77599999999999991</c:v>
                </c:pt>
                <c:pt idx="2">
                  <c:v>0.79200000000000004</c:v>
                </c:pt>
                <c:pt idx="3">
                  <c:v>0.79900000000000004</c:v>
                </c:pt>
                <c:pt idx="4">
                  <c:v>0.80400000000000005</c:v>
                </c:pt>
                <c:pt idx="5">
                  <c:v>0.79900000000000004</c:v>
                </c:pt>
              </c:numCache>
            </c:numRef>
          </c:val>
          <c:smooth val="0"/>
          <c:extLst>
            <c:ext xmlns:c16="http://schemas.microsoft.com/office/drawing/2014/chart" uri="{C3380CC4-5D6E-409C-BE32-E72D297353CC}">
              <c16:uniqueId val="{00000001-09D4-4262-B66A-6E57C9B6BB7A}"/>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r>
              <a:rPr lang="en-AU" sz="1050">
                <a:solidFill>
                  <a:sysClr val="windowText" lastClr="000000"/>
                </a:solidFill>
              </a:rPr>
              <a:t>Student Support and Services</a:t>
            </a: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FOCUS_UG_ALL_6Y_HEPTYPE!$B$34</c:f>
              <c:strCache>
                <c:ptCount val="1"/>
                <c:pt idx="0">
                  <c:v>NUHEIs</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Pt>
            <c:idx val="4"/>
            <c:marker>
              <c:symbol val="circle"/>
              <c:size val="5"/>
              <c:spPr>
                <a:solidFill>
                  <a:srgbClr val="EE3B6F"/>
                </a:solidFill>
                <a:ln w="9525">
                  <a:solidFill>
                    <a:srgbClr val="EE3B6F"/>
                  </a:solidFill>
                </a:ln>
                <a:effectLst/>
              </c:spPr>
            </c:marker>
            <c:bubble3D val="0"/>
            <c:spPr>
              <a:ln w="28575" cap="rnd">
                <a:solidFill>
                  <a:srgbClr val="EE3B6F"/>
                </a:solidFill>
                <a:prstDash val="sysDash"/>
                <a:round/>
              </a:ln>
              <a:effectLst/>
            </c:spPr>
            <c:extLst>
              <c:ext xmlns:c16="http://schemas.microsoft.com/office/drawing/2014/chart" uri="{C3380CC4-5D6E-409C-BE32-E72D297353CC}">
                <c16:uniqueId val="{00000001-646F-4211-965B-F84CCC546C01}"/>
              </c:ext>
            </c:extLst>
          </c:dPt>
          <c:dLbls>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FOCUS_UG_ALL_6Y_HEPTYPE!$Y$32:$AE$32</c:f>
              <c:numCache>
                <c:formatCode>General</c:formatCode>
                <c:ptCount val="6"/>
                <c:pt idx="0">
                  <c:v>2019</c:v>
                </c:pt>
                <c:pt idx="1">
                  <c:v>2020</c:v>
                </c:pt>
                <c:pt idx="2">
                  <c:v>2021</c:v>
                </c:pt>
                <c:pt idx="3">
                  <c:v>2022</c:v>
                </c:pt>
                <c:pt idx="4">
                  <c:v>2023</c:v>
                </c:pt>
                <c:pt idx="5">
                  <c:v>2024</c:v>
                </c:pt>
              </c:numCache>
            </c:numRef>
          </c:cat>
          <c:val>
            <c:numRef>
              <c:f>FOCUS_UG_ALL_6Y_HEPTYPE!$Y$34:$AE$34</c:f>
              <c:numCache>
                <c:formatCode>0.0%</c:formatCode>
                <c:ptCount val="6"/>
                <c:pt idx="0">
                  <c:v>0.77900000000000003</c:v>
                </c:pt>
                <c:pt idx="1">
                  <c:v>0.78099999999999992</c:v>
                </c:pt>
                <c:pt idx="2">
                  <c:v>0.78700000000000003</c:v>
                </c:pt>
                <c:pt idx="3">
                  <c:v>0.80500000000000005</c:v>
                </c:pt>
                <c:pt idx="4">
                  <c:v>0.77099999999999991</c:v>
                </c:pt>
                <c:pt idx="5">
                  <c:v>0.76800000000000002</c:v>
                </c:pt>
              </c:numCache>
            </c:numRef>
          </c:val>
          <c:smooth val="0"/>
          <c:extLst>
            <c:ext xmlns:c16="http://schemas.microsoft.com/office/drawing/2014/chart" uri="{C3380CC4-5D6E-409C-BE32-E72D297353CC}">
              <c16:uniqueId val="{00000002-646F-4211-965B-F84CCC546C01}"/>
            </c:ext>
          </c:extLst>
        </c:ser>
        <c:ser>
          <c:idx val="2"/>
          <c:order val="1"/>
          <c:tx>
            <c:strRef>
              <c:f>FOCUS_UG_ALL_6Y_HEPTYPE!$B$35</c:f>
              <c:strCache>
                <c:ptCount val="1"/>
                <c:pt idx="0">
                  <c:v>Universities</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Pt>
            <c:idx val="4"/>
            <c:marker>
              <c:symbol val="circle"/>
              <c:size val="5"/>
              <c:spPr>
                <a:solidFill>
                  <a:srgbClr val="FCB942"/>
                </a:solidFill>
                <a:ln w="9525">
                  <a:solidFill>
                    <a:srgbClr val="FCB942"/>
                  </a:solidFill>
                </a:ln>
                <a:effectLst/>
              </c:spPr>
            </c:marker>
            <c:bubble3D val="0"/>
            <c:spPr>
              <a:ln w="28575" cap="rnd">
                <a:solidFill>
                  <a:srgbClr val="FCB942"/>
                </a:solidFill>
                <a:prstDash val="sysDash"/>
                <a:round/>
              </a:ln>
              <a:effectLst/>
            </c:spPr>
            <c:extLst>
              <c:ext xmlns:c16="http://schemas.microsoft.com/office/drawing/2014/chart" uri="{C3380CC4-5D6E-409C-BE32-E72D297353CC}">
                <c16:uniqueId val="{00000004-646F-4211-965B-F84CCC546C01}"/>
              </c:ext>
            </c:extLst>
          </c:dPt>
          <c:dLbls>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FOCUS_UG_ALL_6Y_HEPTYPE!$Y$32:$AE$32</c:f>
              <c:numCache>
                <c:formatCode>General</c:formatCode>
                <c:ptCount val="6"/>
                <c:pt idx="0">
                  <c:v>2019</c:v>
                </c:pt>
                <c:pt idx="1">
                  <c:v>2020</c:v>
                </c:pt>
                <c:pt idx="2">
                  <c:v>2021</c:v>
                </c:pt>
                <c:pt idx="3">
                  <c:v>2022</c:v>
                </c:pt>
                <c:pt idx="4">
                  <c:v>2023</c:v>
                </c:pt>
                <c:pt idx="5">
                  <c:v>2024</c:v>
                </c:pt>
              </c:numCache>
            </c:numRef>
          </c:cat>
          <c:val>
            <c:numRef>
              <c:f>FOCUS_UG_ALL_6Y_HEPTYPE!$Y$35:$AE$35</c:f>
              <c:numCache>
                <c:formatCode>0.0%</c:formatCode>
                <c:ptCount val="6"/>
                <c:pt idx="0">
                  <c:v>0.73699999999999999</c:v>
                </c:pt>
                <c:pt idx="1">
                  <c:v>0.73099999999999998</c:v>
                </c:pt>
                <c:pt idx="2">
                  <c:v>0.71900000000000008</c:v>
                </c:pt>
                <c:pt idx="3">
                  <c:v>0.72199999999999998</c:v>
                </c:pt>
                <c:pt idx="4">
                  <c:v>0.70599999999999996</c:v>
                </c:pt>
                <c:pt idx="5">
                  <c:v>0.70400000000000007</c:v>
                </c:pt>
              </c:numCache>
            </c:numRef>
          </c:val>
          <c:smooth val="0"/>
          <c:extLst>
            <c:ext xmlns:c16="http://schemas.microsoft.com/office/drawing/2014/chart" uri="{C3380CC4-5D6E-409C-BE32-E72D297353CC}">
              <c16:uniqueId val="{00000005-646F-4211-965B-F84CCC546C01}"/>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r>
              <a:rPr lang="en-AU" sz="1050">
                <a:solidFill>
                  <a:sysClr val="windowText" lastClr="000000"/>
                </a:solidFill>
              </a:rPr>
              <a:t>Learning Resources</a:t>
            </a: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FOCUS_UG_ALL_6Y_HEPTYPE!$B$34</c:f>
              <c:strCache>
                <c:ptCount val="1"/>
                <c:pt idx="0">
                  <c:v>NUHEIs</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FOCUS_UG_ALL_6Y_HEPTYPE!$AF$32:$AL$32</c:f>
              <c:numCache>
                <c:formatCode>General</c:formatCode>
                <c:ptCount val="6"/>
                <c:pt idx="0">
                  <c:v>2019</c:v>
                </c:pt>
                <c:pt idx="1">
                  <c:v>2020</c:v>
                </c:pt>
                <c:pt idx="2">
                  <c:v>2021</c:v>
                </c:pt>
                <c:pt idx="3">
                  <c:v>2022</c:v>
                </c:pt>
                <c:pt idx="4">
                  <c:v>2023</c:v>
                </c:pt>
                <c:pt idx="5">
                  <c:v>2024</c:v>
                </c:pt>
              </c:numCache>
            </c:numRef>
          </c:cat>
          <c:val>
            <c:numRef>
              <c:f>FOCUS_UG_ALL_6Y_HEPTYPE!$AF$34:$AL$34</c:f>
              <c:numCache>
                <c:formatCode>0.0%</c:formatCode>
                <c:ptCount val="6"/>
                <c:pt idx="0">
                  <c:v>0.7609999999999999</c:v>
                </c:pt>
                <c:pt idx="1">
                  <c:v>0.72699999999999998</c:v>
                </c:pt>
                <c:pt idx="2">
                  <c:v>0.73799999999999999</c:v>
                </c:pt>
                <c:pt idx="3">
                  <c:v>0.78500000000000003</c:v>
                </c:pt>
                <c:pt idx="4">
                  <c:v>0.78599999999999992</c:v>
                </c:pt>
                <c:pt idx="5">
                  <c:v>0.76700000000000002</c:v>
                </c:pt>
              </c:numCache>
            </c:numRef>
          </c:val>
          <c:smooth val="0"/>
          <c:extLst>
            <c:ext xmlns:c16="http://schemas.microsoft.com/office/drawing/2014/chart" uri="{C3380CC4-5D6E-409C-BE32-E72D297353CC}">
              <c16:uniqueId val="{00000000-C130-411B-A562-D8DA2443938E}"/>
            </c:ext>
          </c:extLst>
        </c:ser>
        <c:ser>
          <c:idx val="2"/>
          <c:order val="1"/>
          <c:tx>
            <c:strRef>
              <c:f>FOCUS_UG_ALL_6Y_HEPTYPE!$B$35</c:f>
              <c:strCache>
                <c:ptCount val="1"/>
                <c:pt idx="0">
                  <c:v>Universities</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FOCUS_UG_ALL_6Y_HEPTYPE!$AF$32:$AL$32</c:f>
              <c:numCache>
                <c:formatCode>General</c:formatCode>
                <c:ptCount val="6"/>
                <c:pt idx="0">
                  <c:v>2019</c:v>
                </c:pt>
                <c:pt idx="1">
                  <c:v>2020</c:v>
                </c:pt>
                <c:pt idx="2">
                  <c:v>2021</c:v>
                </c:pt>
                <c:pt idx="3">
                  <c:v>2022</c:v>
                </c:pt>
                <c:pt idx="4">
                  <c:v>2023</c:v>
                </c:pt>
                <c:pt idx="5">
                  <c:v>2024</c:v>
                </c:pt>
              </c:numCache>
            </c:numRef>
          </c:cat>
          <c:val>
            <c:numRef>
              <c:f>FOCUS_UG_ALL_6Y_HEPTYPE!$AF$35:$AL$35</c:f>
              <c:numCache>
                <c:formatCode>0.0%</c:formatCode>
                <c:ptCount val="6"/>
                <c:pt idx="0">
                  <c:v>0.84799999999999998</c:v>
                </c:pt>
                <c:pt idx="1">
                  <c:v>0.76400000000000001</c:v>
                </c:pt>
                <c:pt idx="2">
                  <c:v>0.80500000000000005</c:v>
                </c:pt>
                <c:pt idx="3">
                  <c:v>0.84</c:v>
                </c:pt>
                <c:pt idx="4">
                  <c:v>0.84299999999999997</c:v>
                </c:pt>
                <c:pt idx="5">
                  <c:v>0.83599999999999997</c:v>
                </c:pt>
              </c:numCache>
            </c:numRef>
          </c:val>
          <c:smooth val="0"/>
          <c:extLst>
            <c:ext xmlns:c16="http://schemas.microsoft.com/office/drawing/2014/chart" uri="{C3380CC4-5D6E-409C-BE32-E72D297353CC}">
              <c16:uniqueId val="{00000001-C130-411B-A562-D8DA2443938E}"/>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r>
              <a:rPr lang="en-AU" sz="1050">
                <a:solidFill>
                  <a:sysClr val="windowText" lastClr="000000"/>
                </a:solidFill>
              </a:rPr>
              <a:t>Overall Educational Experience</a:t>
            </a: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FOCUS_UG_ALL_6Y_HEPTYPE!$B$34</c:f>
              <c:strCache>
                <c:ptCount val="1"/>
                <c:pt idx="0">
                  <c:v>NUHEIs</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5"/>
              <c:tx>
                <c:rich>
                  <a:bodyPr/>
                  <a:lstStyle/>
                  <a:p>
                    <a:r>
                      <a:rPr lang="en-US"/>
                      <a:t>77.6%</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F29-4571-B6CC-B991A56825C6}"/>
                </c:ext>
              </c:extLst>
            </c:dLbl>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FOCUS_UG_ALL_6Y_HEPTYPE!$AM$32:$AR$32</c:f>
              <c:numCache>
                <c:formatCode>General</c:formatCode>
                <c:ptCount val="6"/>
                <c:pt idx="0">
                  <c:v>2019</c:v>
                </c:pt>
                <c:pt idx="1">
                  <c:v>2020</c:v>
                </c:pt>
                <c:pt idx="2">
                  <c:v>2021</c:v>
                </c:pt>
                <c:pt idx="3">
                  <c:v>2022</c:v>
                </c:pt>
                <c:pt idx="4">
                  <c:v>2023</c:v>
                </c:pt>
                <c:pt idx="5">
                  <c:v>2024</c:v>
                </c:pt>
              </c:numCache>
            </c:numRef>
          </c:cat>
          <c:val>
            <c:numRef>
              <c:f>FOCUS_UG_ALL_6Y_HEPTYPE!$AM$34:$AR$34</c:f>
              <c:numCache>
                <c:formatCode>0.0%</c:formatCode>
                <c:ptCount val="6"/>
                <c:pt idx="0">
                  <c:v>0.78799999999999992</c:v>
                </c:pt>
                <c:pt idx="1">
                  <c:v>0.71400000000000008</c:v>
                </c:pt>
                <c:pt idx="2">
                  <c:v>0.74099999999999999</c:v>
                </c:pt>
                <c:pt idx="3">
                  <c:v>0.78599999999999992</c:v>
                </c:pt>
                <c:pt idx="4">
                  <c:v>0.78900000000000003</c:v>
                </c:pt>
                <c:pt idx="5" formatCode="General">
                  <c:v>0.77599999999999991</c:v>
                </c:pt>
              </c:numCache>
            </c:numRef>
          </c:val>
          <c:smooth val="0"/>
          <c:extLst>
            <c:ext xmlns:c16="http://schemas.microsoft.com/office/drawing/2014/chart" uri="{C3380CC4-5D6E-409C-BE32-E72D297353CC}">
              <c16:uniqueId val="{00000000-9069-4D85-881E-1146FC84CC28}"/>
            </c:ext>
          </c:extLst>
        </c:ser>
        <c:ser>
          <c:idx val="2"/>
          <c:order val="1"/>
          <c:tx>
            <c:strRef>
              <c:f>FOCUS_UG_ALL_6Y_HEPTYPE!$B$35</c:f>
              <c:strCache>
                <c:ptCount val="1"/>
                <c:pt idx="0">
                  <c:v>Universities</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dLbl>
              <c:idx val="5"/>
              <c:tx>
                <c:rich>
                  <a:bodyPr/>
                  <a:lstStyle/>
                  <a:p>
                    <a:r>
                      <a:rPr lang="en-US"/>
                      <a:t>76.4%</a:t>
                    </a:r>
                  </a:p>
                </c:rich>
              </c:tx>
              <c:dLblPos val="b"/>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F29-4571-B6CC-B991A56825C6}"/>
                </c:ext>
              </c:extLst>
            </c:dLbl>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FOCUS_UG_ALL_6Y_HEPTYPE!$AM$32:$AR$32</c:f>
              <c:numCache>
                <c:formatCode>General</c:formatCode>
                <c:ptCount val="6"/>
                <c:pt idx="0">
                  <c:v>2019</c:v>
                </c:pt>
                <c:pt idx="1">
                  <c:v>2020</c:v>
                </c:pt>
                <c:pt idx="2">
                  <c:v>2021</c:v>
                </c:pt>
                <c:pt idx="3">
                  <c:v>2022</c:v>
                </c:pt>
                <c:pt idx="4">
                  <c:v>2023</c:v>
                </c:pt>
                <c:pt idx="5">
                  <c:v>2024</c:v>
                </c:pt>
              </c:numCache>
            </c:numRef>
          </c:cat>
          <c:val>
            <c:numRef>
              <c:f>FOCUS_UG_ALL_6Y_HEPTYPE!$AM$35:$AR$35</c:f>
              <c:numCache>
                <c:formatCode>0.0%</c:formatCode>
                <c:ptCount val="6"/>
                <c:pt idx="0">
                  <c:v>0.78400000000000003</c:v>
                </c:pt>
                <c:pt idx="1">
                  <c:v>0.68400000000000005</c:v>
                </c:pt>
                <c:pt idx="2">
                  <c:v>0.73</c:v>
                </c:pt>
                <c:pt idx="3">
                  <c:v>0.75700000000000001</c:v>
                </c:pt>
                <c:pt idx="4">
                  <c:v>0.76500000000000001</c:v>
                </c:pt>
                <c:pt idx="5" formatCode="General">
                  <c:v>0.76400000000000001</c:v>
                </c:pt>
              </c:numCache>
            </c:numRef>
          </c:val>
          <c:smooth val="0"/>
          <c:extLst>
            <c:ext xmlns:c16="http://schemas.microsoft.com/office/drawing/2014/chart" uri="{C3380CC4-5D6E-409C-BE32-E72D297353CC}">
              <c16:uniqueId val="{00000001-9069-4D85-881E-1146FC84CC28}"/>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r>
              <a:rPr lang="en-AU" sz="1050">
                <a:solidFill>
                  <a:sysClr val="windowText" lastClr="000000"/>
                </a:solidFill>
              </a:rPr>
              <a:t>Skills</a:t>
            </a:r>
            <a:r>
              <a:rPr lang="en-AU" sz="1050" baseline="0">
                <a:solidFill>
                  <a:sysClr val="windowText" lastClr="000000"/>
                </a:solidFill>
              </a:rPr>
              <a:t> Development</a:t>
            </a:r>
            <a:endParaRPr lang="en-AU" sz="1050">
              <a:solidFill>
                <a:sysClr val="windowText" lastClr="000000"/>
              </a:solidFill>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endParaRPr lang="en-AU"/>
        </a:p>
      </c:txPr>
    </c:title>
    <c:autoTitleDeleted val="0"/>
    <c:plotArea>
      <c:layout/>
      <c:lineChart>
        <c:grouping val="standard"/>
        <c:varyColors val="0"/>
        <c:ser>
          <c:idx val="1"/>
          <c:order val="0"/>
          <c:tx>
            <c:strRef>
              <c:f>FOCUS_PGC_ALL_6Y_HEPTYPE!$B$34</c:f>
              <c:strCache>
                <c:ptCount val="1"/>
                <c:pt idx="0">
                  <c:v>NUHEIs</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4"/>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BE9-4E54-B5C8-D537404A3B64}"/>
                </c:ext>
              </c:extLst>
            </c:dLbl>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FOCUS_PGC_ALL_6Y_HEPTYPE!$D$32:$J$32</c:f>
              <c:numCache>
                <c:formatCode>General</c:formatCode>
                <c:ptCount val="6"/>
                <c:pt idx="0">
                  <c:v>2019</c:v>
                </c:pt>
                <c:pt idx="1">
                  <c:v>2020</c:v>
                </c:pt>
                <c:pt idx="2">
                  <c:v>2021</c:v>
                </c:pt>
                <c:pt idx="3">
                  <c:v>2022</c:v>
                </c:pt>
                <c:pt idx="4">
                  <c:v>2023</c:v>
                </c:pt>
                <c:pt idx="5">
                  <c:v>2024</c:v>
                </c:pt>
              </c:numCache>
            </c:numRef>
          </c:cat>
          <c:val>
            <c:numRef>
              <c:f>FOCUS_PGC_ALL_6Y_HEPTYPE!$D$34:$J$34</c:f>
              <c:numCache>
                <c:formatCode>0.0%</c:formatCode>
                <c:ptCount val="6"/>
                <c:pt idx="0">
                  <c:v>0.81299999999999994</c:v>
                </c:pt>
                <c:pt idx="1">
                  <c:v>0.82099999999999995</c:v>
                </c:pt>
                <c:pt idx="2">
                  <c:v>0.81099999999999994</c:v>
                </c:pt>
                <c:pt idx="3">
                  <c:v>0.82699999999999996</c:v>
                </c:pt>
                <c:pt idx="4">
                  <c:v>0.81700000000000006</c:v>
                </c:pt>
                <c:pt idx="5">
                  <c:v>0.85099999999999998</c:v>
                </c:pt>
              </c:numCache>
            </c:numRef>
          </c:val>
          <c:smooth val="0"/>
          <c:extLst>
            <c:ext xmlns:c16="http://schemas.microsoft.com/office/drawing/2014/chart" uri="{C3380CC4-5D6E-409C-BE32-E72D297353CC}">
              <c16:uniqueId val="{00000001-3BE9-4E54-B5C8-D537404A3B64}"/>
            </c:ext>
          </c:extLst>
        </c:ser>
        <c:ser>
          <c:idx val="2"/>
          <c:order val="1"/>
          <c:tx>
            <c:strRef>
              <c:f>FOCUS_PGC_ALL_6Y_HEPTYPE!$B$35</c:f>
              <c:strCache>
                <c:ptCount val="1"/>
                <c:pt idx="0">
                  <c:v>Universities</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dLbl>
              <c:idx val="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E9-4E54-B5C8-D537404A3B64}"/>
                </c:ext>
              </c:extLst>
            </c:dLbl>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FOCUS_PGC_ALL_6Y_HEPTYPE!$D$32:$J$32</c:f>
              <c:numCache>
                <c:formatCode>General</c:formatCode>
                <c:ptCount val="6"/>
                <c:pt idx="0">
                  <c:v>2019</c:v>
                </c:pt>
                <c:pt idx="1">
                  <c:v>2020</c:v>
                </c:pt>
                <c:pt idx="2">
                  <c:v>2021</c:v>
                </c:pt>
                <c:pt idx="3">
                  <c:v>2022</c:v>
                </c:pt>
                <c:pt idx="4">
                  <c:v>2023</c:v>
                </c:pt>
                <c:pt idx="5">
                  <c:v>2024</c:v>
                </c:pt>
              </c:numCache>
            </c:numRef>
          </c:cat>
          <c:val>
            <c:numRef>
              <c:f>FOCUS_PGC_ALL_6Y_HEPTYPE!$D$35:$J$35</c:f>
              <c:numCache>
                <c:formatCode>0.0%</c:formatCode>
                <c:ptCount val="6"/>
                <c:pt idx="0">
                  <c:v>0.80799999999999994</c:v>
                </c:pt>
                <c:pt idx="1">
                  <c:v>0.77800000000000002</c:v>
                </c:pt>
                <c:pt idx="2">
                  <c:v>0.78599999999999992</c:v>
                </c:pt>
                <c:pt idx="3">
                  <c:v>0.81</c:v>
                </c:pt>
                <c:pt idx="4">
                  <c:v>0.82200000000000006</c:v>
                </c:pt>
                <c:pt idx="5">
                  <c:v>0.82700000000000007</c:v>
                </c:pt>
              </c:numCache>
            </c:numRef>
          </c:val>
          <c:smooth val="0"/>
          <c:extLst>
            <c:ext xmlns:c16="http://schemas.microsoft.com/office/drawing/2014/chart" uri="{C3380CC4-5D6E-409C-BE32-E72D297353CC}">
              <c16:uniqueId val="{00000003-3BE9-4E54-B5C8-D537404A3B64}"/>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r>
              <a:rPr lang="en-AU" sz="1050">
                <a:solidFill>
                  <a:sysClr val="windowText" lastClr="000000"/>
                </a:solidFill>
              </a:rPr>
              <a:t>Peer Engagement</a:t>
            </a: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FOCUS_PGC_ALL_6Y_HEPTYPE!$B$34</c:f>
              <c:strCache>
                <c:ptCount val="1"/>
                <c:pt idx="0">
                  <c:v>NUHEIs</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Pt>
            <c:idx val="4"/>
            <c:marker>
              <c:symbol val="circle"/>
              <c:size val="5"/>
              <c:spPr>
                <a:solidFill>
                  <a:srgbClr val="EE3B6F"/>
                </a:solidFill>
                <a:ln w="9525">
                  <a:solidFill>
                    <a:srgbClr val="EE3B6F"/>
                  </a:solidFill>
                </a:ln>
                <a:effectLst/>
              </c:spPr>
            </c:marker>
            <c:bubble3D val="0"/>
            <c:spPr>
              <a:ln w="28575" cap="rnd">
                <a:solidFill>
                  <a:srgbClr val="EE3B6F"/>
                </a:solidFill>
                <a:prstDash val="sysDash"/>
                <a:round/>
              </a:ln>
              <a:effectLst/>
            </c:spPr>
            <c:extLst>
              <c:ext xmlns:c16="http://schemas.microsoft.com/office/drawing/2014/chart" uri="{C3380CC4-5D6E-409C-BE32-E72D297353CC}">
                <c16:uniqueId val="{00000001-0F46-43B7-A7CD-BE0D13983B14}"/>
              </c:ext>
            </c:extLst>
          </c:dPt>
          <c:dPt>
            <c:idx val="5"/>
            <c:marker>
              <c:symbol val="circle"/>
              <c:size val="5"/>
              <c:spPr>
                <a:solidFill>
                  <a:srgbClr val="EE3B6F"/>
                </a:solidFill>
                <a:ln w="9525">
                  <a:solidFill>
                    <a:srgbClr val="EE3B6F"/>
                  </a:solidFill>
                </a:ln>
                <a:effectLst/>
              </c:spPr>
            </c:marker>
            <c:bubble3D val="0"/>
            <c:extLst>
              <c:ext xmlns:c16="http://schemas.microsoft.com/office/drawing/2014/chart" uri="{C3380CC4-5D6E-409C-BE32-E72D297353CC}">
                <c16:uniqueId val="{00000002-0F46-43B7-A7CD-BE0D13983B14}"/>
              </c:ext>
            </c:extLst>
          </c:dPt>
          <c:dLbls>
            <c:dLbl>
              <c:idx val="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F46-43B7-A7CD-BE0D13983B14}"/>
                </c:ext>
              </c:extLst>
            </c:dLbl>
            <c:dLbl>
              <c:idx val="4"/>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F46-43B7-A7CD-BE0D13983B14}"/>
                </c:ext>
              </c:extLst>
            </c:dLbl>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FOCUS_PGC_ALL_6Y_HEPTYPE!$K$32:$Q$32</c:f>
              <c:numCache>
                <c:formatCode>General</c:formatCode>
                <c:ptCount val="6"/>
                <c:pt idx="0">
                  <c:v>2019</c:v>
                </c:pt>
                <c:pt idx="1">
                  <c:v>2020</c:v>
                </c:pt>
                <c:pt idx="2">
                  <c:v>2021</c:v>
                </c:pt>
                <c:pt idx="3">
                  <c:v>2022</c:v>
                </c:pt>
                <c:pt idx="4">
                  <c:v>2023</c:v>
                </c:pt>
                <c:pt idx="5">
                  <c:v>2024</c:v>
                </c:pt>
              </c:numCache>
            </c:numRef>
          </c:cat>
          <c:val>
            <c:numRef>
              <c:f>FOCUS_PGC_ALL_6Y_HEPTYPE!$K$34:$Q$34</c:f>
              <c:numCache>
                <c:formatCode>0.0%</c:formatCode>
                <c:ptCount val="6"/>
                <c:pt idx="0">
                  <c:v>0.55100000000000005</c:v>
                </c:pt>
                <c:pt idx="1">
                  <c:v>0.504</c:v>
                </c:pt>
                <c:pt idx="2">
                  <c:v>0.47</c:v>
                </c:pt>
                <c:pt idx="3">
                  <c:v>0.48399999999999999</c:v>
                </c:pt>
                <c:pt idx="4">
                  <c:v>0.54600000000000004</c:v>
                </c:pt>
                <c:pt idx="5">
                  <c:v>0.66799999999999993</c:v>
                </c:pt>
              </c:numCache>
            </c:numRef>
          </c:val>
          <c:smooth val="0"/>
          <c:extLst>
            <c:ext xmlns:c16="http://schemas.microsoft.com/office/drawing/2014/chart" uri="{C3380CC4-5D6E-409C-BE32-E72D297353CC}">
              <c16:uniqueId val="{00000004-0F46-43B7-A7CD-BE0D13983B14}"/>
            </c:ext>
          </c:extLst>
        </c:ser>
        <c:ser>
          <c:idx val="2"/>
          <c:order val="1"/>
          <c:tx>
            <c:strRef>
              <c:f>FOCUS_PGC_ALL_6Y_HEPTYPE!$B$35</c:f>
              <c:strCache>
                <c:ptCount val="1"/>
                <c:pt idx="0">
                  <c:v>Universities</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Pt>
            <c:idx val="4"/>
            <c:marker>
              <c:symbol val="circle"/>
              <c:size val="5"/>
              <c:spPr>
                <a:solidFill>
                  <a:srgbClr val="FCB942"/>
                </a:solidFill>
                <a:ln w="9525">
                  <a:solidFill>
                    <a:srgbClr val="FCB942"/>
                  </a:solidFill>
                </a:ln>
                <a:effectLst/>
              </c:spPr>
            </c:marker>
            <c:bubble3D val="0"/>
            <c:spPr>
              <a:ln w="28575" cap="rnd">
                <a:solidFill>
                  <a:srgbClr val="FCB942"/>
                </a:solidFill>
                <a:prstDash val="sysDash"/>
                <a:round/>
              </a:ln>
              <a:effectLst/>
            </c:spPr>
            <c:extLst>
              <c:ext xmlns:c16="http://schemas.microsoft.com/office/drawing/2014/chart" uri="{C3380CC4-5D6E-409C-BE32-E72D297353CC}">
                <c16:uniqueId val="{00000006-0F46-43B7-A7CD-BE0D13983B14}"/>
              </c:ext>
            </c:extLst>
          </c:dPt>
          <c:dLbls>
            <c:dLbl>
              <c:idx val="3"/>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F46-43B7-A7CD-BE0D13983B14}"/>
                </c:ext>
              </c:extLst>
            </c:dLbl>
            <c:dLbl>
              <c:idx val="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F46-43B7-A7CD-BE0D13983B14}"/>
                </c:ext>
              </c:extLst>
            </c:dLbl>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FOCUS_PGC_ALL_6Y_HEPTYPE!$K$32:$Q$32</c:f>
              <c:numCache>
                <c:formatCode>General</c:formatCode>
                <c:ptCount val="6"/>
                <c:pt idx="0">
                  <c:v>2019</c:v>
                </c:pt>
                <c:pt idx="1">
                  <c:v>2020</c:v>
                </c:pt>
                <c:pt idx="2">
                  <c:v>2021</c:v>
                </c:pt>
                <c:pt idx="3">
                  <c:v>2022</c:v>
                </c:pt>
                <c:pt idx="4">
                  <c:v>2023</c:v>
                </c:pt>
                <c:pt idx="5">
                  <c:v>2024</c:v>
                </c:pt>
              </c:numCache>
            </c:numRef>
          </c:cat>
          <c:val>
            <c:numRef>
              <c:f>FOCUS_PGC_ALL_6Y_HEPTYPE!$K$35:$Q$35</c:f>
              <c:numCache>
                <c:formatCode>0.0%</c:formatCode>
                <c:ptCount val="6"/>
                <c:pt idx="0">
                  <c:v>0.53600000000000003</c:v>
                </c:pt>
                <c:pt idx="1">
                  <c:v>0.41399999999999998</c:v>
                </c:pt>
                <c:pt idx="2">
                  <c:v>0.41</c:v>
                </c:pt>
                <c:pt idx="3">
                  <c:v>0.48799999999999999</c:v>
                </c:pt>
                <c:pt idx="4">
                  <c:v>0.56200000000000006</c:v>
                </c:pt>
                <c:pt idx="5">
                  <c:v>0.61099999999999999</c:v>
                </c:pt>
              </c:numCache>
            </c:numRef>
          </c:val>
          <c:smooth val="0"/>
          <c:extLst>
            <c:ext xmlns:c16="http://schemas.microsoft.com/office/drawing/2014/chart" uri="{C3380CC4-5D6E-409C-BE32-E72D297353CC}">
              <c16:uniqueId val="{00000008-0F46-43B7-A7CD-BE0D13983B14}"/>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9"/>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r>
              <a:rPr lang="en-AU" sz="1050">
                <a:solidFill>
                  <a:sysClr val="windowText" lastClr="000000"/>
                </a:solidFill>
              </a:rPr>
              <a:t>Teaching Quality and Engagement</a:t>
            </a: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FOCUS_PGC_ALL_6Y_HEPTYPE!$B$34</c:f>
              <c:strCache>
                <c:ptCount val="1"/>
                <c:pt idx="0">
                  <c:v>NUHEIs</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4"/>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FB9-45B5-A7C7-00BAD725C932}"/>
                </c:ext>
              </c:extLst>
            </c:dLbl>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FOCUS_PGC_ALL_6Y_HEPTYPE!$R$32:$X$32</c:f>
              <c:numCache>
                <c:formatCode>General</c:formatCode>
                <c:ptCount val="6"/>
                <c:pt idx="0">
                  <c:v>2019</c:v>
                </c:pt>
                <c:pt idx="1">
                  <c:v>2020</c:v>
                </c:pt>
                <c:pt idx="2">
                  <c:v>2021</c:v>
                </c:pt>
                <c:pt idx="3">
                  <c:v>2022</c:v>
                </c:pt>
                <c:pt idx="4">
                  <c:v>2023</c:v>
                </c:pt>
                <c:pt idx="5">
                  <c:v>2024</c:v>
                </c:pt>
              </c:numCache>
            </c:numRef>
          </c:cat>
          <c:val>
            <c:numRef>
              <c:f>FOCUS_PGC_ALL_6Y_HEPTYPE!$R$34:$X$34</c:f>
              <c:numCache>
                <c:formatCode>0.0%</c:formatCode>
                <c:ptCount val="6"/>
                <c:pt idx="0">
                  <c:v>0.81799999999999995</c:v>
                </c:pt>
                <c:pt idx="1">
                  <c:v>0.83499999999999996</c:v>
                </c:pt>
                <c:pt idx="2">
                  <c:v>0.83799999999999997</c:v>
                </c:pt>
                <c:pt idx="3">
                  <c:v>0.85699999999999998</c:v>
                </c:pt>
                <c:pt idx="4">
                  <c:v>0.82400000000000007</c:v>
                </c:pt>
                <c:pt idx="5">
                  <c:v>0.85299999999999998</c:v>
                </c:pt>
              </c:numCache>
            </c:numRef>
          </c:val>
          <c:smooth val="0"/>
          <c:extLst>
            <c:ext xmlns:c16="http://schemas.microsoft.com/office/drawing/2014/chart" uri="{C3380CC4-5D6E-409C-BE32-E72D297353CC}">
              <c16:uniqueId val="{00000001-0FB9-45B5-A7C7-00BAD725C932}"/>
            </c:ext>
          </c:extLst>
        </c:ser>
        <c:ser>
          <c:idx val="2"/>
          <c:order val="1"/>
          <c:tx>
            <c:strRef>
              <c:f>FOCUS_PGC_ALL_6Y_HEPTYPE!$B$35</c:f>
              <c:strCache>
                <c:ptCount val="1"/>
                <c:pt idx="0">
                  <c:v>Universities</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dLbl>
              <c:idx val="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FB9-45B5-A7C7-00BAD725C932}"/>
                </c:ext>
              </c:extLst>
            </c:dLbl>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FOCUS_PGC_ALL_6Y_HEPTYPE!$R$32:$X$32</c:f>
              <c:numCache>
                <c:formatCode>General</c:formatCode>
                <c:ptCount val="6"/>
                <c:pt idx="0">
                  <c:v>2019</c:v>
                </c:pt>
                <c:pt idx="1">
                  <c:v>2020</c:v>
                </c:pt>
                <c:pt idx="2">
                  <c:v>2021</c:v>
                </c:pt>
                <c:pt idx="3">
                  <c:v>2022</c:v>
                </c:pt>
                <c:pt idx="4">
                  <c:v>2023</c:v>
                </c:pt>
                <c:pt idx="5">
                  <c:v>2024</c:v>
                </c:pt>
              </c:numCache>
            </c:numRef>
          </c:cat>
          <c:val>
            <c:numRef>
              <c:f>FOCUS_PGC_ALL_6Y_HEPTYPE!$R$35:$X$35</c:f>
              <c:numCache>
                <c:formatCode>0.0%</c:formatCode>
                <c:ptCount val="6"/>
                <c:pt idx="0">
                  <c:v>0.80400000000000005</c:v>
                </c:pt>
                <c:pt idx="1">
                  <c:v>0.77300000000000002</c:v>
                </c:pt>
                <c:pt idx="2">
                  <c:v>0.79599999999999993</c:v>
                </c:pt>
                <c:pt idx="3">
                  <c:v>0.81700000000000006</c:v>
                </c:pt>
                <c:pt idx="4">
                  <c:v>0.82499999999999996</c:v>
                </c:pt>
                <c:pt idx="5">
                  <c:v>0.82299999999999995</c:v>
                </c:pt>
              </c:numCache>
            </c:numRef>
          </c:val>
          <c:smooth val="0"/>
          <c:extLst>
            <c:ext xmlns:c16="http://schemas.microsoft.com/office/drawing/2014/chart" uri="{C3380CC4-5D6E-409C-BE32-E72D297353CC}">
              <c16:uniqueId val="{00000003-0FB9-45B5-A7C7-00BAD725C932}"/>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'FOCUS_PGC_ALL_17-YY_YEAR'!$C$4</c:f>
              <c:strCache>
                <c:ptCount val="1"/>
                <c:pt idx="0">
                  <c:v>Skills Development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1.7600792740535002E-2"/>
                  <c:y val="-1.27270824575393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B3-4F7A-BB09-B5AEA906E7D0}"/>
                </c:ext>
              </c:extLst>
            </c:dLbl>
            <c:dLbl>
              <c:idx val="1"/>
              <c:layout>
                <c:manualLayout>
                  <c:x val="-3.4793098303081679E-2"/>
                  <c:y val="-2.2875404803088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E01-49BC-9B42-2909B75D4180}"/>
                </c:ext>
              </c:extLst>
            </c:dLbl>
            <c:dLbl>
              <c:idx val="2"/>
              <c:layout>
                <c:manualLayout>
                  <c:x val="-2.5815108371680866E-2"/>
                  <c:y val="-1.94027531696903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BB3-4F7A-BB09-B5AEA906E7D0}"/>
                </c:ext>
              </c:extLst>
            </c:dLbl>
            <c:dLbl>
              <c:idx val="4"/>
              <c:layout>
                <c:manualLayout>
                  <c:x val="-2.9469105563921183E-2"/>
                  <c:y val="1.76657117041853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BB3-4F7A-BB09-B5AEA906E7D0}"/>
                </c:ext>
              </c:extLst>
            </c:dLbl>
            <c:dLbl>
              <c:idx val="5"/>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BB3-4F7A-BB09-B5AEA906E7D0}"/>
                </c:ext>
              </c:extLst>
            </c:dLbl>
            <c:dLbl>
              <c:idx val="6"/>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BB3-4F7A-BB09-B5AEA906E7D0}"/>
                </c:ext>
              </c:extLst>
            </c:dLbl>
            <c:dLbl>
              <c:idx val="7"/>
              <c:layout>
                <c:manualLayout>
                  <c:x val="-4.6243418215130448E-3"/>
                  <c:y val="-3.06013898661843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04B-4103-BE65-622BBA029B7A}"/>
                </c:ext>
              </c:extLst>
            </c:dLbl>
            <c:spPr>
              <a:noFill/>
              <a:ln>
                <a:noFill/>
              </a:ln>
              <a:effectLst/>
            </c:spPr>
            <c:txPr>
              <a:bodyPr rot="0" spcFirstLastPara="1" vertOverflow="ellipsis" vert="horz" wrap="square" anchor="ctr" anchorCtr="1"/>
              <a:lstStyle/>
              <a:p>
                <a:pPr>
                  <a:defRPr sz="800" b="0" i="0" u="none" strike="noStrike" kern="1200" baseline="0">
                    <a:solidFill>
                      <a:schemeClr val="accent1">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'FOCUS_PGC_ALL_17-YY_YEAR'!$B$5:$B$12</c:f>
              <c:strCache>
                <c:ptCount val="8"/>
                <c:pt idx="0">
                  <c:v>2017</c:v>
                </c:pt>
                <c:pt idx="1">
                  <c:v>2018</c:v>
                </c:pt>
                <c:pt idx="2">
                  <c:v>2019</c:v>
                </c:pt>
                <c:pt idx="3">
                  <c:v>2020</c:v>
                </c:pt>
                <c:pt idx="4">
                  <c:v>2021</c:v>
                </c:pt>
                <c:pt idx="5">
                  <c:v>2022</c:v>
                </c:pt>
                <c:pt idx="6">
                  <c:v>2023</c:v>
                </c:pt>
                <c:pt idx="7">
                  <c:v>2024</c:v>
                </c:pt>
              </c:strCache>
            </c:strRef>
          </c:cat>
          <c:val>
            <c:numRef>
              <c:f>'FOCUS_PGC_ALL_17-YY_YEAR'!$C$5:$C$12</c:f>
              <c:numCache>
                <c:formatCode>0.0%</c:formatCode>
                <c:ptCount val="8"/>
                <c:pt idx="0">
                  <c:v>0.80400000000000005</c:v>
                </c:pt>
                <c:pt idx="1">
                  <c:v>0.80799999999999994</c:v>
                </c:pt>
                <c:pt idx="2">
                  <c:v>0.80900000000000005</c:v>
                </c:pt>
                <c:pt idx="3">
                  <c:v>0.78299999999999992</c:v>
                </c:pt>
                <c:pt idx="4">
                  <c:v>0.78900000000000003</c:v>
                </c:pt>
                <c:pt idx="5">
                  <c:v>0.81099999999999994</c:v>
                </c:pt>
                <c:pt idx="6">
                  <c:v>0.82099999999999995</c:v>
                </c:pt>
                <c:pt idx="7">
                  <c:v>0.83099999999999996</c:v>
                </c:pt>
              </c:numCache>
            </c:numRef>
          </c:val>
          <c:smooth val="0"/>
          <c:extLst>
            <c:ext xmlns:c16="http://schemas.microsoft.com/office/drawing/2014/chart" uri="{C3380CC4-5D6E-409C-BE32-E72D297353CC}">
              <c16:uniqueId val="{00000005-7BB3-4F7A-BB09-B5AEA906E7D0}"/>
            </c:ext>
          </c:extLst>
        </c:ser>
        <c:ser>
          <c:idx val="1"/>
          <c:order val="1"/>
          <c:tx>
            <c:strRef>
              <c:f>'FOCUS_PGC_ALL_17-YY_YEAR'!$D$4</c:f>
              <c:strCache>
                <c:ptCount val="1"/>
                <c:pt idx="0">
                  <c:v>Peer Engagement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Pt>
            <c:idx val="6"/>
            <c:marker>
              <c:symbol val="circle"/>
              <c:size val="5"/>
              <c:spPr>
                <a:solidFill>
                  <a:schemeClr val="accent2"/>
                </a:solidFill>
                <a:ln w="9525">
                  <a:solidFill>
                    <a:schemeClr val="accent2"/>
                  </a:solidFill>
                </a:ln>
                <a:effectLst/>
              </c:spPr>
            </c:marker>
            <c:bubble3D val="0"/>
            <c:spPr>
              <a:ln w="28575" cap="rnd">
                <a:solidFill>
                  <a:schemeClr val="accent2"/>
                </a:solidFill>
                <a:prstDash val="sysDash"/>
                <a:round/>
              </a:ln>
              <a:effectLst/>
            </c:spPr>
            <c:extLst>
              <c:ext xmlns:c16="http://schemas.microsoft.com/office/drawing/2014/chart" uri="{C3380CC4-5D6E-409C-BE32-E72D297353CC}">
                <c16:uniqueId val="{00000007-7BB3-4F7A-BB09-B5AEA906E7D0}"/>
              </c:ext>
            </c:extLst>
          </c:dPt>
          <c:dLbls>
            <c:spPr>
              <a:noFill/>
              <a:ln>
                <a:noFill/>
              </a:ln>
              <a:effectLst/>
            </c:spPr>
            <c:txPr>
              <a:bodyPr rot="0" spcFirstLastPara="1" vertOverflow="ellipsis" vert="horz" wrap="square" anchor="ctr" anchorCtr="1"/>
              <a:lstStyle/>
              <a:p>
                <a:pPr>
                  <a:defRPr sz="800" b="0" i="0" u="none" strike="noStrike" kern="1200" baseline="0">
                    <a:solidFill>
                      <a:schemeClr val="accent2">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'FOCUS_PGC_ALL_17-YY_YEAR'!$B$5:$B$12</c:f>
              <c:strCache>
                <c:ptCount val="8"/>
                <c:pt idx="0">
                  <c:v>2017</c:v>
                </c:pt>
                <c:pt idx="1">
                  <c:v>2018</c:v>
                </c:pt>
                <c:pt idx="2">
                  <c:v>2019</c:v>
                </c:pt>
                <c:pt idx="3">
                  <c:v>2020</c:v>
                </c:pt>
                <c:pt idx="4">
                  <c:v>2021</c:v>
                </c:pt>
                <c:pt idx="5">
                  <c:v>2022</c:v>
                </c:pt>
                <c:pt idx="6">
                  <c:v>2023</c:v>
                </c:pt>
                <c:pt idx="7">
                  <c:v>2024</c:v>
                </c:pt>
              </c:strCache>
            </c:strRef>
          </c:cat>
          <c:val>
            <c:numRef>
              <c:f>'FOCUS_PGC_ALL_17-YY_YEAR'!$D$5:$D$12</c:f>
              <c:numCache>
                <c:formatCode>0.0%</c:formatCode>
                <c:ptCount val="8"/>
                <c:pt idx="0">
                  <c:v>0.51800000000000002</c:v>
                </c:pt>
                <c:pt idx="1">
                  <c:v>0.52600000000000002</c:v>
                </c:pt>
                <c:pt idx="2">
                  <c:v>0.53799999999999992</c:v>
                </c:pt>
                <c:pt idx="3">
                  <c:v>0.42399999999999999</c:v>
                </c:pt>
                <c:pt idx="4">
                  <c:v>0.41700000000000004</c:v>
                </c:pt>
                <c:pt idx="5">
                  <c:v>0.48700000000000004</c:v>
                </c:pt>
                <c:pt idx="6">
                  <c:v>0.56000000000000005</c:v>
                </c:pt>
                <c:pt idx="7">
                  <c:v>0.621</c:v>
                </c:pt>
              </c:numCache>
            </c:numRef>
          </c:val>
          <c:smooth val="0"/>
          <c:extLst>
            <c:ext xmlns:c16="http://schemas.microsoft.com/office/drawing/2014/chart" uri="{C3380CC4-5D6E-409C-BE32-E72D297353CC}">
              <c16:uniqueId val="{00000008-7BB3-4F7A-BB09-B5AEA906E7D0}"/>
            </c:ext>
          </c:extLst>
        </c:ser>
        <c:ser>
          <c:idx val="2"/>
          <c:order val="2"/>
          <c:tx>
            <c:strRef>
              <c:f>'FOCUS_PGC_ALL_17-YY_YEAR'!$E$4</c:f>
              <c:strCache>
                <c:ptCount val="1"/>
                <c:pt idx="0">
                  <c:v>Teaching Quality and Engagement</c:v>
                </c:pt>
              </c:strCache>
            </c:strRef>
          </c:tx>
          <c:spPr>
            <a:ln w="28575" cap="rnd">
              <a:solidFill>
                <a:schemeClr val="accent5"/>
              </a:solidFill>
              <a:round/>
            </a:ln>
            <a:effectLst/>
          </c:spPr>
          <c:marker>
            <c:symbol val="circle"/>
            <c:size val="5"/>
            <c:spPr>
              <a:solidFill>
                <a:schemeClr val="accent5"/>
              </a:solidFill>
              <a:ln w="9525">
                <a:solidFill>
                  <a:schemeClr val="accent5">
                    <a:alpha val="95000"/>
                  </a:schemeClr>
                </a:solidFill>
              </a:ln>
              <a:effectLst/>
            </c:spPr>
          </c:marker>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BB3-4F7A-BB09-B5AEA906E7D0}"/>
                </c:ext>
              </c:extLst>
            </c:dLbl>
            <c:dLbl>
              <c:idx val="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BB3-4F7A-BB09-B5AEA906E7D0}"/>
                </c:ext>
              </c:extLst>
            </c:dLbl>
            <c:dLbl>
              <c:idx val="2"/>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BB3-4F7A-BB09-B5AEA906E7D0}"/>
                </c:ext>
              </c:extLst>
            </c:dLbl>
            <c:dLbl>
              <c:idx val="3"/>
              <c:layout>
                <c:manualLayout>
                  <c:x val="-1.8249047827383097E-2"/>
                  <c:y val="1.9402753169690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BB3-4F7A-BB09-B5AEA906E7D0}"/>
                </c:ext>
              </c:extLst>
            </c:dLbl>
            <c:dLbl>
              <c:idx val="5"/>
              <c:layout>
                <c:manualLayout>
                  <c:x val="-7.2664841681354007E-3"/>
                  <c:y val="-1.27083047815690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BB3-4F7A-BB09-B5AEA906E7D0}"/>
                </c:ext>
              </c:extLst>
            </c:dLbl>
            <c:dLbl>
              <c:idx val="6"/>
              <c:layout>
                <c:manualLayout>
                  <c:x val="-1.8386243851070423E-2"/>
                  <c:y val="-1.9402753169690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BB3-4F7A-BB09-B5AEA906E7D0}"/>
                </c:ext>
              </c:extLst>
            </c:dLbl>
            <c:dLbl>
              <c:idx val="7"/>
              <c:layout>
                <c:manualLayout>
                  <c:x val="4.8033945789771977E-3"/>
                  <c:y val="-4.8481063225325012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04B-4103-BE65-622BBA029B7A}"/>
                </c:ext>
              </c:extLst>
            </c:dLbl>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'FOCUS_PGC_ALL_17-YY_YEAR'!$B$5:$B$12</c:f>
              <c:strCache>
                <c:ptCount val="8"/>
                <c:pt idx="0">
                  <c:v>2017</c:v>
                </c:pt>
                <c:pt idx="1">
                  <c:v>2018</c:v>
                </c:pt>
                <c:pt idx="2">
                  <c:v>2019</c:v>
                </c:pt>
                <c:pt idx="3">
                  <c:v>2020</c:v>
                </c:pt>
                <c:pt idx="4">
                  <c:v>2021</c:v>
                </c:pt>
                <c:pt idx="5">
                  <c:v>2022</c:v>
                </c:pt>
                <c:pt idx="6">
                  <c:v>2023</c:v>
                </c:pt>
                <c:pt idx="7">
                  <c:v>2024</c:v>
                </c:pt>
              </c:strCache>
            </c:strRef>
          </c:cat>
          <c:val>
            <c:numRef>
              <c:f>'FOCUS_PGC_ALL_17-YY_YEAR'!$E$5:$E$12</c:f>
              <c:numCache>
                <c:formatCode>0.0%</c:formatCode>
                <c:ptCount val="8"/>
                <c:pt idx="0">
                  <c:v>0.80099999999999993</c:v>
                </c:pt>
                <c:pt idx="1">
                  <c:v>0.80900000000000005</c:v>
                </c:pt>
                <c:pt idx="2">
                  <c:v>0.80500000000000005</c:v>
                </c:pt>
                <c:pt idx="3">
                  <c:v>0.78</c:v>
                </c:pt>
                <c:pt idx="4">
                  <c:v>0.80099999999999993</c:v>
                </c:pt>
                <c:pt idx="5">
                  <c:v>0.82099999999999995</c:v>
                </c:pt>
                <c:pt idx="6">
                  <c:v>0.82499999999999996</c:v>
                </c:pt>
                <c:pt idx="7">
                  <c:v>0.82799999999999996</c:v>
                </c:pt>
              </c:numCache>
            </c:numRef>
          </c:val>
          <c:smooth val="0"/>
          <c:extLst>
            <c:ext xmlns:c16="http://schemas.microsoft.com/office/drawing/2014/chart" uri="{C3380CC4-5D6E-409C-BE32-E72D297353CC}">
              <c16:uniqueId val="{0000000F-7BB3-4F7A-BB09-B5AEA906E7D0}"/>
            </c:ext>
          </c:extLst>
        </c:ser>
        <c:ser>
          <c:idx val="3"/>
          <c:order val="3"/>
          <c:tx>
            <c:strRef>
              <c:f>'FOCUS_PGC_ALL_17-YY_YEAR'!$F$4</c:f>
              <c:strCache>
                <c:ptCount val="1"/>
                <c:pt idx="0">
                  <c:v>Student Support and Services</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Pt>
            <c:idx val="6"/>
            <c:marker>
              <c:symbol val="circle"/>
              <c:size val="5"/>
              <c:spPr>
                <a:solidFill>
                  <a:schemeClr val="accent4"/>
                </a:solidFill>
                <a:ln w="9525">
                  <a:solidFill>
                    <a:schemeClr val="accent4"/>
                  </a:solidFill>
                </a:ln>
                <a:effectLst/>
              </c:spPr>
            </c:marker>
            <c:bubble3D val="0"/>
            <c:spPr>
              <a:ln w="28575" cap="rnd">
                <a:solidFill>
                  <a:schemeClr val="accent4"/>
                </a:solidFill>
                <a:prstDash val="sysDash"/>
                <a:round/>
              </a:ln>
              <a:effectLst/>
            </c:spPr>
            <c:extLst>
              <c:ext xmlns:c16="http://schemas.microsoft.com/office/drawing/2014/chart" uri="{C3380CC4-5D6E-409C-BE32-E72D297353CC}">
                <c16:uniqueId val="{00000011-7BB3-4F7A-BB09-B5AEA906E7D0}"/>
              </c:ext>
            </c:extLst>
          </c:dPt>
          <c:dLbls>
            <c:dLbl>
              <c:idx val="3"/>
              <c:layout>
                <c:manualLayout>
                  <c:x val="-1.7233328706445089E-2"/>
                  <c:y val="-1.41916287731754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BB3-4F7A-BB09-B5AEA906E7D0}"/>
                </c:ext>
              </c:extLst>
            </c:dLbl>
            <c:dLbl>
              <c:idx val="4"/>
              <c:layout>
                <c:manualLayout>
                  <c:x val="-1.8114267742213211E-2"/>
                  <c:y val="-1.59286702386804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BB3-4F7A-BB09-B5AEA906E7D0}"/>
                </c:ext>
              </c:extLst>
            </c:dLbl>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'FOCUS_PGC_ALL_17-YY_YEAR'!$B$5:$B$12</c:f>
              <c:strCache>
                <c:ptCount val="8"/>
                <c:pt idx="0">
                  <c:v>2017</c:v>
                </c:pt>
                <c:pt idx="1">
                  <c:v>2018</c:v>
                </c:pt>
                <c:pt idx="2">
                  <c:v>2019</c:v>
                </c:pt>
                <c:pt idx="3">
                  <c:v>2020</c:v>
                </c:pt>
                <c:pt idx="4">
                  <c:v>2021</c:v>
                </c:pt>
                <c:pt idx="5">
                  <c:v>2022</c:v>
                </c:pt>
                <c:pt idx="6">
                  <c:v>2023</c:v>
                </c:pt>
                <c:pt idx="7">
                  <c:v>2024</c:v>
                </c:pt>
              </c:strCache>
            </c:strRef>
          </c:cat>
          <c:val>
            <c:numRef>
              <c:f>'FOCUS_PGC_ALL_17-YY_YEAR'!$F$5:$F$12</c:f>
              <c:numCache>
                <c:formatCode>0.0%</c:formatCode>
                <c:ptCount val="8"/>
                <c:pt idx="0">
                  <c:v>0.73</c:v>
                </c:pt>
                <c:pt idx="1">
                  <c:v>0.7340000000000001</c:v>
                </c:pt>
                <c:pt idx="2">
                  <c:v>0.746</c:v>
                </c:pt>
                <c:pt idx="3">
                  <c:v>0.74</c:v>
                </c:pt>
                <c:pt idx="4">
                  <c:v>0.73699999999999999</c:v>
                </c:pt>
                <c:pt idx="5">
                  <c:v>0.753</c:v>
                </c:pt>
                <c:pt idx="6">
                  <c:v>0.755</c:v>
                </c:pt>
                <c:pt idx="7">
                  <c:v>0.7659999999999999</c:v>
                </c:pt>
              </c:numCache>
            </c:numRef>
          </c:val>
          <c:smooth val="0"/>
          <c:extLst>
            <c:ext xmlns:c16="http://schemas.microsoft.com/office/drawing/2014/chart" uri="{C3380CC4-5D6E-409C-BE32-E72D297353CC}">
              <c16:uniqueId val="{00000014-7BB3-4F7A-BB09-B5AEA906E7D0}"/>
            </c:ext>
          </c:extLst>
        </c:ser>
        <c:ser>
          <c:idx val="4"/>
          <c:order val="4"/>
          <c:tx>
            <c:strRef>
              <c:f>'FOCUS_PGC_ALL_17-YY_YEAR'!$G$4</c:f>
              <c:strCache>
                <c:ptCount val="1"/>
                <c:pt idx="0">
                  <c:v>Learning Resources</c:v>
                </c:pt>
              </c:strCache>
            </c:strRef>
          </c:tx>
          <c:spPr>
            <a:ln w="28575" cap="rnd">
              <a:solidFill>
                <a:schemeClr val="accent3"/>
              </a:solidFill>
              <a:round/>
            </a:ln>
            <a:effectLst/>
          </c:spPr>
          <c:marker>
            <c:symbol val="circle"/>
            <c:size val="5"/>
            <c:spPr>
              <a:solidFill>
                <a:schemeClr val="accent3">
                  <a:alpha val="93000"/>
                </a:schemeClr>
              </a:solidFill>
              <a:ln w="9525">
                <a:solidFill>
                  <a:schemeClr val="accent3"/>
                </a:solidFill>
              </a:ln>
              <a:effectLst/>
            </c:spPr>
          </c:marker>
          <c:dLbls>
            <c:dLbl>
              <c:idx val="2"/>
              <c:layout>
                <c:manualLayout>
                  <c:x val="-1.8404839256628894E-2"/>
                  <c:y val="-1.9402753169690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BB3-4F7A-BB09-B5AEA906E7D0}"/>
                </c:ext>
              </c:extLst>
            </c:dLbl>
            <c:dLbl>
              <c:idx val="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7BB3-4F7A-BB09-B5AEA906E7D0}"/>
                </c:ext>
              </c:extLst>
            </c:dLbl>
            <c:dLbl>
              <c:idx val="4"/>
              <c:layout>
                <c:manualLayout>
                  <c:x val="-1.4234782955012003E-2"/>
                  <c:y val="1.76657117041853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7BB3-4F7A-BB09-B5AEA906E7D0}"/>
                </c:ext>
              </c:extLst>
            </c:dLbl>
            <c:spPr>
              <a:noFill/>
              <a:ln>
                <a:noFill/>
              </a:ln>
              <a:effectLst/>
            </c:spPr>
            <c:txPr>
              <a:bodyPr rot="0" spcFirstLastPara="1" vertOverflow="ellipsis" vert="horz" wrap="square" anchor="ctr" anchorCtr="1"/>
              <a:lstStyle/>
              <a:p>
                <a:pPr>
                  <a:defRPr sz="800" b="0" i="0" u="none" strike="noStrike" kern="1200" baseline="0">
                    <a:solidFill>
                      <a:schemeClr val="accent3">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'FOCUS_PGC_ALL_17-YY_YEAR'!$B$5:$B$12</c:f>
              <c:strCache>
                <c:ptCount val="8"/>
                <c:pt idx="0">
                  <c:v>2017</c:v>
                </c:pt>
                <c:pt idx="1">
                  <c:v>2018</c:v>
                </c:pt>
                <c:pt idx="2">
                  <c:v>2019</c:v>
                </c:pt>
                <c:pt idx="3">
                  <c:v>2020</c:v>
                </c:pt>
                <c:pt idx="4">
                  <c:v>2021</c:v>
                </c:pt>
                <c:pt idx="5">
                  <c:v>2022</c:v>
                </c:pt>
                <c:pt idx="6">
                  <c:v>2023</c:v>
                </c:pt>
                <c:pt idx="7">
                  <c:v>2024</c:v>
                </c:pt>
              </c:strCache>
            </c:strRef>
          </c:cat>
          <c:val>
            <c:numRef>
              <c:f>'FOCUS_PGC_ALL_17-YY_YEAR'!$G$5:$G$12</c:f>
              <c:numCache>
                <c:formatCode>0.0%</c:formatCode>
                <c:ptCount val="8"/>
                <c:pt idx="0">
                  <c:v>0.81700000000000006</c:v>
                </c:pt>
                <c:pt idx="1">
                  <c:v>0.82900000000000007</c:v>
                </c:pt>
                <c:pt idx="2">
                  <c:v>0.82799999999999996</c:v>
                </c:pt>
                <c:pt idx="3">
                  <c:v>0.72599999999999998</c:v>
                </c:pt>
                <c:pt idx="4">
                  <c:v>0.77200000000000002</c:v>
                </c:pt>
                <c:pt idx="5">
                  <c:v>0.83499999999999996</c:v>
                </c:pt>
                <c:pt idx="6">
                  <c:v>0.84599999999999997</c:v>
                </c:pt>
                <c:pt idx="7">
                  <c:v>0.85</c:v>
                </c:pt>
              </c:numCache>
            </c:numRef>
          </c:val>
          <c:smooth val="0"/>
          <c:extLst>
            <c:ext xmlns:c16="http://schemas.microsoft.com/office/drawing/2014/chart" uri="{C3380CC4-5D6E-409C-BE32-E72D297353CC}">
              <c16:uniqueId val="{00000018-7BB3-4F7A-BB09-B5AEA906E7D0}"/>
            </c:ext>
          </c:extLst>
        </c:ser>
        <c:ser>
          <c:idx val="5"/>
          <c:order val="5"/>
          <c:tx>
            <c:strRef>
              <c:f>'FOCUS_PGC_ALL_17-YY_YEAR'!$H$4</c:f>
              <c:strCache>
                <c:ptCount val="1"/>
                <c:pt idx="0">
                  <c:v>Overall Educational Experience</c:v>
                </c:pt>
              </c:strCache>
            </c:strRef>
          </c:tx>
          <c:spPr>
            <a:ln w="28575" cap="rnd">
              <a:solidFill>
                <a:schemeClr val="tx2"/>
              </a:solidFill>
              <a:round/>
            </a:ln>
            <a:effectLst/>
          </c:spPr>
          <c:marker>
            <c:symbol val="circle"/>
            <c:size val="5"/>
            <c:spPr>
              <a:solidFill>
                <a:schemeClr val="tx2"/>
              </a:solidFill>
              <a:ln w="9525">
                <a:solidFill>
                  <a:schemeClr val="tx2"/>
                </a:solidFill>
              </a:ln>
              <a:effectLst/>
            </c:spPr>
          </c:marker>
          <c:dLbls>
            <c:dLbl>
              <c:idx val="5"/>
              <c:layout>
                <c:manualLayout>
                  <c:x val="-3.856419286327778E-2"/>
                  <c:y val="-1.06038638036586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367-4FF0-8DCA-42AA5E30AD3C}"/>
                </c:ext>
              </c:extLst>
            </c:dLbl>
            <c:dLbl>
              <c:idx val="7"/>
              <c:layout>
                <c:manualLayout>
                  <c:x val="2.9178472988791487E-3"/>
                  <c:y val="-1.06038638036586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04B-4103-BE65-622BBA029B7A}"/>
                </c:ext>
              </c:extLst>
            </c:dLbl>
            <c:spPr>
              <a:noFill/>
              <a:ln>
                <a:noFill/>
              </a:ln>
              <a:effectLst/>
            </c:spPr>
            <c:txPr>
              <a:bodyPr rot="0" spcFirstLastPara="1" vertOverflow="ellipsis" vert="horz" wrap="square" anchor="ctr" anchorCtr="1"/>
              <a:lstStyle/>
              <a:p>
                <a:pPr>
                  <a:defRPr sz="800" b="0" i="0" u="none" strike="noStrike" kern="1200" baseline="0">
                    <a:solidFill>
                      <a:schemeClr val="tx2">
                        <a:lumMod val="75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'FOCUS_PGC_ALL_17-YY_YEAR'!$B$5:$B$12</c:f>
              <c:strCache>
                <c:ptCount val="8"/>
                <c:pt idx="0">
                  <c:v>2017</c:v>
                </c:pt>
                <c:pt idx="1">
                  <c:v>2018</c:v>
                </c:pt>
                <c:pt idx="2">
                  <c:v>2019</c:v>
                </c:pt>
                <c:pt idx="3">
                  <c:v>2020</c:v>
                </c:pt>
                <c:pt idx="4">
                  <c:v>2021</c:v>
                </c:pt>
                <c:pt idx="5">
                  <c:v>2022</c:v>
                </c:pt>
                <c:pt idx="6">
                  <c:v>2023</c:v>
                </c:pt>
                <c:pt idx="7">
                  <c:v>2024</c:v>
                </c:pt>
              </c:strCache>
            </c:strRef>
          </c:cat>
          <c:val>
            <c:numRef>
              <c:f>'FOCUS_PGC_ALL_17-YY_YEAR'!$H$5:$H$12</c:f>
              <c:numCache>
                <c:formatCode>0.0%</c:formatCode>
                <c:ptCount val="8"/>
                <c:pt idx="0">
                  <c:v>0.75599999999999989</c:v>
                </c:pt>
                <c:pt idx="1">
                  <c:v>0.76500000000000001</c:v>
                </c:pt>
                <c:pt idx="2">
                  <c:v>0.76</c:v>
                </c:pt>
                <c:pt idx="3">
                  <c:v>0.68500000000000005</c:v>
                </c:pt>
                <c:pt idx="4">
                  <c:v>0.73199999999999998</c:v>
                </c:pt>
                <c:pt idx="5">
                  <c:v>0.76700000000000002</c:v>
                </c:pt>
                <c:pt idx="6">
                  <c:v>0.77099999999999991</c:v>
                </c:pt>
                <c:pt idx="7">
                  <c:v>0.76700000000000002</c:v>
                </c:pt>
              </c:numCache>
            </c:numRef>
          </c:val>
          <c:smooth val="0"/>
          <c:extLst>
            <c:ext xmlns:c16="http://schemas.microsoft.com/office/drawing/2014/chart" uri="{C3380CC4-5D6E-409C-BE32-E72D297353CC}">
              <c16:uniqueId val="{0000001A-7BB3-4F7A-BB09-B5AEA906E7D0}"/>
            </c:ext>
          </c:extLst>
        </c:ser>
        <c:dLbls>
          <c:dLblPos val="t"/>
          <c:showLegendKey val="0"/>
          <c:showVal val="1"/>
          <c:showCatName val="0"/>
          <c:showSerName val="0"/>
          <c:showPercent val="0"/>
          <c:showBubbleSize val="0"/>
        </c:dLbls>
        <c:marker val="1"/>
        <c:smooth val="0"/>
        <c:axId val="916666480"/>
        <c:axId val="916666896"/>
      </c:lineChart>
      <c:catAx>
        <c:axId val="91666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916666896"/>
        <c:crosses val="autoZero"/>
        <c:auto val="1"/>
        <c:lblAlgn val="ctr"/>
        <c:lblOffset val="100"/>
        <c:noMultiLvlLbl val="0"/>
      </c:catAx>
      <c:valAx>
        <c:axId val="916666896"/>
        <c:scaling>
          <c:orientation val="minMax"/>
          <c:max val="0.9"/>
          <c:min val="0.4"/>
        </c:scaling>
        <c:delete val="1"/>
        <c:axPos val="l"/>
        <c:numFmt formatCode="0.0%" sourceLinked="1"/>
        <c:majorTickMark val="out"/>
        <c:minorTickMark val="none"/>
        <c:tickLblPos val="nextTo"/>
        <c:crossAx val="916666480"/>
        <c:crosses val="autoZero"/>
        <c:crossBetween val="between"/>
        <c:majorUnit val="10"/>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sz="900">
          <a:latin typeface="Public Sans" pitchFamily="2" charset="0"/>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r>
              <a:rPr lang="en-AU" sz="1050">
                <a:solidFill>
                  <a:sysClr val="windowText" lastClr="000000"/>
                </a:solidFill>
              </a:rPr>
              <a:t>Student Support and Services</a:t>
            </a: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FOCUS_PGC_ALL_6Y_HEPTYPE!$B$34</c:f>
              <c:strCache>
                <c:ptCount val="1"/>
                <c:pt idx="0">
                  <c:v>NUHEIs</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Pt>
            <c:idx val="4"/>
            <c:marker>
              <c:symbol val="circle"/>
              <c:size val="5"/>
              <c:spPr>
                <a:solidFill>
                  <a:srgbClr val="EE3B6F"/>
                </a:solidFill>
                <a:ln w="9525">
                  <a:solidFill>
                    <a:srgbClr val="EE3B6F"/>
                  </a:solidFill>
                </a:ln>
                <a:effectLst/>
              </c:spPr>
            </c:marker>
            <c:bubble3D val="0"/>
            <c:spPr>
              <a:ln w="28575" cap="rnd">
                <a:solidFill>
                  <a:srgbClr val="EE3B6F"/>
                </a:solidFill>
                <a:prstDash val="sysDash"/>
                <a:round/>
              </a:ln>
              <a:effectLst/>
            </c:spPr>
            <c:extLst>
              <c:ext xmlns:c16="http://schemas.microsoft.com/office/drawing/2014/chart" uri="{C3380CC4-5D6E-409C-BE32-E72D297353CC}">
                <c16:uniqueId val="{00000001-A6AB-43E1-890F-6D95ED8F5644}"/>
              </c:ext>
            </c:extLst>
          </c:dPt>
          <c:dPt>
            <c:idx val="5"/>
            <c:marker>
              <c:symbol val="circle"/>
              <c:size val="5"/>
              <c:spPr>
                <a:solidFill>
                  <a:srgbClr val="EE3B6F"/>
                </a:solidFill>
                <a:ln w="9525">
                  <a:solidFill>
                    <a:srgbClr val="EE3B6F"/>
                  </a:solidFill>
                </a:ln>
                <a:effectLst/>
              </c:spPr>
            </c:marker>
            <c:bubble3D val="0"/>
            <c:extLst>
              <c:ext xmlns:c16="http://schemas.microsoft.com/office/drawing/2014/chart" uri="{C3380CC4-5D6E-409C-BE32-E72D297353CC}">
                <c16:uniqueId val="{00000002-A6AB-43E1-890F-6D95ED8F5644}"/>
              </c:ext>
            </c:extLst>
          </c:dPt>
          <c:dLbls>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FOCUS_PGC_ALL_6Y_HEPTYPE!$Y$32:$AE$32</c:f>
              <c:numCache>
                <c:formatCode>General</c:formatCode>
                <c:ptCount val="6"/>
                <c:pt idx="0">
                  <c:v>2019</c:v>
                </c:pt>
                <c:pt idx="1">
                  <c:v>2020</c:v>
                </c:pt>
                <c:pt idx="2">
                  <c:v>2021</c:v>
                </c:pt>
                <c:pt idx="3">
                  <c:v>2022</c:v>
                </c:pt>
                <c:pt idx="4">
                  <c:v>2023</c:v>
                </c:pt>
                <c:pt idx="5">
                  <c:v>2024</c:v>
                </c:pt>
              </c:numCache>
            </c:numRef>
          </c:cat>
          <c:val>
            <c:numRef>
              <c:f>FOCUS_PGC_ALL_6Y_HEPTYPE!$Y$34:$AE$34</c:f>
              <c:numCache>
                <c:formatCode>0.0%</c:formatCode>
                <c:ptCount val="6"/>
                <c:pt idx="0">
                  <c:v>0.77700000000000002</c:v>
                </c:pt>
                <c:pt idx="1">
                  <c:v>0.81700000000000006</c:v>
                </c:pt>
                <c:pt idx="2">
                  <c:v>0.83</c:v>
                </c:pt>
                <c:pt idx="3">
                  <c:v>0.84200000000000008</c:v>
                </c:pt>
                <c:pt idx="4">
                  <c:v>0.79099999999999993</c:v>
                </c:pt>
                <c:pt idx="5">
                  <c:v>0.81700000000000006</c:v>
                </c:pt>
              </c:numCache>
            </c:numRef>
          </c:val>
          <c:smooth val="0"/>
          <c:extLst>
            <c:ext xmlns:c16="http://schemas.microsoft.com/office/drawing/2014/chart" uri="{C3380CC4-5D6E-409C-BE32-E72D297353CC}">
              <c16:uniqueId val="{00000003-A6AB-43E1-890F-6D95ED8F5644}"/>
            </c:ext>
          </c:extLst>
        </c:ser>
        <c:ser>
          <c:idx val="2"/>
          <c:order val="1"/>
          <c:tx>
            <c:strRef>
              <c:f>FOCUS_PGC_ALL_6Y_HEPTYPE!$B$35</c:f>
              <c:strCache>
                <c:ptCount val="1"/>
                <c:pt idx="0">
                  <c:v>Universities</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Pt>
            <c:idx val="4"/>
            <c:marker>
              <c:symbol val="circle"/>
              <c:size val="5"/>
              <c:spPr>
                <a:solidFill>
                  <a:srgbClr val="FCB942"/>
                </a:solidFill>
                <a:ln w="9525">
                  <a:solidFill>
                    <a:srgbClr val="FCB942"/>
                  </a:solidFill>
                </a:ln>
                <a:effectLst/>
              </c:spPr>
            </c:marker>
            <c:bubble3D val="0"/>
            <c:spPr>
              <a:ln w="28575" cap="rnd">
                <a:solidFill>
                  <a:srgbClr val="FCB942"/>
                </a:solidFill>
                <a:prstDash val="sysDash"/>
                <a:round/>
              </a:ln>
              <a:effectLst/>
            </c:spPr>
            <c:extLst>
              <c:ext xmlns:c16="http://schemas.microsoft.com/office/drawing/2014/chart" uri="{C3380CC4-5D6E-409C-BE32-E72D297353CC}">
                <c16:uniqueId val="{00000005-A6AB-43E1-890F-6D95ED8F5644}"/>
              </c:ext>
            </c:extLst>
          </c:dPt>
          <c:dPt>
            <c:idx val="5"/>
            <c:marker>
              <c:symbol val="circle"/>
              <c:size val="5"/>
              <c:spPr>
                <a:solidFill>
                  <a:srgbClr val="FCB942"/>
                </a:solidFill>
                <a:ln w="9525">
                  <a:solidFill>
                    <a:srgbClr val="FCB942"/>
                  </a:solidFill>
                </a:ln>
                <a:effectLst/>
              </c:spPr>
            </c:marker>
            <c:bubble3D val="0"/>
            <c:extLst>
              <c:ext xmlns:c16="http://schemas.microsoft.com/office/drawing/2014/chart" uri="{C3380CC4-5D6E-409C-BE32-E72D297353CC}">
                <c16:uniqueId val="{00000006-A6AB-43E1-890F-6D95ED8F5644}"/>
              </c:ext>
            </c:extLst>
          </c:dPt>
          <c:dLbls>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FOCUS_PGC_ALL_6Y_HEPTYPE!$Y$32:$AE$32</c:f>
              <c:numCache>
                <c:formatCode>General</c:formatCode>
                <c:ptCount val="6"/>
                <c:pt idx="0">
                  <c:v>2019</c:v>
                </c:pt>
                <c:pt idx="1">
                  <c:v>2020</c:v>
                </c:pt>
                <c:pt idx="2">
                  <c:v>2021</c:v>
                </c:pt>
                <c:pt idx="3">
                  <c:v>2022</c:v>
                </c:pt>
                <c:pt idx="4">
                  <c:v>2023</c:v>
                </c:pt>
                <c:pt idx="5">
                  <c:v>2024</c:v>
                </c:pt>
              </c:numCache>
            </c:numRef>
          </c:cat>
          <c:val>
            <c:numRef>
              <c:f>FOCUS_PGC_ALL_6Y_HEPTYPE!$Y$35:$AE$35</c:f>
              <c:numCache>
                <c:formatCode>0.0%</c:formatCode>
                <c:ptCount val="6"/>
                <c:pt idx="0">
                  <c:v>0.74199999999999999</c:v>
                </c:pt>
                <c:pt idx="1">
                  <c:v>0.72900000000000009</c:v>
                </c:pt>
                <c:pt idx="2">
                  <c:v>0.72400000000000009</c:v>
                </c:pt>
                <c:pt idx="3">
                  <c:v>0.74199999999999999</c:v>
                </c:pt>
                <c:pt idx="4">
                  <c:v>0.748</c:v>
                </c:pt>
                <c:pt idx="5">
                  <c:v>0.755</c:v>
                </c:pt>
              </c:numCache>
            </c:numRef>
          </c:val>
          <c:smooth val="0"/>
          <c:extLst>
            <c:ext xmlns:c16="http://schemas.microsoft.com/office/drawing/2014/chart" uri="{C3380CC4-5D6E-409C-BE32-E72D297353CC}">
              <c16:uniqueId val="{00000007-A6AB-43E1-890F-6D95ED8F5644}"/>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r>
              <a:rPr lang="en-AU" sz="1050">
                <a:solidFill>
                  <a:sysClr val="windowText" lastClr="000000"/>
                </a:solidFill>
              </a:rPr>
              <a:t>Learning Resources</a:t>
            </a: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FOCUS_PGC_ALL_6Y_HEPTYPE!$B$34</c:f>
              <c:strCache>
                <c:ptCount val="1"/>
                <c:pt idx="0">
                  <c:v>NUHEIs</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82A-4F40-A5F4-D1E9A2E3D908}"/>
                </c:ext>
              </c:extLst>
            </c:dLbl>
            <c:dLbl>
              <c:idx val="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82A-4F40-A5F4-D1E9A2E3D908}"/>
                </c:ext>
              </c:extLst>
            </c:dLbl>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FOCUS_PGC_ALL_6Y_HEPTYPE!$AF$32:$AL$32</c:f>
              <c:numCache>
                <c:formatCode>General</c:formatCode>
                <c:ptCount val="6"/>
                <c:pt idx="0">
                  <c:v>2019</c:v>
                </c:pt>
                <c:pt idx="1">
                  <c:v>2020</c:v>
                </c:pt>
                <c:pt idx="2">
                  <c:v>2021</c:v>
                </c:pt>
                <c:pt idx="3">
                  <c:v>2022</c:v>
                </c:pt>
                <c:pt idx="4">
                  <c:v>2023</c:v>
                </c:pt>
                <c:pt idx="5">
                  <c:v>2024</c:v>
                </c:pt>
              </c:numCache>
            </c:numRef>
          </c:cat>
          <c:val>
            <c:numRef>
              <c:f>FOCUS_PGC_ALL_6Y_HEPTYPE!$AF$34:$AL$34</c:f>
              <c:numCache>
                <c:formatCode>0.0%</c:formatCode>
                <c:ptCount val="6"/>
                <c:pt idx="0">
                  <c:v>0.73099999999999998</c:v>
                </c:pt>
                <c:pt idx="1">
                  <c:v>0.75900000000000001</c:v>
                </c:pt>
                <c:pt idx="2">
                  <c:v>0.79299999999999993</c:v>
                </c:pt>
                <c:pt idx="3">
                  <c:v>0.82399999999999995</c:v>
                </c:pt>
                <c:pt idx="4">
                  <c:v>0.8</c:v>
                </c:pt>
                <c:pt idx="5">
                  <c:v>0.81700000000000006</c:v>
                </c:pt>
              </c:numCache>
            </c:numRef>
          </c:val>
          <c:smooth val="0"/>
          <c:extLst>
            <c:ext xmlns:c16="http://schemas.microsoft.com/office/drawing/2014/chart" uri="{C3380CC4-5D6E-409C-BE32-E72D297353CC}">
              <c16:uniqueId val="{00000002-982A-4F40-A5F4-D1E9A2E3D908}"/>
            </c:ext>
          </c:extLst>
        </c:ser>
        <c:ser>
          <c:idx val="2"/>
          <c:order val="1"/>
          <c:tx>
            <c:strRef>
              <c:f>FOCUS_PGC_ALL_6Y_HEPTYPE!$B$35</c:f>
              <c:strCache>
                <c:ptCount val="1"/>
                <c:pt idx="0">
                  <c:v>Universities</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dLbl>
              <c:idx val="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82A-4F40-A5F4-D1E9A2E3D908}"/>
                </c:ext>
              </c:extLst>
            </c:dLbl>
            <c:dLbl>
              <c:idx val="2"/>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82A-4F40-A5F4-D1E9A2E3D908}"/>
                </c:ext>
              </c:extLst>
            </c:dLbl>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FOCUS_PGC_ALL_6Y_HEPTYPE!$AF$32:$AL$32</c:f>
              <c:numCache>
                <c:formatCode>General</c:formatCode>
                <c:ptCount val="6"/>
                <c:pt idx="0">
                  <c:v>2019</c:v>
                </c:pt>
                <c:pt idx="1">
                  <c:v>2020</c:v>
                </c:pt>
                <c:pt idx="2">
                  <c:v>2021</c:v>
                </c:pt>
                <c:pt idx="3">
                  <c:v>2022</c:v>
                </c:pt>
                <c:pt idx="4">
                  <c:v>2023</c:v>
                </c:pt>
                <c:pt idx="5">
                  <c:v>2024</c:v>
                </c:pt>
              </c:numCache>
            </c:numRef>
          </c:cat>
          <c:val>
            <c:numRef>
              <c:f>FOCUS_PGC_ALL_6Y_HEPTYPE!$AF$35:$AL$35</c:f>
              <c:numCache>
                <c:formatCode>0.0%</c:formatCode>
                <c:ptCount val="6"/>
                <c:pt idx="0">
                  <c:v>0.83900000000000008</c:v>
                </c:pt>
                <c:pt idx="1">
                  <c:v>0.72199999999999998</c:v>
                </c:pt>
                <c:pt idx="2">
                  <c:v>0.77</c:v>
                </c:pt>
                <c:pt idx="3">
                  <c:v>0.83599999999999997</c:v>
                </c:pt>
                <c:pt idx="4">
                  <c:v>0.85299999999999998</c:v>
                </c:pt>
                <c:pt idx="5">
                  <c:v>0.85699999999999998</c:v>
                </c:pt>
              </c:numCache>
            </c:numRef>
          </c:val>
          <c:smooth val="0"/>
          <c:extLst>
            <c:ext xmlns:c16="http://schemas.microsoft.com/office/drawing/2014/chart" uri="{C3380CC4-5D6E-409C-BE32-E72D297353CC}">
              <c16:uniqueId val="{00000005-982A-4F40-A5F4-D1E9A2E3D908}"/>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r>
              <a:rPr lang="en-AU" sz="1050">
                <a:solidFill>
                  <a:sysClr val="windowText" lastClr="000000"/>
                </a:solidFill>
              </a:rPr>
              <a:t>Overall Educational Experience</a:t>
            </a: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FOCUS_PGC_ALL_6Y_HEPTYPE!$B$34</c:f>
              <c:strCache>
                <c:ptCount val="1"/>
                <c:pt idx="0">
                  <c:v>NUHEIs</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FOCUS_PGC_ALL_6Y_HEPTYPE!$AM$32:$AR$32</c:f>
              <c:numCache>
                <c:formatCode>General</c:formatCode>
                <c:ptCount val="6"/>
                <c:pt idx="0">
                  <c:v>2019</c:v>
                </c:pt>
                <c:pt idx="1">
                  <c:v>2020</c:v>
                </c:pt>
                <c:pt idx="2">
                  <c:v>2021</c:v>
                </c:pt>
                <c:pt idx="3">
                  <c:v>2022</c:v>
                </c:pt>
                <c:pt idx="4">
                  <c:v>2023</c:v>
                </c:pt>
                <c:pt idx="5">
                  <c:v>2024</c:v>
                </c:pt>
              </c:numCache>
            </c:numRef>
          </c:cat>
          <c:val>
            <c:numRef>
              <c:f>FOCUS_PGC_ALL_6Y_HEPTYPE!$AM$34:$AR$34</c:f>
              <c:numCache>
                <c:formatCode>0.0%</c:formatCode>
                <c:ptCount val="6"/>
                <c:pt idx="0">
                  <c:v>0.79500000000000004</c:v>
                </c:pt>
                <c:pt idx="1">
                  <c:v>0.79</c:v>
                </c:pt>
                <c:pt idx="2">
                  <c:v>0.81200000000000006</c:v>
                </c:pt>
                <c:pt idx="3">
                  <c:v>0.82499999999999996</c:v>
                </c:pt>
                <c:pt idx="4">
                  <c:v>0.79500000000000004</c:v>
                </c:pt>
                <c:pt idx="5">
                  <c:v>0.81900000000000006</c:v>
                </c:pt>
              </c:numCache>
            </c:numRef>
          </c:val>
          <c:smooth val="0"/>
          <c:extLst>
            <c:ext xmlns:c16="http://schemas.microsoft.com/office/drawing/2014/chart" uri="{C3380CC4-5D6E-409C-BE32-E72D297353CC}">
              <c16:uniqueId val="{00000000-8B05-4D02-BE2E-EFFC32A8A2B6}"/>
            </c:ext>
          </c:extLst>
        </c:ser>
        <c:ser>
          <c:idx val="2"/>
          <c:order val="1"/>
          <c:tx>
            <c:strRef>
              <c:f>FOCUS_PGC_ALL_6Y_HEPTYPE!$B$35</c:f>
              <c:strCache>
                <c:ptCount val="1"/>
                <c:pt idx="0">
                  <c:v>Universities</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FOCUS_PGC_ALL_6Y_HEPTYPE!$AM$32:$AR$32</c:f>
              <c:numCache>
                <c:formatCode>General</c:formatCode>
                <c:ptCount val="6"/>
                <c:pt idx="0">
                  <c:v>2019</c:v>
                </c:pt>
                <c:pt idx="1">
                  <c:v>2020</c:v>
                </c:pt>
                <c:pt idx="2">
                  <c:v>2021</c:v>
                </c:pt>
                <c:pt idx="3">
                  <c:v>2022</c:v>
                </c:pt>
                <c:pt idx="4">
                  <c:v>2023</c:v>
                </c:pt>
                <c:pt idx="5">
                  <c:v>2024</c:v>
                </c:pt>
              </c:numCache>
            </c:numRef>
          </c:cat>
          <c:val>
            <c:numRef>
              <c:f>FOCUS_PGC_ALL_6Y_HEPTYPE!$AM$35:$AR$35</c:f>
              <c:numCache>
                <c:formatCode>0.0%</c:formatCode>
                <c:ptCount val="6"/>
                <c:pt idx="0">
                  <c:v>0.75599999999999989</c:v>
                </c:pt>
                <c:pt idx="1">
                  <c:v>0.67200000000000004</c:v>
                </c:pt>
                <c:pt idx="2">
                  <c:v>0.72199999999999998</c:v>
                </c:pt>
                <c:pt idx="3">
                  <c:v>0.7609999999999999</c:v>
                </c:pt>
                <c:pt idx="4">
                  <c:v>0.76700000000000002</c:v>
                </c:pt>
                <c:pt idx="5">
                  <c:v>0.75599999999999989</c:v>
                </c:pt>
              </c:numCache>
            </c:numRef>
          </c:val>
          <c:smooth val="0"/>
          <c:extLst>
            <c:ext xmlns:c16="http://schemas.microsoft.com/office/drawing/2014/chart" uri="{C3380CC4-5D6E-409C-BE32-E72D297353CC}">
              <c16:uniqueId val="{00000001-8B05-4D02-BE2E-EFFC32A8A2B6}"/>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QOE_UG_UNI_1Y_INST_FIG!$C$4</c:f>
              <c:strCache>
                <c:ptCount val="1"/>
                <c:pt idx="0">
                  <c:v>%</c:v>
                </c:pt>
              </c:strCache>
            </c:strRef>
          </c:tx>
          <c:spPr>
            <a:solidFill>
              <a:schemeClr val="accent4"/>
            </a:solidFill>
            <a:ln>
              <a:solidFill>
                <a:schemeClr val="accent4"/>
              </a:solidFill>
            </a:ln>
            <a:effectLst/>
          </c:spPr>
          <c:invertIfNegative val="0"/>
          <c:dPt>
            <c:idx val="26"/>
            <c:invertIfNegative val="0"/>
            <c:bubble3D val="0"/>
            <c:spPr>
              <a:solidFill>
                <a:srgbClr val="FCD8E2"/>
              </a:solidFill>
              <a:ln>
                <a:solidFill>
                  <a:srgbClr val="EE3B6F">
                    <a:lumMod val="20000"/>
                    <a:lumOff val="80000"/>
                  </a:srgbClr>
                </a:solidFill>
              </a:ln>
              <a:effectLst/>
            </c:spPr>
            <c:extLst>
              <c:ext xmlns:c16="http://schemas.microsoft.com/office/drawing/2014/chart" uri="{C3380CC4-5D6E-409C-BE32-E72D297353CC}">
                <c16:uniqueId val="{00000001-8FE5-4002-B6EA-568AA70C6AEF}"/>
              </c:ext>
            </c:extLst>
          </c:dPt>
          <c:dPt>
            <c:idx val="27"/>
            <c:invertIfNegative val="0"/>
            <c:bubble3D val="0"/>
            <c:spPr>
              <a:solidFill>
                <a:srgbClr val="EE3B6F"/>
              </a:solidFill>
              <a:ln>
                <a:solidFill>
                  <a:srgbClr val="EE3B6F">
                    <a:lumMod val="20000"/>
                    <a:lumOff val="80000"/>
                  </a:srgbClr>
                </a:solidFill>
              </a:ln>
              <a:effectLst/>
            </c:spPr>
            <c:extLst>
              <c:ext xmlns:c16="http://schemas.microsoft.com/office/drawing/2014/chart" uri="{C3380CC4-5D6E-409C-BE32-E72D297353CC}">
                <c16:uniqueId val="{00000003-8FE5-4002-B6EA-568AA70C6AEF}"/>
              </c:ext>
            </c:extLst>
          </c:dPt>
          <c:errBars>
            <c:errBarType val="both"/>
            <c:errValType val="cust"/>
            <c:noEndCap val="0"/>
            <c:plus>
              <c:numRef>
                <c:f>QOE_UG_UNI_1Y_INST_FIG!$H$5:$H$47</c:f>
                <c:numCache>
                  <c:formatCode>General</c:formatCode>
                  <c:ptCount val="43"/>
                  <c:pt idx="0">
                    <c:v>2.7000000000000028</c:v>
                  </c:pt>
                  <c:pt idx="1">
                    <c:v>2.2000000000000028</c:v>
                  </c:pt>
                  <c:pt idx="2">
                    <c:v>1.7000000000000028</c:v>
                  </c:pt>
                  <c:pt idx="3">
                    <c:v>0.89999999999999147</c:v>
                  </c:pt>
                  <c:pt idx="4">
                    <c:v>0.79999999999999716</c:v>
                  </c:pt>
                  <c:pt idx="5">
                    <c:v>0.70000000000000284</c:v>
                  </c:pt>
                  <c:pt idx="6">
                    <c:v>1.0999999999999943</c:v>
                  </c:pt>
                  <c:pt idx="7">
                    <c:v>1</c:v>
                  </c:pt>
                  <c:pt idx="8">
                    <c:v>0.79999999999999716</c:v>
                  </c:pt>
                  <c:pt idx="9">
                    <c:v>1.0999999999999943</c:v>
                  </c:pt>
                  <c:pt idx="10">
                    <c:v>0.90000000000000568</c:v>
                  </c:pt>
                  <c:pt idx="11">
                    <c:v>1.5999999999999943</c:v>
                  </c:pt>
                  <c:pt idx="12">
                    <c:v>1.1000000000000085</c:v>
                  </c:pt>
                  <c:pt idx="13">
                    <c:v>0.79999999999999716</c:v>
                  </c:pt>
                  <c:pt idx="14">
                    <c:v>1</c:v>
                  </c:pt>
                  <c:pt idx="15">
                    <c:v>0.70000000000000284</c:v>
                  </c:pt>
                  <c:pt idx="16">
                    <c:v>1.0999999999999943</c:v>
                  </c:pt>
                  <c:pt idx="17">
                    <c:v>0.90000000000000568</c:v>
                  </c:pt>
                  <c:pt idx="18">
                    <c:v>0.80000000000001137</c:v>
                  </c:pt>
                  <c:pt idx="19">
                    <c:v>0.70000000000000284</c:v>
                  </c:pt>
                  <c:pt idx="20">
                    <c:v>1.3999999999999915</c:v>
                  </c:pt>
                  <c:pt idx="21">
                    <c:v>1.1000000000000085</c:v>
                  </c:pt>
                  <c:pt idx="22">
                    <c:v>1.1000000000000085</c:v>
                  </c:pt>
                  <c:pt idx="23">
                    <c:v>0.79999999999999716</c:v>
                  </c:pt>
                  <c:pt idx="24">
                    <c:v>0.70000000000000284</c:v>
                  </c:pt>
                  <c:pt idx="25">
                    <c:v>0.79999999999999716</c:v>
                  </c:pt>
                  <c:pt idx="26">
                    <c:v>0.19999999999998863</c:v>
                  </c:pt>
                  <c:pt idx="27">
                    <c:v>1</c:v>
                  </c:pt>
                  <c:pt idx="28">
                    <c:v>0.5</c:v>
                  </c:pt>
                  <c:pt idx="29">
                    <c:v>0.90000000000000568</c:v>
                  </c:pt>
                  <c:pt idx="30">
                    <c:v>0.89999999999999147</c:v>
                  </c:pt>
                  <c:pt idx="31">
                    <c:v>1.5</c:v>
                  </c:pt>
                  <c:pt idx="32">
                    <c:v>1.3999999999999915</c:v>
                  </c:pt>
                  <c:pt idx="33">
                    <c:v>1.2999999999999972</c:v>
                  </c:pt>
                  <c:pt idx="34">
                    <c:v>0.70000000000000284</c:v>
                  </c:pt>
                  <c:pt idx="35">
                    <c:v>0.90000000000000568</c:v>
                  </c:pt>
                  <c:pt idx="36">
                    <c:v>1.2000000000000028</c:v>
                  </c:pt>
                  <c:pt idx="37">
                    <c:v>0.90000000000000568</c:v>
                  </c:pt>
                  <c:pt idx="38">
                    <c:v>1.5999999999999943</c:v>
                  </c:pt>
                  <c:pt idx="39">
                    <c:v>0.69999999999998863</c:v>
                  </c:pt>
                  <c:pt idx="40">
                    <c:v>1.4000000000000057</c:v>
                  </c:pt>
                  <c:pt idx="41">
                    <c:v>0.79999999999999716</c:v>
                  </c:pt>
                  <c:pt idx="42">
                    <c:v>1.2000000000000028</c:v>
                  </c:pt>
                </c:numCache>
              </c:numRef>
            </c:plus>
            <c:minus>
              <c:numRef>
                <c:f>QOE_UG_UNI_1Y_INST_FIG!$G$5:$G$47</c:f>
                <c:numCache>
                  <c:formatCode>General</c:formatCode>
                  <c:ptCount val="43"/>
                  <c:pt idx="0">
                    <c:v>5.7000000000000028</c:v>
                  </c:pt>
                  <c:pt idx="1">
                    <c:v>3.0999999999999943</c:v>
                  </c:pt>
                  <c:pt idx="2">
                    <c:v>2</c:v>
                  </c:pt>
                  <c:pt idx="3">
                    <c:v>1</c:v>
                  </c:pt>
                  <c:pt idx="4">
                    <c:v>0.79999999999999716</c:v>
                  </c:pt>
                  <c:pt idx="5">
                    <c:v>0.69999999999998863</c:v>
                  </c:pt>
                  <c:pt idx="6">
                    <c:v>1.0999999999999943</c:v>
                  </c:pt>
                  <c:pt idx="7">
                    <c:v>1</c:v>
                  </c:pt>
                  <c:pt idx="8">
                    <c:v>0.79999999999999716</c:v>
                  </c:pt>
                  <c:pt idx="9">
                    <c:v>1.2000000000000028</c:v>
                  </c:pt>
                  <c:pt idx="10">
                    <c:v>1</c:v>
                  </c:pt>
                  <c:pt idx="11">
                    <c:v>1.7000000000000028</c:v>
                  </c:pt>
                  <c:pt idx="12">
                    <c:v>1.0999999999999943</c:v>
                  </c:pt>
                  <c:pt idx="13">
                    <c:v>0.90000000000000568</c:v>
                  </c:pt>
                  <c:pt idx="14">
                    <c:v>0.89999999999999147</c:v>
                  </c:pt>
                  <c:pt idx="15">
                    <c:v>0.79999999999999716</c:v>
                  </c:pt>
                  <c:pt idx="16">
                    <c:v>1.0999999999999943</c:v>
                  </c:pt>
                  <c:pt idx="17">
                    <c:v>0.90000000000000568</c:v>
                  </c:pt>
                  <c:pt idx="18">
                    <c:v>0.79999999999999716</c:v>
                  </c:pt>
                  <c:pt idx="19">
                    <c:v>0.79999999999999716</c:v>
                  </c:pt>
                  <c:pt idx="20">
                    <c:v>1.4000000000000057</c:v>
                  </c:pt>
                  <c:pt idx="21">
                    <c:v>1.0999999999999943</c:v>
                  </c:pt>
                  <c:pt idx="22">
                    <c:v>1.2000000000000028</c:v>
                  </c:pt>
                  <c:pt idx="23">
                    <c:v>0.89999999999999147</c:v>
                  </c:pt>
                  <c:pt idx="24">
                    <c:v>0.79999999999999716</c:v>
                  </c:pt>
                  <c:pt idx="25">
                    <c:v>0.79999999999999716</c:v>
                  </c:pt>
                  <c:pt idx="26">
                    <c:v>0.10000000000000853</c:v>
                  </c:pt>
                  <c:pt idx="27">
                    <c:v>1</c:v>
                  </c:pt>
                  <c:pt idx="28">
                    <c:v>0.59999999999999432</c:v>
                  </c:pt>
                  <c:pt idx="29">
                    <c:v>0.89999999999999147</c:v>
                  </c:pt>
                  <c:pt idx="30">
                    <c:v>0.80000000000001137</c:v>
                  </c:pt>
                  <c:pt idx="31">
                    <c:v>1.6000000000000085</c:v>
                  </c:pt>
                  <c:pt idx="32">
                    <c:v>1.4000000000000057</c:v>
                  </c:pt>
                  <c:pt idx="33">
                    <c:v>1.2999999999999972</c:v>
                  </c:pt>
                  <c:pt idx="34">
                    <c:v>0.59999999999999432</c:v>
                  </c:pt>
                  <c:pt idx="35">
                    <c:v>0.89999999999999147</c:v>
                  </c:pt>
                  <c:pt idx="36">
                    <c:v>1.2999999999999972</c:v>
                  </c:pt>
                  <c:pt idx="37">
                    <c:v>0.90000000000000568</c:v>
                  </c:pt>
                  <c:pt idx="38">
                    <c:v>1.7000000000000028</c:v>
                  </c:pt>
                  <c:pt idx="39">
                    <c:v>0.70000000000000284</c:v>
                  </c:pt>
                  <c:pt idx="40">
                    <c:v>1.5</c:v>
                  </c:pt>
                  <c:pt idx="41">
                    <c:v>0.70000000000000284</c:v>
                  </c:pt>
                  <c:pt idx="42">
                    <c:v>1.1999999999999886</c:v>
                  </c:pt>
                </c:numCache>
              </c:numRef>
            </c:minus>
            <c:spPr>
              <a:noFill/>
              <a:ln w="15875" cap="flat" cmpd="sng" algn="ctr">
                <a:solidFill>
                  <a:schemeClr val="tx1">
                    <a:lumMod val="65000"/>
                    <a:lumOff val="35000"/>
                  </a:schemeClr>
                </a:solidFill>
                <a:round/>
              </a:ln>
              <a:effectLst/>
            </c:spPr>
          </c:errBars>
          <c:cat>
            <c:strRef>
              <c:f>QOE_UG_UNI_1Y_INST_FIG!$B$5:$B$47</c:f>
              <c:strCache>
                <c:ptCount val="43"/>
                <c:pt idx="0">
                  <c:v>University of Divinity</c:v>
                </c:pt>
                <c:pt idx="1">
                  <c:v>Avondale University</c:v>
                </c:pt>
                <c:pt idx="2">
                  <c:v>Bond University</c:v>
                </c:pt>
                <c:pt idx="3">
                  <c:v>University of Wollongong</c:v>
                </c:pt>
                <c:pt idx="4">
                  <c:v>Australian Catholic University</c:v>
                </c:pt>
                <c:pt idx="5">
                  <c:v>Deakin University</c:v>
                </c:pt>
                <c:pt idx="6">
                  <c:v>University of the Sunshine Coast</c:v>
                </c:pt>
                <c:pt idx="7">
                  <c:v>Charles Sturt University</c:v>
                </c:pt>
                <c:pt idx="8">
                  <c:v>Edith Cowan University</c:v>
                </c:pt>
                <c:pt idx="9">
                  <c:v>University of New England</c:v>
                </c:pt>
                <c:pt idx="10">
                  <c:v>Victoria University</c:v>
                </c:pt>
                <c:pt idx="11">
                  <c:v>Federation University Australia</c:v>
                </c:pt>
                <c:pt idx="12">
                  <c:v>Flinders University</c:v>
                </c:pt>
                <c:pt idx="13">
                  <c:v>La Trobe University</c:v>
                </c:pt>
                <c:pt idx="14">
                  <c:v>University of Newcastle</c:v>
                </c:pt>
                <c:pt idx="15">
                  <c:v>The University of Queensland</c:v>
                </c:pt>
                <c:pt idx="16">
                  <c:v>The Australian National University</c:v>
                </c:pt>
                <c:pt idx="17">
                  <c:v>The University of South Australia</c:v>
                </c:pt>
                <c:pt idx="18">
                  <c:v>Griffith University</c:v>
                </c:pt>
                <c:pt idx="19">
                  <c:v>Queensland University of Technology</c:v>
                </c:pt>
                <c:pt idx="20">
                  <c:v>Murdoch University</c:v>
                </c:pt>
                <c:pt idx="21">
                  <c:v>Central Queensland University</c:v>
                </c:pt>
                <c:pt idx="22">
                  <c:v>Torrens University</c:v>
                </c:pt>
                <c:pt idx="23">
                  <c:v>University of Tasmania</c:v>
                </c:pt>
                <c:pt idx="24">
                  <c:v>University of Technology Sydney</c:v>
                </c:pt>
                <c:pt idx="25">
                  <c:v>Swinburne University of Technology</c:v>
                </c:pt>
                <c:pt idx="26">
                  <c:v>All universities</c:v>
                </c:pt>
                <c:pt idx="27">
                  <c:v>The University of Adelaide</c:v>
                </c:pt>
                <c:pt idx="28">
                  <c:v>Macquarie University</c:v>
                </c:pt>
                <c:pt idx="29">
                  <c:v>The University of Western Australia</c:v>
                </c:pt>
                <c:pt idx="30">
                  <c:v>Western Sydney University</c:v>
                </c:pt>
                <c:pt idx="31">
                  <c:v>Charles Darwin University</c:v>
                </c:pt>
                <c:pt idx="32">
                  <c:v>James Cook University</c:v>
                </c:pt>
                <c:pt idx="33">
                  <c:v>University of Canberra</c:v>
                </c:pt>
                <c:pt idx="34">
                  <c:v>Monash University</c:v>
                </c:pt>
                <c:pt idx="35">
                  <c:v>Curtin University</c:v>
                </c:pt>
                <c:pt idx="36">
                  <c:v>The University of Notre Dame Australia</c:v>
                </c:pt>
                <c:pt idx="37">
                  <c:v>RMIT University</c:v>
                </c:pt>
                <c:pt idx="38">
                  <c:v>Southern Cross University</c:v>
                </c:pt>
                <c:pt idx="39">
                  <c:v>University of New South Wales</c:v>
                </c:pt>
                <c:pt idx="40">
                  <c:v>University of Southern Queensland</c:v>
                </c:pt>
                <c:pt idx="41">
                  <c:v>The University of Sydney</c:v>
                </c:pt>
                <c:pt idx="42">
                  <c:v>The University of Melbourne</c:v>
                </c:pt>
              </c:strCache>
            </c:strRef>
          </c:cat>
          <c:val>
            <c:numRef>
              <c:f>QOE_UG_UNI_1Y_INST_FIG!$C$5:$C$47</c:f>
              <c:numCache>
                <c:formatCode>0.0</c:formatCode>
                <c:ptCount val="43"/>
                <c:pt idx="0">
                  <c:v>92</c:v>
                </c:pt>
                <c:pt idx="1">
                  <c:v>88.8</c:v>
                </c:pt>
                <c:pt idx="2">
                  <c:v>86.3</c:v>
                </c:pt>
                <c:pt idx="3">
                  <c:v>80.900000000000006</c:v>
                </c:pt>
                <c:pt idx="4">
                  <c:v>80.5</c:v>
                </c:pt>
                <c:pt idx="5">
                  <c:v>80.099999999999994</c:v>
                </c:pt>
                <c:pt idx="6">
                  <c:v>80</c:v>
                </c:pt>
                <c:pt idx="7">
                  <c:v>79.7</c:v>
                </c:pt>
                <c:pt idx="8">
                  <c:v>79.7</c:v>
                </c:pt>
                <c:pt idx="9">
                  <c:v>79.5</c:v>
                </c:pt>
                <c:pt idx="10">
                  <c:v>79.099999999999994</c:v>
                </c:pt>
                <c:pt idx="11">
                  <c:v>78.900000000000006</c:v>
                </c:pt>
                <c:pt idx="12">
                  <c:v>78.599999999999994</c:v>
                </c:pt>
                <c:pt idx="13">
                  <c:v>78.5</c:v>
                </c:pt>
                <c:pt idx="14">
                  <c:v>78.3</c:v>
                </c:pt>
                <c:pt idx="15">
                  <c:v>78.099999999999994</c:v>
                </c:pt>
                <c:pt idx="16">
                  <c:v>78</c:v>
                </c:pt>
                <c:pt idx="17">
                  <c:v>78</c:v>
                </c:pt>
                <c:pt idx="18">
                  <c:v>77.599999999999994</c:v>
                </c:pt>
                <c:pt idx="19">
                  <c:v>77</c:v>
                </c:pt>
                <c:pt idx="20">
                  <c:v>76.900000000000006</c:v>
                </c:pt>
                <c:pt idx="21">
                  <c:v>76.8</c:v>
                </c:pt>
                <c:pt idx="22">
                  <c:v>76.8</c:v>
                </c:pt>
                <c:pt idx="23">
                  <c:v>76.8</c:v>
                </c:pt>
                <c:pt idx="24">
                  <c:v>76.599999999999994</c:v>
                </c:pt>
                <c:pt idx="25">
                  <c:v>76.5</c:v>
                </c:pt>
                <c:pt idx="26">
                  <c:v>76.400000000000006</c:v>
                </c:pt>
                <c:pt idx="27">
                  <c:v>76</c:v>
                </c:pt>
                <c:pt idx="28">
                  <c:v>75.8</c:v>
                </c:pt>
                <c:pt idx="29">
                  <c:v>75.599999999999994</c:v>
                </c:pt>
                <c:pt idx="30">
                  <c:v>75.400000000000006</c:v>
                </c:pt>
                <c:pt idx="31">
                  <c:v>75.2</c:v>
                </c:pt>
                <c:pt idx="32">
                  <c:v>75.2</c:v>
                </c:pt>
                <c:pt idx="33">
                  <c:v>75.2</c:v>
                </c:pt>
                <c:pt idx="34">
                  <c:v>74.599999999999994</c:v>
                </c:pt>
                <c:pt idx="35">
                  <c:v>74.099999999999994</c:v>
                </c:pt>
                <c:pt idx="36">
                  <c:v>73.099999999999994</c:v>
                </c:pt>
                <c:pt idx="37">
                  <c:v>73</c:v>
                </c:pt>
                <c:pt idx="38">
                  <c:v>72.900000000000006</c:v>
                </c:pt>
                <c:pt idx="39">
                  <c:v>72.900000000000006</c:v>
                </c:pt>
                <c:pt idx="40">
                  <c:v>72.3</c:v>
                </c:pt>
                <c:pt idx="41">
                  <c:v>71</c:v>
                </c:pt>
                <c:pt idx="42">
                  <c:v>68.099999999999994</c:v>
                </c:pt>
              </c:numCache>
            </c:numRef>
          </c:val>
          <c:extLst>
            <c:ext xmlns:c16="http://schemas.microsoft.com/office/drawing/2014/chart" uri="{C3380CC4-5D6E-409C-BE32-E72D297353CC}">
              <c16:uniqueId val="{00000004-8FE5-4002-B6EA-568AA70C6AEF}"/>
            </c:ext>
          </c:extLst>
        </c:ser>
        <c:dLbls>
          <c:showLegendKey val="0"/>
          <c:showVal val="0"/>
          <c:showCatName val="0"/>
          <c:showSerName val="0"/>
          <c:showPercent val="0"/>
          <c:showBubbleSize val="0"/>
        </c:dLbls>
        <c:gapWidth val="80"/>
        <c:overlap val="-27"/>
        <c:axId val="1831750607"/>
        <c:axId val="1831747247"/>
      </c:barChart>
      <c:catAx>
        <c:axId val="1831750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31747247"/>
        <c:crosses val="autoZero"/>
        <c:auto val="1"/>
        <c:lblAlgn val="ctr"/>
        <c:lblOffset val="100"/>
        <c:noMultiLvlLbl val="0"/>
      </c:catAx>
      <c:valAx>
        <c:axId val="1831747247"/>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Public Sans" pitchFamily="2" charset="0"/>
                    <a:ea typeface="+mn-ea"/>
                    <a:cs typeface="+mn-cs"/>
                  </a:defRPr>
                </a:pPr>
                <a:r>
                  <a:rPr lang="en-AU"/>
                  <a:t>% positive rating</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Public Sans" pitchFamily="2" charset="0"/>
                  <a:ea typeface="+mn-ea"/>
                  <a:cs typeface="+mn-cs"/>
                </a:defRPr>
              </a:pPr>
              <a:endParaRPr lang="en-AU"/>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31750607"/>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latin typeface="Public Sans" pitchFamily="2" charset="0"/>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QOE_PGC_UNI_1Y_INST_FIG!$C$4</c:f>
              <c:strCache>
                <c:ptCount val="1"/>
                <c:pt idx="0">
                  <c:v>%</c:v>
                </c:pt>
              </c:strCache>
            </c:strRef>
          </c:tx>
          <c:spPr>
            <a:solidFill>
              <a:srgbClr val="FCB942"/>
            </a:solidFill>
            <a:ln>
              <a:solidFill>
                <a:srgbClr val="FCB942"/>
              </a:solidFill>
            </a:ln>
            <a:effectLst/>
          </c:spPr>
          <c:invertIfNegative val="0"/>
          <c:dPt>
            <c:idx val="23"/>
            <c:invertIfNegative val="0"/>
            <c:bubble3D val="0"/>
            <c:spPr>
              <a:solidFill>
                <a:srgbClr val="FCB942">
                  <a:lumMod val="40000"/>
                  <a:lumOff val="60000"/>
                </a:srgbClr>
              </a:solidFill>
              <a:ln>
                <a:solidFill>
                  <a:srgbClr val="FCB942">
                    <a:lumMod val="40000"/>
                    <a:lumOff val="60000"/>
                  </a:srgbClr>
                </a:solidFill>
              </a:ln>
              <a:effectLst/>
            </c:spPr>
            <c:extLst>
              <c:ext xmlns:c16="http://schemas.microsoft.com/office/drawing/2014/chart" uri="{C3380CC4-5D6E-409C-BE32-E72D297353CC}">
                <c16:uniqueId val="{00000001-1F35-41DC-8E78-993C1E7628CD}"/>
              </c:ext>
            </c:extLst>
          </c:dPt>
          <c:dPt>
            <c:idx val="24"/>
            <c:invertIfNegative val="0"/>
            <c:bubble3D val="0"/>
            <c:spPr>
              <a:solidFill>
                <a:srgbClr val="FCB942"/>
              </a:solidFill>
              <a:ln>
                <a:solidFill>
                  <a:srgbClr val="FCB942"/>
                </a:solidFill>
              </a:ln>
              <a:effectLst/>
            </c:spPr>
            <c:extLst>
              <c:ext xmlns:c16="http://schemas.microsoft.com/office/drawing/2014/chart" uri="{C3380CC4-5D6E-409C-BE32-E72D297353CC}">
                <c16:uniqueId val="{00000003-1F35-41DC-8E78-993C1E7628CD}"/>
              </c:ext>
            </c:extLst>
          </c:dPt>
          <c:errBars>
            <c:errBarType val="both"/>
            <c:errValType val="cust"/>
            <c:noEndCap val="0"/>
            <c:plus>
              <c:numRef>
                <c:f>QOE_PGC_UNI_1Y_INST_FIG!$H$5:$H$47</c:f>
                <c:numCache>
                  <c:formatCode>General</c:formatCode>
                  <c:ptCount val="43"/>
                  <c:pt idx="0">
                    <c:v>3.3999999999999915</c:v>
                  </c:pt>
                  <c:pt idx="1">
                    <c:v>2.5</c:v>
                  </c:pt>
                  <c:pt idx="2">
                    <c:v>2.7000000000000028</c:v>
                  </c:pt>
                  <c:pt idx="3">
                    <c:v>1.3999999999999915</c:v>
                  </c:pt>
                  <c:pt idx="4">
                    <c:v>1.4000000000000057</c:v>
                  </c:pt>
                  <c:pt idx="5">
                    <c:v>0.80000000000001137</c:v>
                  </c:pt>
                  <c:pt idx="6">
                    <c:v>2.2999999999999972</c:v>
                  </c:pt>
                  <c:pt idx="7">
                    <c:v>1.4000000000000057</c:v>
                  </c:pt>
                  <c:pt idx="8">
                    <c:v>1.5999999999999943</c:v>
                  </c:pt>
                  <c:pt idx="9">
                    <c:v>0.89999999999999147</c:v>
                  </c:pt>
                  <c:pt idx="10">
                    <c:v>1.0999999999999943</c:v>
                  </c:pt>
                  <c:pt idx="11">
                    <c:v>1.2000000000000028</c:v>
                  </c:pt>
                  <c:pt idx="12">
                    <c:v>0.79999999999999716</c:v>
                  </c:pt>
                  <c:pt idx="13">
                    <c:v>1.3999999999999915</c:v>
                  </c:pt>
                  <c:pt idx="14">
                    <c:v>0.79999999999999716</c:v>
                  </c:pt>
                  <c:pt idx="15">
                    <c:v>1.1000000000000085</c:v>
                  </c:pt>
                  <c:pt idx="16">
                    <c:v>1.0999999999999943</c:v>
                  </c:pt>
                  <c:pt idx="17">
                    <c:v>1.2000000000000028</c:v>
                  </c:pt>
                  <c:pt idx="18">
                    <c:v>1.1000000000000085</c:v>
                  </c:pt>
                  <c:pt idx="19">
                    <c:v>1.5</c:v>
                  </c:pt>
                  <c:pt idx="20">
                    <c:v>1.5999999999999943</c:v>
                  </c:pt>
                  <c:pt idx="21">
                    <c:v>1.2000000000000028</c:v>
                  </c:pt>
                  <c:pt idx="22">
                    <c:v>1.4000000000000057</c:v>
                  </c:pt>
                  <c:pt idx="23">
                    <c:v>0.20000000000000284</c:v>
                  </c:pt>
                  <c:pt idx="24">
                    <c:v>1.6999999999999886</c:v>
                  </c:pt>
                  <c:pt idx="25">
                    <c:v>1.2999999999999972</c:v>
                  </c:pt>
                  <c:pt idx="26">
                    <c:v>0.90000000000000568</c:v>
                  </c:pt>
                  <c:pt idx="27">
                    <c:v>1.8000000000000114</c:v>
                  </c:pt>
                  <c:pt idx="28">
                    <c:v>0.79999999999999716</c:v>
                  </c:pt>
                  <c:pt idx="29">
                    <c:v>1.3999999999999915</c:v>
                  </c:pt>
                  <c:pt idx="30">
                    <c:v>1.2999999999999972</c:v>
                  </c:pt>
                  <c:pt idx="31">
                    <c:v>1.7000000000000028</c:v>
                  </c:pt>
                  <c:pt idx="32">
                    <c:v>1.0999999999999943</c:v>
                  </c:pt>
                  <c:pt idx="33">
                    <c:v>2.4000000000000057</c:v>
                  </c:pt>
                  <c:pt idx="34">
                    <c:v>1.3000000000000114</c:v>
                  </c:pt>
                  <c:pt idx="35">
                    <c:v>2.3999999999999915</c:v>
                  </c:pt>
                  <c:pt idx="36">
                    <c:v>2</c:v>
                  </c:pt>
                  <c:pt idx="37">
                    <c:v>1.1999999999999886</c:v>
                  </c:pt>
                  <c:pt idx="38">
                    <c:v>1.3999999999999915</c:v>
                  </c:pt>
                  <c:pt idx="39">
                    <c:v>0.59999999999999432</c:v>
                  </c:pt>
                  <c:pt idx="40">
                    <c:v>1.5</c:v>
                  </c:pt>
                  <c:pt idx="41">
                    <c:v>1</c:v>
                  </c:pt>
                  <c:pt idx="42">
                    <c:v>2.3999999999999915</c:v>
                  </c:pt>
                </c:numCache>
              </c:numRef>
            </c:plus>
            <c:minus>
              <c:numRef>
                <c:f>QOE_PGC_UNI_1Y_INST_FIG!$G$5:$G$47</c:f>
                <c:numCache>
                  <c:formatCode>General</c:formatCode>
                  <c:ptCount val="43"/>
                  <c:pt idx="0">
                    <c:v>8.9000000000000057</c:v>
                  </c:pt>
                  <c:pt idx="1">
                    <c:v>3.7999999999999972</c:v>
                  </c:pt>
                  <c:pt idx="2">
                    <c:v>3.5</c:v>
                  </c:pt>
                  <c:pt idx="3">
                    <c:v>1.6000000000000085</c:v>
                  </c:pt>
                  <c:pt idx="4">
                    <c:v>1.5</c:v>
                  </c:pt>
                  <c:pt idx="5">
                    <c:v>0.89999999999999147</c:v>
                  </c:pt>
                  <c:pt idx="6">
                    <c:v>2.7000000000000028</c:v>
                  </c:pt>
                  <c:pt idx="7">
                    <c:v>1.5999999999999943</c:v>
                  </c:pt>
                  <c:pt idx="8">
                    <c:v>1.7000000000000028</c:v>
                  </c:pt>
                  <c:pt idx="9">
                    <c:v>1</c:v>
                  </c:pt>
                  <c:pt idx="10">
                    <c:v>1.1000000000000085</c:v>
                  </c:pt>
                  <c:pt idx="11">
                    <c:v>1.2000000000000028</c:v>
                  </c:pt>
                  <c:pt idx="12">
                    <c:v>0.90000000000000568</c:v>
                  </c:pt>
                  <c:pt idx="13">
                    <c:v>1.6000000000000085</c:v>
                  </c:pt>
                  <c:pt idx="14">
                    <c:v>0.79999999999999716</c:v>
                  </c:pt>
                  <c:pt idx="15">
                    <c:v>1.0999999999999943</c:v>
                  </c:pt>
                  <c:pt idx="16">
                    <c:v>1.0999999999999943</c:v>
                  </c:pt>
                  <c:pt idx="17">
                    <c:v>1.2999999999999972</c:v>
                  </c:pt>
                  <c:pt idx="18">
                    <c:v>1.0999999999999943</c:v>
                  </c:pt>
                  <c:pt idx="19">
                    <c:v>1.5999999999999943</c:v>
                  </c:pt>
                  <c:pt idx="20">
                    <c:v>1.7000000000000028</c:v>
                  </c:pt>
                  <c:pt idx="21">
                    <c:v>1.2000000000000028</c:v>
                  </c:pt>
                  <c:pt idx="22">
                    <c:v>1.3999999999999915</c:v>
                  </c:pt>
                  <c:pt idx="23">
                    <c:v>0.19999999999998863</c:v>
                  </c:pt>
                  <c:pt idx="24">
                    <c:v>1.9000000000000057</c:v>
                  </c:pt>
                  <c:pt idx="25">
                    <c:v>1.4000000000000057</c:v>
                  </c:pt>
                  <c:pt idx="26">
                    <c:v>0.89999999999999147</c:v>
                  </c:pt>
                  <c:pt idx="27">
                    <c:v>2</c:v>
                  </c:pt>
                  <c:pt idx="28">
                    <c:v>0.79999999999999716</c:v>
                  </c:pt>
                  <c:pt idx="29">
                    <c:v>1.5</c:v>
                  </c:pt>
                  <c:pt idx="30">
                    <c:v>1.2000000000000028</c:v>
                  </c:pt>
                  <c:pt idx="31">
                    <c:v>1.7999999999999972</c:v>
                  </c:pt>
                  <c:pt idx="32">
                    <c:v>1.1000000000000085</c:v>
                  </c:pt>
                  <c:pt idx="33">
                    <c:v>2.5999999999999943</c:v>
                  </c:pt>
                  <c:pt idx="34">
                    <c:v>1.3999999999999915</c:v>
                  </c:pt>
                  <c:pt idx="35">
                    <c:v>2.7999999999999972</c:v>
                  </c:pt>
                  <c:pt idx="36">
                    <c:v>2.1999999999999886</c:v>
                  </c:pt>
                  <c:pt idx="37">
                    <c:v>1.1000000000000085</c:v>
                  </c:pt>
                  <c:pt idx="38">
                    <c:v>1.5</c:v>
                  </c:pt>
                  <c:pt idx="39">
                    <c:v>0.70000000000000284</c:v>
                  </c:pt>
                  <c:pt idx="40">
                    <c:v>1.5</c:v>
                  </c:pt>
                  <c:pt idx="41">
                    <c:v>0.90000000000000568</c:v>
                  </c:pt>
                  <c:pt idx="42">
                    <c:v>2.5</c:v>
                  </c:pt>
                </c:numCache>
              </c:numRef>
            </c:minus>
            <c:spPr>
              <a:noFill/>
              <a:ln w="19050" cap="flat" cmpd="sng" algn="ctr">
                <a:solidFill>
                  <a:schemeClr val="tx1">
                    <a:lumMod val="65000"/>
                    <a:lumOff val="35000"/>
                  </a:schemeClr>
                </a:solidFill>
                <a:round/>
              </a:ln>
              <a:effectLst/>
            </c:spPr>
          </c:errBars>
          <c:cat>
            <c:strRef>
              <c:f>QOE_PGC_UNI_1Y_INST_FIG!$B$5:$B$47</c:f>
              <c:strCache>
                <c:ptCount val="43"/>
                <c:pt idx="0">
                  <c:v>Avondale University</c:v>
                </c:pt>
                <c:pt idx="1">
                  <c:v>University of Divinity</c:v>
                </c:pt>
                <c:pt idx="2">
                  <c:v>University of the Sunshine Coast</c:v>
                </c:pt>
                <c:pt idx="3">
                  <c:v>James Cook University</c:v>
                </c:pt>
                <c:pt idx="4">
                  <c:v>University of New England</c:v>
                </c:pt>
                <c:pt idx="5">
                  <c:v>Edith Cowan University</c:v>
                </c:pt>
                <c:pt idx="6">
                  <c:v>Bond University</c:v>
                </c:pt>
                <c:pt idx="7">
                  <c:v>Central Queensland University</c:v>
                </c:pt>
                <c:pt idx="8">
                  <c:v>University of Newcastle</c:v>
                </c:pt>
                <c:pt idx="9">
                  <c:v>Deakin University</c:v>
                </c:pt>
                <c:pt idx="10">
                  <c:v>Torrens University</c:v>
                </c:pt>
                <c:pt idx="11">
                  <c:v>Griffith University</c:v>
                </c:pt>
                <c:pt idx="12">
                  <c:v>Murdoch University</c:v>
                </c:pt>
                <c:pt idx="13">
                  <c:v>Charles Sturt University</c:v>
                </c:pt>
                <c:pt idx="14">
                  <c:v>University of New South Wales</c:v>
                </c:pt>
                <c:pt idx="15">
                  <c:v>University of Technology Sydney</c:v>
                </c:pt>
                <c:pt idx="16">
                  <c:v>The University of Queensland</c:v>
                </c:pt>
                <c:pt idx="17">
                  <c:v>RMIT University</c:v>
                </c:pt>
                <c:pt idx="18">
                  <c:v>La Trobe University</c:v>
                </c:pt>
                <c:pt idx="19">
                  <c:v>The University of South Australia</c:v>
                </c:pt>
                <c:pt idx="20">
                  <c:v>University of Canberra</c:v>
                </c:pt>
                <c:pt idx="21">
                  <c:v>Western Sydney University</c:v>
                </c:pt>
                <c:pt idx="22">
                  <c:v>Flinders University</c:v>
                </c:pt>
                <c:pt idx="23">
                  <c:v>All universities</c:v>
                </c:pt>
                <c:pt idx="24">
                  <c:v>Australian Catholic University</c:v>
                </c:pt>
                <c:pt idx="25">
                  <c:v>Queensland University of Technology</c:v>
                </c:pt>
                <c:pt idx="26">
                  <c:v>Macquarie University</c:v>
                </c:pt>
                <c:pt idx="27">
                  <c:v>University of Tasmania</c:v>
                </c:pt>
                <c:pt idx="28">
                  <c:v>Monash University</c:v>
                </c:pt>
                <c:pt idx="29">
                  <c:v>Swinburne University of Technology</c:v>
                </c:pt>
                <c:pt idx="30">
                  <c:v>Victoria University</c:v>
                </c:pt>
                <c:pt idx="31">
                  <c:v>Charles Darwin University</c:v>
                </c:pt>
                <c:pt idx="32">
                  <c:v>The University of Western Australia</c:v>
                </c:pt>
                <c:pt idx="33">
                  <c:v>Federation University Australia</c:v>
                </c:pt>
                <c:pt idx="34">
                  <c:v>University of Wollongong</c:v>
                </c:pt>
                <c:pt idx="35">
                  <c:v>University of Southern Queensland</c:v>
                </c:pt>
                <c:pt idx="36">
                  <c:v>Southern Cross University</c:v>
                </c:pt>
                <c:pt idx="37">
                  <c:v>Curtin University</c:v>
                </c:pt>
                <c:pt idx="38">
                  <c:v>The Australian National University</c:v>
                </c:pt>
                <c:pt idx="39">
                  <c:v>The University of Melbourne</c:v>
                </c:pt>
                <c:pt idx="40">
                  <c:v>The University of Adelaide</c:v>
                </c:pt>
                <c:pt idx="41">
                  <c:v>The University of Sydney</c:v>
                </c:pt>
                <c:pt idx="42">
                  <c:v>The University of Notre Dame Australia</c:v>
                </c:pt>
              </c:strCache>
            </c:strRef>
          </c:cat>
          <c:val>
            <c:numRef>
              <c:f>QOE_PGC_UNI_1Y_INST_FIG!$C$5:$C$47</c:f>
              <c:numCache>
                <c:formatCode>0.0</c:formatCode>
                <c:ptCount val="43"/>
                <c:pt idx="0">
                  <c:v>88.9</c:v>
                </c:pt>
                <c:pt idx="1">
                  <c:v>88</c:v>
                </c:pt>
                <c:pt idx="2">
                  <c:v>84.3</c:v>
                </c:pt>
                <c:pt idx="3">
                  <c:v>82.7</c:v>
                </c:pt>
                <c:pt idx="4">
                  <c:v>82</c:v>
                </c:pt>
                <c:pt idx="5">
                  <c:v>81.099999999999994</c:v>
                </c:pt>
                <c:pt idx="6">
                  <c:v>81</c:v>
                </c:pt>
                <c:pt idx="7">
                  <c:v>79.8</c:v>
                </c:pt>
                <c:pt idx="8">
                  <c:v>79</c:v>
                </c:pt>
                <c:pt idx="9">
                  <c:v>78.900000000000006</c:v>
                </c:pt>
                <c:pt idx="10">
                  <c:v>78.2</c:v>
                </c:pt>
                <c:pt idx="11">
                  <c:v>78</c:v>
                </c:pt>
                <c:pt idx="12">
                  <c:v>78</c:v>
                </c:pt>
                <c:pt idx="13">
                  <c:v>77.900000000000006</c:v>
                </c:pt>
                <c:pt idx="14">
                  <c:v>77.8</c:v>
                </c:pt>
                <c:pt idx="15">
                  <c:v>77.3</c:v>
                </c:pt>
                <c:pt idx="16">
                  <c:v>77</c:v>
                </c:pt>
                <c:pt idx="17">
                  <c:v>76.599999999999994</c:v>
                </c:pt>
                <c:pt idx="18">
                  <c:v>76.099999999999994</c:v>
                </c:pt>
                <c:pt idx="19">
                  <c:v>76</c:v>
                </c:pt>
                <c:pt idx="20">
                  <c:v>75.7</c:v>
                </c:pt>
                <c:pt idx="21">
                  <c:v>75.7</c:v>
                </c:pt>
                <c:pt idx="22">
                  <c:v>75.599999999999994</c:v>
                </c:pt>
                <c:pt idx="23">
                  <c:v>75.599999999999994</c:v>
                </c:pt>
                <c:pt idx="24">
                  <c:v>75.400000000000006</c:v>
                </c:pt>
                <c:pt idx="25">
                  <c:v>75.400000000000006</c:v>
                </c:pt>
                <c:pt idx="26">
                  <c:v>75.3</c:v>
                </c:pt>
                <c:pt idx="27">
                  <c:v>75.099999999999994</c:v>
                </c:pt>
                <c:pt idx="28">
                  <c:v>75</c:v>
                </c:pt>
                <c:pt idx="29">
                  <c:v>74.400000000000006</c:v>
                </c:pt>
                <c:pt idx="30">
                  <c:v>74.3</c:v>
                </c:pt>
                <c:pt idx="31">
                  <c:v>74.2</c:v>
                </c:pt>
                <c:pt idx="32">
                  <c:v>73.7</c:v>
                </c:pt>
                <c:pt idx="33">
                  <c:v>73.099999999999994</c:v>
                </c:pt>
                <c:pt idx="34">
                  <c:v>73.099999999999994</c:v>
                </c:pt>
                <c:pt idx="35">
                  <c:v>72.7</c:v>
                </c:pt>
                <c:pt idx="36">
                  <c:v>72.599999999999994</c:v>
                </c:pt>
                <c:pt idx="37">
                  <c:v>72.400000000000006</c:v>
                </c:pt>
                <c:pt idx="38">
                  <c:v>72.400000000000006</c:v>
                </c:pt>
                <c:pt idx="39">
                  <c:v>72.2</c:v>
                </c:pt>
                <c:pt idx="40">
                  <c:v>70.400000000000006</c:v>
                </c:pt>
                <c:pt idx="41">
                  <c:v>70.2</c:v>
                </c:pt>
                <c:pt idx="42">
                  <c:v>67.7</c:v>
                </c:pt>
              </c:numCache>
            </c:numRef>
          </c:val>
          <c:extLst>
            <c:ext xmlns:c16="http://schemas.microsoft.com/office/drawing/2014/chart" uri="{C3380CC4-5D6E-409C-BE32-E72D297353CC}">
              <c16:uniqueId val="{00000004-1F35-41DC-8E78-993C1E7628CD}"/>
            </c:ext>
          </c:extLst>
        </c:ser>
        <c:dLbls>
          <c:showLegendKey val="0"/>
          <c:showVal val="0"/>
          <c:showCatName val="0"/>
          <c:showSerName val="0"/>
          <c:showPercent val="0"/>
          <c:showBubbleSize val="0"/>
        </c:dLbls>
        <c:gapWidth val="80"/>
        <c:overlap val="-27"/>
        <c:axId val="1831750607"/>
        <c:axId val="1831747247"/>
      </c:barChart>
      <c:catAx>
        <c:axId val="1831750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31747247"/>
        <c:crosses val="autoZero"/>
        <c:auto val="1"/>
        <c:lblAlgn val="ctr"/>
        <c:lblOffset val="100"/>
        <c:noMultiLvlLbl val="0"/>
      </c:catAx>
      <c:valAx>
        <c:axId val="1831747247"/>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Public Sans" pitchFamily="2" charset="0"/>
                    <a:ea typeface="+mn-ea"/>
                    <a:cs typeface="+mn-cs"/>
                  </a:defRPr>
                </a:pPr>
                <a:r>
                  <a:rPr lang="en-AU"/>
                  <a:t>% positive rating</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Public Sans" pitchFamily="2" charset="0"/>
                  <a:ea typeface="+mn-ea"/>
                  <a:cs typeface="+mn-cs"/>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31750607"/>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solidFill>
            <a:sysClr val="windowText" lastClr="000000"/>
          </a:solidFill>
          <a:latin typeface="Public Sans" pitchFamily="2" charset="0"/>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QOE_UG_NUHEI_1YP_INST_FIG!$C$4</c:f>
              <c:strCache>
                <c:ptCount val="1"/>
                <c:pt idx="0">
                  <c:v>%</c:v>
                </c:pt>
              </c:strCache>
            </c:strRef>
          </c:tx>
          <c:spPr>
            <a:solidFill>
              <a:schemeClr val="accent4"/>
            </a:solidFill>
            <a:ln>
              <a:solidFill>
                <a:schemeClr val="accent4"/>
              </a:solidFill>
            </a:ln>
            <a:effectLst/>
          </c:spPr>
          <c:invertIfNegative val="0"/>
          <c:dPt>
            <c:idx val="46"/>
            <c:invertIfNegative val="0"/>
            <c:bubble3D val="0"/>
            <c:spPr>
              <a:solidFill>
                <a:srgbClr val="EE3B6F"/>
              </a:solidFill>
              <a:ln>
                <a:solidFill>
                  <a:srgbClr val="EE3B6F">
                    <a:lumMod val="20000"/>
                    <a:lumOff val="80000"/>
                  </a:srgbClr>
                </a:solidFill>
              </a:ln>
              <a:effectLst/>
            </c:spPr>
            <c:extLst>
              <c:ext xmlns:c16="http://schemas.microsoft.com/office/drawing/2014/chart" uri="{C3380CC4-5D6E-409C-BE32-E72D297353CC}">
                <c16:uniqueId val="{00000001-D752-4F9C-A9F9-4C49C867ECDB}"/>
              </c:ext>
            </c:extLst>
          </c:dPt>
          <c:dPt>
            <c:idx val="49"/>
            <c:invertIfNegative val="0"/>
            <c:bubble3D val="0"/>
            <c:spPr>
              <a:solidFill>
                <a:srgbClr val="FCD8E2"/>
              </a:solidFill>
              <a:ln>
                <a:solidFill>
                  <a:srgbClr val="EE3B6F">
                    <a:lumMod val="20000"/>
                    <a:lumOff val="80000"/>
                  </a:srgbClr>
                </a:solidFill>
              </a:ln>
              <a:effectLst/>
            </c:spPr>
            <c:extLst>
              <c:ext xmlns:c16="http://schemas.microsoft.com/office/drawing/2014/chart" uri="{C3380CC4-5D6E-409C-BE32-E72D297353CC}">
                <c16:uniqueId val="{00000003-D752-4F9C-A9F9-4C49C867ECDB}"/>
              </c:ext>
            </c:extLst>
          </c:dPt>
          <c:errBars>
            <c:errBarType val="both"/>
            <c:errValType val="cust"/>
            <c:noEndCap val="0"/>
            <c:plus>
              <c:numRef>
                <c:f>QOE_UG_NUHEI_1YP_INST_FIG!$G$5:$G$88</c:f>
                <c:numCache>
                  <c:formatCode>General</c:formatCode>
                  <c:ptCount val="84"/>
                  <c:pt idx="0">
                    <c:v>-0.90000000000000568</c:v>
                  </c:pt>
                  <c:pt idx="1">
                    <c:v>0.40000000000000568</c:v>
                  </c:pt>
                  <c:pt idx="2">
                    <c:v>1.5</c:v>
                  </c:pt>
                  <c:pt idx="3">
                    <c:v>0.40000000000000568</c:v>
                  </c:pt>
                  <c:pt idx="4">
                    <c:v>0.90000000000000568</c:v>
                  </c:pt>
                  <c:pt idx="5">
                    <c:v>1.6999999999999886</c:v>
                  </c:pt>
                  <c:pt idx="6">
                    <c:v>2</c:v>
                  </c:pt>
                  <c:pt idx="7">
                    <c:v>1.7000000000000028</c:v>
                  </c:pt>
                  <c:pt idx="8">
                    <c:v>2</c:v>
                  </c:pt>
                  <c:pt idx="9">
                    <c:v>1.4000000000000057</c:v>
                  </c:pt>
                  <c:pt idx="10">
                    <c:v>0.70000000000000284</c:v>
                  </c:pt>
                  <c:pt idx="11">
                    <c:v>1.4000000000000057</c:v>
                  </c:pt>
                  <c:pt idx="12">
                    <c:v>1.7000000000000028</c:v>
                  </c:pt>
                  <c:pt idx="13">
                    <c:v>1.5999999999999943</c:v>
                  </c:pt>
                  <c:pt idx="14">
                    <c:v>2.0999999999999943</c:v>
                  </c:pt>
                  <c:pt idx="15">
                    <c:v>1.7999999999999972</c:v>
                  </c:pt>
                  <c:pt idx="16">
                    <c:v>2.4000000000000057</c:v>
                  </c:pt>
                  <c:pt idx="17">
                    <c:v>5.2999999999999972</c:v>
                  </c:pt>
                  <c:pt idx="18">
                    <c:v>1.3999999999999915</c:v>
                  </c:pt>
                  <c:pt idx="19">
                    <c:v>2.6000000000000085</c:v>
                  </c:pt>
                  <c:pt idx="20">
                    <c:v>3.9000000000000057</c:v>
                  </c:pt>
                  <c:pt idx="21">
                    <c:v>3.2000000000000028</c:v>
                  </c:pt>
                  <c:pt idx="22">
                    <c:v>4.9000000000000057</c:v>
                  </c:pt>
                  <c:pt idx="23">
                    <c:v>1.7000000000000028</c:v>
                  </c:pt>
                  <c:pt idx="24">
                    <c:v>2.7000000000000028</c:v>
                  </c:pt>
                  <c:pt idx="25">
                    <c:v>4.2999999999999972</c:v>
                  </c:pt>
                  <c:pt idx="26">
                    <c:v>2.4000000000000057</c:v>
                  </c:pt>
                  <c:pt idx="27">
                    <c:v>1.2000000000000028</c:v>
                  </c:pt>
                  <c:pt idx="28">
                    <c:v>2.5</c:v>
                  </c:pt>
                  <c:pt idx="29">
                    <c:v>4.5999999999999943</c:v>
                  </c:pt>
                  <c:pt idx="30">
                    <c:v>1.8999999999999915</c:v>
                  </c:pt>
                  <c:pt idx="31">
                    <c:v>2.6000000000000085</c:v>
                  </c:pt>
                  <c:pt idx="32">
                    <c:v>2.2999999999999972</c:v>
                  </c:pt>
                  <c:pt idx="33">
                    <c:v>2.4000000000000057</c:v>
                  </c:pt>
                  <c:pt idx="34">
                    <c:v>1.5</c:v>
                  </c:pt>
                  <c:pt idx="35">
                    <c:v>1.2000000000000028</c:v>
                  </c:pt>
                  <c:pt idx="36">
                    <c:v>2.5</c:v>
                  </c:pt>
                  <c:pt idx="37">
                    <c:v>5</c:v>
                  </c:pt>
                  <c:pt idx="38">
                    <c:v>3.0999999999999943</c:v>
                  </c:pt>
                  <c:pt idx="39">
                    <c:v>2</c:v>
                  </c:pt>
                  <c:pt idx="40">
                    <c:v>5.5</c:v>
                  </c:pt>
                  <c:pt idx="41">
                    <c:v>6.2000000000000028</c:v>
                  </c:pt>
                  <c:pt idx="42">
                    <c:v>2.2000000000000028</c:v>
                  </c:pt>
                  <c:pt idx="43">
                    <c:v>3.2000000000000028</c:v>
                  </c:pt>
                  <c:pt idx="44">
                    <c:v>2.7000000000000028</c:v>
                  </c:pt>
                  <c:pt idx="45">
                    <c:v>1.3999999999999915</c:v>
                  </c:pt>
                  <c:pt idx="46">
                    <c:v>2.9000000000000057</c:v>
                  </c:pt>
                  <c:pt idx="47">
                    <c:v>2.1000000000000085</c:v>
                  </c:pt>
                  <c:pt idx="48">
                    <c:v>3.7000000000000028</c:v>
                  </c:pt>
                  <c:pt idx="49">
                    <c:v>0.29999999999999716</c:v>
                  </c:pt>
                  <c:pt idx="50">
                    <c:v>2</c:v>
                  </c:pt>
                  <c:pt idx="51">
                    <c:v>3.2999999999999972</c:v>
                  </c:pt>
                  <c:pt idx="52">
                    <c:v>2.2999999999999972</c:v>
                  </c:pt>
                  <c:pt idx="53">
                    <c:v>2.2999999999999972</c:v>
                  </c:pt>
                  <c:pt idx="54">
                    <c:v>1.5</c:v>
                  </c:pt>
                  <c:pt idx="55">
                    <c:v>2.1000000000000085</c:v>
                  </c:pt>
                  <c:pt idx="56">
                    <c:v>3</c:v>
                  </c:pt>
                  <c:pt idx="57">
                    <c:v>4.5</c:v>
                  </c:pt>
                  <c:pt idx="58">
                    <c:v>1.5</c:v>
                  </c:pt>
                  <c:pt idx="59">
                    <c:v>2.7999999999999972</c:v>
                  </c:pt>
                  <c:pt idx="60">
                    <c:v>1.0999999999999943</c:v>
                  </c:pt>
                  <c:pt idx="61">
                    <c:v>2.4000000000000057</c:v>
                  </c:pt>
                  <c:pt idx="62">
                    <c:v>2.7999999999999972</c:v>
                  </c:pt>
                  <c:pt idx="63">
                    <c:v>1.2999999999999972</c:v>
                  </c:pt>
                  <c:pt idx="64">
                    <c:v>7.2999999999999972</c:v>
                  </c:pt>
                  <c:pt idx="65">
                    <c:v>2.6999999999999886</c:v>
                  </c:pt>
                  <c:pt idx="66">
                    <c:v>4.2999999999999972</c:v>
                  </c:pt>
                  <c:pt idx="67">
                    <c:v>5.5</c:v>
                  </c:pt>
                  <c:pt idx="68">
                    <c:v>2.7000000000000028</c:v>
                  </c:pt>
                  <c:pt idx="69">
                    <c:v>2.3999999999999915</c:v>
                  </c:pt>
                  <c:pt idx="70">
                    <c:v>2.6000000000000085</c:v>
                  </c:pt>
                  <c:pt idx="71">
                    <c:v>4.6000000000000085</c:v>
                  </c:pt>
                  <c:pt idx="72">
                    <c:v>6.5999999999999943</c:v>
                  </c:pt>
                  <c:pt idx="73">
                    <c:v>6.7999999999999972</c:v>
                  </c:pt>
                  <c:pt idx="74">
                    <c:v>2</c:v>
                  </c:pt>
                  <c:pt idx="75">
                    <c:v>2.5999999999999943</c:v>
                  </c:pt>
                  <c:pt idx="76">
                    <c:v>4.8999999999999915</c:v>
                  </c:pt>
                  <c:pt idx="77">
                    <c:v>4.9000000000000057</c:v>
                  </c:pt>
                  <c:pt idx="78">
                    <c:v>10</c:v>
                  </c:pt>
                  <c:pt idx="79">
                    <c:v>8</c:v>
                  </c:pt>
                  <c:pt idx="80">
                    <c:v>2.5</c:v>
                  </c:pt>
                  <c:pt idx="81">
                    <c:v>6.4000000000000057</c:v>
                  </c:pt>
                  <c:pt idx="82">
                    <c:v>3.2999999999999972</c:v>
                  </c:pt>
                  <c:pt idx="83">
                    <c:v>2.2000000000000028</c:v>
                  </c:pt>
                </c:numCache>
              </c:numRef>
            </c:plus>
            <c:minus>
              <c:numRef>
                <c:f>QOE_UG_NUHEI_1YP_INST_FIG!$F$5:$F$88</c:f>
                <c:numCache>
                  <c:formatCode>General</c:formatCode>
                  <c:ptCount val="84"/>
                  <c:pt idx="0">
                    <c:v>5.2999999999999972</c:v>
                  </c:pt>
                  <c:pt idx="1">
                    <c:v>1.5</c:v>
                  </c:pt>
                  <c:pt idx="2">
                    <c:v>7.2000000000000028</c:v>
                  </c:pt>
                  <c:pt idx="3">
                    <c:v>3.7999999999999972</c:v>
                  </c:pt>
                  <c:pt idx="4">
                    <c:v>1.1999999999999886</c:v>
                  </c:pt>
                  <c:pt idx="5">
                    <c:v>4.1000000000000085</c:v>
                  </c:pt>
                  <c:pt idx="6">
                    <c:v>7.9000000000000057</c:v>
                  </c:pt>
                  <c:pt idx="7">
                    <c:v>3.3999999999999915</c:v>
                  </c:pt>
                  <c:pt idx="8">
                    <c:v>5.7000000000000028</c:v>
                  </c:pt>
                  <c:pt idx="9">
                    <c:v>2.2999999999999972</c:v>
                  </c:pt>
                  <c:pt idx="10">
                    <c:v>3.9000000000000057</c:v>
                  </c:pt>
                  <c:pt idx="11">
                    <c:v>2.0999999999999943</c:v>
                  </c:pt>
                  <c:pt idx="12">
                    <c:v>2.3999999999999915</c:v>
                  </c:pt>
                  <c:pt idx="13">
                    <c:v>2.5999999999999943</c:v>
                  </c:pt>
                  <c:pt idx="14">
                    <c:v>4.2000000000000028</c:v>
                  </c:pt>
                  <c:pt idx="15">
                    <c:v>2.3999999999999915</c:v>
                  </c:pt>
                  <c:pt idx="16">
                    <c:v>4.0999999999999943</c:v>
                  </c:pt>
                  <c:pt idx="17">
                    <c:v>12.100000000000009</c:v>
                  </c:pt>
                  <c:pt idx="18">
                    <c:v>1.6000000000000085</c:v>
                  </c:pt>
                  <c:pt idx="19">
                    <c:v>3.7999999999999972</c:v>
                  </c:pt>
                  <c:pt idx="20">
                    <c:v>5.5</c:v>
                  </c:pt>
                  <c:pt idx="21">
                    <c:v>4.7999999999999972</c:v>
                  </c:pt>
                  <c:pt idx="22">
                    <c:v>7.2999999999999972</c:v>
                  </c:pt>
                  <c:pt idx="23">
                    <c:v>1.8999999999999915</c:v>
                  </c:pt>
                  <c:pt idx="24">
                    <c:v>3.5</c:v>
                  </c:pt>
                  <c:pt idx="25">
                    <c:v>6</c:v>
                  </c:pt>
                  <c:pt idx="26">
                    <c:v>3.0999999999999943</c:v>
                  </c:pt>
                  <c:pt idx="27">
                    <c:v>1.2999999999999972</c:v>
                  </c:pt>
                  <c:pt idx="28">
                    <c:v>2.9000000000000057</c:v>
                  </c:pt>
                  <c:pt idx="29">
                    <c:v>6.6000000000000085</c:v>
                  </c:pt>
                  <c:pt idx="30">
                    <c:v>2.2000000000000028</c:v>
                  </c:pt>
                  <c:pt idx="31">
                    <c:v>2.8999999999999915</c:v>
                  </c:pt>
                  <c:pt idx="32">
                    <c:v>2.6000000000000085</c:v>
                  </c:pt>
                  <c:pt idx="33">
                    <c:v>2.7999999999999972</c:v>
                  </c:pt>
                  <c:pt idx="34">
                    <c:v>1.7999999999999972</c:v>
                  </c:pt>
                  <c:pt idx="35">
                    <c:v>1.2999999999999972</c:v>
                  </c:pt>
                  <c:pt idx="36">
                    <c:v>2.9000000000000057</c:v>
                  </c:pt>
                  <c:pt idx="37">
                    <c:v>6.9000000000000057</c:v>
                  </c:pt>
                  <c:pt idx="38">
                    <c:v>3.7000000000000028</c:v>
                  </c:pt>
                  <c:pt idx="39">
                    <c:v>2.2000000000000028</c:v>
                  </c:pt>
                  <c:pt idx="40">
                    <c:v>7.9000000000000057</c:v>
                  </c:pt>
                  <c:pt idx="41">
                    <c:v>9.2999999999999972</c:v>
                  </c:pt>
                  <c:pt idx="42">
                    <c:v>2.5999999999999943</c:v>
                  </c:pt>
                  <c:pt idx="43">
                    <c:v>3.7999999999999972</c:v>
                  </c:pt>
                  <c:pt idx="44">
                    <c:v>3.1999999999999886</c:v>
                  </c:pt>
                  <c:pt idx="45">
                    <c:v>1.4000000000000057</c:v>
                  </c:pt>
                  <c:pt idx="46">
                    <c:v>3.3999999999999915</c:v>
                  </c:pt>
                  <c:pt idx="47">
                    <c:v>2.3999999999999915</c:v>
                  </c:pt>
                  <c:pt idx="48">
                    <c:v>4.5</c:v>
                  </c:pt>
                  <c:pt idx="49">
                    <c:v>0.29999999999999716</c:v>
                  </c:pt>
                  <c:pt idx="50">
                    <c:v>2.0999999999999943</c:v>
                  </c:pt>
                  <c:pt idx="51">
                    <c:v>3.7999999999999972</c:v>
                  </c:pt>
                  <c:pt idx="52">
                    <c:v>2.5</c:v>
                  </c:pt>
                  <c:pt idx="53">
                    <c:v>2.7000000000000028</c:v>
                  </c:pt>
                  <c:pt idx="54">
                    <c:v>1.6999999999999886</c:v>
                  </c:pt>
                  <c:pt idx="55">
                    <c:v>2.2999999999999972</c:v>
                  </c:pt>
                  <c:pt idx="56">
                    <c:v>3.5999999999999943</c:v>
                  </c:pt>
                  <c:pt idx="57">
                    <c:v>5.9000000000000057</c:v>
                  </c:pt>
                  <c:pt idx="58">
                    <c:v>1.5</c:v>
                  </c:pt>
                  <c:pt idx="59">
                    <c:v>3.2000000000000028</c:v>
                  </c:pt>
                  <c:pt idx="60">
                    <c:v>1.2000000000000028</c:v>
                  </c:pt>
                  <c:pt idx="61">
                    <c:v>2.5999999999999943</c:v>
                  </c:pt>
                  <c:pt idx="62">
                    <c:v>3.2000000000000028</c:v>
                  </c:pt>
                  <c:pt idx="63">
                    <c:v>1.2999999999999972</c:v>
                  </c:pt>
                  <c:pt idx="64">
                    <c:v>9.5</c:v>
                  </c:pt>
                  <c:pt idx="65">
                    <c:v>3</c:v>
                  </c:pt>
                  <c:pt idx="66">
                    <c:v>4.8999999999999915</c:v>
                  </c:pt>
                  <c:pt idx="67">
                    <c:v>6.4000000000000057</c:v>
                  </c:pt>
                  <c:pt idx="68">
                    <c:v>3</c:v>
                  </c:pt>
                  <c:pt idx="69">
                    <c:v>2.5</c:v>
                  </c:pt>
                  <c:pt idx="70">
                    <c:v>2.8999999999999915</c:v>
                  </c:pt>
                  <c:pt idx="71">
                    <c:v>5.1999999999999957</c:v>
                  </c:pt>
                  <c:pt idx="72">
                    <c:v>7.8999999999999986</c:v>
                  </c:pt>
                  <c:pt idx="73">
                    <c:v>8.6000000000000014</c:v>
                  </c:pt>
                  <c:pt idx="74">
                    <c:v>2</c:v>
                  </c:pt>
                  <c:pt idx="75">
                    <c:v>2.9000000000000057</c:v>
                  </c:pt>
                  <c:pt idx="76">
                    <c:v>5.4000000000000057</c:v>
                  </c:pt>
                  <c:pt idx="77">
                    <c:v>5.3999999999999915</c:v>
                  </c:pt>
                  <c:pt idx="78">
                    <c:v>12.600000000000001</c:v>
                  </c:pt>
                  <c:pt idx="79">
                    <c:v>9.5</c:v>
                  </c:pt>
                  <c:pt idx="80">
                    <c:v>2.5999999999999943</c:v>
                  </c:pt>
                  <c:pt idx="81">
                    <c:v>7.5</c:v>
                  </c:pt>
                  <c:pt idx="82">
                    <c:v>3.5</c:v>
                  </c:pt>
                  <c:pt idx="83">
                    <c:v>2.2999999999999972</c:v>
                  </c:pt>
                </c:numCache>
              </c:numRef>
            </c:minus>
            <c:spPr>
              <a:noFill/>
              <a:ln w="19050" cap="flat" cmpd="sng" algn="ctr">
                <a:solidFill>
                  <a:schemeClr val="tx1">
                    <a:lumMod val="65000"/>
                    <a:lumOff val="35000"/>
                  </a:schemeClr>
                </a:solidFill>
                <a:round/>
              </a:ln>
              <a:effectLst/>
            </c:spPr>
          </c:errBars>
          <c:cat>
            <c:strRef>
              <c:f>QOE_UG_NUHEI_1YP_INST_FIG!$B$5:$B$88</c:f>
              <c:strCache>
                <c:ptCount val="84"/>
                <c:pt idx="0">
                  <c:v>The Cairnmillar Institute</c:v>
                </c:pt>
                <c:pt idx="1">
                  <c:v>Marcus Oldham College</c:v>
                </c:pt>
                <c:pt idx="2">
                  <c:v>Jazz Music Institute</c:v>
                </c:pt>
                <c:pt idx="3">
                  <c:v>Leaders Institute</c:v>
                </c:pt>
                <c:pt idx="4">
                  <c:v>Australian College of Theology</c:v>
                </c:pt>
                <c:pt idx="5">
                  <c:v>Campion College Australia</c:v>
                </c:pt>
                <c:pt idx="6">
                  <c:v>Perth Bible College</c:v>
                </c:pt>
                <c:pt idx="7">
                  <c:v>Australian Chiropractic College</c:v>
                </c:pt>
                <c:pt idx="8">
                  <c:v>Australian College of Christian Studies</c:v>
                </c:pt>
                <c:pt idx="9">
                  <c:v>Tabor College of Higher Education</c:v>
                </c:pt>
                <c:pt idx="10">
                  <c:v>Sheridan Institute of Higher Education</c:v>
                </c:pt>
                <c:pt idx="11">
                  <c:v>Moore Theological College</c:v>
                </c:pt>
                <c:pt idx="12">
                  <c:v>Christian Heritage College</c:v>
                </c:pt>
                <c:pt idx="13">
                  <c:v>Adelaide Central School of Art</c:v>
                </c:pt>
                <c:pt idx="14">
                  <c:v>Photography Studies College (Melbourne)</c:v>
                </c:pt>
                <c:pt idx="15">
                  <c:v>Sydney College of Divinity</c:v>
                </c:pt>
                <c:pt idx="16">
                  <c:v>Equals International</c:v>
                </c:pt>
                <c:pt idx="17">
                  <c:v>Lyons College</c:v>
                </c:pt>
                <c:pt idx="18">
                  <c:v>Collarts (Australian College of the Arts)</c:v>
                </c:pt>
                <c:pt idx="19">
                  <c:v>Western Sydney University International College </c:v>
                </c:pt>
                <c:pt idx="20">
                  <c:v>Australian School of Accounting</c:v>
                </c:pt>
                <c:pt idx="21">
                  <c:v>Chisholm Institute</c:v>
                </c:pt>
                <c:pt idx="22">
                  <c:v>Polytechnic Institute Australia</c:v>
                </c:pt>
                <c:pt idx="23">
                  <c:v>Alphacrucis University College</c:v>
                </c:pt>
                <c:pt idx="24">
                  <c:v>Box Hill Institute</c:v>
                </c:pt>
                <c:pt idx="25">
                  <c:v>Universal Business School Sydney</c:v>
                </c:pt>
                <c:pt idx="26">
                  <c:v>Engineering Institute of Technology</c:v>
                </c:pt>
                <c:pt idx="27">
                  <c:v>Australian College of Applied Professions</c:v>
                </c:pt>
                <c:pt idx="28">
                  <c:v>International College of Management, Sydney</c:v>
                </c:pt>
                <c:pt idx="29">
                  <c:v>LCI Melbourne</c:v>
                </c:pt>
                <c:pt idx="30">
                  <c:v>Kaplan Business School</c:v>
                </c:pt>
                <c:pt idx="31">
                  <c:v>The Australian College of Physical Education</c:v>
                </c:pt>
                <c:pt idx="32">
                  <c:v>Stanley College</c:v>
                </c:pt>
                <c:pt idx="33">
                  <c:v>Academies Australasia Polytechnic Pty Limited</c:v>
                </c:pt>
                <c:pt idx="34">
                  <c:v>King's Own Institute</c:v>
                </c:pt>
                <c:pt idx="35">
                  <c:v>TAFE NSW</c:v>
                </c:pt>
                <c:pt idx="36">
                  <c:v>Melbourne Polytechnic</c:v>
                </c:pt>
                <c:pt idx="37">
                  <c:v>UOW College</c:v>
                </c:pt>
                <c:pt idx="38">
                  <c:v>Holmes Institute</c:v>
                </c:pt>
                <c:pt idx="39">
                  <c:v>Excelsia College</c:v>
                </c:pt>
                <c:pt idx="40">
                  <c:v>Eynesbury College</c:v>
                </c:pt>
                <c:pt idx="41">
                  <c:v>CIC Higher Education</c:v>
                </c:pt>
                <c:pt idx="42">
                  <c:v>National Art School</c:v>
                </c:pt>
                <c:pt idx="43">
                  <c:v>Australasian College of Health and Wellness</c:v>
                </c:pt>
                <c:pt idx="44">
                  <c:v>Australian Institute of Higher Education</c:v>
                </c:pt>
                <c:pt idx="45">
                  <c:v>The JMC Academy</c:v>
                </c:pt>
                <c:pt idx="46">
                  <c:v>Australian Institute of Professional Counsellors</c:v>
                </c:pt>
                <c:pt idx="47">
                  <c:v>La Trobe College Australia</c:v>
                </c:pt>
                <c:pt idx="48">
                  <c:v>William Angliss Institute</c:v>
                </c:pt>
                <c:pt idx="49">
                  <c:v>All NUHEIs</c:v>
                </c:pt>
                <c:pt idx="50">
                  <c:v>Deakin College</c:v>
                </c:pt>
                <c:pt idx="51">
                  <c:v>Asia Pacific International College</c:v>
                </c:pt>
                <c:pt idx="52">
                  <c:v>Curtin College</c:v>
                </c:pt>
                <c:pt idx="53">
                  <c:v>Edith Cowan College</c:v>
                </c:pt>
                <c:pt idx="54">
                  <c:v>Ikon Institute of Australia</c:v>
                </c:pt>
                <c:pt idx="55">
                  <c:v>Griffith College</c:v>
                </c:pt>
                <c:pt idx="56">
                  <c:v>South Australian Institute of Business and Technology</c:v>
                </c:pt>
                <c:pt idx="57">
                  <c:v>Sydney Institute of Business and Technology</c:v>
                </c:pt>
                <c:pt idx="58">
                  <c:v>SAE Institute and Qantm College</c:v>
                </c:pt>
                <c:pt idx="59">
                  <c:v>Monash College </c:v>
                </c:pt>
                <c:pt idx="60">
                  <c:v>Stott's College</c:v>
                </c:pt>
                <c:pt idx="61">
                  <c:v>VIT (Victorian Institute of Technology)</c:v>
                </c:pt>
                <c:pt idx="62">
                  <c:v>Whitehouse Institute of Design, Australia</c:v>
                </c:pt>
                <c:pt idx="63">
                  <c:v>Endeavour College</c:v>
                </c:pt>
                <c:pt idx="64">
                  <c:v>ICHM</c:v>
                </c:pt>
                <c:pt idx="65">
                  <c:v>Wentworth Institute of Higher Education</c:v>
                </c:pt>
                <c:pt idx="66">
                  <c:v>The Institute of Creative Arts and Technology</c:v>
                </c:pt>
                <c:pt idx="67">
                  <c:v>Sydney International School of Technology and Commerce</c:v>
                </c:pt>
                <c:pt idx="68">
                  <c:v>Academy of Interactive Technology</c:v>
                </c:pt>
                <c:pt idx="69">
                  <c:v>UTS College</c:v>
                </c:pt>
                <c:pt idx="70">
                  <c:v>The Australian Institute of Music</c:v>
                </c:pt>
                <c:pt idx="71">
                  <c:v>Southern Cross Education Institute (Higher Education)</c:v>
                </c:pt>
                <c:pt idx="72">
                  <c:v>Australian Academy of Music and Performing Arts</c:v>
                </c:pt>
                <c:pt idx="73">
                  <c:v>ISN Psychology</c:v>
                </c:pt>
                <c:pt idx="74">
                  <c:v>Melbourne Institute of Technology</c:v>
                </c:pt>
                <c:pt idx="75">
                  <c:v>Holmesglen Institute</c:v>
                </c:pt>
                <c:pt idx="76">
                  <c:v>TAFE Queensland</c:v>
                </c:pt>
                <c:pt idx="77">
                  <c:v>TAFE South Australia</c:v>
                </c:pt>
                <c:pt idx="78">
                  <c:v>AIE Institute Ltd</c:v>
                </c:pt>
                <c:pt idx="79">
                  <c:v>Le Cordon Bleu Australia</c:v>
                </c:pt>
                <c:pt idx="80">
                  <c:v>Crown Institute of Higher Education</c:v>
                </c:pt>
                <c:pt idx="81">
                  <c:v>Think Education Group</c:v>
                </c:pt>
                <c:pt idx="82">
                  <c:v>Kent Institute Australia</c:v>
                </c:pt>
                <c:pt idx="83">
                  <c:v>SP Jain School of Management</c:v>
                </c:pt>
              </c:strCache>
            </c:strRef>
          </c:cat>
          <c:val>
            <c:numRef>
              <c:f>QOE_UG_NUHEI_1YP_INST_FIG!$C$5:$C$88</c:f>
              <c:numCache>
                <c:formatCode>0.0</c:formatCode>
                <c:ptCount val="84"/>
                <c:pt idx="0">
                  <c:v>100</c:v>
                </c:pt>
                <c:pt idx="1">
                  <c:v>97.8</c:v>
                </c:pt>
                <c:pt idx="2">
                  <c:v>97.7</c:v>
                </c:pt>
                <c:pt idx="3">
                  <c:v>95.8</c:v>
                </c:pt>
                <c:pt idx="4">
                  <c:v>95.1</c:v>
                </c:pt>
                <c:pt idx="5">
                  <c:v>94.9</c:v>
                </c:pt>
                <c:pt idx="6">
                  <c:v>94.9</c:v>
                </c:pt>
                <c:pt idx="7">
                  <c:v>93.8</c:v>
                </c:pt>
                <c:pt idx="8">
                  <c:v>93.8</c:v>
                </c:pt>
                <c:pt idx="9">
                  <c:v>93.8</c:v>
                </c:pt>
                <c:pt idx="10">
                  <c:v>93.2</c:v>
                </c:pt>
                <c:pt idx="11">
                  <c:v>93</c:v>
                </c:pt>
                <c:pt idx="12">
                  <c:v>92.1</c:v>
                </c:pt>
                <c:pt idx="13">
                  <c:v>92</c:v>
                </c:pt>
                <c:pt idx="14">
                  <c:v>91.5</c:v>
                </c:pt>
                <c:pt idx="15">
                  <c:v>90.3</c:v>
                </c:pt>
                <c:pt idx="16">
                  <c:v>89.8</c:v>
                </c:pt>
                <c:pt idx="17">
                  <c:v>89.7</c:v>
                </c:pt>
                <c:pt idx="18">
                  <c:v>87.4</c:v>
                </c:pt>
                <c:pt idx="19">
                  <c:v>87.3</c:v>
                </c:pt>
                <c:pt idx="20">
                  <c:v>86.3</c:v>
                </c:pt>
                <c:pt idx="21">
                  <c:v>86.3</c:v>
                </c:pt>
                <c:pt idx="22">
                  <c:v>85.1</c:v>
                </c:pt>
                <c:pt idx="23">
                  <c:v>83.8</c:v>
                </c:pt>
                <c:pt idx="24">
                  <c:v>83.5</c:v>
                </c:pt>
                <c:pt idx="25">
                  <c:v>83</c:v>
                </c:pt>
                <c:pt idx="26">
                  <c:v>82.5</c:v>
                </c:pt>
                <c:pt idx="27">
                  <c:v>82.3</c:v>
                </c:pt>
                <c:pt idx="28">
                  <c:v>81.900000000000006</c:v>
                </c:pt>
                <c:pt idx="29">
                  <c:v>81.7</c:v>
                </c:pt>
                <c:pt idx="30">
                  <c:v>81.400000000000006</c:v>
                </c:pt>
                <c:pt idx="31">
                  <c:v>81.3</c:v>
                </c:pt>
                <c:pt idx="32">
                  <c:v>81.2</c:v>
                </c:pt>
                <c:pt idx="33">
                  <c:v>81.099999999999994</c:v>
                </c:pt>
                <c:pt idx="34">
                  <c:v>80.599999999999994</c:v>
                </c:pt>
                <c:pt idx="35">
                  <c:v>80.599999999999994</c:v>
                </c:pt>
                <c:pt idx="36">
                  <c:v>80.5</c:v>
                </c:pt>
                <c:pt idx="37">
                  <c:v>80.5</c:v>
                </c:pt>
                <c:pt idx="38">
                  <c:v>80</c:v>
                </c:pt>
                <c:pt idx="39">
                  <c:v>79.7</c:v>
                </c:pt>
                <c:pt idx="40">
                  <c:v>79.7</c:v>
                </c:pt>
                <c:pt idx="41">
                  <c:v>79.599999999999994</c:v>
                </c:pt>
                <c:pt idx="42">
                  <c:v>79.5</c:v>
                </c:pt>
                <c:pt idx="43">
                  <c:v>79.2</c:v>
                </c:pt>
                <c:pt idx="44">
                  <c:v>79.099999999999994</c:v>
                </c:pt>
                <c:pt idx="45">
                  <c:v>78.900000000000006</c:v>
                </c:pt>
                <c:pt idx="46">
                  <c:v>78.599999999999994</c:v>
                </c:pt>
                <c:pt idx="47">
                  <c:v>78.3</c:v>
                </c:pt>
                <c:pt idx="48">
                  <c:v>78.3</c:v>
                </c:pt>
                <c:pt idx="49">
                  <c:v>78.2</c:v>
                </c:pt>
                <c:pt idx="50">
                  <c:v>77.8</c:v>
                </c:pt>
                <c:pt idx="51">
                  <c:v>77.5</c:v>
                </c:pt>
                <c:pt idx="52">
                  <c:v>77.400000000000006</c:v>
                </c:pt>
                <c:pt idx="53">
                  <c:v>77.400000000000006</c:v>
                </c:pt>
                <c:pt idx="54">
                  <c:v>77.099999999999994</c:v>
                </c:pt>
                <c:pt idx="55">
                  <c:v>76.8</c:v>
                </c:pt>
                <c:pt idx="56">
                  <c:v>76.8</c:v>
                </c:pt>
                <c:pt idx="57">
                  <c:v>76.7</c:v>
                </c:pt>
                <c:pt idx="58">
                  <c:v>75</c:v>
                </c:pt>
                <c:pt idx="59">
                  <c:v>73.900000000000006</c:v>
                </c:pt>
                <c:pt idx="60">
                  <c:v>73.7</c:v>
                </c:pt>
                <c:pt idx="61">
                  <c:v>73.5</c:v>
                </c:pt>
                <c:pt idx="62">
                  <c:v>73.5</c:v>
                </c:pt>
                <c:pt idx="63">
                  <c:v>73.3</c:v>
                </c:pt>
                <c:pt idx="64">
                  <c:v>72.5</c:v>
                </c:pt>
                <c:pt idx="65">
                  <c:v>71.900000000000006</c:v>
                </c:pt>
                <c:pt idx="66">
                  <c:v>71.3</c:v>
                </c:pt>
                <c:pt idx="67">
                  <c:v>69.900000000000006</c:v>
                </c:pt>
                <c:pt idx="68">
                  <c:v>69.7</c:v>
                </c:pt>
                <c:pt idx="69">
                  <c:v>69.7</c:v>
                </c:pt>
                <c:pt idx="70">
                  <c:v>69.3</c:v>
                </c:pt>
                <c:pt idx="71">
                  <c:v>69.099999999999994</c:v>
                </c:pt>
                <c:pt idx="72">
                  <c:v>69</c:v>
                </c:pt>
                <c:pt idx="73">
                  <c:v>69</c:v>
                </c:pt>
                <c:pt idx="74">
                  <c:v>68.900000000000006</c:v>
                </c:pt>
                <c:pt idx="75">
                  <c:v>68.400000000000006</c:v>
                </c:pt>
                <c:pt idx="76">
                  <c:v>67.7</c:v>
                </c:pt>
                <c:pt idx="77">
                  <c:v>67.099999999999994</c:v>
                </c:pt>
                <c:pt idx="78">
                  <c:v>65.5</c:v>
                </c:pt>
                <c:pt idx="79">
                  <c:v>65.5</c:v>
                </c:pt>
                <c:pt idx="80">
                  <c:v>64.8</c:v>
                </c:pt>
                <c:pt idx="81">
                  <c:v>63.3</c:v>
                </c:pt>
                <c:pt idx="82">
                  <c:v>62.2</c:v>
                </c:pt>
                <c:pt idx="83">
                  <c:v>59.5</c:v>
                </c:pt>
              </c:numCache>
            </c:numRef>
          </c:val>
          <c:extLst>
            <c:ext xmlns:c16="http://schemas.microsoft.com/office/drawing/2014/chart" uri="{C3380CC4-5D6E-409C-BE32-E72D297353CC}">
              <c16:uniqueId val="{00000004-D752-4F9C-A9F9-4C49C867ECDB}"/>
            </c:ext>
          </c:extLst>
        </c:ser>
        <c:dLbls>
          <c:showLegendKey val="0"/>
          <c:showVal val="0"/>
          <c:showCatName val="0"/>
          <c:showSerName val="0"/>
          <c:showPercent val="0"/>
          <c:showBubbleSize val="0"/>
        </c:dLbls>
        <c:gapWidth val="88"/>
        <c:overlap val="-27"/>
        <c:axId val="1831750607"/>
        <c:axId val="1831747247"/>
      </c:barChart>
      <c:catAx>
        <c:axId val="1831750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crossAx val="1831747247"/>
        <c:crosses val="autoZero"/>
        <c:auto val="1"/>
        <c:lblAlgn val="ctr"/>
        <c:lblOffset val="100"/>
        <c:noMultiLvlLbl val="0"/>
      </c:catAx>
      <c:valAx>
        <c:axId val="1831747247"/>
        <c:scaling>
          <c:orientation val="minMax"/>
          <c:max val="100"/>
        </c:scaling>
        <c:delete val="0"/>
        <c:axPos val="l"/>
        <c:title>
          <c:tx>
            <c:rich>
              <a:bodyPr rot="-54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r>
                  <a:rPr lang="en-AU"/>
                  <a:t>% positive rating</a:t>
                </a:r>
              </a:p>
            </c:rich>
          </c:tx>
          <c:overlay val="0"/>
          <c:spPr>
            <a:noFill/>
            <a:ln>
              <a:noFill/>
            </a:ln>
            <a:effectLst/>
          </c:spPr>
          <c:txPr>
            <a:bodyPr rot="-54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Public Sans" pitchFamily="2" charset="0"/>
                <a:ea typeface="+mn-ea"/>
                <a:cs typeface="+mn-cs"/>
              </a:defRPr>
            </a:pPr>
            <a:endParaRPr lang="en-US"/>
          </a:p>
        </c:txPr>
        <c:crossAx val="1831750607"/>
        <c:crosses val="autoZero"/>
        <c:crossBetween val="between"/>
        <c:majorUnit val="10"/>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700">
          <a:solidFill>
            <a:sysClr val="windowText" lastClr="000000"/>
          </a:solidFill>
          <a:latin typeface="Public Sans" pitchFamily="2" charset="0"/>
        </a:defRPr>
      </a:pPr>
      <a:endParaRPr lang="en-US"/>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FCB942"/>
            </a:solidFill>
            <a:ln>
              <a:solidFill>
                <a:srgbClr val="FCB942"/>
              </a:solidFill>
            </a:ln>
            <a:effectLst/>
          </c:spPr>
          <c:invertIfNegative val="0"/>
          <c:dPt>
            <c:idx val="32"/>
            <c:invertIfNegative val="0"/>
            <c:bubble3D val="0"/>
            <c:spPr>
              <a:solidFill>
                <a:srgbClr val="FCB942"/>
              </a:solidFill>
              <a:ln>
                <a:solidFill>
                  <a:srgbClr val="FCB942"/>
                </a:solidFill>
              </a:ln>
              <a:effectLst/>
            </c:spPr>
            <c:extLst>
              <c:ext xmlns:c16="http://schemas.microsoft.com/office/drawing/2014/chart" uri="{C3380CC4-5D6E-409C-BE32-E72D297353CC}">
                <c16:uniqueId val="{00000001-C02D-494B-A66A-A05FA196AB41}"/>
              </c:ext>
            </c:extLst>
          </c:dPt>
          <c:dPt>
            <c:idx val="36"/>
            <c:invertIfNegative val="0"/>
            <c:bubble3D val="0"/>
            <c:spPr>
              <a:solidFill>
                <a:srgbClr val="FCB942">
                  <a:lumMod val="40000"/>
                  <a:lumOff val="60000"/>
                </a:srgbClr>
              </a:solidFill>
              <a:ln>
                <a:solidFill>
                  <a:srgbClr val="FCB942">
                    <a:lumMod val="40000"/>
                    <a:lumOff val="60000"/>
                  </a:srgbClr>
                </a:solidFill>
              </a:ln>
              <a:effectLst/>
            </c:spPr>
            <c:extLst>
              <c:ext xmlns:c16="http://schemas.microsoft.com/office/drawing/2014/chart" uri="{C3380CC4-5D6E-409C-BE32-E72D297353CC}">
                <c16:uniqueId val="{00000003-C02D-494B-A66A-A05FA196AB41}"/>
              </c:ext>
            </c:extLst>
          </c:dPt>
          <c:errBars>
            <c:errBarType val="both"/>
            <c:errValType val="cust"/>
            <c:noEndCap val="0"/>
            <c:plus>
              <c:numRef>
                <c:f>QOE_PGC_NUHEI_1YP_INST_FIG!$G$5:$G$63</c:f>
                <c:numCache>
                  <c:formatCode>General</c:formatCode>
                  <c:ptCount val="59"/>
                  <c:pt idx="0">
                    <c:v>-0.20000000000000284</c:v>
                  </c:pt>
                  <c:pt idx="1">
                    <c:v>0.70000000000000284</c:v>
                  </c:pt>
                  <c:pt idx="2">
                    <c:v>0.79999999999999716</c:v>
                  </c:pt>
                  <c:pt idx="3">
                    <c:v>0.59999999999999432</c:v>
                  </c:pt>
                  <c:pt idx="4">
                    <c:v>1.5</c:v>
                  </c:pt>
                  <c:pt idx="5">
                    <c:v>1.8000000000000114</c:v>
                  </c:pt>
                  <c:pt idx="6">
                    <c:v>3.1000000000000085</c:v>
                  </c:pt>
                  <c:pt idx="7">
                    <c:v>3.7000000000000028</c:v>
                  </c:pt>
                  <c:pt idx="8">
                    <c:v>2.0999999999999943</c:v>
                  </c:pt>
                  <c:pt idx="9">
                    <c:v>1.4000000000000057</c:v>
                  </c:pt>
                  <c:pt idx="10">
                    <c:v>2.4000000000000057</c:v>
                  </c:pt>
                  <c:pt idx="11">
                    <c:v>2.7999999999999972</c:v>
                  </c:pt>
                  <c:pt idx="12">
                    <c:v>3.2999999999999972</c:v>
                  </c:pt>
                  <c:pt idx="13">
                    <c:v>2.0999999999999943</c:v>
                  </c:pt>
                  <c:pt idx="14">
                    <c:v>1.5999999999999943</c:v>
                  </c:pt>
                  <c:pt idx="15">
                    <c:v>1.2999999999999972</c:v>
                  </c:pt>
                  <c:pt idx="16">
                    <c:v>2.3000000000000114</c:v>
                  </c:pt>
                  <c:pt idx="17">
                    <c:v>1.2000000000000028</c:v>
                  </c:pt>
                  <c:pt idx="18">
                    <c:v>2.5</c:v>
                  </c:pt>
                  <c:pt idx="19">
                    <c:v>1.2000000000000028</c:v>
                  </c:pt>
                  <c:pt idx="20">
                    <c:v>3</c:v>
                  </c:pt>
                  <c:pt idx="21">
                    <c:v>2.1000000000000085</c:v>
                  </c:pt>
                  <c:pt idx="22">
                    <c:v>4.7000000000000028</c:v>
                  </c:pt>
                  <c:pt idx="23">
                    <c:v>0.90000000000000568</c:v>
                  </c:pt>
                  <c:pt idx="24">
                    <c:v>2.0999999999999943</c:v>
                  </c:pt>
                  <c:pt idx="25">
                    <c:v>3.5999999999999943</c:v>
                  </c:pt>
                  <c:pt idx="26">
                    <c:v>0.59999999999999432</c:v>
                  </c:pt>
                  <c:pt idx="27">
                    <c:v>0.79999999999999716</c:v>
                  </c:pt>
                  <c:pt idx="28">
                    <c:v>2.3999999999999915</c:v>
                  </c:pt>
                  <c:pt idx="29">
                    <c:v>1.7999999999999972</c:v>
                  </c:pt>
                  <c:pt idx="30">
                    <c:v>1.6000000000000085</c:v>
                  </c:pt>
                  <c:pt idx="31">
                    <c:v>1.2000000000000028</c:v>
                  </c:pt>
                  <c:pt idx="32">
                    <c:v>1.9000000000000057</c:v>
                  </c:pt>
                  <c:pt idx="33">
                    <c:v>3.0999999999999943</c:v>
                  </c:pt>
                  <c:pt idx="34">
                    <c:v>2.7999999999999972</c:v>
                  </c:pt>
                  <c:pt idx="35">
                    <c:v>5.7000000000000028</c:v>
                  </c:pt>
                  <c:pt idx="36">
                    <c:v>0.40000000000000568</c:v>
                  </c:pt>
                  <c:pt idx="37">
                    <c:v>5.2000000000000028</c:v>
                  </c:pt>
                  <c:pt idx="38">
                    <c:v>2</c:v>
                  </c:pt>
                  <c:pt idx="39">
                    <c:v>4.2999999999999972</c:v>
                  </c:pt>
                  <c:pt idx="40">
                    <c:v>6</c:v>
                  </c:pt>
                  <c:pt idx="41">
                    <c:v>2.0999999999999943</c:v>
                  </c:pt>
                  <c:pt idx="42">
                    <c:v>1.1000000000000085</c:v>
                  </c:pt>
                  <c:pt idx="43">
                    <c:v>2.9000000000000057</c:v>
                  </c:pt>
                  <c:pt idx="44">
                    <c:v>5</c:v>
                  </c:pt>
                  <c:pt idx="45">
                    <c:v>2.7000000000000028</c:v>
                  </c:pt>
                  <c:pt idx="46">
                    <c:v>1.7999999999999972</c:v>
                  </c:pt>
                  <c:pt idx="47">
                    <c:v>2.8000000000000114</c:v>
                  </c:pt>
                  <c:pt idx="48">
                    <c:v>2.1000000000000085</c:v>
                  </c:pt>
                  <c:pt idx="49">
                    <c:v>6.8999999999999915</c:v>
                  </c:pt>
                  <c:pt idx="50">
                    <c:v>4.9000000000000057</c:v>
                  </c:pt>
                  <c:pt idx="51">
                    <c:v>5.9000000000000057</c:v>
                  </c:pt>
                  <c:pt idx="52">
                    <c:v>3</c:v>
                  </c:pt>
                  <c:pt idx="53">
                    <c:v>9</c:v>
                  </c:pt>
                  <c:pt idx="54">
                    <c:v>2</c:v>
                  </c:pt>
                  <c:pt idx="55">
                    <c:v>6.1000000000000085</c:v>
                  </c:pt>
                  <c:pt idx="56">
                    <c:v>1.5</c:v>
                  </c:pt>
                  <c:pt idx="57">
                    <c:v>3.7999999999999972</c:v>
                  </c:pt>
                  <c:pt idx="58">
                    <c:v>6.1000000000000014</c:v>
                  </c:pt>
                </c:numCache>
              </c:numRef>
            </c:plus>
            <c:minus>
              <c:numRef>
                <c:f>QOE_PGC_NUHEI_1YP_INST_FIG!$F$5:$F$63</c:f>
                <c:numCache>
                  <c:formatCode>General</c:formatCode>
                  <c:ptCount val="59"/>
                  <c:pt idx="0">
                    <c:v>3.9000000000000057</c:v>
                  </c:pt>
                  <c:pt idx="1">
                    <c:v>4</c:v>
                  </c:pt>
                  <c:pt idx="2">
                    <c:v>1.8999999999999915</c:v>
                  </c:pt>
                  <c:pt idx="3">
                    <c:v>0.90000000000000568</c:v>
                  </c:pt>
                  <c:pt idx="4">
                    <c:v>2.2999999999999972</c:v>
                  </c:pt>
                  <c:pt idx="5">
                    <c:v>3.0999999999999943</c:v>
                  </c:pt>
                  <c:pt idx="6">
                    <c:v>10.200000000000003</c:v>
                  </c:pt>
                  <c:pt idx="7">
                    <c:v>9.0999999999999943</c:v>
                  </c:pt>
                  <c:pt idx="8">
                    <c:v>4</c:v>
                  </c:pt>
                  <c:pt idx="9">
                    <c:v>1.7000000000000028</c:v>
                  </c:pt>
                  <c:pt idx="10">
                    <c:v>4.7999999999999972</c:v>
                  </c:pt>
                  <c:pt idx="11">
                    <c:v>7.5</c:v>
                  </c:pt>
                  <c:pt idx="12">
                    <c:v>8.1000000000000085</c:v>
                  </c:pt>
                  <c:pt idx="13">
                    <c:v>3.5</c:v>
                  </c:pt>
                  <c:pt idx="14">
                    <c:v>1.9000000000000057</c:v>
                  </c:pt>
                  <c:pt idx="15">
                    <c:v>6.4000000000000057</c:v>
                  </c:pt>
                  <c:pt idx="16">
                    <c:v>3.1999999999999886</c:v>
                  </c:pt>
                  <c:pt idx="17">
                    <c:v>1.4000000000000057</c:v>
                  </c:pt>
                  <c:pt idx="18">
                    <c:v>3.5</c:v>
                  </c:pt>
                  <c:pt idx="19">
                    <c:v>1.5</c:v>
                  </c:pt>
                  <c:pt idx="20">
                    <c:v>5.5999999999999943</c:v>
                  </c:pt>
                  <c:pt idx="21">
                    <c:v>2.7000000000000028</c:v>
                  </c:pt>
                  <c:pt idx="22">
                    <c:v>7.5999999999999943</c:v>
                  </c:pt>
                  <c:pt idx="23">
                    <c:v>1</c:v>
                  </c:pt>
                  <c:pt idx="24">
                    <c:v>2.5</c:v>
                  </c:pt>
                  <c:pt idx="25">
                    <c:v>9.7000000000000028</c:v>
                  </c:pt>
                  <c:pt idx="26">
                    <c:v>0.70000000000000284</c:v>
                  </c:pt>
                  <c:pt idx="27">
                    <c:v>1</c:v>
                  </c:pt>
                  <c:pt idx="28">
                    <c:v>3.2999999999999972</c:v>
                  </c:pt>
                  <c:pt idx="29">
                    <c:v>2.1000000000000085</c:v>
                  </c:pt>
                  <c:pt idx="30">
                    <c:v>2.0999999999999943</c:v>
                  </c:pt>
                  <c:pt idx="31">
                    <c:v>1.5</c:v>
                  </c:pt>
                  <c:pt idx="32">
                    <c:v>2.2999999999999972</c:v>
                  </c:pt>
                  <c:pt idx="33">
                    <c:v>4.7999999999999972</c:v>
                  </c:pt>
                  <c:pt idx="34">
                    <c:v>3.6000000000000085</c:v>
                  </c:pt>
                  <c:pt idx="35">
                    <c:v>9.2999999999999972</c:v>
                  </c:pt>
                  <c:pt idx="36">
                    <c:v>0.29999999999999716</c:v>
                  </c:pt>
                  <c:pt idx="37">
                    <c:v>7.6999999999999886</c:v>
                  </c:pt>
                  <c:pt idx="38">
                    <c:v>2.3999999999999915</c:v>
                  </c:pt>
                  <c:pt idx="39">
                    <c:v>6.2000000000000028</c:v>
                  </c:pt>
                  <c:pt idx="40">
                    <c:v>8.4000000000000057</c:v>
                  </c:pt>
                  <c:pt idx="41">
                    <c:v>2.4000000000000057</c:v>
                  </c:pt>
                  <c:pt idx="42">
                    <c:v>1.0999999999999943</c:v>
                  </c:pt>
                  <c:pt idx="43">
                    <c:v>3.2999999999999972</c:v>
                  </c:pt>
                  <c:pt idx="44">
                    <c:v>7.0999999999999943</c:v>
                  </c:pt>
                  <c:pt idx="45">
                    <c:v>3.0999999999999943</c:v>
                  </c:pt>
                  <c:pt idx="46">
                    <c:v>2.1000000000000085</c:v>
                  </c:pt>
                  <c:pt idx="47">
                    <c:v>2.8999999999999915</c:v>
                  </c:pt>
                  <c:pt idx="48">
                    <c:v>2.2999999999999972</c:v>
                  </c:pt>
                  <c:pt idx="49">
                    <c:v>9.1000000000000085</c:v>
                  </c:pt>
                  <c:pt idx="50">
                    <c:v>6.2000000000000028</c:v>
                  </c:pt>
                  <c:pt idx="51">
                    <c:v>7.4999999999999929</c:v>
                  </c:pt>
                  <c:pt idx="52">
                    <c:v>3.6000000000000085</c:v>
                  </c:pt>
                  <c:pt idx="53">
                    <c:v>12.5</c:v>
                  </c:pt>
                  <c:pt idx="54">
                    <c:v>2.0999999999999943</c:v>
                  </c:pt>
                  <c:pt idx="55">
                    <c:v>7.5</c:v>
                  </c:pt>
                  <c:pt idx="56">
                    <c:v>1.5</c:v>
                  </c:pt>
                  <c:pt idx="57">
                    <c:v>3.7000000000000028</c:v>
                  </c:pt>
                  <c:pt idx="58">
                    <c:v>6</c:v>
                  </c:pt>
                </c:numCache>
              </c:numRef>
            </c:minus>
            <c:spPr>
              <a:noFill/>
              <a:ln w="19050" cap="flat" cmpd="sng" algn="ctr">
                <a:solidFill>
                  <a:schemeClr val="tx1">
                    <a:lumMod val="65000"/>
                    <a:lumOff val="35000"/>
                  </a:schemeClr>
                </a:solidFill>
                <a:round/>
              </a:ln>
              <a:effectLst/>
            </c:spPr>
          </c:errBars>
          <c:cat>
            <c:strRef>
              <c:f>QOE_PGC_NUHEI_1YP_INST_FIG!$B$5:$B$63</c:f>
              <c:strCache>
                <c:ptCount val="59"/>
                <c:pt idx="0">
                  <c:v>Leaders Institute</c:v>
                </c:pt>
                <c:pt idx="1">
                  <c:v>Nan Tien Institute</c:v>
                </c:pt>
                <c:pt idx="2">
                  <c:v>The MIECAT Institute</c:v>
                </c:pt>
                <c:pt idx="3">
                  <c:v>Australian College of Theology</c:v>
                </c:pt>
                <c:pt idx="4">
                  <c:v>Sydney College of Divinity</c:v>
                </c:pt>
                <c:pt idx="5">
                  <c:v>Tabor College of Higher Education</c:v>
                </c:pt>
                <c:pt idx="6">
                  <c:v>The Australian Institute of Music</c:v>
                </c:pt>
                <c:pt idx="7">
                  <c:v>Campion College Australia</c:v>
                </c:pt>
                <c:pt idx="8">
                  <c:v>Morling College</c:v>
                </c:pt>
                <c:pt idx="9">
                  <c:v>Polytechnic Institute Australia</c:v>
                </c:pt>
                <c:pt idx="10">
                  <c:v>Gestalt Therapy Brisbane</c:v>
                </c:pt>
                <c:pt idx="11">
                  <c:v>Eastern College Australia</c:v>
                </c:pt>
                <c:pt idx="12">
                  <c:v>Chisholm Institute</c:v>
                </c:pt>
                <c:pt idx="13">
                  <c:v>Christian Heritage College</c:v>
                </c:pt>
                <c:pt idx="14">
                  <c:v>Australian Institute of Management Education and Training</c:v>
                </c:pt>
                <c:pt idx="15">
                  <c:v>National Institute of Organisation Dynamics Australia</c:v>
                </c:pt>
                <c:pt idx="16">
                  <c:v>Sydney International School of Technology and Commerce</c:v>
                </c:pt>
                <c:pt idx="17">
                  <c:v>Australian Institute of Business</c:v>
                </c:pt>
                <c:pt idx="18">
                  <c:v>CIC Higher Education</c:v>
                </c:pt>
                <c:pt idx="19">
                  <c:v>Universal Business School Sydney</c:v>
                </c:pt>
                <c:pt idx="20">
                  <c:v>Adelaide Institute of Higher Education (AIHE)</c:v>
                </c:pt>
                <c:pt idx="21">
                  <c:v>Asia Pacific International College</c:v>
                </c:pt>
                <c:pt idx="22">
                  <c:v>The Tax Institute Higher Education</c:v>
                </c:pt>
                <c:pt idx="23">
                  <c:v>Holmes Institute</c:v>
                </c:pt>
                <c:pt idx="24">
                  <c:v>Alphacrucis University College</c:v>
                </c:pt>
                <c:pt idx="25">
                  <c:v>Australian College of Christian Studies</c:v>
                </c:pt>
                <c:pt idx="26">
                  <c:v>Kaplan Business School</c:v>
                </c:pt>
                <c:pt idx="27">
                  <c:v>VIT (Victorian Institute of Technology)</c:v>
                </c:pt>
                <c:pt idx="28">
                  <c:v>Institute of Health and Management </c:v>
                </c:pt>
                <c:pt idx="29">
                  <c:v>International College of Management, Sydney</c:v>
                </c:pt>
                <c:pt idx="30">
                  <c:v>Engineering Institute of Technology</c:v>
                </c:pt>
                <c:pt idx="31">
                  <c:v>King's Own Institute</c:v>
                </c:pt>
                <c:pt idx="32">
                  <c:v>Australian Institute of Higher Education</c:v>
                </c:pt>
                <c:pt idx="33">
                  <c:v>ICHM</c:v>
                </c:pt>
                <c:pt idx="34">
                  <c:v>Governance Institute of Australia</c:v>
                </c:pt>
                <c:pt idx="35">
                  <c:v>Lyons College</c:v>
                </c:pt>
                <c:pt idx="36">
                  <c:v>All NUHEIs</c:v>
                </c:pt>
                <c:pt idx="37">
                  <c:v>Ozford Institute of Higher Education</c:v>
                </c:pt>
                <c:pt idx="38">
                  <c:v>The Cairnmillar Institute</c:v>
                </c:pt>
                <c:pt idx="39">
                  <c:v>Academies Australasia Polytechnic Pty Limited</c:v>
                </c:pt>
                <c:pt idx="40">
                  <c:v>Health Education &amp; Training Institute</c:v>
                </c:pt>
                <c:pt idx="41">
                  <c:v>Excelsia College</c:v>
                </c:pt>
                <c:pt idx="42">
                  <c:v>Australian College of Applied Professions</c:v>
                </c:pt>
                <c:pt idx="43">
                  <c:v>Australian Institute of Professional Counsellors</c:v>
                </c:pt>
                <c:pt idx="44">
                  <c:v>National Art School</c:v>
                </c:pt>
                <c:pt idx="45">
                  <c:v>Wentworth Institute of Higher Education</c:v>
                </c:pt>
                <c:pt idx="46">
                  <c:v>Melbourne Institute of Technology</c:v>
                </c:pt>
                <c:pt idx="47">
                  <c:v>Australian College of Nursing</c:v>
                </c:pt>
                <c:pt idx="48">
                  <c:v>Kaplan Professional</c:v>
                </c:pt>
                <c:pt idx="49">
                  <c:v>SAE Institute and Qantm College</c:v>
                </c:pt>
                <c:pt idx="50">
                  <c:v>Crown Institute of Higher Education</c:v>
                </c:pt>
                <c:pt idx="51">
                  <c:v>Le Cordon Bleu Australia</c:v>
                </c:pt>
                <c:pt idx="52">
                  <c:v>SP Jain School of Management</c:v>
                </c:pt>
                <c:pt idx="53">
                  <c:v>TAFE NSW</c:v>
                </c:pt>
                <c:pt idx="54">
                  <c:v>The College of Law</c:v>
                </c:pt>
                <c:pt idx="55">
                  <c:v>The JMC Academy</c:v>
                </c:pt>
                <c:pt idx="56">
                  <c:v>Chartered Accountants Australia and New Zealand</c:v>
                </c:pt>
                <c:pt idx="57">
                  <c:v>ISN Psychology</c:v>
                </c:pt>
                <c:pt idx="58">
                  <c:v>Southern Cross Education Institute (Higher Education)</c:v>
                </c:pt>
              </c:strCache>
            </c:strRef>
          </c:cat>
          <c:val>
            <c:numRef>
              <c:f>QOE_PGC_NUHEI_1YP_INST_FIG!$C$5:$C$63</c:f>
              <c:numCache>
                <c:formatCode>0.0</c:formatCode>
                <c:ptCount val="59"/>
                <c:pt idx="0">
                  <c:v>100</c:v>
                </c:pt>
                <c:pt idx="1">
                  <c:v>97.3</c:v>
                </c:pt>
                <c:pt idx="2">
                  <c:v>96.8</c:v>
                </c:pt>
                <c:pt idx="3">
                  <c:v>95.4</c:v>
                </c:pt>
                <c:pt idx="4">
                  <c:v>94</c:v>
                </c:pt>
                <c:pt idx="5">
                  <c:v>93.6</c:v>
                </c:pt>
                <c:pt idx="6">
                  <c:v>93.3</c:v>
                </c:pt>
                <c:pt idx="7">
                  <c:v>92.5</c:v>
                </c:pt>
                <c:pt idx="8">
                  <c:v>92.5</c:v>
                </c:pt>
                <c:pt idx="9">
                  <c:v>91.3</c:v>
                </c:pt>
                <c:pt idx="10">
                  <c:v>91.1</c:v>
                </c:pt>
                <c:pt idx="11">
                  <c:v>90.9</c:v>
                </c:pt>
                <c:pt idx="12">
                  <c:v>90.7</c:v>
                </c:pt>
                <c:pt idx="13">
                  <c:v>90.5</c:v>
                </c:pt>
                <c:pt idx="14">
                  <c:v>89.9</c:v>
                </c:pt>
                <c:pt idx="15">
                  <c:v>89.7</c:v>
                </c:pt>
                <c:pt idx="16">
                  <c:v>89.6</c:v>
                </c:pt>
                <c:pt idx="17">
                  <c:v>89.5</c:v>
                </c:pt>
                <c:pt idx="18">
                  <c:v>88.9</c:v>
                </c:pt>
                <c:pt idx="19">
                  <c:v>88.8</c:v>
                </c:pt>
                <c:pt idx="20">
                  <c:v>88.3</c:v>
                </c:pt>
                <c:pt idx="21">
                  <c:v>88.3</c:v>
                </c:pt>
                <c:pt idx="22">
                  <c:v>86.6</c:v>
                </c:pt>
                <c:pt idx="23">
                  <c:v>86.3</c:v>
                </c:pt>
                <c:pt idx="24">
                  <c:v>86.2</c:v>
                </c:pt>
                <c:pt idx="25">
                  <c:v>86.2</c:v>
                </c:pt>
                <c:pt idx="26">
                  <c:v>86.2</c:v>
                </c:pt>
                <c:pt idx="27">
                  <c:v>86.2</c:v>
                </c:pt>
                <c:pt idx="28">
                  <c:v>85.7</c:v>
                </c:pt>
                <c:pt idx="29">
                  <c:v>85.2</c:v>
                </c:pt>
                <c:pt idx="30">
                  <c:v>85.1</c:v>
                </c:pt>
                <c:pt idx="31">
                  <c:v>84</c:v>
                </c:pt>
                <c:pt idx="32">
                  <c:v>83.5</c:v>
                </c:pt>
                <c:pt idx="33">
                  <c:v>83</c:v>
                </c:pt>
                <c:pt idx="34">
                  <c:v>82.9</c:v>
                </c:pt>
                <c:pt idx="35">
                  <c:v>82.6</c:v>
                </c:pt>
                <c:pt idx="36">
                  <c:v>80.8</c:v>
                </c:pt>
                <c:pt idx="37">
                  <c:v>80.599999999999994</c:v>
                </c:pt>
                <c:pt idx="38">
                  <c:v>80.599999999999994</c:v>
                </c:pt>
                <c:pt idx="39">
                  <c:v>79</c:v>
                </c:pt>
                <c:pt idx="40">
                  <c:v>79</c:v>
                </c:pt>
                <c:pt idx="41">
                  <c:v>78.5</c:v>
                </c:pt>
                <c:pt idx="42">
                  <c:v>77.599999999999994</c:v>
                </c:pt>
                <c:pt idx="43">
                  <c:v>76.099999999999994</c:v>
                </c:pt>
                <c:pt idx="44">
                  <c:v>75.8</c:v>
                </c:pt>
                <c:pt idx="45">
                  <c:v>75.3</c:v>
                </c:pt>
                <c:pt idx="46">
                  <c:v>74.900000000000006</c:v>
                </c:pt>
                <c:pt idx="47">
                  <c:v>72.599999999999994</c:v>
                </c:pt>
                <c:pt idx="48">
                  <c:v>72.3</c:v>
                </c:pt>
                <c:pt idx="49">
                  <c:v>71.400000000000006</c:v>
                </c:pt>
                <c:pt idx="50">
                  <c:v>71.3</c:v>
                </c:pt>
                <c:pt idx="51">
                  <c:v>70.599999999999994</c:v>
                </c:pt>
                <c:pt idx="52">
                  <c:v>69.7</c:v>
                </c:pt>
                <c:pt idx="53">
                  <c:v>69.2</c:v>
                </c:pt>
                <c:pt idx="54">
                  <c:v>69</c:v>
                </c:pt>
                <c:pt idx="55">
                  <c:v>64.8</c:v>
                </c:pt>
                <c:pt idx="56">
                  <c:v>56.1</c:v>
                </c:pt>
                <c:pt idx="57">
                  <c:v>47.1</c:v>
                </c:pt>
                <c:pt idx="58">
                  <c:v>45.8</c:v>
                </c:pt>
              </c:numCache>
            </c:numRef>
          </c:val>
          <c:extLst>
            <c:ext xmlns:c16="http://schemas.microsoft.com/office/drawing/2014/chart" uri="{C3380CC4-5D6E-409C-BE32-E72D297353CC}">
              <c16:uniqueId val="{00000004-C02D-494B-A66A-A05FA196AB41}"/>
            </c:ext>
          </c:extLst>
        </c:ser>
        <c:dLbls>
          <c:showLegendKey val="0"/>
          <c:showVal val="0"/>
          <c:showCatName val="0"/>
          <c:showSerName val="0"/>
          <c:showPercent val="0"/>
          <c:showBubbleSize val="0"/>
        </c:dLbls>
        <c:gapWidth val="58"/>
        <c:overlap val="-27"/>
        <c:axId val="1831750607"/>
        <c:axId val="1831747247"/>
      </c:barChart>
      <c:catAx>
        <c:axId val="1831750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1831747247"/>
        <c:crosses val="autoZero"/>
        <c:auto val="1"/>
        <c:lblAlgn val="ctr"/>
        <c:lblOffset val="100"/>
        <c:noMultiLvlLbl val="0"/>
      </c:catAx>
      <c:valAx>
        <c:axId val="1831747247"/>
        <c:scaling>
          <c:orientation val="minMax"/>
          <c:max val="10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r>
                  <a:rPr lang="en-AU"/>
                  <a:t>% positive rating</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1831750607"/>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sz="800">
          <a:solidFill>
            <a:sysClr val="windowText" lastClr="000000"/>
          </a:solidFill>
          <a:latin typeface="Public Sans" pitchFamily="2" charset="0"/>
        </a:defRPr>
      </a:pPr>
      <a:endParaRPr lang="en-US"/>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'Sense of belonging'!$B$47</c:f>
              <c:strCache>
                <c:ptCount val="1"/>
                <c:pt idx="0">
                  <c:v>Undergraduate</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F4B-4941-8D12-C0583DB6FA50}"/>
                </c:ext>
              </c:extLst>
            </c:dLbl>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F4B-4941-8D12-C0583DB6FA50}"/>
                </c:ext>
              </c:extLst>
            </c:dLbl>
            <c:dLbl>
              <c:idx val="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F4B-4941-8D12-C0583DB6FA50}"/>
                </c:ext>
              </c:extLst>
            </c:dLbl>
            <c:dLbl>
              <c:idx val="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F4B-4941-8D12-C0583DB6FA50}"/>
                </c:ext>
              </c:extLst>
            </c:dLbl>
            <c:dLbl>
              <c:idx val="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F4B-4941-8D12-C0583DB6FA50}"/>
                </c:ext>
              </c:extLst>
            </c:dLbl>
            <c:spPr>
              <a:noFill/>
              <a:ln>
                <a:noFill/>
              </a:ln>
              <a:effectLst/>
            </c:spPr>
            <c:txPr>
              <a:bodyPr rot="0" spcFirstLastPara="1" vertOverflow="ellipsis" vert="horz" wrap="square" anchor="ctr" anchorCtr="1"/>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'Sense of belonging'!$K$46:$R$46</c:f>
              <c:numCache>
                <c:formatCode>General</c:formatCode>
                <c:ptCount val="8"/>
                <c:pt idx="0">
                  <c:v>2017</c:v>
                </c:pt>
                <c:pt idx="1">
                  <c:v>2018</c:v>
                </c:pt>
                <c:pt idx="2">
                  <c:v>2019</c:v>
                </c:pt>
                <c:pt idx="3">
                  <c:v>2020</c:v>
                </c:pt>
                <c:pt idx="4">
                  <c:v>2021</c:v>
                </c:pt>
                <c:pt idx="5">
                  <c:v>2022</c:v>
                </c:pt>
                <c:pt idx="6">
                  <c:v>2023</c:v>
                </c:pt>
                <c:pt idx="7">
                  <c:v>2024</c:v>
                </c:pt>
              </c:numCache>
            </c:numRef>
          </c:cat>
          <c:val>
            <c:numRef>
              <c:f>'Sense of belonging'!$K$50:$R$50</c:f>
              <c:numCache>
                <c:formatCode>0.0%</c:formatCode>
                <c:ptCount val="8"/>
                <c:pt idx="0">
                  <c:v>0.51400000000000001</c:v>
                </c:pt>
                <c:pt idx="1">
                  <c:v>0.52800000000000002</c:v>
                </c:pt>
                <c:pt idx="2">
                  <c:v>0.51700000000000002</c:v>
                </c:pt>
                <c:pt idx="3">
                  <c:v>0.41099999999999998</c:v>
                </c:pt>
                <c:pt idx="4">
                  <c:v>0.42199999999999999</c:v>
                </c:pt>
                <c:pt idx="5">
                  <c:v>0.46500000000000002</c:v>
                </c:pt>
                <c:pt idx="6">
                  <c:v>0.46300000000000002</c:v>
                </c:pt>
                <c:pt idx="7">
                  <c:v>0.46600000000000003</c:v>
                </c:pt>
              </c:numCache>
            </c:numRef>
          </c:val>
          <c:smooth val="0"/>
          <c:extLst>
            <c:ext xmlns:c16="http://schemas.microsoft.com/office/drawing/2014/chart" uri="{C3380CC4-5D6E-409C-BE32-E72D297353CC}">
              <c16:uniqueId val="{00000005-5F4B-4941-8D12-C0583DB6FA50}"/>
            </c:ext>
          </c:extLst>
        </c:ser>
        <c:ser>
          <c:idx val="2"/>
          <c:order val="1"/>
          <c:tx>
            <c:strRef>
              <c:f>'Sense of belonging'!$B$53</c:f>
              <c:strCache>
                <c:ptCount val="1"/>
                <c:pt idx="0">
                  <c:v>Postgraduate coursework</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F4B-4941-8D12-C0583DB6FA50}"/>
                </c:ext>
              </c:extLst>
            </c:dLbl>
            <c:dLbl>
              <c:idx val="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F4B-4941-8D12-C0583DB6FA50}"/>
                </c:ext>
              </c:extLst>
            </c:dLbl>
            <c:dLbl>
              <c:idx val="2"/>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F4B-4941-8D12-C0583DB6FA50}"/>
                </c:ext>
              </c:extLst>
            </c:dLbl>
            <c:dLbl>
              <c:idx val="4"/>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F4B-4941-8D12-C0583DB6FA50}"/>
                </c:ext>
              </c:extLst>
            </c:dLbl>
            <c:dLbl>
              <c:idx val="5"/>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F4B-4941-8D12-C0583DB6FA50}"/>
                </c:ext>
              </c:extLst>
            </c:dLbl>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'Sense of belonging'!$K$46:$R$46</c:f>
              <c:numCache>
                <c:formatCode>General</c:formatCode>
                <c:ptCount val="8"/>
                <c:pt idx="0">
                  <c:v>2017</c:v>
                </c:pt>
                <c:pt idx="1">
                  <c:v>2018</c:v>
                </c:pt>
                <c:pt idx="2">
                  <c:v>2019</c:v>
                </c:pt>
                <c:pt idx="3">
                  <c:v>2020</c:v>
                </c:pt>
                <c:pt idx="4">
                  <c:v>2021</c:v>
                </c:pt>
                <c:pt idx="5">
                  <c:v>2022</c:v>
                </c:pt>
                <c:pt idx="6">
                  <c:v>2023</c:v>
                </c:pt>
                <c:pt idx="7">
                  <c:v>2024</c:v>
                </c:pt>
              </c:numCache>
            </c:numRef>
          </c:cat>
          <c:val>
            <c:numRef>
              <c:f>'Sense of belonging'!$K$56:$R$56</c:f>
              <c:numCache>
                <c:formatCode>0.0%</c:formatCode>
                <c:ptCount val="8"/>
                <c:pt idx="0">
                  <c:v>0.48299999999999998</c:v>
                </c:pt>
                <c:pt idx="1">
                  <c:v>0.51100000000000001</c:v>
                </c:pt>
                <c:pt idx="2">
                  <c:v>0.51500000000000001</c:v>
                </c:pt>
                <c:pt idx="3">
                  <c:v>0.434</c:v>
                </c:pt>
                <c:pt idx="4">
                  <c:v>0.39700000000000002</c:v>
                </c:pt>
                <c:pt idx="5">
                  <c:v>0.44700000000000001</c:v>
                </c:pt>
                <c:pt idx="6">
                  <c:v>0.48499999999999999</c:v>
                </c:pt>
                <c:pt idx="7">
                  <c:v>0.51900000000000002</c:v>
                </c:pt>
              </c:numCache>
            </c:numRef>
          </c:val>
          <c:smooth val="0"/>
          <c:extLst>
            <c:ext xmlns:c16="http://schemas.microsoft.com/office/drawing/2014/chart" uri="{C3380CC4-5D6E-409C-BE32-E72D297353CC}">
              <c16:uniqueId val="{0000000B-5F4B-4941-8D12-C0583DB6FA50}"/>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55000000000000004"/>
          <c:min val="0.30000000000000004"/>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US" sz="1100"/>
              <a:t>Institution type</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'BELONGSAT_UG_ALL_17-YY_SG'!$B$8</c:f>
              <c:strCache>
                <c:ptCount val="1"/>
                <c:pt idx="0">
                  <c:v>NUHEI</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'BELONGSAT_UG_ALL_17-YY_SG'!$L$3:$S$3</c:f>
              <c:strCache>
                <c:ptCount val="8"/>
                <c:pt idx="0">
                  <c:v>2017</c:v>
                </c:pt>
                <c:pt idx="1">
                  <c:v>2018</c:v>
                </c:pt>
                <c:pt idx="2">
                  <c:v>2019</c:v>
                </c:pt>
                <c:pt idx="3">
                  <c:v>2020</c:v>
                </c:pt>
                <c:pt idx="4">
                  <c:v>2021</c:v>
                </c:pt>
                <c:pt idx="5">
                  <c:v>2022</c:v>
                </c:pt>
                <c:pt idx="6">
                  <c:v>2023</c:v>
                </c:pt>
                <c:pt idx="7">
                  <c:v>2024</c:v>
                </c:pt>
              </c:strCache>
            </c:strRef>
          </c:cat>
          <c:val>
            <c:numRef>
              <c:f>'BELONGSAT_UG_ALL_17-YY_SG'!$L$8:$S$8</c:f>
              <c:numCache>
                <c:formatCode>0.0%</c:formatCode>
                <c:ptCount val="8"/>
                <c:pt idx="0">
                  <c:v>0.59399999999999997</c:v>
                </c:pt>
                <c:pt idx="1">
                  <c:v>0.60899999999999999</c:v>
                </c:pt>
                <c:pt idx="2">
                  <c:v>0.60699999999999998</c:v>
                </c:pt>
                <c:pt idx="3">
                  <c:v>0.56000000000000005</c:v>
                </c:pt>
                <c:pt idx="4">
                  <c:v>0.56000000000000005</c:v>
                </c:pt>
                <c:pt idx="5">
                  <c:v>0.59</c:v>
                </c:pt>
                <c:pt idx="6">
                  <c:v>0.6</c:v>
                </c:pt>
                <c:pt idx="7">
                  <c:v>0.60099999999999998</c:v>
                </c:pt>
              </c:numCache>
            </c:numRef>
          </c:val>
          <c:smooth val="0"/>
          <c:extLst>
            <c:ext xmlns:c16="http://schemas.microsoft.com/office/drawing/2014/chart" uri="{C3380CC4-5D6E-409C-BE32-E72D297353CC}">
              <c16:uniqueId val="{00000000-6D3D-4C2C-A1C3-321DFB1D0206}"/>
            </c:ext>
          </c:extLst>
        </c:ser>
        <c:ser>
          <c:idx val="1"/>
          <c:order val="1"/>
          <c:tx>
            <c:strRef>
              <c:f>'BELONGSAT_UG_ALL_17-YY_SG'!$B$9</c:f>
              <c:strCache>
                <c:ptCount val="1"/>
                <c:pt idx="0">
                  <c:v>University</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'BELONGSAT_UG_ALL_17-YY_SG'!$L$3:$S$3</c:f>
              <c:strCache>
                <c:ptCount val="8"/>
                <c:pt idx="0">
                  <c:v>2017</c:v>
                </c:pt>
                <c:pt idx="1">
                  <c:v>2018</c:v>
                </c:pt>
                <c:pt idx="2">
                  <c:v>2019</c:v>
                </c:pt>
                <c:pt idx="3">
                  <c:v>2020</c:v>
                </c:pt>
                <c:pt idx="4">
                  <c:v>2021</c:v>
                </c:pt>
                <c:pt idx="5">
                  <c:v>2022</c:v>
                </c:pt>
                <c:pt idx="6">
                  <c:v>2023</c:v>
                </c:pt>
                <c:pt idx="7">
                  <c:v>2024</c:v>
                </c:pt>
              </c:strCache>
            </c:strRef>
          </c:cat>
          <c:val>
            <c:numRef>
              <c:f>'BELONGSAT_UG_ALL_17-YY_SG'!$L$9:$S$9</c:f>
              <c:numCache>
                <c:formatCode>0.0%</c:formatCode>
                <c:ptCount val="8"/>
                <c:pt idx="0">
                  <c:v>0.50800000000000001</c:v>
                </c:pt>
                <c:pt idx="1">
                  <c:v>0.52</c:v>
                </c:pt>
                <c:pt idx="2">
                  <c:v>0.50800000000000001</c:v>
                </c:pt>
                <c:pt idx="3">
                  <c:v>0.39399999999999996</c:v>
                </c:pt>
                <c:pt idx="4">
                  <c:v>0.40899999999999997</c:v>
                </c:pt>
                <c:pt idx="5">
                  <c:v>0.45500000000000002</c:v>
                </c:pt>
                <c:pt idx="6">
                  <c:v>0.45</c:v>
                </c:pt>
                <c:pt idx="7">
                  <c:v>0.44900000000000001</c:v>
                </c:pt>
              </c:numCache>
            </c:numRef>
          </c:val>
          <c:smooth val="0"/>
          <c:extLst>
            <c:ext xmlns:c16="http://schemas.microsoft.com/office/drawing/2014/chart" uri="{C3380CC4-5D6E-409C-BE32-E72D297353CC}">
              <c16:uniqueId val="{00000001-6D3D-4C2C-A1C3-321DFB1D0206}"/>
            </c:ext>
          </c:extLst>
        </c:ser>
        <c:dLbls>
          <c:showLegendKey val="0"/>
          <c:showVal val="0"/>
          <c:showCatName val="0"/>
          <c:showSerName val="0"/>
          <c:showPercent val="0"/>
          <c:showBubbleSize val="0"/>
        </c:dLbls>
        <c:marker val="1"/>
        <c:smooth val="0"/>
        <c:axId val="93931119"/>
        <c:axId val="18426031"/>
      </c:lineChart>
      <c:catAx>
        <c:axId val="9393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426031"/>
        <c:crosses val="autoZero"/>
        <c:auto val="1"/>
        <c:lblAlgn val="ctr"/>
        <c:lblOffset val="100"/>
        <c:noMultiLvlLbl val="0"/>
      </c:catAx>
      <c:valAx>
        <c:axId val="18426031"/>
        <c:scaling>
          <c:orientation val="minMax"/>
          <c:min val="0.2"/>
        </c:scaling>
        <c:delete val="1"/>
        <c:axPos val="l"/>
        <c:numFmt formatCode="0.0%" sourceLinked="1"/>
        <c:majorTickMark val="none"/>
        <c:minorTickMark val="none"/>
        <c:tickLblPos val="nextTo"/>
        <c:crossAx val="939311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AU" sz="1100"/>
              <a:t>Study mode</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'BELONGSAT_UG_ALL_17-YY_SG'!$B$6</c:f>
              <c:strCache>
                <c:ptCount val="1"/>
                <c:pt idx="0">
                  <c:v>Internal/multi-mode</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0F0-456F-8F49-10E2F0A12AA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'BELONGSAT_UG_ALL_17-YY_SG'!$L$3:$S$3</c:f>
              <c:strCache>
                <c:ptCount val="8"/>
                <c:pt idx="0">
                  <c:v>2017</c:v>
                </c:pt>
                <c:pt idx="1">
                  <c:v>2018</c:v>
                </c:pt>
                <c:pt idx="2">
                  <c:v>2019</c:v>
                </c:pt>
                <c:pt idx="3">
                  <c:v>2020</c:v>
                </c:pt>
                <c:pt idx="4">
                  <c:v>2021</c:v>
                </c:pt>
                <c:pt idx="5">
                  <c:v>2022</c:v>
                </c:pt>
                <c:pt idx="6">
                  <c:v>2023</c:v>
                </c:pt>
                <c:pt idx="7">
                  <c:v>2024</c:v>
                </c:pt>
              </c:strCache>
            </c:strRef>
          </c:cat>
          <c:val>
            <c:numRef>
              <c:f>'BELONGSAT_UG_ALL_17-YY_SG'!$L$6:$S$6</c:f>
              <c:numCache>
                <c:formatCode>0.0%</c:formatCode>
                <c:ptCount val="8"/>
                <c:pt idx="0">
                  <c:v>0.52700000000000002</c:v>
                </c:pt>
                <c:pt idx="1">
                  <c:v>0.54</c:v>
                </c:pt>
                <c:pt idx="2">
                  <c:v>0.52800000000000002</c:v>
                </c:pt>
                <c:pt idx="3">
                  <c:v>0.41</c:v>
                </c:pt>
                <c:pt idx="4">
                  <c:v>0.42599999999999999</c:v>
                </c:pt>
                <c:pt idx="5">
                  <c:v>0.47499999999999998</c:v>
                </c:pt>
                <c:pt idx="6">
                  <c:v>0.47200000000000003</c:v>
                </c:pt>
                <c:pt idx="7">
                  <c:v>0.47600000000000003</c:v>
                </c:pt>
              </c:numCache>
            </c:numRef>
          </c:val>
          <c:smooth val="0"/>
          <c:extLst>
            <c:ext xmlns:c16="http://schemas.microsoft.com/office/drawing/2014/chart" uri="{C3380CC4-5D6E-409C-BE32-E72D297353CC}">
              <c16:uniqueId val="{00000001-60F0-456F-8F49-10E2F0A12AAE}"/>
            </c:ext>
          </c:extLst>
        </c:ser>
        <c:ser>
          <c:idx val="1"/>
          <c:order val="1"/>
          <c:tx>
            <c:strRef>
              <c:f>'BELONGSAT_UG_ALL_17-YY_SG'!$B$7</c:f>
              <c:strCache>
                <c:ptCount val="1"/>
                <c:pt idx="0">
                  <c:v>External study mode</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dLbl>
              <c:idx val="3"/>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F0-456F-8F49-10E2F0A12AA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'BELONGSAT_UG_ALL_17-YY_SG'!$L$3:$S$3</c:f>
              <c:strCache>
                <c:ptCount val="8"/>
                <c:pt idx="0">
                  <c:v>2017</c:v>
                </c:pt>
                <c:pt idx="1">
                  <c:v>2018</c:v>
                </c:pt>
                <c:pt idx="2">
                  <c:v>2019</c:v>
                </c:pt>
                <c:pt idx="3">
                  <c:v>2020</c:v>
                </c:pt>
                <c:pt idx="4">
                  <c:v>2021</c:v>
                </c:pt>
                <c:pt idx="5">
                  <c:v>2022</c:v>
                </c:pt>
                <c:pt idx="6">
                  <c:v>2023</c:v>
                </c:pt>
                <c:pt idx="7">
                  <c:v>2024</c:v>
                </c:pt>
              </c:strCache>
            </c:strRef>
          </c:cat>
          <c:val>
            <c:numRef>
              <c:f>'BELONGSAT_UG_ALL_17-YY_SG'!$L$7:$S$7</c:f>
              <c:numCache>
                <c:formatCode>0.0%</c:formatCode>
                <c:ptCount val="8"/>
                <c:pt idx="0">
                  <c:v>0.36499999999999999</c:v>
                </c:pt>
                <c:pt idx="1">
                  <c:v>0.40100000000000002</c:v>
                </c:pt>
                <c:pt idx="2">
                  <c:v>0.39799999999999996</c:v>
                </c:pt>
                <c:pt idx="3">
                  <c:v>0.42</c:v>
                </c:pt>
                <c:pt idx="4">
                  <c:v>0.39200000000000002</c:v>
                </c:pt>
                <c:pt idx="5">
                  <c:v>0.40500000000000003</c:v>
                </c:pt>
                <c:pt idx="6">
                  <c:v>0.4</c:v>
                </c:pt>
                <c:pt idx="7">
                  <c:v>0.38600000000000001</c:v>
                </c:pt>
              </c:numCache>
            </c:numRef>
          </c:val>
          <c:smooth val="0"/>
          <c:extLst>
            <c:ext xmlns:c16="http://schemas.microsoft.com/office/drawing/2014/chart" uri="{C3380CC4-5D6E-409C-BE32-E72D297353CC}">
              <c16:uniqueId val="{00000003-60F0-456F-8F49-10E2F0A12AAE}"/>
            </c:ext>
          </c:extLst>
        </c:ser>
        <c:dLbls>
          <c:showLegendKey val="0"/>
          <c:showVal val="0"/>
          <c:showCatName val="0"/>
          <c:showSerName val="0"/>
          <c:showPercent val="0"/>
          <c:showBubbleSize val="0"/>
        </c:dLbls>
        <c:marker val="1"/>
        <c:smooth val="0"/>
        <c:axId val="93931119"/>
        <c:axId val="18426031"/>
      </c:lineChart>
      <c:catAx>
        <c:axId val="9393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426031"/>
        <c:crosses val="autoZero"/>
        <c:auto val="1"/>
        <c:lblAlgn val="ctr"/>
        <c:lblOffset val="100"/>
        <c:noMultiLvlLbl val="0"/>
      </c:catAx>
      <c:valAx>
        <c:axId val="18426031"/>
        <c:scaling>
          <c:orientation val="minMax"/>
          <c:max val="0.65000000000000013"/>
          <c:min val="0.2"/>
        </c:scaling>
        <c:delete val="1"/>
        <c:axPos val="l"/>
        <c:numFmt formatCode="0.0%" sourceLinked="1"/>
        <c:majorTickMark val="none"/>
        <c:minorTickMark val="none"/>
        <c:tickLblPos val="nextTo"/>
        <c:crossAx val="939311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FOCUS_ALL_ALL_6Y!$B$3</c:f>
              <c:strCache>
                <c:ptCount val="1"/>
                <c:pt idx="0">
                  <c:v>Undergraduate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FOCUS_ALL_ALL_6Y!$C$2:$H$2</c:f>
              <c:strCache>
                <c:ptCount val="6"/>
                <c:pt idx="0">
                  <c:v>Skills Development</c:v>
                </c:pt>
                <c:pt idx="1">
                  <c:v>Peer Engagement</c:v>
                </c:pt>
                <c:pt idx="2">
                  <c:v>Teaching Quality 
and Engagement</c:v>
                </c:pt>
                <c:pt idx="3">
                  <c:v>Student Support 
and Services</c:v>
                </c:pt>
                <c:pt idx="4">
                  <c:v>Learning Resources</c:v>
                </c:pt>
                <c:pt idx="5">
                  <c:v>Overall Educational Experience</c:v>
                </c:pt>
              </c:strCache>
            </c:strRef>
          </c:cat>
          <c:val>
            <c:numRef>
              <c:f>FOCUS_ALL_ALL_6Y!$C$3:$H$3</c:f>
              <c:numCache>
                <c:formatCode>0.0%</c:formatCode>
                <c:ptCount val="6"/>
                <c:pt idx="0">
                  <c:v>0.81</c:v>
                </c:pt>
                <c:pt idx="1">
                  <c:v>0.60199999999999998</c:v>
                </c:pt>
                <c:pt idx="2">
                  <c:v>0.80299999999999994</c:v>
                </c:pt>
                <c:pt idx="3">
                  <c:v>0.71200000000000008</c:v>
                </c:pt>
                <c:pt idx="4">
                  <c:v>0.82799999999999996</c:v>
                </c:pt>
                <c:pt idx="5">
                  <c:v>0.76500000000000001</c:v>
                </c:pt>
              </c:numCache>
            </c:numRef>
          </c:val>
          <c:extLst>
            <c:ext xmlns:c16="http://schemas.microsoft.com/office/drawing/2014/chart" uri="{C3380CC4-5D6E-409C-BE32-E72D297353CC}">
              <c16:uniqueId val="{00000000-D2BB-4D91-A414-2A152474234C}"/>
            </c:ext>
          </c:extLst>
        </c:ser>
        <c:ser>
          <c:idx val="1"/>
          <c:order val="1"/>
          <c:tx>
            <c:strRef>
              <c:f>FOCUS_ALL_ALL_6Y!$B$6</c:f>
              <c:strCache>
                <c:ptCount val="1"/>
                <c:pt idx="0">
                  <c:v>Postgraduate coursework</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FOCUS_ALL_ALL_6Y!$C$2:$H$2</c:f>
              <c:strCache>
                <c:ptCount val="6"/>
                <c:pt idx="0">
                  <c:v>Skills Development</c:v>
                </c:pt>
                <c:pt idx="1">
                  <c:v>Peer Engagement</c:v>
                </c:pt>
                <c:pt idx="2">
                  <c:v>Teaching Quality 
and Engagement</c:v>
                </c:pt>
                <c:pt idx="3">
                  <c:v>Student Support 
and Services</c:v>
                </c:pt>
                <c:pt idx="4">
                  <c:v>Learning Resources</c:v>
                </c:pt>
                <c:pt idx="5">
                  <c:v>Overall Educational Experience</c:v>
                </c:pt>
              </c:strCache>
            </c:strRef>
          </c:cat>
          <c:val>
            <c:numRef>
              <c:f>FOCUS_ALL_ALL_6Y!$C$6:$H$6</c:f>
              <c:numCache>
                <c:formatCode>0.0%</c:formatCode>
                <c:ptCount val="6"/>
                <c:pt idx="0">
                  <c:v>0.83099999999999996</c:v>
                </c:pt>
                <c:pt idx="1">
                  <c:v>0.621</c:v>
                </c:pt>
                <c:pt idx="2">
                  <c:v>0.82799999999999996</c:v>
                </c:pt>
                <c:pt idx="3">
                  <c:v>0.7659999999999999</c:v>
                </c:pt>
                <c:pt idx="4">
                  <c:v>0.85</c:v>
                </c:pt>
                <c:pt idx="5">
                  <c:v>0.76700000000000002</c:v>
                </c:pt>
              </c:numCache>
            </c:numRef>
          </c:val>
          <c:extLst>
            <c:ext xmlns:c16="http://schemas.microsoft.com/office/drawing/2014/chart" uri="{C3380CC4-5D6E-409C-BE32-E72D297353CC}">
              <c16:uniqueId val="{00000001-D2BB-4D91-A414-2A152474234C}"/>
            </c:ext>
          </c:extLst>
        </c:ser>
        <c:dLbls>
          <c:showLegendKey val="0"/>
          <c:showVal val="0"/>
          <c:showCatName val="0"/>
          <c:showSerName val="0"/>
          <c:showPercent val="0"/>
          <c:showBubbleSize val="0"/>
        </c:dLbls>
        <c:gapWidth val="172"/>
        <c:overlap val="-21"/>
        <c:axId val="2101262719"/>
        <c:axId val="2101264639"/>
      </c:barChart>
      <c:catAx>
        <c:axId val="2101262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2101264639"/>
        <c:crosses val="autoZero"/>
        <c:auto val="1"/>
        <c:lblAlgn val="ctr"/>
        <c:lblOffset val="100"/>
        <c:noMultiLvlLbl val="0"/>
      </c:catAx>
      <c:valAx>
        <c:axId val="2101264639"/>
        <c:scaling>
          <c:orientation val="minMax"/>
          <c:max val="1"/>
        </c:scaling>
        <c:delete val="1"/>
        <c:axPos val="l"/>
        <c:numFmt formatCode="0.0%" sourceLinked="1"/>
        <c:majorTickMark val="out"/>
        <c:minorTickMark val="none"/>
        <c:tickLblPos val="nextTo"/>
        <c:crossAx val="21012627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AU" sz="1100">
                <a:solidFill>
                  <a:sysClr val="windowText" lastClr="000000"/>
                </a:solidFill>
              </a:rPr>
              <a:t>Home language</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'BELONGSAT_UG_ALL_17-YY_SG'!$B$18</c:f>
              <c:strCache>
                <c:ptCount val="1"/>
                <c:pt idx="0">
                  <c:v>English</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'BELONGSAT_UG_ALL_17-YY_SG'!$L$3:$S$3</c:f>
              <c:strCache>
                <c:ptCount val="8"/>
                <c:pt idx="0">
                  <c:v>2017</c:v>
                </c:pt>
                <c:pt idx="1">
                  <c:v>2018</c:v>
                </c:pt>
                <c:pt idx="2">
                  <c:v>2019</c:v>
                </c:pt>
                <c:pt idx="3">
                  <c:v>2020</c:v>
                </c:pt>
                <c:pt idx="4">
                  <c:v>2021</c:v>
                </c:pt>
                <c:pt idx="5">
                  <c:v>2022</c:v>
                </c:pt>
                <c:pt idx="6">
                  <c:v>2023</c:v>
                </c:pt>
                <c:pt idx="7">
                  <c:v>2024</c:v>
                </c:pt>
              </c:strCache>
            </c:strRef>
          </c:cat>
          <c:val>
            <c:numRef>
              <c:f>'BELONGSAT_UG_ALL_17-YY_SG'!$L$18:$S$18</c:f>
              <c:numCache>
                <c:formatCode>0.0%</c:formatCode>
                <c:ptCount val="8"/>
                <c:pt idx="0">
                  <c:v>0.504</c:v>
                </c:pt>
                <c:pt idx="1">
                  <c:v>0.51800000000000002</c:v>
                </c:pt>
                <c:pt idx="2">
                  <c:v>0.50600000000000001</c:v>
                </c:pt>
                <c:pt idx="3">
                  <c:v>0.39799999999999996</c:v>
                </c:pt>
                <c:pt idx="4">
                  <c:v>0.41100000000000003</c:v>
                </c:pt>
                <c:pt idx="5">
                  <c:v>0.44900000000000001</c:v>
                </c:pt>
                <c:pt idx="6">
                  <c:v>0.44400000000000001</c:v>
                </c:pt>
                <c:pt idx="7">
                  <c:v>0.44400000000000001</c:v>
                </c:pt>
              </c:numCache>
            </c:numRef>
          </c:val>
          <c:smooth val="0"/>
          <c:extLst>
            <c:ext xmlns:c16="http://schemas.microsoft.com/office/drawing/2014/chart" uri="{C3380CC4-5D6E-409C-BE32-E72D297353CC}">
              <c16:uniqueId val="{00000000-7D5F-4B97-BBA6-7B067D92BC3A}"/>
            </c:ext>
          </c:extLst>
        </c:ser>
        <c:ser>
          <c:idx val="1"/>
          <c:order val="1"/>
          <c:tx>
            <c:strRef>
              <c:f>'BELONGSAT_UG_ALL_17-YY_SG'!$B$19</c:f>
              <c:strCache>
                <c:ptCount val="1"/>
                <c:pt idx="0">
                  <c:v>Other</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'BELONGSAT_UG_ALL_17-YY_SG'!$L$3:$S$3</c:f>
              <c:strCache>
                <c:ptCount val="8"/>
                <c:pt idx="0">
                  <c:v>2017</c:v>
                </c:pt>
                <c:pt idx="1">
                  <c:v>2018</c:v>
                </c:pt>
                <c:pt idx="2">
                  <c:v>2019</c:v>
                </c:pt>
                <c:pt idx="3">
                  <c:v>2020</c:v>
                </c:pt>
                <c:pt idx="4">
                  <c:v>2021</c:v>
                </c:pt>
                <c:pt idx="5">
                  <c:v>2022</c:v>
                </c:pt>
                <c:pt idx="6">
                  <c:v>2023</c:v>
                </c:pt>
                <c:pt idx="7">
                  <c:v>2024</c:v>
                </c:pt>
              </c:strCache>
            </c:strRef>
          </c:cat>
          <c:val>
            <c:numRef>
              <c:f>'BELONGSAT_UG_ALL_17-YY_SG'!$L$19:$S$19</c:f>
              <c:numCache>
                <c:formatCode>0.0%</c:formatCode>
                <c:ptCount val="8"/>
                <c:pt idx="0">
                  <c:v>0.57999999999999996</c:v>
                </c:pt>
                <c:pt idx="1">
                  <c:v>0.58399999999999996</c:v>
                </c:pt>
                <c:pt idx="2">
                  <c:v>0.57999999999999996</c:v>
                </c:pt>
                <c:pt idx="3">
                  <c:v>0.48499999999999999</c:v>
                </c:pt>
                <c:pt idx="4">
                  <c:v>0.48100000000000004</c:v>
                </c:pt>
                <c:pt idx="5">
                  <c:v>0.52700000000000002</c:v>
                </c:pt>
                <c:pt idx="6">
                  <c:v>0.56600000000000006</c:v>
                </c:pt>
                <c:pt idx="7">
                  <c:v>0.56600000000000006</c:v>
                </c:pt>
              </c:numCache>
            </c:numRef>
          </c:val>
          <c:smooth val="0"/>
          <c:extLst>
            <c:ext xmlns:c16="http://schemas.microsoft.com/office/drawing/2014/chart" uri="{C3380CC4-5D6E-409C-BE32-E72D297353CC}">
              <c16:uniqueId val="{00000001-7D5F-4B97-BBA6-7B067D92BC3A}"/>
            </c:ext>
          </c:extLst>
        </c:ser>
        <c:dLbls>
          <c:showLegendKey val="0"/>
          <c:showVal val="0"/>
          <c:showCatName val="0"/>
          <c:showSerName val="0"/>
          <c:showPercent val="0"/>
          <c:showBubbleSize val="0"/>
        </c:dLbls>
        <c:marker val="1"/>
        <c:smooth val="0"/>
        <c:axId val="93931119"/>
        <c:axId val="18426031"/>
      </c:lineChart>
      <c:catAx>
        <c:axId val="9393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426031"/>
        <c:crosses val="autoZero"/>
        <c:auto val="1"/>
        <c:lblAlgn val="ctr"/>
        <c:lblOffset val="100"/>
        <c:noMultiLvlLbl val="0"/>
      </c:catAx>
      <c:valAx>
        <c:axId val="18426031"/>
        <c:scaling>
          <c:orientation val="minMax"/>
          <c:min val="0.2"/>
        </c:scaling>
        <c:delete val="1"/>
        <c:axPos val="l"/>
        <c:numFmt formatCode="0.0%" sourceLinked="1"/>
        <c:majorTickMark val="none"/>
        <c:minorTickMark val="none"/>
        <c:tickLblPos val="nextTo"/>
        <c:crossAx val="939311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AU" sz="1100"/>
              <a:t>Citizenship status</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'BELONGSAT_UG_ALL_17-YY_SG'!$B$22</c:f>
              <c:strCache>
                <c:ptCount val="1"/>
                <c:pt idx="0">
                  <c:v>Domestic student</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'BELONGSAT_UG_ALL_17-YY_SG'!$L$3:$S$3</c:f>
              <c:strCache>
                <c:ptCount val="8"/>
                <c:pt idx="0">
                  <c:v>2017</c:v>
                </c:pt>
                <c:pt idx="1">
                  <c:v>2018</c:v>
                </c:pt>
                <c:pt idx="2">
                  <c:v>2019</c:v>
                </c:pt>
                <c:pt idx="3">
                  <c:v>2020</c:v>
                </c:pt>
                <c:pt idx="4">
                  <c:v>2021</c:v>
                </c:pt>
                <c:pt idx="5">
                  <c:v>2022</c:v>
                </c:pt>
                <c:pt idx="6">
                  <c:v>2023</c:v>
                </c:pt>
                <c:pt idx="7">
                  <c:v>2024</c:v>
                </c:pt>
              </c:strCache>
            </c:strRef>
          </c:cat>
          <c:val>
            <c:numRef>
              <c:f>'BELONGSAT_UG_ALL_17-YY_SG'!$L$22:$S$22</c:f>
              <c:numCache>
                <c:formatCode>0.0%</c:formatCode>
                <c:ptCount val="8"/>
                <c:pt idx="0">
                  <c:v>0.50700000000000001</c:v>
                </c:pt>
                <c:pt idx="1">
                  <c:v>0.51800000000000002</c:v>
                </c:pt>
                <c:pt idx="2">
                  <c:v>0.505</c:v>
                </c:pt>
                <c:pt idx="3">
                  <c:v>0.39399999999999996</c:v>
                </c:pt>
                <c:pt idx="4">
                  <c:v>0.41499999999999998</c:v>
                </c:pt>
                <c:pt idx="5">
                  <c:v>0.44799999999999995</c:v>
                </c:pt>
                <c:pt idx="6">
                  <c:v>0.442</c:v>
                </c:pt>
                <c:pt idx="7">
                  <c:v>0.441</c:v>
                </c:pt>
              </c:numCache>
            </c:numRef>
          </c:val>
          <c:smooth val="0"/>
          <c:extLst>
            <c:ext xmlns:c16="http://schemas.microsoft.com/office/drawing/2014/chart" uri="{C3380CC4-5D6E-409C-BE32-E72D297353CC}">
              <c16:uniqueId val="{00000000-562D-41D9-91B1-41E32CBD57DB}"/>
            </c:ext>
          </c:extLst>
        </c:ser>
        <c:ser>
          <c:idx val="1"/>
          <c:order val="1"/>
          <c:tx>
            <c:strRef>
              <c:f>'BELONGSAT_UG_ALL_17-YY_SG'!$B$23</c:f>
              <c:strCache>
                <c:ptCount val="1"/>
                <c:pt idx="0">
                  <c:v>International student</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'BELONGSAT_UG_ALL_17-YY_SG'!$L$3:$S$3</c:f>
              <c:strCache>
                <c:ptCount val="8"/>
                <c:pt idx="0">
                  <c:v>2017</c:v>
                </c:pt>
                <c:pt idx="1">
                  <c:v>2018</c:v>
                </c:pt>
                <c:pt idx="2">
                  <c:v>2019</c:v>
                </c:pt>
                <c:pt idx="3">
                  <c:v>2020</c:v>
                </c:pt>
                <c:pt idx="4">
                  <c:v>2021</c:v>
                </c:pt>
                <c:pt idx="5">
                  <c:v>2022</c:v>
                </c:pt>
                <c:pt idx="6">
                  <c:v>2023</c:v>
                </c:pt>
                <c:pt idx="7">
                  <c:v>2024</c:v>
                </c:pt>
              </c:strCache>
            </c:strRef>
          </c:cat>
          <c:val>
            <c:numRef>
              <c:f>'BELONGSAT_UG_ALL_17-YY_SG'!$L$23:$S$23</c:f>
              <c:numCache>
                <c:formatCode>0.0%</c:formatCode>
                <c:ptCount val="8"/>
                <c:pt idx="0">
                  <c:v>0.55899999999999994</c:v>
                </c:pt>
                <c:pt idx="1">
                  <c:v>0.57700000000000007</c:v>
                </c:pt>
                <c:pt idx="2">
                  <c:v>0.57799999999999996</c:v>
                </c:pt>
                <c:pt idx="3">
                  <c:v>0.48700000000000004</c:v>
                </c:pt>
                <c:pt idx="4">
                  <c:v>0.46100000000000002</c:v>
                </c:pt>
                <c:pt idx="5">
                  <c:v>0.56100000000000005</c:v>
                </c:pt>
                <c:pt idx="6">
                  <c:v>0.56999999999999995</c:v>
                </c:pt>
                <c:pt idx="7">
                  <c:v>0.57299999999999995</c:v>
                </c:pt>
              </c:numCache>
            </c:numRef>
          </c:val>
          <c:smooth val="0"/>
          <c:extLst>
            <c:ext xmlns:c16="http://schemas.microsoft.com/office/drawing/2014/chart" uri="{C3380CC4-5D6E-409C-BE32-E72D297353CC}">
              <c16:uniqueId val="{00000001-562D-41D9-91B1-41E32CBD57DB}"/>
            </c:ext>
          </c:extLst>
        </c:ser>
        <c:dLbls>
          <c:showLegendKey val="0"/>
          <c:showVal val="0"/>
          <c:showCatName val="0"/>
          <c:showSerName val="0"/>
          <c:showPercent val="0"/>
          <c:showBubbleSize val="0"/>
        </c:dLbls>
        <c:marker val="1"/>
        <c:smooth val="0"/>
        <c:axId val="93931119"/>
        <c:axId val="18426031"/>
      </c:lineChart>
      <c:catAx>
        <c:axId val="9393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426031"/>
        <c:crosses val="autoZero"/>
        <c:auto val="1"/>
        <c:lblAlgn val="ctr"/>
        <c:lblOffset val="100"/>
        <c:noMultiLvlLbl val="0"/>
      </c:catAx>
      <c:valAx>
        <c:axId val="18426031"/>
        <c:scaling>
          <c:orientation val="minMax"/>
          <c:max val="0.65000000000000013"/>
          <c:min val="0.2"/>
        </c:scaling>
        <c:delete val="1"/>
        <c:axPos val="l"/>
        <c:numFmt formatCode="0.0%" sourceLinked="1"/>
        <c:majorTickMark val="none"/>
        <c:minorTickMark val="none"/>
        <c:tickLblPos val="nextTo"/>
        <c:crossAx val="939311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AU" sz="1100"/>
              <a:t>Stage of studies</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Belonging_UG_demos!$B$4</c:f>
              <c:strCache>
                <c:ptCount val="1"/>
                <c:pt idx="0">
                  <c:v>Commencing</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Belonging_UG_demos!$L$3:$S$3</c:f>
              <c:strCache>
                <c:ptCount val="8"/>
                <c:pt idx="0">
                  <c:v>2017</c:v>
                </c:pt>
                <c:pt idx="1">
                  <c:v>2018</c:v>
                </c:pt>
                <c:pt idx="2">
                  <c:v>2019</c:v>
                </c:pt>
                <c:pt idx="3">
                  <c:v>2020</c:v>
                </c:pt>
                <c:pt idx="4">
                  <c:v>2021</c:v>
                </c:pt>
                <c:pt idx="5">
                  <c:v>2022</c:v>
                </c:pt>
                <c:pt idx="6">
                  <c:v>2023</c:v>
                </c:pt>
                <c:pt idx="7">
                  <c:v>2024</c:v>
                </c:pt>
              </c:strCache>
            </c:strRef>
          </c:cat>
          <c:val>
            <c:numRef>
              <c:f>Belonging_UG_demos!$L$4:$S$4</c:f>
              <c:numCache>
                <c:formatCode>0.0%</c:formatCode>
                <c:ptCount val="8"/>
                <c:pt idx="0">
                  <c:v>0.52700000000000002</c:v>
                </c:pt>
                <c:pt idx="1">
                  <c:v>0.54299999999999993</c:v>
                </c:pt>
                <c:pt idx="2">
                  <c:v>0.53500000000000003</c:v>
                </c:pt>
                <c:pt idx="3">
                  <c:v>0.41799999999999998</c:v>
                </c:pt>
                <c:pt idx="4">
                  <c:v>0.44400000000000001</c:v>
                </c:pt>
                <c:pt idx="5">
                  <c:v>0.49299999999999999</c:v>
                </c:pt>
                <c:pt idx="6">
                  <c:v>0.498</c:v>
                </c:pt>
                <c:pt idx="7">
                  <c:v>0.48799999999999999</c:v>
                </c:pt>
              </c:numCache>
            </c:numRef>
          </c:val>
          <c:smooth val="0"/>
          <c:extLst>
            <c:ext xmlns:c16="http://schemas.microsoft.com/office/drawing/2014/chart" uri="{C3380CC4-5D6E-409C-BE32-E72D297353CC}">
              <c16:uniqueId val="{00000000-D62B-4FE5-A942-80FA72B9E483}"/>
            </c:ext>
          </c:extLst>
        </c:ser>
        <c:ser>
          <c:idx val="1"/>
          <c:order val="1"/>
          <c:tx>
            <c:strRef>
              <c:f>Belonging_UG_demos!$B$5</c:f>
              <c:strCache>
                <c:ptCount val="1"/>
                <c:pt idx="0">
                  <c:v>Later year</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Belonging_UG_demos!$L$3:$S$3</c:f>
              <c:strCache>
                <c:ptCount val="8"/>
                <c:pt idx="0">
                  <c:v>2017</c:v>
                </c:pt>
                <c:pt idx="1">
                  <c:v>2018</c:v>
                </c:pt>
                <c:pt idx="2">
                  <c:v>2019</c:v>
                </c:pt>
                <c:pt idx="3">
                  <c:v>2020</c:v>
                </c:pt>
                <c:pt idx="4">
                  <c:v>2021</c:v>
                </c:pt>
                <c:pt idx="5">
                  <c:v>2022</c:v>
                </c:pt>
                <c:pt idx="6">
                  <c:v>2023</c:v>
                </c:pt>
                <c:pt idx="7">
                  <c:v>2024</c:v>
                </c:pt>
              </c:strCache>
            </c:strRef>
          </c:cat>
          <c:val>
            <c:numRef>
              <c:f>Belonging_UG_demos!$L$5:$S$5</c:f>
              <c:numCache>
                <c:formatCode>0.0%</c:formatCode>
                <c:ptCount val="8"/>
                <c:pt idx="0">
                  <c:v>0.496</c:v>
                </c:pt>
                <c:pt idx="1">
                  <c:v>0.504</c:v>
                </c:pt>
                <c:pt idx="2">
                  <c:v>0.49299999999999999</c:v>
                </c:pt>
                <c:pt idx="3">
                  <c:v>0.40100000000000002</c:v>
                </c:pt>
                <c:pt idx="4">
                  <c:v>0.39299999999999996</c:v>
                </c:pt>
                <c:pt idx="5">
                  <c:v>0.433</c:v>
                </c:pt>
                <c:pt idx="6">
                  <c:v>0.42399999999999999</c:v>
                </c:pt>
                <c:pt idx="7">
                  <c:v>0.434</c:v>
                </c:pt>
              </c:numCache>
            </c:numRef>
          </c:val>
          <c:smooth val="0"/>
          <c:extLst>
            <c:ext xmlns:c16="http://schemas.microsoft.com/office/drawing/2014/chart" uri="{C3380CC4-5D6E-409C-BE32-E72D297353CC}">
              <c16:uniqueId val="{00000001-D62B-4FE5-A942-80FA72B9E483}"/>
            </c:ext>
          </c:extLst>
        </c:ser>
        <c:dLbls>
          <c:showLegendKey val="0"/>
          <c:showVal val="0"/>
          <c:showCatName val="0"/>
          <c:showSerName val="0"/>
          <c:showPercent val="0"/>
          <c:showBubbleSize val="0"/>
        </c:dLbls>
        <c:marker val="1"/>
        <c:smooth val="0"/>
        <c:axId val="93931119"/>
        <c:axId val="18426031"/>
      </c:lineChart>
      <c:catAx>
        <c:axId val="9393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426031"/>
        <c:crosses val="autoZero"/>
        <c:auto val="1"/>
        <c:lblAlgn val="ctr"/>
        <c:lblOffset val="100"/>
        <c:noMultiLvlLbl val="0"/>
      </c:catAx>
      <c:valAx>
        <c:axId val="18426031"/>
        <c:scaling>
          <c:orientation val="minMax"/>
          <c:max val="0.65000000000000013"/>
          <c:min val="0.2"/>
        </c:scaling>
        <c:delete val="1"/>
        <c:axPos val="l"/>
        <c:numFmt formatCode="0.0%" sourceLinked="1"/>
        <c:majorTickMark val="none"/>
        <c:minorTickMark val="none"/>
        <c:tickLblPos val="nextTo"/>
        <c:crossAx val="939311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AU" sz="1100"/>
              <a:t>Disability status</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Belonging_UG_demos!$B$20</c:f>
              <c:strCache>
                <c:ptCount val="1"/>
                <c:pt idx="0">
                  <c:v>Disability reported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Belonging_UG_demos!$L$3:$S$3</c:f>
              <c:strCache>
                <c:ptCount val="8"/>
                <c:pt idx="0">
                  <c:v>2017</c:v>
                </c:pt>
                <c:pt idx="1">
                  <c:v>2018</c:v>
                </c:pt>
                <c:pt idx="2">
                  <c:v>2019</c:v>
                </c:pt>
                <c:pt idx="3">
                  <c:v>2020</c:v>
                </c:pt>
                <c:pt idx="4">
                  <c:v>2021</c:v>
                </c:pt>
                <c:pt idx="5">
                  <c:v>2022</c:v>
                </c:pt>
                <c:pt idx="6">
                  <c:v>2023</c:v>
                </c:pt>
                <c:pt idx="7">
                  <c:v>2024</c:v>
                </c:pt>
              </c:strCache>
            </c:strRef>
          </c:cat>
          <c:val>
            <c:numRef>
              <c:f>Belonging_UG_demos!$L$20:$S$20</c:f>
              <c:numCache>
                <c:formatCode>0.0%</c:formatCode>
                <c:ptCount val="8"/>
                <c:pt idx="0">
                  <c:v>0.47299999999999998</c:v>
                </c:pt>
                <c:pt idx="1">
                  <c:v>0.48299999999999998</c:v>
                </c:pt>
                <c:pt idx="2">
                  <c:v>0.47399999999999998</c:v>
                </c:pt>
                <c:pt idx="3">
                  <c:v>0.36299999999999999</c:v>
                </c:pt>
                <c:pt idx="4">
                  <c:v>0.373</c:v>
                </c:pt>
                <c:pt idx="5">
                  <c:v>0.42399999999999999</c:v>
                </c:pt>
                <c:pt idx="6">
                  <c:v>0.433</c:v>
                </c:pt>
                <c:pt idx="7">
                  <c:v>0.41899999999999998</c:v>
                </c:pt>
              </c:numCache>
            </c:numRef>
          </c:val>
          <c:smooth val="0"/>
          <c:extLst>
            <c:ext xmlns:c16="http://schemas.microsoft.com/office/drawing/2014/chart" uri="{C3380CC4-5D6E-409C-BE32-E72D297353CC}">
              <c16:uniqueId val="{00000000-7637-4A3F-9D06-9B472BFB72B9}"/>
            </c:ext>
          </c:extLst>
        </c:ser>
        <c:ser>
          <c:idx val="1"/>
          <c:order val="1"/>
          <c:tx>
            <c:strRef>
              <c:f>Belonging_UG_demos!$B$21</c:f>
              <c:strCache>
                <c:ptCount val="1"/>
                <c:pt idx="0">
                  <c:v>No disability reported</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Belonging_UG_demos!$L$3:$S$3</c:f>
              <c:strCache>
                <c:ptCount val="8"/>
                <c:pt idx="0">
                  <c:v>2017</c:v>
                </c:pt>
                <c:pt idx="1">
                  <c:v>2018</c:v>
                </c:pt>
                <c:pt idx="2">
                  <c:v>2019</c:v>
                </c:pt>
                <c:pt idx="3">
                  <c:v>2020</c:v>
                </c:pt>
                <c:pt idx="4">
                  <c:v>2021</c:v>
                </c:pt>
                <c:pt idx="5">
                  <c:v>2022</c:v>
                </c:pt>
                <c:pt idx="6">
                  <c:v>2023</c:v>
                </c:pt>
                <c:pt idx="7">
                  <c:v>2024</c:v>
                </c:pt>
              </c:strCache>
            </c:strRef>
          </c:cat>
          <c:val>
            <c:numRef>
              <c:f>Belonging_UG_demos!$L$21:$S$21</c:f>
              <c:numCache>
                <c:formatCode>0.0%</c:formatCode>
                <c:ptCount val="8"/>
                <c:pt idx="0">
                  <c:v>0.51700000000000002</c:v>
                </c:pt>
                <c:pt idx="1">
                  <c:v>0.53</c:v>
                </c:pt>
                <c:pt idx="2">
                  <c:v>0.52</c:v>
                </c:pt>
                <c:pt idx="3">
                  <c:v>0.41499999999999998</c:v>
                </c:pt>
                <c:pt idx="4">
                  <c:v>0.42599999999999999</c:v>
                </c:pt>
                <c:pt idx="5">
                  <c:v>0.47</c:v>
                </c:pt>
                <c:pt idx="6">
                  <c:v>0.46799999999999997</c:v>
                </c:pt>
                <c:pt idx="7">
                  <c:v>0.47200000000000003</c:v>
                </c:pt>
              </c:numCache>
            </c:numRef>
          </c:val>
          <c:smooth val="0"/>
          <c:extLst>
            <c:ext xmlns:c16="http://schemas.microsoft.com/office/drawing/2014/chart" uri="{C3380CC4-5D6E-409C-BE32-E72D297353CC}">
              <c16:uniqueId val="{00000001-7637-4A3F-9D06-9B472BFB72B9}"/>
            </c:ext>
          </c:extLst>
        </c:ser>
        <c:dLbls>
          <c:showLegendKey val="0"/>
          <c:showVal val="0"/>
          <c:showCatName val="0"/>
          <c:showSerName val="0"/>
          <c:showPercent val="0"/>
          <c:showBubbleSize val="0"/>
        </c:dLbls>
        <c:marker val="1"/>
        <c:smooth val="0"/>
        <c:axId val="93931119"/>
        <c:axId val="18426031"/>
      </c:lineChart>
      <c:catAx>
        <c:axId val="9393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426031"/>
        <c:crosses val="autoZero"/>
        <c:auto val="1"/>
        <c:lblAlgn val="ctr"/>
        <c:lblOffset val="100"/>
        <c:noMultiLvlLbl val="0"/>
      </c:catAx>
      <c:valAx>
        <c:axId val="18426031"/>
        <c:scaling>
          <c:orientation val="minMax"/>
          <c:max val="0.65000000000000013"/>
          <c:min val="0.2"/>
        </c:scaling>
        <c:delete val="1"/>
        <c:axPos val="l"/>
        <c:numFmt formatCode="0.0%" sourceLinked="1"/>
        <c:majorTickMark val="none"/>
        <c:minorTickMark val="none"/>
        <c:tickLblPos val="nextTo"/>
        <c:crossAx val="939311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US" sz="1100"/>
              <a:t>Institution type</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'BELONGSAT_PGC_ALL_17-YY_SG'!$B$8</c:f>
              <c:strCache>
                <c:ptCount val="1"/>
                <c:pt idx="0">
                  <c:v>NUHEI</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'BELONGSAT_PGC_ALL_17-YY_SG'!$L$3:$S$3</c:f>
              <c:strCache>
                <c:ptCount val="8"/>
                <c:pt idx="0">
                  <c:v>2017</c:v>
                </c:pt>
                <c:pt idx="1">
                  <c:v>2018</c:v>
                </c:pt>
                <c:pt idx="2">
                  <c:v>2019</c:v>
                </c:pt>
                <c:pt idx="3">
                  <c:v>2020</c:v>
                </c:pt>
                <c:pt idx="4">
                  <c:v>2021</c:v>
                </c:pt>
                <c:pt idx="5">
                  <c:v>2022</c:v>
                </c:pt>
                <c:pt idx="6">
                  <c:v>2023</c:v>
                </c:pt>
                <c:pt idx="7">
                  <c:v>2024</c:v>
                </c:pt>
              </c:strCache>
            </c:strRef>
          </c:cat>
          <c:val>
            <c:numRef>
              <c:f>'BELONGSAT_PGC_ALL_17-YY_SG'!$L$8:$S$8</c:f>
              <c:numCache>
                <c:formatCode>0.0%</c:formatCode>
                <c:ptCount val="8"/>
                <c:pt idx="0">
                  <c:v>0.51900000000000002</c:v>
                </c:pt>
                <c:pt idx="1">
                  <c:v>0.55700000000000005</c:v>
                </c:pt>
                <c:pt idx="2">
                  <c:v>0.59599999999999997</c:v>
                </c:pt>
                <c:pt idx="3">
                  <c:v>0.57899999999999996</c:v>
                </c:pt>
                <c:pt idx="4">
                  <c:v>0.55200000000000005</c:v>
                </c:pt>
                <c:pt idx="5">
                  <c:v>0.56600000000000006</c:v>
                </c:pt>
                <c:pt idx="6">
                  <c:v>0.56100000000000005</c:v>
                </c:pt>
                <c:pt idx="7">
                  <c:v>0.61599999999999999</c:v>
                </c:pt>
              </c:numCache>
            </c:numRef>
          </c:val>
          <c:smooth val="0"/>
          <c:extLst>
            <c:ext xmlns:c16="http://schemas.microsoft.com/office/drawing/2014/chart" uri="{C3380CC4-5D6E-409C-BE32-E72D297353CC}">
              <c16:uniqueId val="{00000000-7640-4AC1-881C-78154214A185}"/>
            </c:ext>
          </c:extLst>
        </c:ser>
        <c:ser>
          <c:idx val="1"/>
          <c:order val="1"/>
          <c:tx>
            <c:strRef>
              <c:f>'BELONGSAT_PGC_ALL_17-YY_SG'!$B$9</c:f>
              <c:strCache>
                <c:ptCount val="1"/>
                <c:pt idx="0">
                  <c:v>University</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'BELONGSAT_PGC_ALL_17-YY_SG'!$L$3:$S$3</c:f>
              <c:strCache>
                <c:ptCount val="8"/>
                <c:pt idx="0">
                  <c:v>2017</c:v>
                </c:pt>
                <c:pt idx="1">
                  <c:v>2018</c:v>
                </c:pt>
                <c:pt idx="2">
                  <c:v>2019</c:v>
                </c:pt>
                <c:pt idx="3">
                  <c:v>2020</c:v>
                </c:pt>
                <c:pt idx="4">
                  <c:v>2021</c:v>
                </c:pt>
                <c:pt idx="5">
                  <c:v>2022</c:v>
                </c:pt>
                <c:pt idx="6">
                  <c:v>2023</c:v>
                </c:pt>
                <c:pt idx="7">
                  <c:v>2024</c:v>
                </c:pt>
              </c:strCache>
            </c:strRef>
          </c:cat>
          <c:val>
            <c:numRef>
              <c:f>'BELONGSAT_PGC_ALL_17-YY_SG'!$L$9:$S$9</c:f>
              <c:numCache>
                <c:formatCode>0.0%</c:formatCode>
                <c:ptCount val="8"/>
                <c:pt idx="0">
                  <c:v>0.47899999999999998</c:v>
                </c:pt>
                <c:pt idx="1">
                  <c:v>0.50600000000000001</c:v>
                </c:pt>
                <c:pt idx="2">
                  <c:v>0.505</c:v>
                </c:pt>
                <c:pt idx="3">
                  <c:v>0.41600000000000004</c:v>
                </c:pt>
                <c:pt idx="4">
                  <c:v>0.37799999999999995</c:v>
                </c:pt>
                <c:pt idx="5">
                  <c:v>0.433</c:v>
                </c:pt>
                <c:pt idx="6">
                  <c:v>0.47299999999999998</c:v>
                </c:pt>
                <c:pt idx="7">
                  <c:v>0.5</c:v>
                </c:pt>
              </c:numCache>
            </c:numRef>
          </c:val>
          <c:smooth val="0"/>
          <c:extLst>
            <c:ext xmlns:c16="http://schemas.microsoft.com/office/drawing/2014/chart" uri="{C3380CC4-5D6E-409C-BE32-E72D297353CC}">
              <c16:uniqueId val="{00000001-7640-4AC1-881C-78154214A185}"/>
            </c:ext>
          </c:extLst>
        </c:ser>
        <c:dLbls>
          <c:showLegendKey val="0"/>
          <c:showVal val="0"/>
          <c:showCatName val="0"/>
          <c:showSerName val="0"/>
          <c:showPercent val="0"/>
          <c:showBubbleSize val="0"/>
        </c:dLbls>
        <c:marker val="1"/>
        <c:smooth val="0"/>
        <c:axId val="93931119"/>
        <c:axId val="18426031"/>
      </c:lineChart>
      <c:catAx>
        <c:axId val="9393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426031"/>
        <c:crosses val="autoZero"/>
        <c:auto val="1"/>
        <c:lblAlgn val="ctr"/>
        <c:lblOffset val="100"/>
        <c:noMultiLvlLbl val="0"/>
      </c:catAx>
      <c:valAx>
        <c:axId val="18426031"/>
        <c:scaling>
          <c:orientation val="minMax"/>
          <c:min val="0.2"/>
        </c:scaling>
        <c:delete val="1"/>
        <c:axPos val="l"/>
        <c:numFmt formatCode="0.0%" sourceLinked="1"/>
        <c:majorTickMark val="none"/>
        <c:minorTickMark val="none"/>
        <c:tickLblPos val="nextTo"/>
        <c:crossAx val="939311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AU" sz="1100"/>
              <a:t>Study mode</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'BELONGSAT_PGC_ALL_17-YY_SG'!$B$6</c:f>
              <c:strCache>
                <c:ptCount val="1"/>
                <c:pt idx="0">
                  <c:v>Internal/multi-mode</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3"/>
              <c:layout>
                <c:manualLayout>
                  <c:x val="-5.1772662193711037E-2"/>
                  <c:y val="-5.31646122197303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6E-4DE8-B7BE-E87AC769BBB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'BELONGSAT_PGC_ALL_17-YY_SG'!$L$3:$S$3</c:f>
              <c:strCache>
                <c:ptCount val="8"/>
                <c:pt idx="0">
                  <c:v>2017</c:v>
                </c:pt>
                <c:pt idx="1">
                  <c:v>2018</c:v>
                </c:pt>
                <c:pt idx="2">
                  <c:v>2019</c:v>
                </c:pt>
                <c:pt idx="3">
                  <c:v>2020</c:v>
                </c:pt>
                <c:pt idx="4">
                  <c:v>2021</c:v>
                </c:pt>
                <c:pt idx="5">
                  <c:v>2022</c:v>
                </c:pt>
                <c:pt idx="6">
                  <c:v>2023</c:v>
                </c:pt>
                <c:pt idx="7">
                  <c:v>2024</c:v>
                </c:pt>
              </c:strCache>
            </c:strRef>
          </c:cat>
          <c:val>
            <c:numRef>
              <c:f>'BELONGSAT_PGC_ALL_17-YY_SG'!$L$6:$S$6</c:f>
              <c:numCache>
                <c:formatCode>0.0%</c:formatCode>
                <c:ptCount val="8"/>
                <c:pt idx="0">
                  <c:v>0.52900000000000003</c:v>
                </c:pt>
                <c:pt idx="1">
                  <c:v>0.55399999999999994</c:v>
                </c:pt>
                <c:pt idx="2">
                  <c:v>0.55700000000000005</c:v>
                </c:pt>
                <c:pt idx="3">
                  <c:v>0.45600000000000002</c:v>
                </c:pt>
                <c:pt idx="4">
                  <c:v>0.42299999999999999</c:v>
                </c:pt>
                <c:pt idx="5">
                  <c:v>0.48399999999999999</c:v>
                </c:pt>
                <c:pt idx="6">
                  <c:v>0.53600000000000003</c:v>
                </c:pt>
                <c:pt idx="7">
                  <c:v>0.56799999999999995</c:v>
                </c:pt>
              </c:numCache>
            </c:numRef>
          </c:val>
          <c:smooth val="0"/>
          <c:extLst>
            <c:ext xmlns:c16="http://schemas.microsoft.com/office/drawing/2014/chart" uri="{C3380CC4-5D6E-409C-BE32-E72D297353CC}">
              <c16:uniqueId val="{00000001-F36E-4DE8-B7BE-E87AC769BBB3}"/>
            </c:ext>
          </c:extLst>
        </c:ser>
        <c:ser>
          <c:idx val="1"/>
          <c:order val="1"/>
          <c:tx>
            <c:strRef>
              <c:f>'BELONGSAT_PGC_ALL_17-YY_SG'!$B$7</c:f>
              <c:strCache>
                <c:ptCount val="1"/>
                <c:pt idx="0">
                  <c:v>External study mode</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dLbl>
              <c:idx val="3"/>
              <c:layout>
                <c:manualLayout>
                  <c:x val="-5.5393989752111947E-2"/>
                  <c:y val="6.93000693000692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36E-4DE8-B7BE-E87AC769BBB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'BELONGSAT_PGC_ALL_17-YY_SG'!$L$3:$S$3</c:f>
              <c:strCache>
                <c:ptCount val="8"/>
                <c:pt idx="0">
                  <c:v>2017</c:v>
                </c:pt>
                <c:pt idx="1">
                  <c:v>2018</c:v>
                </c:pt>
                <c:pt idx="2">
                  <c:v>2019</c:v>
                </c:pt>
                <c:pt idx="3">
                  <c:v>2020</c:v>
                </c:pt>
                <c:pt idx="4">
                  <c:v>2021</c:v>
                </c:pt>
                <c:pt idx="5">
                  <c:v>2022</c:v>
                </c:pt>
                <c:pt idx="6">
                  <c:v>2023</c:v>
                </c:pt>
                <c:pt idx="7">
                  <c:v>2024</c:v>
                </c:pt>
              </c:strCache>
            </c:strRef>
          </c:cat>
          <c:val>
            <c:numRef>
              <c:f>'BELONGSAT_PGC_ALL_17-YY_SG'!$L$7:$S$7</c:f>
              <c:numCache>
                <c:formatCode>0.0%</c:formatCode>
                <c:ptCount val="8"/>
                <c:pt idx="0">
                  <c:v>0.313</c:v>
                </c:pt>
                <c:pt idx="1">
                  <c:v>0.33500000000000002</c:v>
                </c:pt>
                <c:pt idx="2">
                  <c:v>0.33600000000000002</c:v>
                </c:pt>
                <c:pt idx="3">
                  <c:v>0.376</c:v>
                </c:pt>
                <c:pt idx="4">
                  <c:v>0.34100000000000003</c:v>
                </c:pt>
                <c:pt idx="5">
                  <c:v>0.376</c:v>
                </c:pt>
                <c:pt idx="6">
                  <c:v>0.36599999999999999</c:v>
                </c:pt>
                <c:pt idx="7">
                  <c:v>0.35499999999999998</c:v>
                </c:pt>
              </c:numCache>
            </c:numRef>
          </c:val>
          <c:smooth val="0"/>
          <c:extLst>
            <c:ext xmlns:c16="http://schemas.microsoft.com/office/drawing/2014/chart" uri="{C3380CC4-5D6E-409C-BE32-E72D297353CC}">
              <c16:uniqueId val="{00000003-F36E-4DE8-B7BE-E87AC769BBB3}"/>
            </c:ext>
          </c:extLst>
        </c:ser>
        <c:dLbls>
          <c:showLegendKey val="0"/>
          <c:showVal val="0"/>
          <c:showCatName val="0"/>
          <c:showSerName val="0"/>
          <c:showPercent val="0"/>
          <c:showBubbleSize val="0"/>
        </c:dLbls>
        <c:marker val="1"/>
        <c:smooth val="0"/>
        <c:axId val="93931119"/>
        <c:axId val="18426031"/>
      </c:lineChart>
      <c:catAx>
        <c:axId val="9393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426031"/>
        <c:crosses val="autoZero"/>
        <c:auto val="1"/>
        <c:lblAlgn val="ctr"/>
        <c:lblOffset val="100"/>
        <c:noMultiLvlLbl val="0"/>
      </c:catAx>
      <c:valAx>
        <c:axId val="18426031"/>
        <c:scaling>
          <c:orientation val="minMax"/>
          <c:max val="0.65000000000000013"/>
          <c:min val="0.2"/>
        </c:scaling>
        <c:delete val="1"/>
        <c:axPos val="l"/>
        <c:numFmt formatCode="0.0%" sourceLinked="1"/>
        <c:majorTickMark val="none"/>
        <c:minorTickMark val="none"/>
        <c:tickLblPos val="nextTo"/>
        <c:crossAx val="939311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AU" sz="1100">
                <a:solidFill>
                  <a:sysClr val="windowText" lastClr="000000"/>
                </a:solidFill>
              </a:rPr>
              <a:t>Home language</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'BELONGSAT_PGC_ALL_17-YY_SG'!$B$18</c:f>
              <c:strCache>
                <c:ptCount val="1"/>
                <c:pt idx="0">
                  <c:v>English</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'BELONGSAT_PGC_ALL_17-YY_SG'!$L$3:$S$3</c:f>
              <c:strCache>
                <c:ptCount val="8"/>
                <c:pt idx="0">
                  <c:v>2017</c:v>
                </c:pt>
                <c:pt idx="1">
                  <c:v>2018</c:v>
                </c:pt>
                <c:pt idx="2">
                  <c:v>2019</c:v>
                </c:pt>
                <c:pt idx="3">
                  <c:v>2020</c:v>
                </c:pt>
                <c:pt idx="4">
                  <c:v>2021</c:v>
                </c:pt>
                <c:pt idx="5">
                  <c:v>2022</c:v>
                </c:pt>
                <c:pt idx="6">
                  <c:v>2023</c:v>
                </c:pt>
                <c:pt idx="7">
                  <c:v>2024</c:v>
                </c:pt>
              </c:strCache>
            </c:strRef>
          </c:cat>
          <c:val>
            <c:numRef>
              <c:f>'BELONGSAT_PGC_ALL_17-YY_SG'!$L$18:$S$18</c:f>
              <c:numCache>
                <c:formatCode>0.0%</c:formatCode>
                <c:ptCount val="8"/>
                <c:pt idx="0">
                  <c:v>0.42799999999999999</c:v>
                </c:pt>
                <c:pt idx="1">
                  <c:v>0.45200000000000001</c:v>
                </c:pt>
                <c:pt idx="2">
                  <c:v>0.45500000000000002</c:v>
                </c:pt>
                <c:pt idx="3">
                  <c:v>0.39500000000000002</c:v>
                </c:pt>
                <c:pt idx="4">
                  <c:v>0.35499999999999998</c:v>
                </c:pt>
                <c:pt idx="5">
                  <c:v>0.38200000000000001</c:v>
                </c:pt>
                <c:pt idx="6">
                  <c:v>0.40700000000000003</c:v>
                </c:pt>
                <c:pt idx="7">
                  <c:v>0.43700000000000006</c:v>
                </c:pt>
              </c:numCache>
            </c:numRef>
          </c:val>
          <c:smooth val="0"/>
          <c:extLst>
            <c:ext xmlns:c16="http://schemas.microsoft.com/office/drawing/2014/chart" uri="{C3380CC4-5D6E-409C-BE32-E72D297353CC}">
              <c16:uniqueId val="{00000000-521B-4292-A46F-ABA683070DF9}"/>
            </c:ext>
          </c:extLst>
        </c:ser>
        <c:ser>
          <c:idx val="1"/>
          <c:order val="1"/>
          <c:tx>
            <c:strRef>
              <c:f>'BELONGSAT_PGC_ALL_17-YY_SG'!$B$19</c:f>
              <c:strCache>
                <c:ptCount val="1"/>
                <c:pt idx="0">
                  <c:v>Other</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'BELONGSAT_PGC_ALL_17-YY_SG'!$L$3:$S$3</c:f>
              <c:strCache>
                <c:ptCount val="8"/>
                <c:pt idx="0">
                  <c:v>2017</c:v>
                </c:pt>
                <c:pt idx="1">
                  <c:v>2018</c:v>
                </c:pt>
                <c:pt idx="2">
                  <c:v>2019</c:v>
                </c:pt>
                <c:pt idx="3">
                  <c:v>2020</c:v>
                </c:pt>
                <c:pt idx="4">
                  <c:v>2021</c:v>
                </c:pt>
                <c:pt idx="5">
                  <c:v>2022</c:v>
                </c:pt>
                <c:pt idx="6">
                  <c:v>2023</c:v>
                </c:pt>
                <c:pt idx="7">
                  <c:v>2024</c:v>
                </c:pt>
              </c:strCache>
            </c:strRef>
          </c:cat>
          <c:val>
            <c:numRef>
              <c:f>'BELONGSAT_PGC_ALL_17-YY_SG'!$L$19:$S$19</c:f>
              <c:numCache>
                <c:formatCode>0.0%</c:formatCode>
                <c:ptCount val="8"/>
                <c:pt idx="0">
                  <c:v>0.60599999999999998</c:v>
                </c:pt>
                <c:pt idx="1">
                  <c:v>0.61</c:v>
                </c:pt>
                <c:pt idx="2">
                  <c:v>0.61499999999999999</c:v>
                </c:pt>
                <c:pt idx="3">
                  <c:v>0.503</c:v>
                </c:pt>
                <c:pt idx="4">
                  <c:v>0.47799999999999998</c:v>
                </c:pt>
                <c:pt idx="5">
                  <c:v>0.57100000000000006</c:v>
                </c:pt>
                <c:pt idx="6">
                  <c:v>0.60399999999999998</c:v>
                </c:pt>
                <c:pt idx="7">
                  <c:v>0.60899999999999999</c:v>
                </c:pt>
              </c:numCache>
            </c:numRef>
          </c:val>
          <c:smooth val="0"/>
          <c:extLst>
            <c:ext xmlns:c16="http://schemas.microsoft.com/office/drawing/2014/chart" uri="{C3380CC4-5D6E-409C-BE32-E72D297353CC}">
              <c16:uniqueId val="{00000001-521B-4292-A46F-ABA683070DF9}"/>
            </c:ext>
          </c:extLst>
        </c:ser>
        <c:dLbls>
          <c:showLegendKey val="0"/>
          <c:showVal val="0"/>
          <c:showCatName val="0"/>
          <c:showSerName val="0"/>
          <c:showPercent val="0"/>
          <c:showBubbleSize val="0"/>
        </c:dLbls>
        <c:marker val="1"/>
        <c:smooth val="0"/>
        <c:axId val="93931119"/>
        <c:axId val="18426031"/>
      </c:lineChart>
      <c:catAx>
        <c:axId val="9393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426031"/>
        <c:crosses val="autoZero"/>
        <c:auto val="1"/>
        <c:lblAlgn val="ctr"/>
        <c:lblOffset val="100"/>
        <c:noMultiLvlLbl val="0"/>
      </c:catAx>
      <c:valAx>
        <c:axId val="18426031"/>
        <c:scaling>
          <c:orientation val="minMax"/>
          <c:min val="0.2"/>
        </c:scaling>
        <c:delete val="1"/>
        <c:axPos val="l"/>
        <c:numFmt formatCode="0.0%" sourceLinked="1"/>
        <c:majorTickMark val="none"/>
        <c:minorTickMark val="none"/>
        <c:tickLblPos val="nextTo"/>
        <c:crossAx val="939311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AU" sz="1100"/>
              <a:t>Citizenship status</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'BELONGSAT_PGC_ALL_17-YY_SG'!$B$22</c:f>
              <c:strCache>
                <c:ptCount val="1"/>
                <c:pt idx="0">
                  <c:v>Domestic student</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'BELONGSAT_PGC_ALL_17-YY_SG'!$L$3:$S$3</c:f>
              <c:strCache>
                <c:ptCount val="8"/>
                <c:pt idx="0">
                  <c:v>2017</c:v>
                </c:pt>
                <c:pt idx="1">
                  <c:v>2018</c:v>
                </c:pt>
                <c:pt idx="2">
                  <c:v>2019</c:v>
                </c:pt>
                <c:pt idx="3">
                  <c:v>2020</c:v>
                </c:pt>
                <c:pt idx="4">
                  <c:v>2021</c:v>
                </c:pt>
                <c:pt idx="5">
                  <c:v>2022</c:v>
                </c:pt>
                <c:pt idx="6">
                  <c:v>2023</c:v>
                </c:pt>
                <c:pt idx="7">
                  <c:v>2024</c:v>
                </c:pt>
              </c:strCache>
            </c:strRef>
          </c:cat>
          <c:val>
            <c:numRef>
              <c:f>'BELONGSAT_PGC_ALL_17-YY_SG'!$L$22:$S$22</c:f>
              <c:numCache>
                <c:formatCode>0.0%</c:formatCode>
                <c:ptCount val="8"/>
                <c:pt idx="0">
                  <c:v>0.39600000000000002</c:v>
                </c:pt>
                <c:pt idx="1">
                  <c:v>0.41</c:v>
                </c:pt>
                <c:pt idx="2">
                  <c:v>0.40799999999999997</c:v>
                </c:pt>
                <c:pt idx="3">
                  <c:v>0.36799999999999999</c:v>
                </c:pt>
                <c:pt idx="4">
                  <c:v>0.35100000000000003</c:v>
                </c:pt>
                <c:pt idx="5">
                  <c:v>0.373</c:v>
                </c:pt>
                <c:pt idx="6">
                  <c:v>0.37200000000000005</c:v>
                </c:pt>
                <c:pt idx="7">
                  <c:v>0.379</c:v>
                </c:pt>
              </c:numCache>
            </c:numRef>
          </c:val>
          <c:smooth val="0"/>
          <c:extLst>
            <c:ext xmlns:c16="http://schemas.microsoft.com/office/drawing/2014/chart" uri="{C3380CC4-5D6E-409C-BE32-E72D297353CC}">
              <c16:uniqueId val="{00000000-AA5B-4DE3-BE2A-C7A3C7A17EE2}"/>
            </c:ext>
          </c:extLst>
        </c:ser>
        <c:ser>
          <c:idx val="1"/>
          <c:order val="1"/>
          <c:tx>
            <c:strRef>
              <c:f>'BELONGSAT_PGC_ALL_17-YY_SG'!$B$23</c:f>
              <c:strCache>
                <c:ptCount val="1"/>
                <c:pt idx="0">
                  <c:v>International student</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'BELONGSAT_PGC_ALL_17-YY_SG'!$L$3:$S$3</c:f>
              <c:strCache>
                <c:ptCount val="8"/>
                <c:pt idx="0">
                  <c:v>2017</c:v>
                </c:pt>
                <c:pt idx="1">
                  <c:v>2018</c:v>
                </c:pt>
                <c:pt idx="2">
                  <c:v>2019</c:v>
                </c:pt>
                <c:pt idx="3">
                  <c:v>2020</c:v>
                </c:pt>
                <c:pt idx="4">
                  <c:v>2021</c:v>
                </c:pt>
                <c:pt idx="5">
                  <c:v>2022</c:v>
                </c:pt>
                <c:pt idx="6">
                  <c:v>2023</c:v>
                </c:pt>
                <c:pt idx="7">
                  <c:v>2024</c:v>
                </c:pt>
              </c:strCache>
            </c:strRef>
          </c:cat>
          <c:val>
            <c:numRef>
              <c:f>'BELONGSAT_PGC_ALL_17-YY_SG'!$L$23:$S$23</c:f>
              <c:numCache>
                <c:formatCode>0.0%</c:formatCode>
                <c:ptCount val="8"/>
                <c:pt idx="0">
                  <c:v>0.59699999999999998</c:v>
                </c:pt>
                <c:pt idx="1">
                  <c:v>0.61</c:v>
                </c:pt>
                <c:pt idx="2">
                  <c:v>0.61299999999999999</c:v>
                </c:pt>
                <c:pt idx="3">
                  <c:v>0.49399999999999999</c:v>
                </c:pt>
                <c:pt idx="4">
                  <c:v>0.47200000000000003</c:v>
                </c:pt>
                <c:pt idx="5">
                  <c:v>0.57899999999999996</c:v>
                </c:pt>
                <c:pt idx="6">
                  <c:v>0.61099999999999999</c:v>
                </c:pt>
                <c:pt idx="7">
                  <c:v>0.621</c:v>
                </c:pt>
              </c:numCache>
            </c:numRef>
          </c:val>
          <c:smooth val="0"/>
          <c:extLst>
            <c:ext xmlns:c16="http://schemas.microsoft.com/office/drawing/2014/chart" uri="{C3380CC4-5D6E-409C-BE32-E72D297353CC}">
              <c16:uniqueId val="{00000001-AA5B-4DE3-BE2A-C7A3C7A17EE2}"/>
            </c:ext>
          </c:extLst>
        </c:ser>
        <c:dLbls>
          <c:showLegendKey val="0"/>
          <c:showVal val="0"/>
          <c:showCatName val="0"/>
          <c:showSerName val="0"/>
          <c:showPercent val="0"/>
          <c:showBubbleSize val="0"/>
        </c:dLbls>
        <c:marker val="1"/>
        <c:smooth val="0"/>
        <c:axId val="93931119"/>
        <c:axId val="18426031"/>
      </c:lineChart>
      <c:catAx>
        <c:axId val="9393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426031"/>
        <c:crosses val="autoZero"/>
        <c:auto val="1"/>
        <c:lblAlgn val="ctr"/>
        <c:lblOffset val="100"/>
        <c:noMultiLvlLbl val="0"/>
      </c:catAx>
      <c:valAx>
        <c:axId val="18426031"/>
        <c:scaling>
          <c:orientation val="minMax"/>
          <c:max val="0.65000000000000013"/>
          <c:min val="0.2"/>
        </c:scaling>
        <c:delete val="1"/>
        <c:axPos val="l"/>
        <c:numFmt formatCode="0.0%" sourceLinked="1"/>
        <c:majorTickMark val="none"/>
        <c:minorTickMark val="none"/>
        <c:tickLblPos val="nextTo"/>
        <c:crossAx val="939311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AU" sz="1100"/>
              <a:t>Stage of studies</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Belonging_PGC_demos!$B$4</c:f>
              <c:strCache>
                <c:ptCount val="1"/>
                <c:pt idx="0">
                  <c:v>Commencing</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5EA-4622-A77F-22DC2B36D1D3}"/>
                </c:ext>
              </c:extLst>
            </c:dLbl>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5EA-4622-A77F-22DC2B36D1D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Belonging_PGC_demos!$L$3:$S$3</c:f>
              <c:strCache>
                <c:ptCount val="8"/>
                <c:pt idx="0">
                  <c:v>2017</c:v>
                </c:pt>
                <c:pt idx="1">
                  <c:v>2018</c:v>
                </c:pt>
                <c:pt idx="2">
                  <c:v>2019</c:v>
                </c:pt>
                <c:pt idx="3">
                  <c:v>2020</c:v>
                </c:pt>
                <c:pt idx="4">
                  <c:v>2021</c:v>
                </c:pt>
                <c:pt idx="5">
                  <c:v>2022</c:v>
                </c:pt>
                <c:pt idx="6">
                  <c:v>2023</c:v>
                </c:pt>
                <c:pt idx="7">
                  <c:v>2024</c:v>
                </c:pt>
              </c:strCache>
            </c:strRef>
          </c:cat>
          <c:val>
            <c:numRef>
              <c:f>Belonging_PGC_demos!$L$4:$S$4</c:f>
              <c:numCache>
                <c:formatCode>0.0%</c:formatCode>
                <c:ptCount val="8"/>
                <c:pt idx="0">
                  <c:v>0.47399999999999998</c:v>
                </c:pt>
                <c:pt idx="1">
                  <c:v>0.5</c:v>
                </c:pt>
                <c:pt idx="2">
                  <c:v>0.504</c:v>
                </c:pt>
                <c:pt idx="3">
                  <c:v>0.41399999999999998</c:v>
                </c:pt>
                <c:pt idx="4">
                  <c:v>0.37200000000000005</c:v>
                </c:pt>
                <c:pt idx="5">
                  <c:v>0.45899999999999996</c:v>
                </c:pt>
                <c:pt idx="6">
                  <c:v>0.505</c:v>
                </c:pt>
                <c:pt idx="7">
                  <c:v>0.50600000000000001</c:v>
                </c:pt>
              </c:numCache>
            </c:numRef>
          </c:val>
          <c:smooth val="0"/>
          <c:extLst>
            <c:ext xmlns:c16="http://schemas.microsoft.com/office/drawing/2014/chart" uri="{C3380CC4-5D6E-409C-BE32-E72D297353CC}">
              <c16:uniqueId val="{00000002-55EA-4622-A77F-22DC2B36D1D3}"/>
            </c:ext>
          </c:extLst>
        </c:ser>
        <c:ser>
          <c:idx val="1"/>
          <c:order val="1"/>
          <c:tx>
            <c:strRef>
              <c:f>Belonging_PGC_demos!$B$5</c:f>
              <c:strCache>
                <c:ptCount val="1"/>
                <c:pt idx="0">
                  <c:v>Later year</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5"/>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5EA-4622-A77F-22DC2B36D1D3}"/>
                </c:ext>
              </c:extLst>
            </c:dLbl>
            <c:dLbl>
              <c:idx val="6"/>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5EA-4622-A77F-22DC2B36D1D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Belonging_PGC_demos!$L$3:$S$3</c:f>
              <c:strCache>
                <c:ptCount val="8"/>
                <c:pt idx="0">
                  <c:v>2017</c:v>
                </c:pt>
                <c:pt idx="1">
                  <c:v>2018</c:v>
                </c:pt>
                <c:pt idx="2">
                  <c:v>2019</c:v>
                </c:pt>
                <c:pt idx="3">
                  <c:v>2020</c:v>
                </c:pt>
                <c:pt idx="4">
                  <c:v>2021</c:v>
                </c:pt>
                <c:pt idx="5">
                  <c:v>2022</c:v>
                </c:pt>
                <c:pt idx="6">
                  <c:v>2023</c:v>
                </c:pt>
                <c:pt idx="7">
                  <c:v>2024</c:v>
                </c:pt>
              </c:strCache>
            </c:strRef>
          </c:cat>
          <c:val>
            <c:numRef>
              <c:f>Belonging_PGC_demos!$L$5:$S$5</c:f>
              <c:numCache>
                <c:formatCode>0.0%</c:formatCode>
                <c:ptCount val="8"/>
                <c:pt idx="0">
                  <c:v>0.49299999999999999</c:v>
                </c:pt>
                <c:pt idx="1">
                  <c:v>0.52200000000000002</c:v>
                </c:pt>
                <c:pt idx="2">
                  <c:v>0.52600000000000002</c:v>
                </c:pt>
                <c:pt idx="3">
                  <c:v>0.45500000000000002</c:v>
                </c:pt>
                <c:pt idx="4">
                  <c:v>0.42</c:v>
                </c:pt>
                <c:pt idx="5">
                  <c:v>0.435</c:v>
                </c:pt>
                <c:pt idx="6">
                  <c:v>0.46500000000000002</c:v>
                </c:pt>
                <c:pt idx="7">
                  <c:v>0.53200000000000003</c:v>
                </c:pt>
              </c:numCache>
            </c:numRef>
          </c:val>
          <c:smooth val="0"/>
          <c:extLst>
            <c:ext xmlns:c16="http://schemas.microsoft.com/office/drawing/2014/chart" uri="{C3380CC4-5D6E-409C-BE32-E72D297353CC}">
              <c16:uniqueId val="{00000005-55EA-4622-A77F-22DC2B36D1D3}"/>
            </c:ext>
          </c:extLst>
        </c:ser>
        <c:dLbls>
          <c:showLegendKey val="0"/>
          <c:showVal val="0"/>
          <c:showCatName val="0"/>
          <c:showSerName val="0"/>
          <c:showPercent val="0"/>
          <c:showBubbleSize val="0"/>
        </c:dLbls>
        <c:marker val="1"/>
        <c:smooth val="0"/>
        <c:axId val="93931119"/>
        <c:axId val="18426031"/>
      </c:lineChart>
      <c:catAx>
        <c:axId val="9393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426031"/>
        <c:crosses val="autoZero"/>
        <c:auto val="1"/>
        <c:lblAlgn val="ctr"/>
        <c:lblOffset val="100"/>
        <c:noMultiLvlLbl val="0"/>
      </c:catAx>
      <c:valAx>
        <c:axId val="18426031"/>
        <c:scaling>
          <c:orientation val="minMax"/>
          <c:max val="0.65000000000000013"/>
          <c:min val="0.2"/>
        </c:scaling>
        <c:delete val="1"/>
        <c:axPos val="l"/>
        <c:numFmt formatCode="0.0%" sourceLinked="1"/>
        <c:majorTickMark val="none"/>
        <c:minorTickMark val="none"/>
        <c:tickLblPos val="nextTo"/>
        <c:crossAx val="939311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en-AU" sz="1100"/>
              <a:t>Disability status</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Belonging_PGC_demos!$B$20</c:f>
              <c:strCache>
                <c:ptCount val="1"/>
                <c:pt idx="0">
                  <c:v>Disability reported</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Belonging_PGC_demos!$L$3:$S$3</c:f>
              <c:strCache>
                <c:ptCount val="8"/>
                <c:pt idx="0">
                  <c:v>2017</c:v>
                </c:pt>
                <c:pt idx="1">
                  <c:v>2018</c:v>
                </c:pt>
                <c:pt idx="2">
                  <c:v>2019</c:v>
                </c:pt>
                <c:pt idx="3">
                  <c:v>2020</c:v>
                </c:pt>
                <c:pt idx="4">
                  <c:v>2021</c:v>
                </c:pt>
                <c:pt idx="5">
                  <c:v>2022</c:v>
                </c:pt>
                <c:pt idx="6">
                  <c:v>2023</c:v>
                </c:pt>
                <c:pt idx="7">
                  <c:v>2024</c:v>
                </c:pt>
              </c:strCache>
            </c:strRef>
          </c:cat>
          <c:val>
            <c:numRef>
              <c:f>Belonging_PGC_demos!$L$20:$S$20</c:f>
              <c:numCache>
                <c:formatCode>0.0%</c:formatCode>
                <c:ptCount val="8"/>
                <c:pt idx="0">
                  <c:v>0.38799999999999996</c:v>
                </c:pt>
                <c:pt idx="1">
                  <c:v>0.41399999999999998</c:v>
                </c:pt>
                <c:pt idx="2">
                  <c:v>0.40700000000000003</c:v>
                </c:pt>
                <c:pt idx="3">
                  <c:v>0.34899999999999998</c:v>
                </c:pt>
                <c:pt idx="4">
                  <c:v>0.32600000000000001</c:v>
                </c:pt>
                <c:pt idx="5">
                  <c:v>0.37</c:v>
                </c:pt>
                <c:pt idx="6">
                  <c:v>0.44299999999999995</c:v>
                </c:pt>
                <c:pt idx="7">
                  <c:v>0.46700000000000003</c:v>
                </c:pt>
              </c:numCache>
            </c:numRef>
          </c:val>
          <c:smooth val="0"/>
          <c:extLst>
            <c:ext xmlns:c16="http://schemas.microsoft.com/office/drawing/2014/chart" uri="{C3380CC4-5D6E-409C-BE32-E72D297353CC}">
              <c16:uniqueId val="{00000000-F2B3-485F-A3AB-0A5F2C109C8C}"/>
            </c:ext>
          </c:extLst>
        </c:ser>
        <c:ser>
          <c:idx val="1"/>
          <c:order val="1"/>
          <c:tx>
            <c:strRef>
              <c:f>Belonging_PGC_demos!$B$21</c:f>
              <c:strCache>
                <c:ptCount val="1"/>
                <c:pt idx="0">
                  <c:v>No disability reported</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Belonging_PGC_demos!$L$3:$S$3</c:f>
              <c:strCache>
                <c:ptCount val="8"/>
                <c:pt idx="0">
                  <c:v>2017</c:v>
                </c:pt>
                <c:pt idx="1">
                  <c:v>2018</c:v>
                </c:pt>
                <c:pt idx="2">
                  <c:v>2019</c:v>
                </c:pt>
                <c:pt idx="3">
                  <c:v>2020</c:v>
                </c:pt>
                <c:pt idx="4">
                  <c:v>2021</c:v>
                </c:pt>
                <c:pt idx="5">
                  <c:v>2022</c:v>
                </c:pt>
                <c:pt idx="6">
                  <c:v>2023</c:v>
                </c:pt>
                <c:pt idx="7">
                  <c:v>2024</c:v>
                </c:pt>
              </c:strCache>
            </c:strRef>
          </c:cat>
          <c:val>
            <c:numRef>
              <c:f>Belonging_PGC_demos!$L$21:$S$21</c:f>
              <c:numCache>
                <c:formatCode>0.0%</c:formatCode>
                <c:ptCount val="8"/>
                <c:pt idx="0">
                  <c:v>0.48599999999999999</c:v>
                </c:pt>
                <c:pt idx="1">
                  <c:v>0.51400000000000001</c:v>
                </c:pt>
                <c:pt idx="2">
                  <c:v>0.51800000000000002</c:v>
                </c:pt>
                <c:pt idx="3">
                  <c:v>0.43799999999999994</c:v>
                </c:pt>
                <c:pt idx="4">
                  <c:v>0.40100000000000002</c:v>
                </c:pt>
                <c:pt idx="5">
                  <c:v>0.45200000000000001</c:v>
                </c:pt>
                <c:pt idx="6">
                  <c:v>0.48899999999999999</c:v>
                </c:pt>
                <c:pt idx="7">
                  <c:v>0.52300000000000002</c:v>
                </c:pt>
              </c:numCache>
            </c:numRef>
          </c:val>
          <c:smooth val="0"/>
          <c:extLst>
            <c:ext xmlns:c16="http://schemas.microsoft.com/office/drawing/2014/chart" uri="{C3380CC4-5D6E-409C-BE32-E72D297353CC}">
              <c16:uniqueId val="{00000001-F2B3-485F-A3AB-0A5F2C109C8C}"/>
            </c:ext>
          </c:extLst>
        </c:ser>
        <c:dLbls>
          <c:showLegendKey val="0"/>
          <c:showVal val="0"/>
          <c:showCatName val="0"/>
          <c:showSerName val="0"/>
          <c:showPercent val="0"/>
          <c:showBubbleSize val="0"/>
        </c:dLbls>
        <c:marker val="1"/>
        <c:smooth val="0"/>
        <c:axId val="93931119"/>
        <c:axId val="18426031"/>
      </c:lineChart>
      <c:catAx>
        <c:axId val="9393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426031"/>
        <c:crosses val="autoZero"/>
        <c:auto val="1"/>
        <c:lblAlgn val="ctr"/>
        <c:lblOffset val="100"/>
        <c:noMultiLvlLbl val="0"/>
      </c:catAx>
      <c:valAx>
        <c:axId val="18426031"/>
        <c:scaling>
          <c:orientation val="minMax"/>
          <c:max val="0.65000000000000013"/>
          <c:min val="0.2"/>
        </c:scaling>
        <c:delete val="1"/>
        <c:axPos val="l"/>
        <c:numFmt formatCode="0.0%" sourceLinked="1"/>
        <c:majorTickMark val="none"/>
        <c:minorTickMark val="none"/>
        <c:tickLblPos val="nextTo"/>
        <c:crossAx val="9393111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'International response'!$B$6</c:f>
              <c:strCache>
                <c:ptCount val="1"/>
                <c:pt idx="0">
                  <c:v>Undergraduate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4">
                        <a:lumMod val="75000"/>
                      </a:schemeClr>
                    </a:solidFill>
                    <a:latin typeface="Public Sans"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'International response'!$E$5:$L$5</c:f>
              <c:numCache>
                <c:formatCode>General</c:formatCode>
                <c:ptCount val="8"/>
                <c:pt idx="0">
                  <c:v>2017</c:v>
                </c:pt>
                <c:pt idx="1">
                  <c:v>2018</c:v>
                </c:pt>
                <c:pt idx="2">
                  <c:v>2019</c:v>
                </c:pt>
                <c:pt idx="3">
                  <c:v>2020</c:v>
                </c:pt>
                <c:pt idx="4">
                  <c:v>2021</c:v>
                </c:pt>
                <c:pt idx="5">
                  <c:v>2022</c:v>
                </c:pt>
                <c:pt idx="6">
                  <c:v>2023</c:v>
                </c:pt>
                <c:pt idx="7">
                  <c:v>2024</c:v>
                </c:pt>
              </c:numCache>
            </c:numRef>
          </c:cat>
          <c:val>
            <c:numRef>
              <c:f>'International response'!$E$7:$L$7</c:f>
              <c:numCache>
                <c:formatCode>0.0%</c:formatCode>
                <c:ptCount val="8"/>
                <c:pt idx="0">
                  <c:v>0.152</c:v>
                </c:pt>
                <c:pt idx="1">
                  <c:v>0.16700000000000001</c:v>
                </c:pt>
                <c:pt idx="2">
                  <c:v>0.17799999999999999</c:v>
                </c:pt>
                <c:pt idx="3">
                  <c:v>0.19600000000000001</c:v>
                </c:pt>
                <c:pt idx="4">
                  <c:v>0.161</c:v>
                </c:pt>
                <c:pt idx="5">
                  <c:v>0.16700000000000001</c:v>
                </c:pt>
                <c:pt idx="6">
                  <c:v>0.18</c:v>
                </c:pt>
                <c:pt idx="7">
                  <c:v>0.20100000000000001</c:v>
                </c:pt>
              </c:numCache>
            </c:numRef>
          </c:val>
          <c:extLst>
            <c:ext xmlns:c16="http://schemas.microsoft.com/office/drawing/2014/chart" uri="{C3380CC4-5D6E-409C-BE32-E72D297353CC}">
              <c16:uniqueId val="{00000000-0DF0-4AA4-AD57-E846D66076CB}"/>
            </c:ext>
          </c:extLst>
        </c:ser>
        <c:ser>
          <c:idx val="1"/>
          <c:order val="1"/>
          <c:tx>
            <c:strRef>
              <c:f>'International response'!$B$9</c:f>
              <c:strCache>
                <c:ptCount val="1"/>
                <c:pt idx="0">
                  <c:v>Postgraduate coursework</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5">
                        <a:lumMod val="50000"/>
                      </a:schemeClr>
                    </a:solidFill>
                    <a:latin typeface="Public Sans" pitchFamily="2"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'International response'!$E$5:$L$5</c:f>
              <c:numCache>
                <c:formatCode>General</c:formatCode>
                <c:ptCount val="8"/>
                <c:pt idx="0">
                  <c:v>2017</c:v>
                </c:pt>
                <c:pt idx="1">
                  <c:v>2018</c:v>
                </c:pt>
                <c:pt idx="2">
                  <c:v>2019</c:v>
                </c:pt>
                <c:pt idx="3">
                  <c:v>2020</c:v>
                </c:pt>
                <c:pt idx="4">
                  <c:v>2021</c:v>
                </c:pt>
                <c:pt idx="5">
                  <c:v>2022</c:v>
                </c:pt>
                <c:pt idx="6">
                  <c:v>2023</c:v>
                </c:pt>
                <c:pt idx="7">
                  <c:v>2024</c:v>
                </c:pt>
              </c:numCache>
            </c:numRef>
          </c:cat>
          <c:val>
            <c:numRef>
              <c:f>'International response'!$E$10:$L$10</c:f>
              <c:numCache>
                <c:formatCode>0.0%</c:formatCode>
                <c:ptCount val="8"/>
                <c:pt idx="0">
                  <c:v>0.434</c:v>
                </c:pt>
                <c:pt idx="1">
                  <c:v>0.504</c:v>
                </c:pt>
                <c:pt idx="2">
                  <c:v>0.52400000000000002</c:v>
                </c:pt>
                <c:pt idx="3">
                  <c:v>0.52700000000000002</c:v>
                </c:pt>
                <c:pt idx="4">
                  <c:v>0.38300000000000001</c:v>
                </c:pt>
                <c:pt idx="5">
                  <c:v>0.35699999999999998</c:v>
                </c:pt>
                <c:pt idx="6">
                  <c:v>0.47199999999999998</c:v>
                </c:pt>
                <c:pt idx="7">
                  <c:v>0.57999999999999996</c:v>
                </c:pt>
              </c:numCache>
            </c:numRef>
          </c:val>
          <c:extLst>
            <c:ext xmlns:c16="http://schemas.microsoft.com/office/drawing/2014/chart" uri="{C3380CC4-5D6E-409C-BE32-E72D297353CC}">
              <c16:uniqueId val="{00000001-0DF0-4AA4-AD57-E846D66076CB}"/>
            </c:ext>
          </c:extLst>
        </c:ser>
        <c:dLbls>
          <c:showLegendKey val="0"/>
          <c:showVal val="0"/>
          <c:showCatName val="0"/>
          <c:showSerName val="0"/>
          <c:showPercent val="0"/>
          <c:showBubbleSize val="0"/>
        </c:dLbls>
        <c:gapWidth val="120"/>
        <c:overlap val="-27"/>
        <c:axId val="93932079"/>
        <c:axId val="93929199"/>
      </c:barChart>
      <c:catAx>
        <c:axId val="939320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93929199"/>
        <c:crosses val="autoZero"/>
        <c:auto val="1"/>
        <c:lblAlgn val="ctr"/>
        <c:lblOffset val="100"/>
        <c:noMultiLvlLbl val="0"/>
      </c:catAx>
      <c:valAx>
        <c:axId val="93929199"/>
        <c:scaling>
          <c:orientation val="minMax"/>
        </c:scaling>
        <c:delete val="1"/>
        <c:axPos val="l"/>
        <c:numFmt formatCode="0.0%" sourceLinked="1"/>
        <c:majorTickMark val="none"/>
        <c:minorTickMark val="none"/>
        <c:tickLblPos val="nextTo"/>
        <c:crossAx val="93932079"/>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latin typeface="Public Sans" pitchFamily="2" charset="0"/>
        </a:defRPr>
      </a:pPr>
      <a:endParaRPr lang="en-US"/>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9634089163781752E-2"/>
          <c:y val="0.12710747373487008"/>
          <c:w val="0.96073182167243654"/>
          <c:h val="0.79198768970456268"/>
        </c:manualLayout>
      </c:layout>
      <c:lineChart>
        <c:grouping val="standard"/>
        <c:varyColors val="0"/>
        <c:ser>
          <c:idx val="1"/>
          <c:order val="0"/>
          <c:tx>
            <c:strRef>
              <c:f>'CONSID by UG PGC'!$B$10</c:f>
              <c:strCache>
                <c:ptCount val="1"/>
                <c:pt idx="0">
                  <c:v> Undergraduate</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CA-4CB3-A95F-6FF9ADE9F6DD}"/>
                </c:ext>
              </c:extLst>
            </c:dLbl>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CA-4CB3-A95F-6FF9ADE9F6DD}"/>
                </c:ext>
              </c:extLst>
            </c:dLbl>
            <c:dLbl>
              <c:idx val="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0CA-4CB3-A95F-6FF9ADE9F6DD}"/>
                </c:ext>
              </c:extLst>
            </c:dLbl>
            <c:dLbl>
              <c:idx val="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0CA-4CB3-A95F-6FF9ADE9F6DD}"/>
                </c:ext>
              </c:extLst>
            </c:dLbl>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0CA-4CB3-A95F-6FF9ADE9F6DD}"/>
                </c:ext>
              </c:extLst>
            </c:dLbl>
            <c:dLbl>
              <c:idx val="7"/>
              <c:layout>
                <c:manualLayout>
                  <c:x val="-2.9794765442204232E-2"/>
                  <c:y val="-4.92299895280986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0CA-4CB3-A95F-6FF9ADE9F6DD}"/>
                </c:ext>
              </c:extLst>
            </c:dLbl>
            <c:spPr>
              <a:noFill/>
              <a:ln>
                <a:noFill/>
              </a:ln>
              <a:effectLst/>
            </c:spPr>
            <c:txPr>
              <a:bodyPr rot="0" spcFirstLastPara="1" vertOverflow="ellipsis" vert="horz" wrap="square" anchor="ctr" anchorCtr="1"/>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'CONSID by UG PGC'!$A$11:$A$18</c:f>
              <c:numCache>
                <c:formatCode>General</c:formatCode>
                <c:ptCount val="8"/>
                <c:pt idx="0">
                  <c:v>2017</c:v>
                </c:pt>
                <c:pt idx="1">
                  <c:v>2018</c:v>
                </c:pt>
                <c:pt idx="2">
                  <c:v>2019</c:v>
                </c:pt>
                <c:pt idx="3">
                  <c:v>2020</c:v>
                </c:pt>
                <c:pt idx="4">
                  <c:v>2021</c:v>
                </c:pt>
                <c:pt idx="5">
                  <c:v>2022</c:v>
                </c:pt>
                <c:pt idx="6">
                  <c:v>2023</c:v>
                </c:pt>
                <c:pt idx="7">
                  <c:v>2024</c:v>
                </c:pt>
              </c:numCache>
            </c:numRef>
          </c:cat>
          <c:val>
            <c:numRef>
              <c:f>'CONSID by UG PGC'!$B$11:$B$18</c:f>
              <c:numCache>
                <c:formatCode>0.0%</c:formatCode>
                <c:ptCount val="8"/>
                <c:pt idx="0">
                  <c:v>0.19899999999999998</c:v>
                </c:pt>
                <c:pt idx="1">
                  <c:v>0.19399999999999998</c:v>
                </c:pt>
                <c:pt idx="2">
                  <c:v>0.19699999999999998</c:v>
                </c:pt>
                <c:pt idx="3">
                  <c:v>0.19500000000000001</c:v>
                </c:pt>
                <c:pt idx="4">
                  <c:v>0.19399999999999998</c:v>
                </c:pt>
                <c:pt idx="5">
                  <c:v>0.188</c:v>
                </c:pt>
                <c:pt idx="6">
                  <c:v>0.187</c:v>
                </c:pt>
                <c:pt idx="7">
                  <c:v>0.183</c:v>
                </c:pt>
              </c:numCache>
            </c:numRef>
          </c:val>
          <c:smooth val="0"/>
          <c:extLst>
            <c:ext xmlns:c16="http://schemas.microsoft.com/office/drawing/2014/chart" uri="{C3380CC4-5D6E-409C-BE32-E72D297353CC}">
              <c16:uniqueId val="{00000006-40CA-4CB3-A95F-6FF9ADE9F6DD}"/>
            </c:ext>
          </c:extLst>
        </c:ser>
        <c:ser>
          <c:idx val="2"/>
          <c:order val="1"/>
          <c:tx>
            <c:strRef>
              <c:f>'CONSID by UG PGC'!$C$10</c:f>
              <c:strCache>
                <c:ptCount val="1"/>
                <c:pt idx="0">
                  <c:v> Postgraduate coursework</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0CA-4CB3-A95F-6FF9ADE9F6DD}"/>
                </c:ext>
              </c:extLst>
            </c:dLbl>
            <c:dLbl>
              <c:idx val="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0CA-4CB3-A95F-6FF9ADE9F6DD}"/>
                </c:ext>
              </c:extLst>
            </c:dLbl>
            <c:dLbl>
              <c:idx val="2"/>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0CA-4CB3-A95F-6FF9ADE9F6DD}"/>
                </c:ext>
              </c:extLst>
            </c:dLbl>
            <c:dLbl>
              <c:idx val="5"/>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0CA-4CB3-A95F-6FF9ADE9F6DD}"/>
                </c:ext>
              </c:extLst>
            </c:dLbl>
            <c:dLbl>
              <c:idx val="6"/>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0CA-4CB3-A95F-6FF9ADE9F6DD}"/>
                </c:ext>
              </c:extLst>
            </c:dLbl>
            <c:dLbl>
              <c:idx val="7"/>
              <c:layout>
                <c:manualLayout>
                  <c:x val="-3.3364599835619096E-2"/>
                  <c:y val="5.28746359299573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0CA-4CB3-A95F-6FF9ADE9F6DD}"/>
                </c:ext>
              </c:extLst>
            </c:dLbl>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'CONSID by UG PGC'!$A$11:$A$18</c:f>
              <c:numCache>
                <c:formatCode>General</c:formatCode>
                <c:ptCount val="8"/>
                <c:pt idx="0">
                  <c:v>2017</c:v>
                </c:pt>
                <c:pt idx="1">
                  <c:v>2018</c:v>
                </c:pt>
                <c:pt idx="2">
                  <c:v>2019</c:v>
                </c:pt>
                <c:pt idx="3">
                  <c:v>2020</c:v>
                </c:pt>
                <c:pt idx="4">
                  <c:v>2021</c:v>
                </c:pt>
                <c:pt idx="5">
                  <c:v>2022</c:v>
                </c:pt>
                <c:pt idx="6">
                  <c:v>2023</c:v>
                </c:pt>
                <c:pt idx="7">
                  <c:v>2024</c:v>
                </c:pt>
              </c:numCache>
            </c:numRef>
          </c:cat>
          <c:val>
            <c:numRef>
              <c:f>'CONSID by UG PGC'!$C$11:$C$18</c:f>
              <c:numCache>
                <c:formatCode>0.0%</c:formatCode>
                <c:ptCount val="8"/>
                <c:pt idx="0">
                  <c:v>0.182</c:v>
                </c:pt>
                <c:pt idx="1">
                  <c:v>0.17300000000000001</c:v>
                </c:pt>
                <c:pt idx="2">
                  <c:v>0.17499999999999999</c:v>
                </c:pt>
                <c:pt idx="3">
                  <c:v>0.20399999999999999</c:v>
                </c:pt>
                <c:pt idx="4">
                  <c:v>0.20499999999999999</c:v>
                </c:pt>
                <c:pt idx="5">
                  <c:v>0.17699999999999999</c:v>
                </c:pt>
                <c:pt idx="6">
                  <c:v>0.16800000000000001</c:v>
                </c:pt>
                <c:pt idx="7">
                  <c:v>0.16</c:v>
                </c:pt>
              </c:numCache>
            </c:numRef>
          </c:val>
          <c:smooth val="0"/>
          <c:extLst>
            <c:ext xmlns:c16="http://schemas.microsoft.com/office/drawing/2014/chart" uri="{C3380CC4-5D6E-409C-BE32-E72D297353CC}">
              <c16:uniqueId val="{0000000D-40CA-4CB3-A95F-6FF9ADE9F6DD}"/>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Medium"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042402054532539E-2"/>
          <c:y val="4.0621667992342014E-2"/>
          <c:w val="0.95082235943391069"/>
          <c:h val="0.9460276041827439"/>
        </c:manualLayout>
      </c:layout>
      <c:barChart>
        <c:barDir val="bar"/>
        <c:grouping val="stacked"/>
        <c:varyColors val="0"/>
        <c:ser>
          <c:idx val="2"/>
          <c:order val="0"/>
          <c:tx>
            <c:strRef>
              <c:f>'CONSID REASONS (2)'!$F$1</c:f>
              <c:strCache>
                <c:ptCount val="1"/>
                <c:pt idx="0">
                  <c:v>Padding UG</c:v>
                </c:pt>
              </c:strCache>
            </c:strRef>
          </c:tx>
          <c:spPr>
            <a:noFill/>
            <a:ln>
              <a:noFill/>
            </a:ln>
            <a:effectLst/>
          </c:spPr>
          <c:invertIfNegative val="0"/>
          <c:cat>
            <c:strRef>
              <c:f>'CONSID REASONS (2)'!$C$2:$C$12</c:f>
              <c:strCache>
                <c:ptCount val="11"/>
                <c:pt idx="0">
                  <c:v>My stress levels **</c:v>
                </c:pt>
                <c:pt idx="1">
                  <c:v>My mental health **</c:v>
                </c:pt>
                <c:pt idx="2">
                  <c:v>Financial difficulties</c:v>
                </c:pt>
                <c:pt idx="3">
                  <c:v>Difficulty with study workload</c:v>
                </c:pt>
                <c:pt idx="4">
                  <c:v>Study/life balance</c:v>
                </c:pt>
                <c:pt idx="5">
                  <c:v>Course expectations not met</c:v>
                </c:pt>
                <c:pt idx="6">
                  <c:v>Paid work responsibilities</c:v>
                </c:pt>
                <c:pt idx="7">
                  <c:v>Lack of academic support</c:v>
                </c:pt>
                <c:pt idx="8">
                  <c:v>Lack of connection to my institution **</c:v>
                </c:pt>
                <c:pt idx="9">
                  <c:v>Boredom/lack of interest</c:v>
                </c:pt>
                <c:pt idx="10">
                  <c:v>Family caring responsibilities</c:v>
                </c:pt>
              </c:strCache>
            </c:strRef>
          </c:cat>
          <c:val>
            <c:numRef>
              <c:f>'CONSID REASONS (2)'!$F$2:$F$12</c:f>
              <c:numCache>
                <c:formatCode>0.0%</c:formatCode>
                <c:ptCount val="11"/>
                <c:pt idx="0">
                  <c:v>7.7000000000000013E-2</c:v>
                </c:pt>
                <c:pt idx="1">
                  <c:v>9.1000000000000025E-2</c:v>
                </c:pt>
                <c:pt idx="2">
                  <c:v>9.4999999999999973E-2</c:v>
                </c:pt>
                <c:pt idx="3">
                  <c:v>0.13799999999999996</c:v>
                </c:pt>
                <c:pt idx="4">
                  <c:v>0.17299999999999999</c:v>
                </c:pt>
                <c:pt idx="5">
                  <c:v>0.21800000000000003</c:v>
                </c:pt>
                <c:pt idx="6">
                  <c:v>0.23699999999999999</c:v>
                </c:pt>
                <c:pt idx="7">
                  <c:v>0.27</c:v>
                </c:pt>
                <c:pt idx="8">
                  <c:v>0.28500000000000003</c:v>
                </c:pt>
                <c:pt idx="9">
                  <c:v>0.29100000000000004</c:v>
                </c:pt>
                <c:pt idx="10">
                  <c:v>0.32</c:v>
                </c:pt>
              </c:numCache>
            </c:numRef>
          </c:val>
          <c:extLst>
            <c:ext xmlns:c16="http://schemas.microsoft.com/office/drawing/2014/chart" uri="{C3380CC4-5D6E-409C-BE32-E72D297353CC}">
              <c16:uniqueId val="{00000000-129D-4CD9-BE4D-752E573DC2A7}"/>
            </c:ext>
          </c:extLst>
        </c:ser>
        <c:ser>
          <c:idx val="0"/>
          <c:order val="1"/>
          <c:tx>
            <c:strRef>
              <c:f>'CONSID REASONS (2)'!$D$1</c:f>
              <c:strCache>
                <c:ptCount val="1"/>
                <c:pt idx="0">
                  <c:v>Undergraduate</c:v>
                </c:pt>
              </c:strCache>
            </c:strRef>
          </c:tx>
          <c:spPr>
            <a:solidFill>
              <a:schemeClr val="accent4">
                <a:lumMod val="60000"/>
                <a:lumOff val="40000"/>
              </a:schemeClr>
            </a:solidFill>
            <a:ln>
              <a:solidFill>
                <a:schemeClr val="accent4">
                  <a:lumMod val="60000"/>
                  <a:lumOff val="40000"/>
                </a:schemeClr>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'CONSID REASONS (2)'!$C$2:$C$12</c:f>
              <c:strCache>
                <c:ptCount val="11"/>
                <c:pt idx="0">
                  <c:v>My stress levels **</c:v>
                </c:pt>
                <c:pt idx="1">
                  <c:v>My mental health **</c:v>
                </c:pt>
                <c:pt idx="2">
                  <c:v>Financial difficulties</c:v>
                </c:pt>
                <c:pt idx="3">
                  <c:v>Difficulty with study workload</c:v>
                </c:pt>
                <c:pt idx="4">
                  <c:v>Study/life balance</c:v>
                </c:pt>
                <c:pt idx="5">
                  <c:v>Course expectations not met</c:v>
                </c:pt>
                <c:pt idx="6">
                  <c:v>Paid work responsibilities</c:v>
                </c:pt>
                <c:pt idx="7">
                  <c:v>Lack of academic support</c:v>
                </c:pt>
                <c:pt idx="8">
                  <c:v>Lack of connection to my institution **</c:v>
                </c:pt>
                <c:pt idx="9">
                  <c:v>Boredom/lack of interest</c:v>
                </c:pt>
                <c:pt idx="10">
                  <c:v>Family caring responsibilities</c:v>
                </c:pt>
              </c:strCache>
            </c:strRef>
          </c:cat>
          <c:val>
            <c:numRef>
              <c:f>'CONSID REASONS (2)'!$D$2:$D$12</c:f>
              <c:numCache>
                <c:formatCode>0.0%</c:formatCode>
                <c:ptCount val="11"/>
                <c:pt idx="0">
                  <c:v>0.42299999999999999</c:v>
                </c:pt>
                <c:pt idx="1">
                  <c:v>0.40899999999999997</c:v>
                </c:pt>
                <c:pt idx="2">
                  <c:v>0.40500000000000003</c:v>
                </c:pt>
                <c:pt idx="3">
                  <c:v>0.36200000000000004</c:v>
                </c:pt>
                <c:pt idx="4">
                  <c:v>0.32700000000000001</c:v>
                </c:pt>
                <c:pt idx="5">
                  <c:v>0.28199999999999997</c:v>
                </c:pt>
                <c:pt idx="6">
                  <c:v>0.26300000000000001</c:v>
                </c:pt>
                <c:pt idx="7">
                  <c:v>0.23</c:v>
                </c:pt>
                <c:pt idx="8">
                  <c:v>0.215</c:v>
                </c:pt>
                <c:pt idx="9">
                  <c:v>0.20899999999999999</c:v>
                </c:pt>
                <c:pt idx="10">
                  <c:v>0.18</c:v>
                </c:pt>
              </c:numCache>
            </c:numRef>
          </c:val>
          <c:extLst>
            <c:ext xmlns:c16="http://schemas.microsoft.com/office/drawing/2014/chart" uri="{C3380CC4-5D6E-409C-BE32-E72D297353CC}">
              <c16:uniqueId val="{00000001-129D-4CD9-BE4D-752E573DC2A7}"/>
            </c:ext>
          </c:extLst>
        </c:ser>
        <c:ser>
          <c:idx val="4"/>
          <c:order val="2"/>
          <c:tx>
            <c:strRef>
              <c:f>'CONSID REASONS (2)'!$H$1</c:f>
              <c:strCache>
                <c:ptCount val="1"/>
                <c:pt idx="0">
                  <c:v>Gap</c:v>
                </c:pt>
              </c:strCache>
            </c:strRef>
          </c:tx>
          <c:spPr>
            <a:noFill/>
            <a:ln>
              <a:noFill/>
            </a:ln>
            <a:effectLst/>
          </c:spPr>
          <c:invertIfNegative val="0"/>
          <c:dLbls>
            <c:dLbl>
              <c:idx val="0"/>
              <c:tx>
                <c:rich>
                  <a:bodyPr/>
                  <a:lstStyle/>
                  <a:p>
                    <a:r>
                      <a:rPr lang="en-US"/>
                      <a:t>My</a:t>
                    </a:r>
                    <a:r>
                      <a:rPr lang="en-US" baseline="0"/>
                      <a:t> stress levels</a:t>
                    </a:r>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02-129D-4CD9-BE4D-752E573DC2A7}"/>
                </c:ext>
              </c:extLst>
            </c:dLbl>
            <c:dLbl>
              <c:idx val="1"/>
              <c:tx>
                <c:rich>
                  <a:bodyPr/>
                  <a:lstStyle/>
                  <a:p>
                    <a:r>
                      <a:rPr lang="en-US"/>
                      <a:t>My mental health</a:t>
                    </a:r>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03-129D-4CD9-BE4D-752E573DC2A7}"/>
                </c:ext>
              </c:extLst>
            </c:dLbl>
            <c:dLbl>
              <c:idx val="2"/>
              <c:tx>
                <c:rich>
                  <a:bodyPr/>
                  <a:lstStyle/>
                  <a:p>
                    <a:fld id="{FC06141D-01B7-4EB9-8E5B-42AF99FBE232}" type="CELLRANGE">
                      <a:rPr lang="en-AU"/>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129D-4CD9-BE4D-752E573DC2A7}"/>
                </c:ext>
              </c:extLst>
            </c:dLbl>
            <c:dLbl>
              <c:idx val="3"/>
              <c:tx>
                <c:rich>
                  <a:bodyPr/>
                  <a:lstStyle/>
                  <a:p>
                    <a:fld id="{1A38D6B8-12FC-4DA4-89C1-BE2506D94575}" type="CELLRANGE">
                      <a:rPr lang="en-AU"/>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129D-4CD9-BE4D-752E573DC2A7}"/>
                </c:ext>
              </c:extLst>
            </c:dLbl>
            <c:dLbl>
              <c:idx val="4"/>
              <c:tx>
                <c:rich>
                  <a:bodyPr/>
                  <a:lstStyle/>
                  <a:p>
                    <a:fld id="{B0FFCF78-EA48-4BBF-AD0A-046EA172A7F3}" type="CELLRANGE">
                      <a:rPr lang="en-AU"/>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129D-4CD9-BE4D-752E573DC2A7}"/>
                </c:ext>
              </c:extLst>
            </c:dLbl>
            <c:dLbl>
              <c:idx val="5"/>
              <c:tx>
                <c:rich>
                  <a:bodyPr/>
                  <a:lstStyle/>
                  <a:p>
                    <a:fld id="{9DE6435D-130B-40D5-96FA-7DDDB9343F45}" type="CELLRANGE">
                      <a:rPr lang="en-AU"/>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129D-4CD9-BE4D-752E573DC2A7}"/>
                </c:ext>
              </c:extLst>
            </c:dLbl>
            <c:dLbl>
              <c:idx val="6"/>
              <c:tx>
                <c:rich>
                  <a:bodyPr/>
                  <a:lstStyle/>
                  <a:p>
                    <a:fld id="{520EE0C1-C59E-4A7F-8E05-2DF79FD21226}" type="CELLRANGE">
                      <a:rPr lang="en-AU"/>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129D-4CD9-BE4D-752E573DC2A7}"/>
                </c:ext>
              </c:extLst>
            </c:dLbl>
            <c:dLbl>
              <c:idx val="7"/>
              <c:tx>
                <c:rich>
                  <a:bodyPr/>
                  <a:lstStyle/>
                  <a:p>
                    <a:fld id="{B1968C45-FF66-42BC-A137-030269349C40}" type="CELLRANGE">
                      <a:rPr lang="en-AU"/>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129D-4CD9-BE4D-752E573DC2A7}"/>
                </c:ext>
              </c:extLst>
            </c:dLbl>
            <c:dLbl>
              <c:idx val="8"/>
              <c:tx>
                <c:rich>
                  <a:bodyPr/>
                  <a:lstStyle/>
                  <a:p>
                    <a:r>
                      <a:rPr lang="en-US"/>
                      <a:t>Lack</a:t>
                    </a:r>
                    <a:r>
                      <a:rPr lang="en-US" baseline="0"/>
                      <a:t> of connection to my institution</a:t>
                    </a:r>
                    <a:endParaRPr lang="en-US"/>
                  </a:p>
                </c:rich>
              </c:tx>
              <c:showLegendKey val="0"/>
              <c:showVal val="0"/>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0A-129D-4CD9-BE4D-752E573DC2A7}"/>
                </c:ext>
              </c:extLst>
            </c:dLbl>
            <c:dLbl>
              <c:idx val="9"/>
              <c:tx>
                <c:rich>
                  <a:bodyPr/>
                  <a:lstStyle/>
                  <a:p>
                    <a:fld id="{59BD009A-B68D-4601-BEF1-F1ECFC2B1469}" type="CELLRANGE">
                      <a:rPr lang="en-AU"/>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129D-4CD9-BE4D-752E573DC2A7}"/>
                </c:ext>
              </c:extLst>
            </c:dLbl>
            <c:dLbl>
              <c:idx val="10"/>
              <c:tx>
                <c:rich>
                  <a:bodyPr/>
                  <a:lstStyle/>
                  <a:p>
                    <a:fld id="{388C845E-C4C8-4524-819D-05BC6110220F}" type="CELLRANGE">
                      <a:rPr lang="en-AU"/>
                      <a:pPr/>
                      <a:t>[CELLRANGE]</a:t>
                    </a:fld>
                    <a:endParaRPr lang="en-AU"/>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129D-4CD9-BE4D-752E573DC2A7}"/>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'CONSID REASONS (2)'!$C$2:$C$12</c:f>
              <c:strCache>
                <c:ptCount val="11"/>
                <c:pt idx="0">
                  <c:v>My stress levels **</c:v>
                </c:pt>
                <c:pt idx="1">
                  <c:v>My mental health **</c:v>
                </c:pt>
                <c:pt idx="2">
                  <c:v>Financial difficulties</c:v>
                </c:pt>
                <c:pt idx="3">
                  <c:v>Difficulty with study workload</c:v>
                </c:pt>
                <c:pt idx="4">
                  <c:v>Study/life balance</c:v>
                </c:pt>
                <c:pt idx="5">
                  <c:v>Course expectations not met</c:v>
                </c:pt>
                <c:pt idx="6">
                  <c:v>Paid work responsibilities</c:v>
                </c:pt>
                <c:pt idx="7">
                  <c:v>Lack of academic support</c:v>
                </c:pt>
                <c:pt idx="8">
                  <c:v>Lack of connection to my institution **</c:v>
                </c:pt>
                <c:pt idx="9">
                  <c:v>Boredom/lack of interest</c:v>
                </c:pt>
                <c:pt idx="10">
                  <c:v>Family caring responsibilities</c:v>
                </c:pt>
              </c:strCache>
            </c:strRef>
          </c:cat>
          <c:val>
            <c:numRef>
              <c:f>'CONSID REASONS (2)'!$H$2:$H$12</c:f>
              <c:numCache>
                <c:formatCode>0%</c:formatCode>
                <c:ptCount val="11"/>
                <c:pt idx="0">
                  <c:v>0.3</c:v>
                </c:pt>
                <c:pt idx="1">
                  <c:v>0.3</c:v>
                </c:pt>
                <c:pt idx="2">
                  <c:v>0.3</c:v>
                </c:pt>
                <c:pt idx="3">
                  <c:v>0.3</c:v>
                </c:pt>
                <c:pt idx="4">
                  <c:v>0.3</c:v>
                </c:pt>
                <c:pt idx="5">
                  <c:v>0.3</c:v>
                </c:pt>
                <c:pt idx="6">
                  <c:v>0.3</c:v>
                </c:pt>
                <c:pt idx="7">
                  <c:v>0.3</c:v>
                </c:pt>
                <c:pt idx="8">
                  <c:v>0.3</c:v>
                </c:pt>
                <c:pt idx="9">
                  <c:v>0.3</c:v>
                </c:pt>
                <c:pt idx="10">
                  <c:v>0.3</c:v>
                </c:pt>
              </c:numCache>
            </c:numRef>
          </c:val>
          <c:extLst>
            <c:ext xmlns:c15="http://schemas.microsoft.com/office/drawing/2012/chart" uri="{02D57815-91ED-43cb-92C2-25804820EDAC}">
              <c15:datalabelsRange>
                <c15:f>'CONSID REASONS (2)'!$C$2:$C$29</c15:f>
                <c15:dlblRangeCache>
                  <c:ptCount val="28"/>
                  <c:pt idx="0">
                    <c:v>My stress levels **</c:v>
                  </c:pt>
                  <c:pt idx="1">
                    <c:v>My mental health **</c:v>
                  </c:pt>
                  <c:pt idx="2">
                    <c:v>Financial difficulties</c:v>
                  </c:pt>
                  <c:pt idx="3">
                    <c:v>Difficulty with study workload</c:v>
                  </c:pt>
                  <c:pt idx="4">
                    <c:v>Study/life balance</c:v>
                  </c:pt>
                  <c:pt idx="5">
                    <c:v>Course expectations not met</c:v>
                  </c:pt>
                  <c:pt idx="6">
                    <c:v>Paid work responsibilities</c:v>
                  </c:pt>
                  <c:pt idx="7">
                    <c:v>Lack of academic support</c:v>
                  </c:pt>
                  <c:pt idx="8">
                    <c:v>Lack of connection to my institution **</c:v>
                  </c:pt>
                  <c:pt idx="9">
                    <c:v>Boredom/lack of interest</c:v>
                  </c:pt>
                  <c:pt idx="10">
                    <c:v>Family caring responsibilities</c:v>
                  </c:pt>
                  <c:pt idx="11">
                    <c:v>Commuting difficulties</c:v>
                  </c:pt>
                  <c:pt idx="12">
                    <c:v>Moving to another institution **</c:v>
                  </c:pt>
                  <c:pt idx="13">
                    <c:v>Lack of career prospects</c:v>
                  </c:pt>
                  <c:pt idx="14">
                    <c:v>Lack of administrative support</c:v>
                  </c:pt>
                  <c:pt idx="15">
                    <c:v>Low or failing grades **</c:v>
                  </c:pt>
                  <c:pt idx="16">
                    <c:v>Quality concerns</c:v>
                  </c:pt>
                  <c:pt idx="17">
                    <c:v>My physical health **</c:v>
                  </c:pt>
                  <c:pt idx="18">
                    <c:v>Concerns about my institution's reputation</c:v>
                  </c:pt>
                  <c:pt idx="19">
                    <c:v>Gap year/deferral</c:v>
                  </c:pt>
                  <c:pt idx="20">
                    <c:v>Social Reasons</c:v>
                  </c:pt>
                  <c:pt idx="21">
                    <c:v>To pursue a career or job offer **</c:v>
                  </c:pt>
                  <c:pt idx="22">
                    <c:v>Moving residence</c:v>
                  </c:pt>
                  <c:pt idx="23">
                    <c:v>My course is too difficult **</c:v>
                  </c:pt>
                  <c:pt idx="24">
                    <c:v>To travel</c:v>
                  </c:pt>
                  <c:pt idx="25">
                    <c:v>Other reasons</c:v>
                  </c:pt>
                  <c:pt idx="26">
                    <c:v>Limited access to technology **</c:v>
                  </c:pt>
                  <c:pt idx="27">
                    <c:v>My English language skills **</c:v>
                  </c:pt>
                </c15:dlblRangeCache>
              </c15:datalabelsRange>
            </c:ext>
            <c:ext xmlns:c16="http://schemas.microsoft.com/office/drawing/2014/chart" uri="{C3380CC4-5D6E-409C-BE32-E72D297353CC}">
              <c16:uniqueId val="{0000000D-129D-4CD9-BE4D-752E573DC2A7}"/>
            </c:ext>
          </c:extLst>
        </c:ser>
        <c:ser>
          <c:idx val="1"/>
          <c:order val="3"/>
          <c:tx>
            <c:strRef>
              <c:f>'CONSID REASONS (2)'!$E$1</c:f>
              <c:strCache>
                <c:ptCount val="1"/>
                <c:pt idx="0">
                  <c:v>Postgraduate coursework</c:v>
                </c:pt>
              </c:strCache>
            </c:strRef>
          </c:tx>
          <c:spPr>
            <a:solidFill>
              <a:srgbClr val="FCB942">
                <a:lumMod val="60000"/>
                <a:lumOff val="40000"/>
              </a:srgbClr>
            </a:solidFill>
            <a:ln>
              <a:solidFill>
                <a:srgbClr val="FCB942">
                  <a:lumMod val="60000"/>
                  <a:lumOff val="40000"/>
                </a:srgbClr>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'CONSID REASONS (2)'!$C$2:$C$12</c:f>
              <c:strCache>
                <c:ptCount val="11"/>
                <c:pt idx="0">
                  <c:v>My stress levels **</c:v>
                </c:pt>
                <c:pt idx="1">
                  <c:v>My mental health **</c:v>
                </c:pt>
                <c:pt idx="2">
                  <c:v>Financial difficulties</c:v>
                </c:pt>
                <c:pt idx="3">
                  <c:v>Difficulty with study workload</c:v>
                </c:pt>
                <c:pt idx="4">
                  <c:v>Study/life balance</c:v>
                </c:pt>
                <c:pt idx="5">
                  <c:v>Course expectations not met</c:v>
                </c:pt>
                <c:pt idx="6">
                  <c:v>Paid work responsibilities</c:v>
                </c:pt>
                <c:pt idx="7">
                  <c:v>Lack of academic support</c:v>
                </c:pt>
                <c:pt idx="8">
                  <c:v>Lack of connection to my institution **</c:v>
                </c:pt>
                <c:pt idx="9">
                  <c:v>Boredom/lack of interest</c:v>
                </c:pt>
                <c:pt idx="10">
                  <c:v>Family caring responsibilities</c:v>
                </c:pt>
              </c:strCache>
            </c:strRef>
          </c:cat>
          <c:val>
            <c:numRef>
              <c:f>'CONSID REASONS (2)'!$E$2:$E$12</c:f>
              <c:numCache>
                <c:formatCode>0.0%</c:formatCode>
                <c:ptCount val="11"/>
                <c:pt idx="0">
                  <c:v>0.35399999999999998</c:v>
                </c:pt>
                <c:pt idx="1">
                  <c:v>0.28100000000000003</c:v>
                </c:pt>
                <c:pt idx="2">
                  <c:v>0.35799999999999998</c:v>
                </c:pt>
                <c:pt idx="3">
                  <c:v>0.34</c:v>
                </c:pt>
                <c:pt idx="4">
                  <c:v>0.28199999999999997</c:v>
                </c:pt>
                <c:pt idx="5">
                  <c:v>0.30399999999999999</c:v>
                </c:pt>
                <c:pt idx="6">
                  <c:v>0.249</c:v>
                </c:pt>
                <c:pt idx="7">
                  <c:v>0.21100000000000002</c:v>
                </c:pt>
                <c:pt idx="8">
                  <c:v>0.154</c:v>
                </c:pt>
                <c:pt idx="9">
                  <c:v>0.10199999999999999</c:v>
                </c:pt>
                <c:pt idx="10">
                  <c:v>0.20399999999999999</c:v>
                </c:pt>
              </c:numCache>
            </c:numRef>
          </c:val>
          <c:extLst>
            <c:ext xmlns:c16="http://schemas.microsoft.com/office/drawing/2014/chart" uri="{C3380CC4-5D6E-409C-BE32-E72D297353CC}">
              <c16:uniqueId val="{0000000E-129D-4CD9-BE4D-752E573DC2A7}"/>
            </c:ext>
          </c:extLst>
        </c:ser>
        <c:ser>
          <c:idx val="3"/>
          <c:order val="4"/>
          <c:tx>
            <c:strRef>
              <c:f>'CONSID REASONS (2)'!$G$1</c:f>
              <c:strCache>
                <c:ptCount val="1"/>
                <c:pt idx="0">
                  <c:v>Padding PGC</c:v>
                </c:pt>
              </c:strCache>
            </c:strRef>
          </c:tx>
          <c:spPr>
            <a:noFill/>
            <a:ln>
              <a:noFill/>
            </a:ln>
            <a:effectLst/>
          </c:spPr>
          <c:invertIfNegative val="0"/>
          <c:cat>
            <c:strRef>
              <c:f>'CONSID REASONS (2)'!$C$2:$C$12</c:f>
              <c:strCache>
                <c:ptCount val="11"/>
                <c:pt idx="0">
                  <c:v>My stress levels **</c:v>
                </c:pt>
                <c:pt idx="1">
                  <c:v>My mental health **</c:v>
                </c:pt>
                <c:pt idx="2">
                  <c:v>Financial difficulties</c:v>
                </c:pt>
                <c:pt idx="3">
                  <c:v>Difficulty with study workload</c:v>
                </c:pt>
                <c:pt idx="4">
                  <c:v>Study/life balance</c:v>
                </c:pt>
                <c:pt idx="5">
                  <c:v>Course expectations not met</c:v>
                </c:pt>
                <c:pt idx="6">
                  <c:v>Paid work responsibilities</c:v>
                </c:pt>
                <c:pt idx="7">
                  <c:v>Lack of academic support</c:v>
                </c:pt>
                <c:pt idx="8">
                  <c:v>Lack of connection to my institution **</c:v>
                </c:pt>
                <c:pt idx="9">
                  <c:v>Boredom/lack of interest</c:v>
                </c:pt>
                <c:pt idx="10">
                  <c:v>Family caring responsibilities</c:v>
                </c:pt>
              </c:strCache>
            </c:strRef>
          </c:cat>
          <c:val>
            <c:numRef>
              <c:f>'CONSID REASONS (2)'!$G$2:$G$12</c:f>
              <c:numCache>
                <c:formatCode>0.0%</c:formatCode>
                <c:ptCount val="11"/>
                <c:pt idx="0">
                  <c:v>0.14600000000000002</c:v>
                </c:pt>
                <c:pt idx="1">
                  <c:v>0.21899999999999997</c:v>
                </c:pt>
                <c:pt idx="2">
                  <c:v>0.14200000000000002</c:v>
                </c:pt>
                <c:pt idx="3">
                  <c:v>0.15999999999999998</c:v>
                </c:pt>
                <c:pt idx="4">
                  <c:v>0.21800000000000003</c:v>
                </c:pt>
                <c:pt idx="5">
                  <c:v>0.19600000000000001</c:v>
                </c:pt>
                <c:pt idx="6">
                  <c:v>0.251</c:v>
                </c:pt>
                <c:pt idx="7">
                  <c:v>0.28899999999999998</c:v>
                </c:pt>
                <c:pt idx="8">
                  <c:v>0.34599999999999997</c:v>
                </c:pt>
                <c:pt idx="9">
                  <c:v>0.39800000000000002</c:v>
                </c:pt>
                <c:pt idx="10">
                  <c:v>0.29600000000000004</c:v>
                </c:pt>
              </c:numCache>
            </c:numRef>
          </c:val>
          <c:extLst>
            <c:ext xmlns:c16="http://schemas.microsoft.com/office/drawing/2014/chart" uri="{C3380CC4-5D6E-409C-BE32-E72D297353CC}">
              <c16:uniqueId val="{0000000F-129D-4CD9-BE4D-752E573DC2A7}"/>
            </c:ext>
          </c:extLst>
        </c:ser>
        <c:dLbls>
          <c:showLegendKey val="0"/>
          <c:showVal val="0"/>
          <c:showCatName val="0"/>
          <c:showSerName val="0"/>
          <c:showPercent val="0"/>
          <c:showBubbleSize val="0"/>
        </c:dLbls>
        <c:gapWidth val="100"/>
        <c:overlap val="100"/>
        <c:axId val="14588608"/>
        <c:axId val="14581408"/>
      </c:barChart>
      <c:scatterChart>
        <c:scatterStyle val="lineMarker"/>
        <c:varyColors val="0"/>
        <c:ser>
          <c:idx val="5"/>
          <c:order val="5"/>
          <c:tx>
            <c:strRef>
              <c:f>'CONSID REASONS (2)'!$Q$31</c:f>
              <c:strCache>
                <c:ptCount val="1"/>
                <c:pt idx="0">
                  <c:v>X axis labels</c:v>
                </c:pt>
              </c:strCache>
            </c:strRef>
          </c:tx>
          <c:spPr>
            <a:ln w="25400" cap="rnd">
              <a:noFill/>
              <a:round/>
            </a:ln>
            <a:effectLst/>
          </c:spPr>
          <c:marker>
            <c:symbol val="circle"/>
            <c:size val="5"/>
            <c:spPr>
              <a:noFill/>
              <a:ln w="9525">
                <a:noFill/>
              </a:ln>
              <a:effectLst/>
            </c:spPr>
          </c:marker>
          <c:xVal>
            <c:numRef>
              <c:f>'CONSID REASONS (2)'!$Q$32:$Q$39</c:f>
              <c:numCache>
                <c:formatCode>General</c:formatCode>
                <c:ptCount val="8"/>
                <c:pt idx="0">
                  <c:v>0</c:v>
                </c:pt>
                <c:pt idx="1">
                  <c:v>0.2</c:v>
                </c:pt>
                <c:pt idx="2">
                  <c:v>0.4</c:v>
                </c:pt>
                <c:pt idx="3">
                  <c:v>0.6</c:v>
                </c:pt>
                <c:pt idx="4">
                  <c:v>0.8</c:v>
                </c:pt>
                <c:pt idx="5">
                  <c:v>1</c:v>
                </c:pt>
                <c:pt idx="6">
                  <c:v>1.2</c:v>
                </c:pt>
                <c:pt idx="7">
                  <c:v>1.4</c:v>
                </c:pt>
              </c:numCache>
            </c:numRef>
          </c:xVal>
          <c:yVal>
            <c:numRef>
              <c:f>'CONSID REASONS (2)'!$R$32:$R$39</c:f>
              <c:numCache>
                <c:formatCode>0%</c:formatCode>
                <c:ptCount val="8"/>
                <c:pt idx="0">
                  <c:v>0.6</c:v>
                </c:pt>
                <c:pt idx="1">
                  <c:v>0.4</c:v>
                </c:pt>
                <c:pt idx="2">
                  <c:v>0.2</c:v>
                </c:pt>
                <c:pt idx="3">
                  <c:v>0</c:v>
                </c:pt>
                <c:pt idx="4">
                  <c:v>0</c:v>
                </c:pt>
                <c:pt idx="5">
                  <c:v>0.2</c:v>
                </c:pt>
                <c:pt idx="6">
                  <c:v>0.4</c:v>
                </c:pt>
                <c:pt idx="7">
                  <c:v>0.6</c:v>
                </c:pt>
              </c:numCache>
            </c:numRef>
          </c:yVal>
          <c:smooth val="0"/>
          <c:extLst>
            <c:ext xmlns:c16="http://schemas.microsoft.com/office/drawing/2014/chart" uri="{C3380CC4-5D6E-409C-BE32-E72D297353CC}">
              <c16:uniqueId val="{00000010-129D-4CD9-BE4D-752E573DC2A7}"/>
            </c:ext>
          </c:extLst>
        </c:ser>
        <c:dLbls>
          <c:showLegendKey val="0"/>
          <c:showVal val="0"/>
          <c:showCatName val="0"/>
          <c:showSerName val="0"/>
          <c:showPercent val="0"/>
          <c:showBubbleSize val="0"/>
        </c:dLbls>
        <c:axId val="14584768"/>
        <c:axId val="14580448"/>
      </c:scatterChart>
      <c:catAx>
        <c:axId val="14588608"/>
        <c:scaling>
          <c:orientation val="maxMin"/>
        </c:scaling>
        <c:delete val="1"/>
        <c:axPos val="l"/>
        <c:numFmt formatCode="General" sourceLinked="1"/>
        <c:majorTickMark val="none"/>
        <c:minorTickMark val="none"/>
        <c:tickLblPos val="nextTo"/>
        <c:crossAx val="14581408"/>
        <c:crosses val="autoZero"/>
        <c:auto val="1"/>
        <c:lblAlgn val="ctr"/>
        <c:lblOffset val="100"/>
        <c:noMultiLvlLbl val="0"/>
      </c:catAx>
      <c:valAx>
        <c:axId val="14581408"/>
        <c:scaling>
          <c:orientation val="minMax"/>
          <c:max val="1.4"/>
        </c:scaling>
        <c:delete val="1"/>
        <c:axPos val="t"/>
        <c:numFmt formatCode="0.0%" sourceLinked="1"/>
        <c:majorTickMark val="out"/>
        <c:minorTickMark val="none"/>
        <c:tickLblPos val="nextTo"/>
        <c:crossAx val="14588608"/>
        <c:crosses val="autoZero"/>
        <c:crossBetween val="between"/>
      </c:valAx>
      <c:valAx>
        <c:axId val="14580448"/>
        <c:scaling>
          <c:orientation val="minMax"/>
          <c:max val="1000"/>
        </c:scaling>
        <c:delete val="0"/>
        <c:axPos val="r"/>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584768"/>
        <c:crosses val="max"/>
        <c:crossBetween val="midCat"/>
      </c:valAx>
      <c:valAx>
        <c:axId val="14584768"/>
        <c:scaling>
          <c:orientation val="minMax"/>
        </c:scaling>
        <c:delete val="1"/>
        <c:axPos val="t"/>
        <c:numFmt formatCode="General" sourceLinked="1"/>
        <c:majorTickMark val="out"/>
        <c:minorTickMark val="none"/>
        <c:tickLblPos val="nextTo"/>
        <c:crossAx val="14580448"/>
        <c:crosses val="max"/>
        <c:crossBetween val="midCat"/>
      </c:valAx>
      <c:spPr>
        <a:noFill/>
        <a:ln>
          <a:noFill/>
        </a:ln>
        <a:effectLst/>
      </c:spPr>
    </c:plotArea>
    <c:legend>
      <c:legendPos val="t"/>
      <c:legendEntry>
        <c:idx val="0"/>
        <c:delete val="1"/>
      </c:legendEntry>
      <c:legendEntry>
        <c:idx val="2"/>
        <c:delete val="1"/>
      </c:legendEntry>
      <c:legendEntry>
        <c:idx val="4"/>
        <c:delete val="1"/>
      </c:legendEntry>
      <c:legendEntry>
        <c:idx val="5"/>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FOCUS_Age!$B$2</c:f>
          <c:strCache>
            <c:ptCount val="1"/>
            <c:pt idx="0">
              <c:v>Undergraduate</c:v>
            </c:pt>
          </c:strCache>
        </c:strRef>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Public Sans SemiBold" pitchFamily="2" charset="0"/>
              <a:ea typeface="+mn-ea"/>
              <a:cs typeface="+mn-cs"/>
            </a:defRPr>
          </a:pPr>
          <a:endParaRPr lang="en-US"/>
        </a:p>
      </c:txPr>
    </c:title>
    <c:autoTitleDeleted val="0"/>
    <c:plotArea>
      <c:layout/>
      <c:lineChart>
        <c:grouping val="standard"/>
        <c:varyColors val="0"/>
        <c:ser>
          <c:idx val="1"/>
          <c:order val="0"/>
          <c:tx>
            <c:strRef>
              <c:f>FOCUS_Age!$B$3</c:f>
              <c:strCache>
                <c:ptCount val="1"/>
                <c:pt idx="0">
                  <c:v>Under 25</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3"/>
              <c:layout>
                <c:manualLayout>
                  <c:x val="-4.1694394352243855E-2"/>
                  <c:y val="3.61403118948404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2F7-4266-93AB-C19AD43712F9}"/>
                </c:ext>
              </c:extLst>
            </c:dLbl>
            <c:dLbl>
              <c:idx val="4"/>
              <c:layout>
                <c:manualLayout>
                  <c:x val="-4.1506889658297665E-2"/>
                  <c:y val="-3.10769780317913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1A0-40DF-8BEB-E24049921DA9}"/>
                </c:ext>
              </c:extLst>
            </c:dLbl>
            <c:dLbl>
              <c:idx val="5"/>
              <c:layout>
                <c:manualLayout>
                  <c:x val="-4.1731861536812777E-2"/>
                  <c:y val="2.750491159135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1A0-40DF-8BEB-E24049921DA9}"/>
                </c:ext>
              </c:extLst>
            </c:dLbl>
            <c:dLbl>
              <c:idx val="6"/>
              <c:layout>
                <c:manualLayout>
                  <c:x val="-4.3875254527917691E-2"/>
                  <c:y val="2.75049115913555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1A0-40DF-8BEB-E24049921DA9}"/>
                </c:ext>
              </c:extLst>
            </c:dLbl>
            <c:dLbl>
              <c:idx val="7"/>
              <c:layout>
                <c:manualLayout>
                  <c:x val="-4.1871266466785427E-2"/>
                  <c:y val="-2.03607787104840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1A0-40DF-8BEB-E24049921DA9}"/>
                </c:ext>
              </c:extLst>
            </c:dLbl>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FOCUS_Age!$A$4:$A$11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FOCUS_Age!$B$4:$B$11</c:f>
              <c:numCache>
                <c:formatCode>0.0%</c:formatCode>
                <c:ptCount val="8"/>
                <c:pt idx="0">
                  <c:v>0.78599999999999992</c:v>
                </c:pt>
                <c:pt idx="1">
                  <c:v>0.79400000000000004</c:v>
                </c:pt>
                <c:pt idx="2">
                  <c:v>0.78500000000000003</c:v>
                </c:pt>
                <c:pt idx="3">
                  <c:v>0.67900000000000005</c:v>
                </c:pt>
                <c:pt idx="4">
                  <c:v>0.72499999999999998</c:v>
                </c:pt>
                <c:pt idx="5">
                  <c:v>0.75599999999999989</c:v>
                </c:pt>
                <c:pt idx="6">
                  <c:v>0.76500000000000001</c:v>
                </c:pt>
                <c:pt idx="7">
                  <c:v>0.7609999999999999</c:v>
                </c:pt>
              </c:numCache>
            </c:numRef>
          </c:val>
          <c:smooth val="0"/>
          <c:extLst>
            <c:ext xmlns:c16="http://schemas.microsoft.com/office/drawing/2014/chart" uri="{C3380CC4-5D6E-409C-BE32-E72D297353CC}">
              <c16:uniqueId val="{00000000-A1A0-40DF-8BEB-E24049921DA9}"/>
            </c:ext>
          </c:extLst>
        </c:ser>
        <c:ser>
          <c:idx val="2"/>
          <c:order val="1"/>
          <c:tx>
            <c:strRef>
              <c:f>FOCUS_Age!$C$3</c:f>
              <c:strCache>
                <c:ptCount val="1"/>
                <c:pt idx="0">
                  <c:v>25 to 29</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dLbl>
              <c:idx val="3"/>
              <c:layout>
                <c:manualLayout>
                  <c:x val="-2.8834036405614417E-2"/>
                  <c:y val="-5.40006440970197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2F7-4266-93AB-C19AD43712F9}"/>
                </c:ext>
              </c:extLst>
            </c:dLbl>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FOCUS_Age!$A$4:$A$11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FOCUS_Age!$C$4:$C$11</c:f>
              <c:numCache>
                <c:formatCode>0.0%</c:formatCode>
                <c:ptCount val="8"/>
                <c:pt idx="0">
                  <c:v>0.76200000000000001</c:v>
                </c:pt>
                <c:pt idx="1">
                  <c:v>0.7659999999999999</c:v>
                </c:pt>
                <c:pt idx="2">
                  <c:v>0.75599999999999989</c:v>
                </c:pt>
                <c:pt idx="3">
                  <c:v>0.68200000000000005</c:v>
                </c:pt>
                <c:pt idx="4">
                  <c:v>0.71499999999999997</c:v>
                </c:pt>
                <c:pt idx="5">
                  <c:v>0.73699999999999999</c:v>
                </c:pt>
                <c:pt idx="6">
                  <c:v>0.75099999999999989</c:v>
                </c:pt>
                <c:pt idx="7">
                  <c:v>0.752</c:v>
                </c:pt>
              </c:numCache>
            </c:numRef>
          </c:val>
          <c:smooth val="0"/>
          <c:extLst>
            <c:ext xmlns:c16="http://schemas.microsoft.com/office/drawing/2014/chart" uri="{C3380CC4-5D6E-409C-BE32-E72D297353CC}">
              <c16:uniqueId val="{00000001-A1A0-40DF-8BEB-E24049921DA9}"/>
            </c:ext>
          </c:extLst>
        </c:ser>
        <c:ser>
          <c:idx val="0"/>
          <c:order val="2"/>
          <c:tx>
            <c:strRef>
              <c:f>FOCUS_Age!$D$3</c:f>
              <c:strCache>
                <c:ptCount val="1"/>
                <c:pt idx="0">
                  <c:v>30 to 39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3746650948451406E-2"/>
                  <c:y val="3.46490444722271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1A0-40DF-8BEB-E24049921DA9}"/>
                </c:ext>
              </c:extLst>
            </c:dLbl>
            <c:dLbl>
              <c:idx val="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1A0-40DF-8BEB-E24049921DA9}"/>
                </c:ext>
              </c:extLst>
            </c:dLbl>
            <c:dLbl>
              <c:idx val="2"/>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1A0-40DF-8BEB-E24049921DA9}"/>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1">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FOCUS_Age!$A$4:$A$11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FOCUS_Age!$D$4:$D$11</c:f>
              <c:numCache>
                <c:formatCode>0.0%</c:formatCode>
                <c:ptCount val="8"/>
                <c:pt idx="0">
                  <c:v>0.77800000000000002</c:v>
                </c:pt>
                <c:pt idx="1">
                  <c:v>0.78700000000000003</c:v>
                </c:pt>
                <c:pt idx="2">
                  <c:v>0.78099999999999992</c:v>
                </c:pt>
                <c:pt idx="3">
                  <c:v>0.71499999999999997</c:v>
                </c:pt>
                <c:pt idx="4">
                  <c:v>0.746</c:v>
                </c:pt>
                <c:pt idx="5">
                  <c:v>0.7609999999999999</c:v>
                </c:pt>
                <c:pt idx="6">
                  <c:v>0.77300000000000002</c:v>
                </c:pt>
                <c:pt idx="7">
                  <c:v>0.77800000000000002</c:v>
                </c:pt>
              </c:numCache>
            </c:numRef>
          </c:val>
          <c:smooth val="0"/>
          <c:extLst>
            <c:ext xmlns:c16="http://schemas.microsoft.com/office/drawing/2014/chart" uri="{C3380CC4-5D6E-409C-BE32-E72D297353CC}">
              <c16:uniqueId val="{00000002-A1A0-40DF-8BEB-E24049921DA9}"/>
            </c:ext>
          </c:extLst>
        </c:ser>
        <c:ser>
          <c:idx val="3"/>
          <c:order val="3"/>
          <c:tx>
            <c:strRef>
              <c:f>FOCUS_Age!$E$3</c:f>
              <c:strCache>
                <c:ptCount val="1"/>
                <c:pt idx="0">
                  <c:v>40 and over</c:v>
                </c:pt>
              </c:strCache>
            </c:strRef>
          </c:tx>
          <c:spPr>
            <a:ln w="28575" cap="rnd">
              <a:solidFill>
                <a:srgbClr val="B7D432"/>
              </a:solidFill>
              <a:round/>
            </a:ln>
            <a:effectLst/>
          </c:spPr>
          <c:marker>
            <c:symbol val="circle"/>
            <c:size val="5"/>
            <c:spPr>
              <a:solidFill>
                <a:srgbClr val="B7D432"/>
              </a:solidFill>
              <a:ln w="9525">
                <a:solidFill>
                  <a:srgbClr val="B7D43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2">
                        <a:lumMod val="50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FOCUS_Age!$A$4:$A$11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FOCUS_Age!$E$4:$E$11</c:f>
              <c:numCache>
                <c:formatCode>0.0%</c:formatCode>
                <c:ptCount val="8"/>
                <c:pt idx="0">
                  <c:v>0.81400000000000006</c:v>
                </c:pt>
                <c:pt idx="1">
                  <c:v>0.82200000000000006</c:v>
                </c:pt>
                <c:pt idx="2">
                  <c:v>0.81900000000000006</c:v>
                </c:pt>
                <c:pt idx="3">
                  <c:v>0.77099999999999991</c:v>
                </c:pt>
                <c:pt idx="4">
                  <c:v>0.79299999999999993</c:v>
                </c:pt>
                <c:pt idx="5">
                  <c:v>0.80900000000000005</c:v>
                </c:pt>
                <c:pt idx="6">
                  <c:v>0.81200000000000006</c:v>
                </c:pt>
                <c:pt idx="7">
                  <c:v>0.82200000000000006</c:v>
                </c:pt>
              </c:numCache>
            </c:numRef>
          </c:val>
          <c:smooth val="0"/>
          <c:extLst>
            <c:ext xmlns:c16="http://schemas.microsoft.com/office/drawing/2014/chart" uri="{C3380CC4-5D6E-409C-BE32-E72D297353CC}">
              <c16:uniqueId val="{00000003-A1A0-40DF-8BEB-E24049921DA9}"/>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60000000000000009"/>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FOCUS_Age!$F$2</c:f>
          <c:strCache>
            <c:ptCount val="1"/>
            <c:pt idx="0">
              <c:v>Postgraduate coursework</c:v>
            </c:pt>
          </c:strCache>
        </c:strRef>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Public Sans SemiBold" pitchFamily="2" charset="0"/>
              <a:ea typeface="+mn-ea"/>
              <a:cs typeface="+mn-cs"/>
            </a:defRPr>
          </a:pPr>
          <a:endParaRPr lang="en-US"/>
        </a:p>
      </c:txPr>
    </c:title>
    <c:autoTitleDeleted val="0"/>
    <c:plotArea>
      <c:layout/>
      <c:lineChart>
        <c:grouping val="standard"/>
        <c:varyColors val="0"/>
        <c:ser>
          <c:idx val="1"/>
          <c:order val="0"/>
          <c:tx>
            <c:strRef>
              <c:f>FOCUS_Age!$F$3</c:f>
              <c:strCache>
                <c:ptCount val="1"/>
                <c:pt idx="0">
                  <c:v>Under 25</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dLbl>
              <c:idx val="0"/>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AFB-4456-B583-B1CD6CF5EE5C}"/>
                </c:ext>
              </c:extLst>
            </c:dLbl>
            <c:dLbl>
              <c:idx val="2"/>
              <c:layout>
                <c:manualLayout>
                  <c:x val="-4.3985490653672625E-2"/>
                  <c:y val="-2.02522650559602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2AFB-4456-B583-B1CD6CF5EE5C}"/>
                </c:ext>
              </c:extLst>
            </c:dLbl>
            <c:dLbl>
              <c:idx val="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AFB-4456-B583-B1CD6CF5EE5C}"/>
                </c:ext>
              </c:extLst>
            </c:dLbl>
            <c:dLbl>
              <c:idx val="4"/>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AFB-4456-B583-B1CD6CF5EE5C}"/>
                </c:ext>
              </c:extLst>
            </c:dLbl>
            <c:dLbl>
              <c:idx val="5"/>
              <c:layout>
                <c:manualLayout>
                  <c:x val="-2.6725012737502673E-2"/>
                  <c:y val="2.8841642618442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92-4CA0-8705-6AEC70D042D1}"/>
                </c:ext>
              </c:extLst>
            </c:dLbl>
            <c:dLbl>
              <c:idx val="6"/>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AFB-4456-B583-B1CD6CF5EE5C}"/>
                </c:ext>
              </c:extLst>
            </c:dLbl>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AFB-4456-B583-B1CD6CF5EE5C}"/>
                </c:ext>
              </c:extLst>
            </c:dLbl>
            <c:spPr>
              <a:noFill/>
              <a:ln>
                <a:noFill/>
              </a:ln>
              <a:effectLst/>
            </c:spPr>
            <c:txPr>
              <a:bodyPr rot="0" spcFirstLastPara="1" vertOverflow="ellipsis" vert="horz" wrap="square" anchor="ctr" anchorCtr="1"/>
              <a:lstStyle/>
              <a:p>
                <a:pPr>
                  <a:defRPr sz="800" b="0" i="0" u="none" strike="noStrike" kern="1200" baseline="0">
                    <a:solidFill>
                      <a:schemeClr val="accent4">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FOCUS_Age!$A$4:$A$11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FOCUS_Age!$F$4:$F$11</c:f>
              <c:numCache>
                <c:formatCode>0.0%</c:formatCode>
                <c:ptCount val="8"/>
                <c:pt idx="0">
                  <c:v>0.74900000000000011</c:v>
                </c:pt>
                <c:pt idx="1">
                  <c:v>0.754</c:v>
                </c:pt>
                <c:pt idx="2">
                  <c:v>0.754</c:v>
                </c:pt>
                <c:pt idx="3">
                  <c:v>0.63800000000000001</c:v>
                </c:pt>
                <c:pt idx="4">
                  <c:v>0.69599999999999995</c:v>
                </c:pt>
                <c:pt idx="5">
                  <c:v>0.75900000000000001</c:v>
                </c:pt>
                <c:pt idx="6">
                  <c:v>0.745</c:v>
                </c:pt>
                <c:pt idx="7">
                  <c:v>0.74299999999999999</c:v>
                </c:pt>
              </c:numCache>
            </c:numRef>
          </c:val>
          <c:smooth val="0"/>
          <c:extLst>
            <c:ext xmlns:c16="http://schemas.microsoft.com/office/drawing/2014/chart" uri="{C3380CC4-5D6E-409C-BE32-E72D297353CC}">
              <c16:uniqueId val="{00000000-2AFB-4456-B583-B1CD6CF5EE5C}"/>
            </c:ext>
          </c:extLst>
        </c:ser>
        <c:ser>
          <c:idx val="2"/>
          <c:order val="1"/>
          <c:tx>
            <c:strRef>
              <c:f>FOCUS_Age!$G$3</c:f>
              <c:strCache>
                <c:ptCount val="1"/>
                <c:pt idx="0">
                  <c:v>25 to 29</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dLbl>
              <c:idx val="0"/>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AFB-4456-B583-B1CD6CF5EE5C}"/>
                </c:ext>
              </c:extLst>
            </c:dLbl>
            <c:dLbl>
              <c:idx val="3"/>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AFB-4456-B583-B1CD6CF5EE5C}"/>
                </c:ext>
              </c:extLst>
            </c:dLbl>
            <c:dLbl>
              <c:idx val="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AFB-4456-B583-B1CD6CF5EE5C}"/>
                </c:ext>
              </c:extLst>
            </c:dLbl>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AFB-4456-B583-B1CD6CF5EE5C}"/>
                </c:ext>
              </c:extLst>
            </c:dLbl>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AFB-4456-B583-B1CD6CF5EE5C}"/>
                </c:ext>
              </c:extLst>
            </c:dLbl>
            <c:spPr>
              <a:noFill/>
              <a:ln>
                <a:noFill/>
              </a:ln>
              <a:effectLst/>
            </c:spPr>
            <c:txPr>
              <a:bodyPr rot="0" spcFirstLastPara="1" vertOverflow="ellipsis" vert="horz" wrap="square" anchor="ctr" anchorCtr="1"/>
              <a:lstStyle/>
              <a:p>
                <a:pPr>
                  <a:defRPr sz="800" b="0" i="0" u="none" strike="noStrike" kern="1200" baseline="0">
                    <a:solidFill>
                      <a:schemeClr val="accent5">
                        <a:lumMod val="50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FOCUS_Age!$A$4:$A$11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FOCUS_Age!$G$4:$G$11</c:f>
              <c:numCache>
                <c:formatCode>0.0%</c:formatCode>
                <c:ptCount val="8"/>
                <c:pt idx="0">
                  <c:v>0.73299999999999998</c:v>
                </c:pt>
                <c:pt idx="1">
                  <c:v>0.74199999999999999</c:v>
                </c:pt>
                <c:pt idx="2">
                  <c:v>0.73499999999999999</c:v>
                </c:pt>
                <c:pt idx="3">
                  <c:v>0.66299999999999992</c:v>
                </c:pt>
                <c:pt idx="4">
                  <c:v>0.70200000000000007</c:v>
                </c:pt>
                <c:pt idx="5">
                  <c:v>0.7390000000000001</c:v>
                </c:pt>
                <c:pt idx="6">
                  <c:v>0.75</c:v>
                </c:pt>
                <c:pt idx="7">
                  <c:v>0.74900000000000011</c:v>
                </c:pt>
              </c:numCache>
            </c:numRef>
          </c:val>
          <c:smooth val="0"/>
          <c:extLst>
            <c:ext xmlns:c16="http://schemas.microsoft.com/office/drawing/2014/chart" uri="{C3380CC4-5D6E-409C-BE32-E72D297353CC}">
              <c16:uniqueId val="{00000001-2AFB-4456-B583-B1CD6CF5EE5C}"/>
            </c:ext>
          </c:extLst>
        </c:ser>
        <c:ser>
          <c:idx val="0"/>
          <c:order val="2"/>
          <c:tx>
            <c:strRef>
              <c:f>FOCUS_Age!$H$3</c:f>
              <c:strCache>
                <c:ptCount val="1"/>
                <c:pt idx="0">
                  <c:v>30 to 39</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AFB-4456-B583-B1CD6CF5EE5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1">
                        <a:lumMod val="75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FOCUS_Age!$A$4:$A$11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FOCUS_Age!$H$4:$H$11</c:f>
              <c:numCache>
                <c:formatCode>0.0%</c:formatCode>
                <c:ptCount val="8"/>
                <c:pt idx="0">
                  <c:v>0.76300000000000001</c:v>
                </c:pt>
                <c:pt idx="1">
                  <c:v>0.78</c:v>
                </c:pt>
                <c:pt idx="2">
                  <c:v>0.77099999999999991</c:v>
                </c:pt>
                <c:pt idx="3">
                  <c:v>0.73199999999999998</c:v>
                </c:pt>
                <c:pt idx="4">
                  <c:v>0.753</c:v>
                </c:pt>
                <c:pt idx="5">
                  <c:v>0.76700000000000002</c:v>
                </c:pt>
                <c:pt idx="6">
                  <c:v>0.78599999999999992</c:v>
                </c:pt>
                <c:pt idx="7">
                  <c:v>0.78400000000000003</c:v>
                </c:pt>
              </c:numCache>
            </c:numRef>
          </c:val>
          <c:smooth val="0"/>
          <c:extLst>
            <c:ext xmlns:c16="http://schemas.microsoft.com/office/drawing/2014/chart" uri="{C3380CC4-5D6E-409C-BE32-E72D297353CC}">
              <c16:uniqueId val="{00000002-2AFB-4456-B583-B1CD6CF5EE5C}"/>
            </c:ext>
          </c:extLst>
        </c:ser>
        <c:ser>
          <c:idx val="3"/>
          <c:order val="3"/>
          <c:tx>
            <c:strRef>
              <c:f>FOCUS_Age!$I$3</c:f>
              <c:strCache>
                <c:ptCount val="1"/>
                <c:pt idx="0">
                  <c:v>40 and over</c:v>
                </c:pt>
              </c:strCache>
            </c:strRef>
          </c:tx>
          <c:spPr>
            <a:ln w="28575" cap="rnd">
              <a:solidFill>
                <a:srgbClr val="B7D432"/>
              </a:solidFill>
              <a:round/>
            </a:ln>
            <a:effectLst/>
          </c:spPr>
          <c:marker>
            <c:symbol val="circle"/>
            <c:size val="5"/>
            <c:spPr>
              <a:solidFill>
                <a:srgbClr val="B7D432"/>
              </a:solidFill>
              <a:ln w="9525">
                <a:solidFill>
                  <a:srgbClr val="B7D432"/>
                </a:solidFill>
              </a:ln>
              <a:effectLst/>
            </c:spPr>
          </c:marker>
          <c:dLbls>
            <c:dLbl>
              <c:idx val="0"/>
              <c:dLblPos val="l"/>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AFB-4456-B583-B1CD6CF5EE5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2">
                        <a:lumMod val="50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FOCUS_Age!$A$4:$A$11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FOCUS_Age!$I$4:$I$11</c:f>
              <c:numCache>
                <c:formatCode>0.0%</c:formatCode>
                <c:ptCount val="8"/>
                <c:pt idx="0">
                  <c:v>0.8</c:v>
                </c:pt>
                <c:pt idx="1">
                  <c:v>0.81499999999999995</c:v>
                </c:pt>
                <c:pt idx="2">
                  <c:v>0.80799999999999994</c:v>
                </c:pt>
                <c:pt idx="3">
                  <c:v>0.79599999999999993</c:v>
                </c:pt>
                <c:pt idx="4">
                  <c:v>0.8</c:v>
                </c:pt>
                <c:pt idx="5">
                  <c:v>0.81</c:v>
                </c:pt>
                <c:pt idx="6">
                  <c:v>0.81599999999999995</c:v>
                </c:pt>
                <c:pt idx="7">
                  <c:v>0.81700000000000006</c:v>
                </c:pt>
              </c:numCache>
            </c:numRef>
          </c:val>
          <c:smooth val="0"/>
          <c:extLst>
            <c:ext xmlns:c16="http://schemas.microsoft.com/office/drawing/2014/chart" uri="{C3380CC4-5D6E-409C-BE32-E72D297353CC}">
              <c16:uniqueId val="{00000003-2AFB-4456-B583-B1CD6CF5EE5C}"/>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ax val="0.85000000000000009"/>
          <c:min val="0.60000000000000009"/>
        </c:scaling>
        <c:delete val="1"/>
        <c:axPos val="l"/>
        <c:numFmt formatCode="0.0%" sourceLinked="1"/>
        <c:majorTickMark val="out"/>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'FOCUS_Study mode'!$B$2</c:f>
          <c:strCache>
            <c:ptCount val="1"/>
            <c:pt idx="0">
              <c:v>Undergraduate</c:v>
            </c:pt>
          </c:strCache>
        </c:strRef>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Public Sans" pitchFamily="2" charset="0"/>
              <a:ea typeface="+mn-ea"/>
              <a:cs typeface="+mn-cs"/>
            </a:defRPr>
          </a:pPr>
          <a:endParaRPr lang="en-US"/>
        </a:p>
      </c:txPr>
    </c:title>
    <c:autoTitleDeleted val="0"/>
    <c:plotArea>
      <c:layout/>
      <c:lineChart>
        <c:grouping val="standard"/>
        <c:varyColors val="0"/>
        <c:ser>
          <c:idx val="1"/>
          <c:order val="0"/>
          <c:tx>
            <c:strRef>
              <c:f>'FOCUS_Study mode'!$C$3</c:f>
              <c:strCache>
                <c:ptCount val="1"/>
                <c:pt idx="0">
                  <c:v>Internal/multi-mode</c:v>
                </c:pt>
              </c:strCache>
            </c:strRef>
          </c:tx>
          <c:spPr>
            <a:ln w="28575" cap="rnd">
              <a:solidFill>
                <a:srgbClr val="EE3B6F"/>
              </a:solidFill>
              <a:round/>
            </a:ln>
            <a:effectLst/>
          </c:spPr>
          <c:marker>
            <c:symbol val="circle"/>
            <c:size val="5"/>
            <c:spPr>
              <a:solidFill>
                <a:srgbClr val="EE3B6F"/>
              </a:solidFill>
              <a:ln w="9525">
                <a:solidFill>
                  <a:srgbClr val="EE3B6F"/>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accent4">
                        <a:lumMod val="75000"/>
                      </a:schemeClr>
                    </a:solidFill>
                    <a:latin typeface="Public Sans" pitchFamily="2" charset="0"/>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'FOCUS_Study mode'!$A$4:$A$11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'FOCUS_Study mode'!$C$4:$C$11</c:f>
              <c:numCache>
                <c:formatCode>0.0%</c:formatCode>
                <c:ptCount val="8"/>
                <c:pt idx="0">
                  <c:v>0.78300000000000003</c:v>
                </c:pt>
                <c:pt idx="1">
                  <c:v>0.79100000000000004</c:v>
                </c:pt>
                <c:pt idx="2">
                  <c:v>0.78200000000000003</c:v>
                </c:pt>
                <c:pt idx="3">
                  <c:v>0.67200000000000004</c:v>
                </c:pt>
                <c:pt idx="4">
                  <c:v>0.72299999999999998</c:v>
                </c:pt>
                <c:pt idx="5">
                  <c:v>0.752</c:v>
                </c:pt>
                <c:pt idx="6">
                  <c:v>0.76300000000000001</c:v>
                </c:pt>
                <c:pt idx="7">
                  <c:v>0.7609999999999999</c:v>
                </c:pt>
              </c:numCache>
            </c:numRef>
          </c:val>
          <c:smooth val="0"/>
          <c:extLst>
            <c:ext xmlns:c16="http://schemas.microsoft.com/office/drawing/2014/chart" uri="{C3380CC4-5D6E-409C-BE32-E72D297353CC}">
              <c16:uniqueId val="{00000000-F4C0-4A2E-A015-1444D26D57B7}"/>
            </c:ext>
          </c:extLst>
        </c:ser>
        <c:ser>
          <c:idx val="2"/>
          <c:order val="1"/>
          <c:tx>
            <c:strRef>
              <c:f>'FOCUS_Study mode'!$B$3</c:f>
              <c:strCache>
                <c:ptCount val="1"/>
                <c:pt idx="0">
                  <c:v>External</c:v>
                </c:pt>
              </c:strCache>
            </c:strRef>
          </c:tx>
          <c:spPr>
            <a:ln w="28575" cap="rnd">
              <a:solidFill>
                <a:srgbClr val="FCB942"/>
              </a:solidFill>
              <a:round/>
            </a:ln>
            <a:effectLst/>
          </c:spPr>
          <c:marker>
            <c:symbol val="circle"/>
            <c:size val="5"/>
            <c:spPr>
              <a:solidFill>
                <a:srgbClr val="FCB942"/>
              </a:solidFill>
              <a:ln w="9525">
                <a:solidFill>
                  <a:srgbClr val="FCB942"/>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Public Sans" pitchFamily="2"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'FOCUS_Study mode'!$A$4:$A$11</c:f>
              <c:numCache>
                <c:formatCode>General</c:formatCode>
                <c:ptCount val="8"/>
                <c:pt idx="0">
                  <c:v>2017</c:v>
                </c:pt>
                <c:pt idx="1">
                  <c:v>2018</c:v>
                </c:pt>
                <c:pt idx="2">
                  <c:v>2019</c:v>
                </c:pt>
                <c:pt idx="3">
                  <c:v>2020</c:v>
                </c:pt>
                <c:pt idx="4">
                  <c:v>2021</c:v>
                </c:pt>
                <c:pt idx="5">
                  <c:v>2022</c:v>
                </c:pt>
                <c:pt idx="6">
                  <c:v>2023</c:v>
                </c:pt>
                <c:pt idx="7">
                  <c:v>2024</c:v>
                </c:pt>
              </c:numCache>
            </c:numRef>
          </c:cat>
          <c:val>
            <c:numRef>
              <c:f>'FOCUS_Study mode'!$B$4:$B$11</c:f>
              <c:numCache>
                <c:formatCode>0.0%</c:formatCode>
                <c:ptCount val="8"/>
                <c:pt idx="0">
                  <c:v>0.80800000000000005</c:v>
                </c:pt>
                <c:pt idx="1">
                  <c:v>0.81100000000000005</c:v>
                </c:pt>
                <c:pt idx="2">
                  <c:v>0.81</c:v>
                </c:pt>
                <c:pt idx="3">
                  <c:v>0.76900000000000002</c:v>
                </c:pt>
                <c:pt idx="4">
                  <c:v>0.78600000000000003</c:v>
                </c:pt>
                <c:pt idx="5">
                  <c:v>0.79800000000000004</c:v>
                </c:pt>
                <c:pt idx="6">
                  <c:v>0.79900000000000004</c:v>
                </c:pt>
                <c:pt idx="7">
                  <c:v>0.79799999999999993</c:v>
                </c:pt>
              </c:numCache>
            </c:numRef>
          </c:val>
          <c:smooth val="0"/>
          <c:extLst>
            <c:ext xmlns:c16="http://schemas.microsoft.com/office/drawing/2014/chart" uri="{C3380CC4-5D6E-409C-BE32-E72D297353CC}">
              <c16:uniqueId val="{00000001-F4C0-4A2E-A015-1444D26D57B7}"/>
            </c:ext>
          </c:extLst>
        </c:ser>
        <c:dLbls>
          <c:showLegendKey val="0"/>
          <c:showVal val="0"/>
          <c:showCatName val="0"/>
          <c:showSerName val="0"/>
          <c:showPercent val="0"/>
          <c:showBubbleSize val="0"/>
        </c:dLbls>
        <c:marker val="1"/>
        <c:smooth val="0"/>
        <c:axId val="2066511295"/>
        <c:axId val="1887446863"/>
      </c:lineChart>
      <c:catAx>
        <c:axId val="2066511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crossAx val="1887446863"/>
        <c:crosses val="autoZero"/>
        <c:auto val="1"/>
        <c:lblAlgn val="ctr"/>
        <c:lblOffset val="100"/>
        <c:noMultiLvlLbl val="0"/>
      </c:catAx>
      <c:valAx>
        <c:axId val="1887446863"/>
        <c:scaling>
          <c:orientation val="minMax"/>
          <c:min val="0.5"/>
        </c:scaling>
        <c:delete val="1"/>
        <c:axPos val="l"/>
        <c:numFmt formatCode="0.0%" sourceLinked="1"/>
        <c:majorTickMark val="none"/>
        <c:minorTickMark val="none"/>
        <c:tickLblPos val="nextTo"/>
        <c:crossAx val="20665112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ublic Sans" pitchFamily="2" charset="0"/>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latin typeface="Public Sans" pitchFamily="2"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QILT theme">
  <a:themeElements>
    <a:clrScheme name="WCAG Attitudes &amp; Values">
      <a:dk1>
        <a:srgbClr val="000000"/>
      </a:dk1>
      <a:lt1>
        <a:srgbClr val="FFFFFF"/>
      </a:lt1>
      <a:dk2>
        <a:srgbClr val="004DCF"/>
      </a:dk2>
      <a:lt2>
        <a:srgbClr val="FFFFFF"/>
      </a:lt2>
      <a:accent1>
        <a:srgbClr val="525F0C"/>
      </a:accent1>
      <a:accent2>
        <a:srgbClr val="61531D"/>
      </a:accent2>
      <a:accent3>
        <a:srgbClr val="8C421B"/>
      </a:accent3>
      <a:accent4>
        <a:srgbClr val="3A5E5E"/>
      </a:accent4>
      <a:accent5>
        <a:srgbClr val="2D6442"/>
      </a:accent5>
      <a:accent6>
        <a:srgbClr val="684F6F"/>
      </a:accent6>
      <a:hlink>
        <a:srgbClr val="004DCF"/>
      </a:hlink>
      <a:folHlink>
        <a:srgbClr val="800080"/>
      </a:folHlink>
    </a:clrScheme>
    <a:fontScheme name="Custom 1">
      <a:majorFont>
        <a:latin typeface="Quicksand Medium"/>
        <a:ea typeface=""/>
        <a:cs typeface=""/>
      </a:majorFont>
      <a:minorFont>
        <a:latin typeface="Quicksand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QILT">
    <a:dk1>
      <a:srgbClr val="000000"/>
    </a:dk1>
    <a:lt1>
      <a:sysClr val="window" lastClr="FFFFFF"/>
    </a:lt1>
    <a:dk2>
      <a:srgbClr val="007A7D"/>
    </a:dk2>
    <a:lt2>
      <a:srgbClr val="E6ECEE"/>
    </a:lt2>
    <a:accent1>
      <a:srgbClr val="4FBFBE"/>
    </a:accent1>
    <a:accent2>
      <a:srgbClr val="B7D432"/>
    </a:accent2>
    <a:accent3>
      <a:srgbClr val="F3772C"/>
    </a:accent3>
    <a:accent4>
      <a:srgbClr val="EE3B6F"/>
    </a:accent4>
    <a:accent5>
      <a:srgbClr val="FCB942"/>
    </a:accent5>
    <a:accent6>
      <a:srgbClr val="C3AA95"/>
    </a:accent6>
    <a:hlink>
      <a:srgbClr val="1C365F"/>
    </a:hlink>
    <a:folHlink>
      <a:srgbClr val="4B7CC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QILT">
    <a:dk1>
      <a:srgbClr val="000000"/>
    </a:dk1>
    <a:lt1>
      <a:sysClr val="window" lastClr="FFFFFF"/>
    </a:lt1>
    <a:dk2>
      <a:srgbClr val="007A7D"/>
    </a:dk2>
    <a:lt2>
      <a:srgbClr val="E6ECEE"/>
    </a:lt2>
    <a:accent1>
      <a:srgbClr val="4FBFBE"/>
    </a:accent1>
    <a:accent2>
      <a:srgbClr val="B7D432"/>
    </a:accent2>
    <a:accent3>
      <a:srgbClr val="F3772C"/>
    </a:accent3>
    <a:accent4>
      <a:srgbClr val="EE3B6F"/>
    </a:accent4>
    <a:accent5>
      <a:srgbClr val="FCB942"/>
    </a:accent5>
    <a:accent6>
      <a:srgbClr val="C3AA95"/>
    </a:accent6>
    <a:hlink>
      <a:srgbClr val="1C365F"/>
    </a:hlink>
    <a:folHlink>
      <a:srgbClr val="4B7CC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QILT">
    <a:dk1>
      <a:srgbClr val="000000"/>
    </a:dk1>
    <a:lt1>
      <a:sysClr val="window" lastClr="FFFFFF"/>
    </a:lt1>
    <a:dk2>
      <a:srgbClr val="007A7D"/>
    </a:dk2>
    <a:lt2>
      <a:srgbClr val="E6ECEE"/>
    </a:lt2>
    <a:accent1>
      <a:srgbClr val="4FBFBE"/>
    </a:accent1>
    <a:accent2>
      <a:srgbClr val="B7D432"/>
    </a:accent2>
    <a:accent3>
      <a:srgbClr val="F3772C"/>
    </a:accent3>
    <a:accent4>
      <a:srgbClr val="EE3B6F"/>
    </a:accent4>
    <a:accent5>
      <a:srgbClr val="FCB942"/>
    </a:accent5>
    <a:accent6>
      <a:srgbClr val="C3AA95"/>
    </a:accent6>
    <a:hlink>
      <a:srgbClr val="1C365F"/>
    </a:hlink>
    <a:folHlink>
      <a:srgbClr val="4B7CC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QILT">
    <a:dk1>
      <a:srgbClr val="000000"/>
    </a:dk1>
    <a:lt1>
      <a:sysClr val="window" lastClr="FFFFFF"/>
    </a:lt1>
    <a:dk2>
      <a:srgbClr val="007A7D"/>
    </a:dk2>
    <a:lt2>
      <a:srgbClr val="E6ECEE"/>
    </a:lt2>
    <a:accent1>
      <a:srgbClr val="4FBFBE"/>
    </a:accent1>
    <a:accent2>
      <a:srgbClr val="B7D432"/>
    </a:accent2>
    <a:accent3>
      <a:srgbClr val="F3772C"/>
    </a:accent3>
    <a:accent4>
      <a:srgbClr val="EE3B6F"/>
    </a:accent4>
    <a:accent5>
      <a:srgbClr val="FCB942"/>
    </a:accent5>
    <a:accent6>
      <a:srgbClr val="C3AA95"/>
    </a:accent6>
    <a:hlink>
      <a:srgbClr val="1C365F"/>
    </a:hlink>
    <a:folHlink>
      <a:srgbClr val="4B7CC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QILT">
    <a:dk1>
      <a:srgbClr val="000000"/>
    </a:dk1>
    <a:lt1>
      <a:sysClr val="window" lastClr="FFFFFF"/>
    </a:lt1>
    <a:dk2>
      <a:srgbClr val="007A7D"/>
    </a:dk2>
    <a:lt2>
      <a:srgbClr val="E6ECEE"/>
    </a:lt2>
    <a:accent1>
      <a:srgbClr val="4FBFBE"/>
    </a:accent1>
    <a:accent2>
      <a:srgbClr val="B7D432"/>
    </a:accent2>
    <a:accent3>
      <a:srgbClr val="F3772C"/>
    </a:accent3>
    <a:accent4>
      <a:srgbClr val="EE3B6F"/>
    </a:accent4>
    <a:accent5>
      <a:srgbClr val="FCB942"/>
    </a:accent5>
    <a:accent6>
      <a:srgbClr val="C3AA95"/>
    </a:accent6>
    <a:hlink>
      <a:srgbClr val="1C365F"/>
    </a:hlink>
    <a:folHlink>
      <a:srgbClr val="4B7CC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QILT">
    <a:dk1>
      <a:srgbClr val="000000"/>
    </a:dk1>
    <a:lt1>
      <a:sysClr val="window" lastClr="FFFFFF"/>
    </a:lt1>
    <a:dk2>
      <a:srgbClr val="007A7D"/>
    </a:dk2>
    <a:lt2>
      <a:srgbClr val="E6ECEE"/>
    </a:lt2>
    <a:accent1>
      <a:srgbClr val="4FBFBE"/>
    </a:accent1>
    <a:accent2>
      <a:srgbClr val="B7D432"/>
    </a:accent2>
    <a:accent3>
      <a:srgbClr val="F3772C"/>
    </a:accent3>
    <a:accent4>
      <a:srgbClr val="EE3B6F"/>
    </a:accent4>
    <a:accent5>
      <a:srgbClr val="FCB942"/>
    </a:accent5>
    <a:accent6>
      <a:srgbClr val="C3AA95"/>
    </a:accent6>
    <a:hlink>
      <a:srgbClr val="1C365F"/>
    </a:hlink>
    <a:folHlink>
      <a:srgbClr val="4B7CC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QILT">
    <a:dk1>
      <a:srgbClr val="000000"/>
    </a:dk1>
    <a:lt1>
      <a:sysClr val="window" lastClr="FFFFFF"/>
    </a:lt1>
    <a:dk2>
      <a:srgbClr val="007A7D"/>
    </a:dk2>
    <a:lt2>
      <a:srgbClr val="E6ECEE"/>
    </a:lt2>
    <a:accent1>
      <a:srgbClr val="4FBFBE"/>
    </a:accent1>
    <a:accent2>
      <a:srgbClr val="B7D432"/>
    </a:accent2>
    <a:accent3>
      <a:srgbClr val="F3772C"/>
    </a:accent3>
    <a:accent4>
      <a:srgbClr val="EE3B6F"/>
    </a:accent4>
    <a:accent5>
      <a:srgbClr val="FCB942"/>
    </a:accent5>
    <a:accent6>
      <a:srgbClr val="C3AA95"/>
    </a:accent6>
    <a:hlink>
      <a:srgbClr val="1C365F"/>
    </a:hlink>
    <a:folHlink>
      <a:srgbClr val="4B7CC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QILT">
    <a:dk1>
      <a:srgbClr val="000000"/>
    </a:dk1>
    <a:lt1>
      <a:sysClr val="window" lastClr="FFFFFF"/>
    </a:lt1>
    <a:dk2>
      <a:srgbClr val="007A7D"/>
    </a:dk2>
    <a:lt2>
      <a:srgbClr val="E6ECEE"/>
    </a:lt2>
    <a:accent1>
      <a:srgbClr val="4FBFBE"/>
    </a:accent1>
    <a:accent2>
      <a:srgbClr val="B7D432"/>
    </a:accent2>
    <a:accent3>
      <a:srgbClr val="F3772C"/>
    </a:accent3>
    <a:accent4>
      <a:srgbClr val="EE3B6F"/>
    </a:accent4>
    <a:accent5>
      <a:srgbClr val="FCB942"/>
    </a:accent5>
    <a:accent6>
      <a:srgbClr val="C3AA95"/>
    </a:accent6>
    <a:hlink>
      <a:srgbClr val="1C365F"/>
    </a:hlink>
    <a:folHlink>
      <a:srgbClr val="4B7CC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QILT">
    <a:dk1>
      <a:srgbClr val="000000"/>
    </a:dk1>
    <a:lt1>
      <a:sysClr val="window" lastClr="FFFFFF"/>
    </a:lt1>
    <a:dk2>
      <a:srgbClr val="007A7D"/>
    </a:dk2>
    <a:lt2>
      <a:srgbClr val="E6ECEE"/>
    </a:lt2>
    <a:accent1>
      <a:srgbClr val="4FBFBE"/>
    </a:accent1>
    <a:accent2>
      <a:srgbClr val="B7D432"/>
    </a:accent2>
    <a:accent3>
      <a:srgbClr val="F3772C"/>
    </a:accent3>
    <a:accent4>
      <a:srgbClr val="EE3B6F"/>
    </a:accent4>
    <a:accent5>
      <a:srgbClr val="FCB942"/>
    </a:accent5>
    <a:accent6>
      <a:srgbClr val="C3AA95"/>
    </a:accent6>
    <a:hlink>
      <a:srgbClr val="1C365F"/>
    </a:hlink>
    <a:folHlink>
      <a:srgbClr val="4B7CC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QILT theme">
    <a:dk1>
      <a:srgbClr val="3A3A3A"/>
    </a:dk1>
    <a:lt1>
      <a:sysClr val="window" lastClr="FFFFFF"/>
    </a:lt1>
    <a:dk2>
      <a:srgbClr val="057070"/>
    </a:dk2>
    <a:lt2>
      <a:srgbClr val="007A7D"/>
    </a:lt2>
    <a:accent1>
      <a:srgbClr val="4FBFBE"/>
    </a:accent1>
    <a:accent2>
      <a:srgbClr val="B7D432"/>
    </a:accent2>
    <a:accent3>
      <a:srgbClr val="F3772C"/>
    </a:accent3>
    <a:accent4>
      <a:srgbClr val="EE3B6F"/>
    </a:accent4>
    <a:accent5>
      <a:srgbClr val="FCB942"/>
    </a:accent5>
    <a:accent6>
      <a:srgbClr val="C3AA95"/>
    </a:accent6>
    <a:hlink>
      <a:srgbClr val="0563C1"/>
    </a:hlink>
    <a:folHlink>
      <a:srgbClr val="954F72"/>
    </a:folHlink>
  </a:clrScheme>
  <a:fontScheme name="Custom 2">
    <a:majorFont>
      <a:latin typeface="Public Sans Medium"/>
      <a:ea typeface=""/>
      <a:cs typeface=""/>
    </a:majorFont>
    <a:minorFont>
      <a:latin typeface="Public Sans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ae4e7071-5663-40f4-b82b-2f0fff1265cc">
      <Terms xmlns="http://schemas.microsoft.com/office/infopath/2007/PartnerControls"/>
    </lcf76f155ced4ddcb4097134ff3c332f>
    <TaxCatchAll xmlns="1d7fd805-69e4-4ade-a468-cc546b9d58af"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B98A18D3684994C9C52717DA600DB9E" ma:contentTypeVersion="19" ma:contentTypeDescription="Create a new document." ma:contentTypeScope="" ma:versionID="c5b7d20d40ca9aa8d76d5bc1f8bf5677">
  <xsd:schema xmlns:xsd="http://www.w3.org/2001/XMLSchema" xmlns:xs="http://www.w3.org/2001/XMLSchema" xmlns:p="http://schemas.microsoft.com/office/2006/metadata/properties" xmlns:ns1="http://schemas.microsoft.com/sharepoint/v3" xmlns:ns2="ae4e7071-5663-40f4-b82b-2f0fff1265cc" xmlns:ns3="1d7fd805-69e4-4ade-a468-cc546b9d58af" targetNamespace="http://schemas.microsoft.com/office/2006/metadata/properties" ma:root="true" ma:fieldsID="6ff3f5917ba38a26b931eb9d9cb8e6f7" ns1:_="" ns2:_="" ns3:_="">
    <xsd:import namespace="http://schemas.microsoft.com/sharepoint/v3"/>
    <xsd:import namespace="ae4e7071-5663-40f4-b82b-2f0fff1265cc"/>
    <xsd:import namespace="1d7fd805-69e4-4ade-a468-cc546b9d58a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1:_ip_UnifiedCompliancePolicyProperties" minOccurs="0"/>
                <xsd:element ref="ns1:_ip_UnifiedCompliancePolicyUIAction"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4" nillable="true" ma:displayName="Unified Compliance Policy Properties" ma:hidden="true" ma:internalName="_ip_UnifiedCompliancePolicyProperties">
      <xsd:simpleType>
        <xsd:restriction base="dms:Note"/>
      </xsd:simpleType>
    </xsd:element>
    <xsd:element name="_ip_UnifiedCompliancePolicyUIAction" ma:index="1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e4e7071-5663-40f4-b82b-2f0fff1265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DateTaken" ma:index="20" nillable="true" ma:displayName="MediaServiceDateTaken" ma:hidden="true" ma:internalName="MediaServiceDateTake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9be075d-681b-45a2-8aaf-45aedbdf895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LengthInSeconds" ma:index="26"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d7fd805-69e4-4ade-a468-cc546b9d58a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11f07664-34f3-4f09-9e94-c8b34590142c}" ma:internalName="TaxCatchAll" ma:showField="CatchAllData" ma:web="1d7fd805-69e4-4ade-a468-cc546b9d58a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2A16E2B-E189-4249-ADF6-291BADB85185}">
  <ds:schemaRefs>
    <ds:schemaRef ds:uri="http://schemas.openxmlformats.org/officeDocument/2006/bibliography"/>
  </ds:schemaRefs>
</ds:datastoreItem>
</file>

<file path=customXml/itemProps2.xml><?xml version="1.0" encoding="utf-8"?>
<ds:datastoreItem xmlns:ds="http://schemas.openxmlformats.org/officeDocument/2006/customXml" ds:itemID="{BC63493A-6663-4A14-8ADB-6544B64B3F3E}">
  <ds:schemaRefs>
    <ds:schemaRef ds:uri="http://schemas.microsoft.com/sharepoint/v3"/>
    <ds:schemaRef ds:uri="ae4e7071-5663-40f4-b82b-2f0fff1265cc"/>
    <ds:schemaRef ds:uri="http://schemas.microsoft.com/office/2006/documentManagement/types"/>
    <ds:schemaRef ds:uri="http://www.w3.org/XML/1998/namespace"/>
    <ds:schemaRef ds:uri="1d7fd805-69e4-4ade-a468-cc546b9d58af"/>
    <ds:schemaRef ds:uri="http://schemas.openxmlformats.org/package/2006/metadata/core-properties"/>
    <ds:schemaRef ds:uri="http://purl.org/dc/dcmitype/"/>
    <ds:schemaRef ds:uri="http://schemas.microsoft.com/office/infopath/2007/PartnerControls"/>
    <ds:schemaRef ds:uri="http://schemas.microsoft.com/office/2006/metadata/properties"/>
    <ds:schemaRef ds:uri="http://purl.org/dc/terms/"/>
    <ds:schemaRef ds:uri="http://purl.org/dc/elements/1.1/"/>
  </ds:schemaRefs>
</ds:datastoreItem>
</file>

<file path=customXml/itemProps3.xml><?xml version="1.0" encoding="utf-8"?>
<ds:datastoreItem xmlns:ds="http://schemas.openxmlformats.org/officeDocument/2006/customXml" ds:itemID="{ACB12F54-37B2-4D96-B1AF-2F4E951CB7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e4e7071-5663-40f4-b82b-2f0fff1265cc"/>
    <ds:schemaRef ds:uri="1d7fd805-69e4-4ade-a468-cc546b9d58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80DC5B4-DAB2-4448-9BDC-7A47C6B94E73}">
  <ds:schemaRefs>
    <ds:schemaRef ds:uri="http://schemas.microsoft.com/sharepoint/v3/contenttype/forms"/>
  </ds:schemaRefs>
</ds:datastoreItem>
</file>

<file path=docMetadata/LabelInfo.xml><?xml version="1.0" encoding="utf-8"?>
<clbl:labelList xmlns:clbl="http://schemas.microsoft.com/office/2020/mipLabelMetadata">
  <clbl:label id="{530eb4d8-2b68-4bf4-88c4-05d960b8514d}" enabled="0" method="" siteId="{530eb4d8-2b68-4bf4-88c4-05d960b8514d}" removed="1"/>
</clbl:labelList>
</file>

<file path=docProps/app.xml><?xml version="1.0" encoding="utf-8"?>
<Properties xmlns="http://schemas.openxmlformats.org/officeDocument/2006/extended-properties" xmlns:vt="http://schemas.openxmlformats.org/officeDocument/2006/docPropsVTypes">
  <Template>Normal</Template>
  <TotalTime>10</TotalTime>
  <Pages>72</Pages>
  <Words>16568</Words>
  <Characters>94438</Characters>
  <Application>Microsoft Office Word</Application>
  <DocSecurity>0</DocSecurity>
  <Lines>786</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110785</CharactersWithSpaces>
  <SharedDoc>false</SharedDoc>
  <HLinks>
    <vt:vector size="492" baseType="variant">
      <vt:variant>
        <vt:i4>7733375</vt:i4>
      </vt:variant>
      <vt:variant>
        <vt:i4>468</vt:i4>
      </vt:variant>
      <vt:variant>
        <vt:i4>0</vt:i4>
      </vt:variant>
      <vt:variant>
        <vt:i4>5</vt:i4>
      </vt:variant>
      <vt:variant>
        <vt:lpwstr/>
      </vt:variant>
      <vt:variant>
        <vt:lpwstr>_Study_mode</vt:lpwstr>
      </vt:variant>
      <vt:variant>
        <vt:i4>720972</vt:i4>
      </vt:variant>
      <vt:variant>
        <vt:i4>450</vt:i4>
      </vt:variant>
      <vt:variant>
        <vt:i4>0</vt:i4>
      </vt:variant>
      <vt:variant>
        <vt:i4>5</vt:i4>
      </vt:variant>
      <vt:variant>
        <vt:lpwstr>https://www.qilt.edu.au/</vt:lpwstr>
      </vt:variant>
      <vt:variant>
        <vt:lpwstr/>
      </vt:variant>
      <vt:variant>
        <vt:i4>720972</vt:i4>
      </vt:variant>
      <vt:variant>
        <vt:i4>447</vt:i4>
      </vt:variant>
      <vt:variant>
        <vt:i4>0</vt:i4>
      </vt:variant>
      <vt:variant>
        <vt:i4>5</vt:i4>
      </vt:variant>
      <vt:variant>
        <vt:lpwstr>https://www.qilt.edu.au/</vt:lpwstr>
      </vt:variant>
      <vt:variant>
        <vt:lpwstr/>
      </vt:variant>
      <vt:variant>
        <vt:i4>1048633</vt:i4>
      </vt:variant>
      <vt:variant>
        <vt:i4>437</vt:i4>
      </vt:variant>
      <vt:variant>
        <vt:i4>0</vt:i4>
      </vt:variant>
      <vt:variant>
        <vt:i4>5</vt:i4>
      </vt:variant>
      <vt:variant>
        <vt:lpwstr/>
      </vt:variant>
      <vt:variant>
        <vt:lpwstr>_Toc199513087</vt:lpwstr>
      </vt:variant>
      <vt:variant>
        <vt:i4>1048633</vt:i4>
      </vt:variant>
      <vt:variant>
        <vt:i4>431</vt:i4>
      </vt:variant>
      <vt:variant>
        <vt:i4>0</vt:i4>
      </vt:variant>
      <vt:variant>
        <vt:i4>5</vt:i4>
      </vt:variant>
      <vt:variant>
        <vt:lpwstr/>
      </vt:variant>
      <vt:variant>
        <vt:lpwstr>_Toc199513086</vt:lpwstr>
      </vt:variant>
      <vt:variant>
        <vt:i4>1048633</vt:i4>
      </vt:variant>
      <vt:variant>
        <vt:i4>425</vt:i4>
      </vt:variant>
      <vt:variant>
        <vt:i4>0</vt:i4>
      </vt:variant>
      <vt:variant>
        <vt:i4>5</vt:i4>
      </vt:variant>
      <vt:variant>
        <vt:lpwstr/>
      </vt:variant>
      <vt:variant>
        <vt:lpwstr>_Toc199513085</vt:lpwstr>
      </vt:variant>
      <vt:variant>
        <vt:i4>1048633</vt:i4>
      </vt:variant>
      <vt:variant>
        <vt:i4>419</vt:i4>
      </vt:variant>
      <vt:variant>
        <vt:i4>0</vt:i4>
      </vt:variant>
      <vt:variant>
        <vt:i4>5</vt:i4>
      </vt:variant>
      <vt:variant>
        <vt:lpwstr/>
      </vt:variant>
      <vt:variant>
        <vt:lpwstr>_Toc199513084</vt:lpwstr>
      </vt:variant>
      <vt:variant>
        <vt:i4>1048633</vt:i4>
      </vt:variant>
      <vt:variant>
        <vt:i4>413</vt:i4>
      </vt:variant>
      <vt:variant>
        <vt:i4>0</vt:i4>
      </vt:variant>
      <vt:variant>
        <vt:i4>5</vt:i4>
      </vt:variant>
      <vt:variant>
        <vt:lpwstr/>
      </vt:variant>
      <vt:variant>
        <vt:lpwstr>_Toc199513083</vt:lpwstr>
      </vt:variant>
      <vt:variant>
        <vt:i4>1048633</vt:i4>
      </vt:variant>
      <vt:variant>
        <vt:i4>407</vt:i4>
      </vt:variant>
      <vt:variant>
        <vt:i4>0</vt:i4>
      </vt:variant>
      <vt:variant>
        <vt:i4>5</vt:i4>
      </vt:variant>
      <vt:variant>
        <vt:lpwstr/>
      </vt:variant>
      <vt:variant>
        <vt:lpwstr>_Toc199513082</vt:lpwstr>
      </vt:variant>
      <vt:variant>
        <vt:i4>1048633</vt:i4>
      </vt:variant>
      <vt:variant>
        <vt:i4>401</vt:i4>
      </vt:variant>
      <vt:variant>
        <vt:i4>0</vt:i4>
      </vt:variant>
      <vt:variant>
        <vt:i4>5</vt:i4>
      </vt:variant>
      <vt:variant>
        <vt:lpwstr/>
      </vt:variant>
      <vt:variant>
        <vt:lpwstr>_Toc199513081</vt:lpwstr>
      </vt:variant>
      <vt:variant>
        <vt:i4>1048633</vt:i4>
      </vt:variant>
      <vt:variant>
        <vt:i4>395</vt:i4>
      </vt:variant>
      <vt:variant>
        <vt:i4>0</vt:i4>
      </vt:variant>
      <vt:variant>
        <vt:i4>5</vt:i4>
      </vt:variant>
      <vt:variant>
        <vt:lpwstr/>
      </vt:variant>
      <vt:variant>
        <vt:lpwstr>_Toc199513080</vt:lpwstr>
      </vt:variant>
      <vt:variant>
        <vt:i4>2031673</vt:i4>
      </vt:variant>
      <vt:variant>
        <vt:i4>389</vt:i4>
      </vt:variant>
      <vt:variant>
        <vt:i4>0</vt:i4>
      </vt:variant>
      <vt:variant>
        <vt:i4>5</vt:i4>
      </vt:variant>
      <vt:variant>
        <vt:lpwstr/>
      </vt:variant>
      <vt:variant>
        <vt:lpwstr>_Toc199513079</vt:lpwstr>
      </vt:variant>
      <vt:variant>
        <vt:i4>2031673</vt:i4>
      </vt:variant>
      <vt:variant>
        <vt:i4>383</vt:i4>
      </vt:variant>
      <vt:variant>
        <vt:i4>0</vt:i4>
      </vt:variant>
      <vt:variant>
        <vt:i4>5</vt:i4>
      </vt:variant>
      <vt:variant>
        <vt:lpwstr/>
      </vt:variant>
      <vt:variant>
        <vt:lpwstr>_Toc199513078</vt:lpwstr>
      </vt:variant>
      <vt:variant>
        <vt:i4>2031673</vt:i4>
      </vt:variant>
      <vt:variant>
        <vt:i4>377</vt:i4>
      </vt:variant>
      <vt:variant>
        <vt:i4>0</vt:i4>
      </vt:variant>
      <vt:variant>
        <vt:i4>5</vt:i4>
      </vt:variant>
      <vt:variant>
        <vt:lpwstr/>
      </vt:variant>
      <vt:variant>
        <vt:lpwstr>_Toc199513077</vt:lpwstr>
      </vt:variant>
      <vt:variant>
        <vt:i4>2031673</vt:i4>
      </vt:variant>
      <vt:variant>
        <vt:i4>371</vt:i4>
      </vt:variant>
      <vt:variant>
        <vt:i4>0</vt:i4>
      </vt:variant>
      <vt:variant>
        <vt:i4>5</vt:i4>
      </vt:variant>
      <vt:variant>
        <vt:lpwstr/>
      </vt:variant>
      <vt:variant>
        <vt:lpwstr>_Toc199513076</vt:lpwstr>
      </vt:variant>
      <vt:variant>
        <vt:i4>2031673</vt:i4>
      </vt:variant>
      <vt:variant>
        <vt:i4>365</vt:i4>
      </vt:variant>
      <vt:variant>
        <vt:i4>0</vt:i4>
      </vt:variant>
      <vt:variant>
        <vt:i4>5</vt:i4>
      </vt:variant>
      <vt:variant>
        <vt:lpwstr/>
      </vt:variant>
      <vt:variant>
        <vt:lpwstr>_Toc199513075</vt:lpwstr>
      </vt:variant>
      <vt:variant>
        <vt:i4>2031673</vt:i4>
      </vt:variant>
      <vt:variant>
        <vt:i4>359</vt:i4>
      </vt:variant>
      <vt:variant>
        <vt:i4>0</vt:i4>
      </vt:variant>
      <vt:variant>
        <vt:i4>5</vt:i4>
      </vt:variant>
      <vt:variant>
        <vt:lpwstr/>
      </vt:variant>
      <vt:variant>
        <vt:lpwstr>_Toc199513074</vt:lpwstr>
      </vt:variant>
      <vt:variant>
        <vt:i4>2031673</vt:i4>
      </vt:variant>
      <vt:variant>
        <vt:i4>353</vt:i4>
      </vt:variant>
      <vt:variant>
        <vt:i4>0</vt:i4>
      </vt:variant>
      <vt:variant>
        <vt:i4>5</vt:i4>
      </vt:variant>
      <vt:variant>
        <vt:lpwstr/>
      </vt:variant>
      <vt:variant>
        <vt:lpwstr>_Toc199513073</vt:lpwstr>
      </vt:variant>
      <vt:variant>
        <vt:i4>2031673</vt:i4>
      </vt:variant>
      <vt:variant>
        <vt:i4>347</vt:i4>
      </vt:variant>
      <vt:variant>
        <vt:i4>0</vt:i4>
      </vt:variant>
      <vt:variant>
        <vt:i4>5</vt:i4>
      </vt:variant>
      <vt:variant>
        <vt:lpwstr/>
      </vt:variant>
      <vt:variant>
        <vt:lpwstr>_Toc199513072</vt:lpwstr>
      </vt:variant>
      <vt:variant>
        <vt:i4>2031673</vt:i4>
      </vt:variant>
      <vt:variant>
        <vt:i4>341</vt:i4>
      </vt:variant>
      <vt:variant>
        <vt:i4>0</vt:i4>
      </vt:variant>
      <vt:variant>
        <vt:i4>5</vt:i4>
      </vt:variant>
      <vt:variant>
        <vt:lpwstr/>
      </vt:variant>
      <vt:variant>
        <vt:lpwstr>_Toc199513071</vt:lpwstr>
      </vt:variant>
      <vt:variant>
        <vt:i4>2031673</vt:i4>
      </vt:variant>
      <vt:variant>
        <vt:i4>335</vt:i4>
      </vt:variant>
      <vt:variant>
        <vt:i4>0</vt:i4>
      </vt:variant>
      <vt:variant>
        <vt:i4>5</vt:i4>
      </vt:variant>
      <vt:variant>
        <vt:lpwstr/>
      </vt:variant>
      <vt:variant>
        <vt:lpwstr>_Toc199513070</vt:lpwstr>
      </vt:variant>
      <vt:variant>
        <vt:i4>1966137</vt:i4>
      </vt:variant>
      <vt:variant>
        <vt:i4>329</vt:i4>
      </vt:variant>
      <vt:variant>
        <vt:i4>0</vt:i4>
      </vt:variant>
      <vt:variant>
        <vt:i4>5</vt:i4>
      </vt:variant>
      <vt:variant>
        <vt:lpwstr/>
      </vt:variant>
      <vt:variant>
        <vt:lpwstr>_Toc199513069</vt:lpwstr>
      </vt:variant>
      <vt:variant>
        <vt:i4>1966137</vt:i4>
      </vt:variant>
      <vt:variant>
        <vt:i4>323</vt:i4>
      </vt:variant>
      <vt:variant>
        <vt:i4>0</vt:i4>
      </vt:variant>
      <vt:variant>
        <vt:i4>5</vt:i4>
      </vt:variant>
      <vt:variant>
        <vt:lpwstr/>
      </vt:variant>
      <vt:variant>
        <vt:lpwstr>_Toc199513068</vt:lpwstr>
      </vt:variant>
      <vt:variant>
        <vt:i4>1966137</vt:i4>
      </vt:variant>
      <vt:variant>
        <vt:i4>317</vt:i4>
      </vt:variant>
      <vt:variant>
        <vt:i4>0</vt:i4>
      </vt:variant>
      <vt:variant>
        <vt:i4>5</vt:i4>
      </vt:variant>
      <vt:variant>
        <vt:lpwstr/>
      </vt:variant>
      <vt:variant>
        <vt:lpwstr>_Toc199513067</vt:lpwstr>
      </vt:variant>
      <vt:variant>
        <vt:i4>1966137</vt:i4>
      </vt:variant>
      <vt:variant>
        <vt:i4>311</vt:i4>
      </vt:variant>
      <vt:variant>
        <vt:i4>0</vt:i4>
      </vt:variant>
      <vt:variant>
        <vt:i4>5</vt:i4>
      </vt:variant>
      <vt:variant>
        <vt:lpwstr/>
      </vt:variant>
      <vt:variant>
        <vt:lpwstr>_Toc199513066</vt:lpwstr>
      </vt:variant>
      <vt:variant>
        <vt:i4>1966137</vt:i4>
      </vt:variant>
      <vt:variant>
        <vt:i4>305</vt:i4>
      </vt:variant>
      <vt:variant>
        <vt:i4>0</vt:i4>
      </vt:variant>
      <vt:variant>
        <vt:i4>5</vt:i4>
      </vt:variant>
      <vt:variant>
        <vt:lpwstr/>
      </vt:variant>
      <vt:variant>
        <vt:lpwstr>_Toc199513065</vt:lpwstr>
      </vt:variant>
      <vt:variant>
        <vt:i4>1966137</vt:i4>
      </vt:variant>
      <vt:variant>
        <vt:i4>299</vt:i4>
      </vt:variant>
      <vt:variant>
        <vt:i4>0</vt:i4>
      </vt:variant>
      <vt:variant>
        <vt:i4>5</vt:i4>
      </vt:variant>
      <vt:variant>
        <vt:lpwstr/>
      </vt:variant>
      <vt:variant>
        <vt:lpwstr>_Toc199513064</vt:lpwstr>
      </vt:variant>
      <vt:variant>
        <vt:i4>1966137</vt:i4>
      </vt:variant>
      <vt:variant>
        <vt:i4>293</vt:i4>
      </vt:variant>
      <vt:variant>
        <vt:i4>0</vt:i4>
      </vt:variant>
      <vt:variant>
        <vt:i4>5</vt:i4>
      </vt:variant>
      <vt:variant>
        <vt:lpwstr/>
      </vt:variant>
      <vt:variant>
        <vt:lpwstr>_Toc199513063</vt:lpwstr>
      </vt:variant>
      <vt:variant>
        <vt:i4>1966137</vt:i4>
      </vt:variant>
      <vt:variant>
        <vt:i4>287</vt:i4>
      </vt:variant>
      <vt:variant>
        <vt:i4>0</vt:i4>
      </vt:variant>
      <vt:variant>
        <vt:i4>5</vt:i4>
      </vt:variant>
      <vt:variant>
        <vt:lpwstr/>
      </vt:variant>
      <vt:variant>
        <vt:lpwstr>_Toc199513062</vt:lpwstr>
      </vt:variant>
      <vt:variant>
        <vt:i4>1966137</vt:i4>
      </vt:variant>
      <vt:variant>
        <vt:i4>281</vt:i4>
      </vt:variant>
      <vt:variant>
        <vt:i4>0</vt:i4>
      </vt:variant>
      <vt:variant>
        <vt:i4>5</vt:i4>
      </vt:variant>
      <vt:variant>
        <vt:lpwstr/>
      </vt:variant>
      <vt:variant>
        <vt:lpwstr>_Toc199513061</vt:lpwstr>
      </vt:variant>
      <vt:variant>
        <vt:i4>1835065</vt:i4>
      </vt:variant>
      <vt:variant>
        <vt:i4>272</vt:i4>
      </vt:variant>
      <vt:variant>
        <vt:i4>0</vt:i4>
      </vt:variant>
      <vt:variant>
        <vt:i4>5</vt:i4>
      </vt:variant>
      <vt:variant>
        <vt:lpwstr/>
      </vt:variant>
      <vt:variant>
        <vt:lpwstr>_Toc199513047</vt:lpwstr>
      </vt:variant>
      <vt:variant>
        <vt:i4>1835065</vt:i4>
      </vt:variant>
      <vt:variant>
        <vt:i4>266</vt:i4>
      </vt:variant>
      <vt:variant>
        <vt:i4>0</vt:i4>
      </vt:variant>
      <vt:variant>
        <vt:i4>5</vt:i4>
      </vt:variant>
      <vt:variant>
        <vt:lpwstr/>
      </vt:variant>
      <vt:variant>
        <vt:lpwstr>_Toc199513046</vt:lpwstr>
      </vt:variant>
      <vt:variant>
        <vt:i4>1835065</vt:i4>
      </vt:variant>
      <vt:variant>
        <vt:i4>260</vt:i4>
      </vt:variant>
      <vt:variant>
        <vt:i4>0</vt:i4>
      </vt:variant>
      <vt:variant>
        <vt:i4>5</vt:i4>
      </vt:variant>
      <vt:variant>
        <vt:lpwstr/>
      </vt:variant>
      <vt:variant>
        <vt:lpwstr>_Toc199513045</vt:lpwstr>
      </vt:variant>
      <vt:variant>
        <vt:i4>1835065</vt:i4>
      </vt:variant>
      <vt:variant>
        <vt:i4>254</vt:i4>
      </vt:variant>
      <vt:variant>
        <vt:i4>0</vt:i4>
      </vt:variant>
      <vt:variant>
        <vt:i4>5</vt:i4>
      </vt:variant>
      <vt:variant>
        <vt:lpwstr/>
      </vt:variant>
      <vt:variant>
        <vt:lpwstr>_Toc199513044</vt:lpwstr>
      </vt:variant>
      <vt:variant>
        <vt:i4>1835065</vt:i4>
      </vt:variant>
      <vt:variant>
        <vt:i4>248</vt:i4>
      </vt:variant>
      <vt:variant>
        <vt:i4>0</vt:i4>
      </vt:variant>
      <vt:variant>
        <vt:i4>5</vt:i4>
      </vt:variant>
      <vt:variant>
        <vt:lpwstr/>
      </vt:variant>
      <vt:variant>
        <vt:lpwstr>_Toc199513043</vt:lpwstr>
      </vt:variant>
      <vt:variant>
        <vt:i4>1835065</vt:i4>
      </vt:variant>
      <vt:variant>
        <vt:i4>242</vt:i4>
      </vt:variant>
      <vt:variant>
        <vt:i4>0</vt:i4>
      </vt:variant>
      <vt:variant>
        <vt:i4>5</vt:i4>
      </vt:variant>
      <vt:variant>
        <vt:lpwstr/>
      </vt:variant>
      <vt:variant>
        <vt:lpwstr>_Toc199513042</vt:lpwstr>
      </vt:variant>
      <vt:variant>
        <vt:i4>1835065</vt:i4>
      </vt:variant>
      <vt:variant>
        <vt:i4>236</vt:i4>
      </vt:variant>
      <vt:variant>
        <vt:i4>0</vt:i4>
      </vt:variant>
      <vt:variant>
        <vt:i4>5</vt:i4>
      </vt:variant>
      <vt:variant>
        <vt:lpwstr/>
      </vt:variant>
      <vt:variant>
        <vt:lpwstr>_Toc199513041</vt:lpwstr>
      </vt:variant>
      <vt:variant>
        <vt:i4>1835065</vt:i4>
      </vt:variant>
      <vt:variant>
        <vt:i4>230</vt:i4>
      </vt:variant>
      <vt:variant>
        <vt:i4>0</vt:i4>
      </vt:variant>
      <vt:variant>
        <vt:i4>5</vt:i4>
      </vt:variant>
      <vt:variant>
        <vt:lpwstr/>
      </vt:variant>
      <vt:variant>
        <vt:lpwstr>_Toc199513040</vt:lpwstr>
      </vt:variant>
      <vt:variant>
        <vt:i4>1769529</vt:i4>
      </vt:variant>
      <vt:variant>
        <vt:i4>224</vt:i4>
      </vt:variant>
      <vt:variant>
        <vt:i4>0</vt:i4>
      </vt:variant>
      <vt:variant>
        <vt:i4>5</vt:i4>
      </vt:variant>
      <vt:variant>
        <vt:lpwstr/>
      </vt:variant>
      <vt:variant>
        <vt:lpwstr>_Toc199513039</vt:lpwstr>
      </vt:variant>
      <vt:variant>
        <vt:i4>1769529</vt:i4>
      </vt:variant>
      <vt:variant>
        <vt:i4>218</vt:i4>
      </vt:variant>
      <vt:variant>
        <vt:i4>0</vt:i4>
      </vt:variant>
      <vt:variant>
        <vt:i4>5</vt:i4>
      </vt:variant>
      <vt:variant>
        <vt:lpwstr/>
      </vt:variant>
      <vt:variant>
        <vt:lpwstr>_Toc199513038</vt:lpwstr>
      </vt:variant>
      <vt:variant>
        <vt:i4>1376312</vt:i4>
      </vt:variant>
      <vt:variant>
        <vt:i4>209</vt:i4>
      </vt:variant>
      <vt:variant>
        <vt:i4>0</vt:i4>
      </vt:variant>
      <vt:variant>
        <vt:i4>5</vt:i4>
      </vt:variant>
      <vt:variant>
        <vt:lpwstr/>
      </vt:variant>
      <vt:variant>
        <vt:lpwstr>_Toc195645880</vt:lpwstr>
      </vt:variant>
      <vt:variant>
        <vt:i4>1703992</vt:i4>
      </vt:variant>
      <vt:variant>
        <vt:i4>203</vt:i4>
      </vt:variant>
      <vt:variant>
        <vt:i4>0</vt:i4>
      </vt:variant>
      <vt:variant>
        <vt:i4>5</vt:i4>
      </vt:variant>
      <vt:variant>
        <vt:lpwstr/>
      </vt:variant>
      <vt:variant>
        <vt:lpwstr>_Toc195645879</vt:lpwstr>
      </vt:variant>
      <vt:variant>
        <vt:i4>1703992</vt:i4>
      </vt:variant>
      <vt:variant>
        <vt:i4>197</vt:i4>
      </vt:variant>
      <vt:variant>
        <vt:i4>0</vt:i4>
      </vt:variant>
      <vt:variant>
        <vt:i4>5</vt:i4>
      </vt:variant>
      <vt:variant>
        <vt:lpwstr/>
      </vt:variant>
      <vt:variant>
        <vt:lpwstr>_Toc195645878</vt:lpwstr>
      </vt:variant>
      <vt:variant>
        <vt:i4>1703992</vt:i4>
      </vt:variant>
      <vt:variant>
        <vt:i4>191</vt:i4>
      </vt:variant>
      <vt:variant>
        <vt:i4>0</vt:i4>
      </vt:variant>
      <vt:variant>
        <vt:i4>5</vt:i4>
      </vt:variant>
      <vt:variant>
        <vt:lpwstr/>
      </vt:variant>
      <vt:variant>
        <vt:lpwstr>_Toc195645877</vt:lpwstr>
      </vt:variant>
      <vt:variant>
        <vt:i4>1703992</vt:i4>
      </vt:variant>
      <vt:variant>
        <vt:i4>185</vt:i4>
      </vt:variant>
      <vt:variant>
        <vt:i4>0</vt:i4>
      </vt:variant>
      <vt:variant>
        <vt:i4>5</vt:i4>
      </vt:variant>
      <vt:variant>
        <vt:lpwstr/>
      </vt:variant>
      <vt:variant>
        <vt:lpwstr>_Toc195645876</vt:lpwstr>
      </vt:variant>
      <vt:variant>
        <vt:i4>1703992</vt:i4>
      </vt:variant>
      <vt:variant>
        <vt:i4>179</vt:i4>
      </vt:variant>
      <vt:variant>
        <vt:i4>0</vt:i4>
      </vt:variant>
      <vt:variant>
        <vt:i4>5</vt:i4>
      </vt:variant>
      <vt:variant>
        <vt:lpwstr/>
      </vt:variant>
      <vt:variant>
        <vt:lpwstr>_Toc195645875</vt:lpwstr>
      </vt:variant>
      <vt:variant>
        <vt:i4>1703992</vt:i4>
      </vt:variant>
      <vt:variant>
        <vt:i4>173</vt:i4>
      </vt:variant>
      <vt:variant>
        <vt:i4>0</vt:i4>
      </vt:variant>
      <vt:variant>
        <vt:i4>5</vt:i4>
      </vt:variant>
      <vt:variant>
        <vt:lpwstr/>
      </vt:variant>
      <vt:variant>
        <vt:lpwstr>_Toc195645874</vt:lpwstr>
      </vt:variant>
      <vt:variant>
        <vt:i4>1703992</vt:i4>
      </vt:variant>
      <vt:variant>
        <vt:i4>167</vt:i4>
      </vt:variant>
      <vt:variant>
        <vt:i4>0</vt:i4>
      </vt:variant>
      <vt:variant>
        <vt:i4>5</vt:i4>
      </vt:variant>
      <vt:variant>
        <vt:lpwstr/>
      </vt:variant>
      <vt:variant>
        <vt:lpwstr>_Toc195645873</vt:lpwstr>
      </vt:variant>
      <vt:variant>
        <vt:i4>1703992</vt:i4>
      </vt:variant>
      <vt:variant>
        <vt:i4>161</vt:i4>
      </vt:variant>
      <vt:variant>
        <vt:i4>0</vt:i4>
      </vt:variant>
      <vt:variant>
        <vt:i4>5</vt:i4>
      </vt:variant>
      <vt:variant>
        <vt:lpwstr/>
      </vt:variant>
      <vt:variant>
        <vt:lpwstr>_Toc195645872</vt:lpwstr>
      </vt:variant>
      <vt:variant>
        <vt:i4>1703992</vt:i4>
      </vt:variant>
      <vt:variant>
        <vt:i4>155</vt:i4>
      </vt:variant>
      <vt:variant>
        <vt:i4>0</vt:i4>
      </vt:variant>
      <vt:variant>
        <vt:i4>5</vt:i4>
      </vt:variant>
      <vt:variant>
        <vt:lpwstr/>
      </vt:variant>
      <vt:variant>
        <vt:lpwstr>_Toc195645871</vt:lpwstr>
      </vt:variant>
      <vt:variant>
        <vt:i4>1703992</vt:i4>
      </vt:variant>
      <vt:variant>
        <vt:i4>149</vt:i4>
      </vt:variant>
      <vt:variant>
        <vt:i4>0</vt:i4>
      </vt:variant>
      <vt:variant>
        <vt:i4>5</vt:i4>
      </vt:variant>
      <vt:variant>
        <vt:lpwstr/>
      </vt:variant>
      <vt:variant>
        <vt:lpwstr>_Toc195645870</vt:lpwstr>
      </vt:variant>
      <vt:variant>
        <vt:i4>1769528</vt:i4>
      </vt:variant>
      <vt:variant>
        <vt:i4>143</vt:i4>
      </vt:variant>
      <vt:variant>
        <vt:i4>0</vt:i4>
      </vt:variant>
      <vt:variant>
        <vt:i4>5</vt:i4>
      </vt:variant>
      <vt:variant>
        <vt:lpwstr/>
      </vt:variant>
      <vt:variant>
        <vt:lpwstr>_Toc195645869</vt:lpwstr>
      </vt:variant>
      <vt:variant>
        <vt:i4>1769528</vt:i4>
      </vt:variant>
      <vt:variant>
        <vt:i4>137</vt:i4>
      </vt:variant>
      <vt:variant>
        <vt:i4>0</vt:i4>
      </vt:variant>
      <vt:variant>
        <vt:i4>5</vt:i4>
      </vt:variant>
      <vt:variant>
        <vt:lpwstr/>
      </vt:variant>
      <vt:variant>
        <vt:lpwstr>_Toc195645868</vt:lpwstr>
      </vt:variant>
      <vt:variant>
        <vt:i4>1769528</vt:i4>
      </vt:variant>
      <vt:variant>
        <vt:i4>131</vt:i4>
      </vt:variant>
      <vt:variant>
        <vt:i4>0</vt:i4>
      </vt:variant>
      <vt:variant>
        <vt:i4>5</vt:i4>
      </vt:variant>
      <vt:variant>
        <vt:lpwstr/>
      </vt:variant>
      <vt:variant>
        <vt:lpwstr>_Toc195645867</vt:lpwstr>
      </vt:variant>
      <vt:variant>
        <vt:i4>1769528</vt:i4>
      </vt:variant>
      <vt:variant>
        <vt:i4>125</vt:i4>
      </vt:variant>
      <vt:variant>
        <vt:i4>0</vt:i4>
      </vt:variant>
      <vt:variant>
        <vt:i4>5</vt:i4>
      </vt:variant>
      <vt:variant>
        <vt:lpwstr/>
      </vt:variant>
      <vt:variant>
        <vt:lpwstr>_Toc195645866</vt:lpwstr>
      </vt:variant>
      <vt:variant>
        <vt:i4>1769528</vt:i4>
      </vt:variant>
      <vt:variant>
        <vt:i4>119</vt:i4>
      </vt:variant>
      <vt:variant>
        <vt:i4>0</vt:i4>
      </vt:variant>
      <vt:variant>
        <vt:i4>5</vt:i4>
      </vt:variant>
      <vt:variant>
        <vt:lpwstr/>
      </vt:variant>
      <vt:variant>
        <vt:lpwstr>_Toc195645865</vt:lpwstr>
      </vt:variant>
      <vt:variant>
        <vt:i4>1769528</vt:i4>
      </vt:variant>
      <vt:variant>
        <vt:i4>113</vt:i4>
      </vt:variant>
      <vt:variant>
        <vt:i4>0</vt:i4>
      </vt:variant>
      <vt:variant>
        <vt:i4>5</vt:i4>
      </vt:variant>
      <vt:variant>
        <vt:lpwstr/>
      </vt:variant>
      <vt:variant>
        <vt:lpwstr>_Toc195645864</vt:lpwstr>
      </vt:variant>
      <vt:variant>
        <vt:i4>1769528</vt:i4>
      </vt:variant>
      <vt:variant>
        <vt:i4>107</vt:i4>
      </vt:variant>
      <vt:variant>
        <vt:i4>0</vt:i4>
      </vt:variant>
      <vt:variant>
        <vt:i4>5</vt:i4>
      </vt:variant>
      <vt:variant>
        <vt:lpwstr/>
      </vt:variant>
      <vt:variant>
        <vt:lpwstr>_Toc195645863</vt:lpwstr>
      </vt:variant>
      <vt:variant>
        <vt:i4>1769528</vt:i4>
      </vt:variant>
      <vt:variant>
        <vt:i4>101</vt:i4>
      </vt:variant>
      <vt:variant>
        <vt:i4>0</vt:i4>
      </vt:variant>
      <vt:variant>
        <vt:i4>5</vt:i4>
      </vt:variant>
      <vt:variant>
        <vt:lpwstr/>
      </vt:variant>
      <vt:variant>
        <vt:lpwstr>_Toc195645862</vt:lpwstr>
      </vt:variant>
      <vt:variant>
        <vt:i4>1769528</vt:i4>
      </vt:variant>
      <vt:variant>
        <vt:i4>95</vt:i4>
      </vt:variant>
      <vt:variant>
        <vt:i4>0</vt:i4>
      </vt:variant>
      <vt:variant>
        <vt:i4>5</vt:i4>
      </vt:variant>
      <vt:variant>
        <vt:lpwstr/>
      </vt:variant>
      <vt:variant>
        <vt:lpwstr>_Toc195645861</vt:lpwstr>
      </vt:variant>
      <vt:variant>
        <vt:i4>1769528</vt:i4>
      </vt:variant>
      <vt:variant>
        <vt:i4>89</vt:i4>
      </vt:variant>
      <vt:variant>
        <vt:i4>0</vt:i4>
      </vt:variant>
      <vt:variant>
        <vt:i4>5</vt:i4>
      </vt:variant>
      <vt:variant>
        <vt:lpwstr/>
      </vt:variant>
      <vt:variant>
        <vt:lpwstr>_Toc195645860</vt:lpwstr>
      </vt:variant>
      <vt:variant>
        <vt:i4>1572920</vt:i4>
      </vt:variant>
      <vt:variant>
        <vt:i4>83</vt:i4>
      </vt:variant>
      <vt:variant>
        <vt:i4>0</vt:i4>
      </vt:variant>
      <vt:variant>
        <vt:i4>5</vt:i4>
      </vt:variant>
      <vt:variant>
        <vt:lpwstr/>
      </vt:variant>
      <vt:variant>
        <vt:lpwstr>_Toc195645859</vt:lpwstr>
      </vt:variant>
      <vt:variant>
        <vt:i4>1572920</vt:i4>
      </vt:variant>
      <vt:variant>
        <vt:i4>77</vt:i4>
      </vt:variant>
      <vt:variant>
        <vt:i4>0</vt:i4>
      </vt:variant>
      <vt:variant>
        <vt:i4>5</vt:i4>
      </vt:variant>
      <vt:variant>
        <vt:lpwstr/>
      </vt:variant>
      <vt:variant>
        <vt:lpwstr>_Toc195645858</vt:lpwstr>
      </vt:variant>
      <vt:variant>
        <vt:i4>1572920</vt:i4>
      </vt:variant>
      <vt:variant>
        <vt:i4>71</vt:i4>
      </vt:variant>
      <vt:variant>
        <vt:i4>0</vt:i4>
      </vt:variant>
      <vt:variant>
        <vt:i4>5</vt:i4>
      </vt:variant>
      <vt:variant>
        <vt:lpwstr/>
      </vt:variant>
      <vt:variant>
        <vt:lpwstr>_Toc195645857</vt:lpwstr>
      </vt:variant>
      <vt:variant>
        <vt:i4>1572920</vt:i4>
      </vt:variant>
      <vt:variant>
        <vt:i4>65</vt:i4>
      </vt:variant>
      <vt:variant>
        <vt:i4>0</vt:i4>
      </vt:variant>
      <vt:variant>
        <vt:i4>5</vt:i4>
      </vt:variant>
      <vt:variant>
        <vt:lpwstr/>
      </vt:variant>
      <vt:variant>
        <vt:lpwstr>_Toc195645856</vt:lpwstr>
      </vt:variant>
      <vt:variant>
        <vt:i4>1572920</vt:i4>
      </vt:variant>
      <vt:variant>
        <vt:i4>59</vt:i4>
      </vt:variant>
      <vt:variant>
        <vt:i4>0</vt:i4>
      </vt:variant>
      <vt:variant>
        <vt:i4>5</vt:i4>
      </vt:variant>
      <vt:variant>
        <vt:lpwstr/>
      </vt:variant>
      <vt:variant>
        <vt:lpwstr>_Toc195645855</vt:lpwstr>
      </vt:variant>
      <vt:variant>
        <vt:i4>1572920</vt:i4>
      </vt:variant>
      <vt:variant>
        <vt:i4>53</vt:i4>
      </vt:variant>
      <vt:variant>
        <vt:i4>0</vt:i4>
      </vt:variant>
      <vt:variant>
        <vt:i4>5</vt:i4>
      </vt:variant>
      <vt:variant>
        <vt:lpwstr/>
      </vt:variant>
      <vt:variant>
        <vt:lpwstr>_Toc195645854</vt:lpwstr>
      </vt:variant>
      <vt:variant>
        <vt:i4>1572920</vt:i4>
      </vt:variant>
      <vt:variant>
        <vt:i4>47</vt:i4>
      </vt:variant>
      <vt:variant>
        <vt:i4>0</vt:i4>
      </vt:variant>
      <vt:variant>
        <vt:i4>5</vt:i4>
      </vt:variant>
      <vt:variant>
        <vt:lpwstr/>
      </vt:variant>
      <vt:variant>
        <vt:lpwstr>_Toc195645853</vt:lpwstr>
      </vt:variant>
      <vt:variant>
        <vt:i4>1572920</vt:i4>
      </vt:variant>
      <vt:variant>
        <vt:i4>41</vt:i4>
      </vt:variant>
      <vt:variant>
        <vt:i4>0</vt:i4>
      </vt:variant>
      <vt:variant>
        <vt:i4>5</vt:i4>
      </vt:variant>
      <vt:variant>
        <vt:lpwstr/>
      </vt:variant>
      <vt:variant>
        <vt:lpwstr>_Toc195645852</vt:lpwstr>
      </vt:variant>
      <vt:variant>
        <vt:i4>1572920</vt:i4>
      </vt:variant>
      <vt:variant>
        <vt:i4>35</vt:i4>
      </vt:variant>
      <vt:variant>
        <vt:i4>0</vt:i4>
      </vt:variant>
      <vt:variant>
        <vt:i4>5</vt:i4>
      </vt:variant>
      <vt:variant>
        <vt:lpwstr/>
      </vt:variant>
      <vt:variant>
        <vt:lpwstr>_Toc195645851</vt:lpwstr>
      </vt:variant>
      <vt:variant>
        <vt:i4>1572920</vt:i4>
      </vt:variant>
      <vt:variant>
        <vt:i4>29</vt:i4>
      </vt:variant>
      <vt:variant>
        <vt:i4>0</vt:i4>
      </vt:variant>
      <vt:variant>
        <vt:i4>5</vt:i4>
      </vt:variant>
      <vt:variant>
        <vt:lpwstr/>
      </vt:variant>
      <vt:variant>
        <vt:lpwstr>_Toc195645850</vt:lpwstr>
      </vt:variant>
      <vt:variant>
        <vt:i4>1638456</vt:i4>
      </vt:variant>
      <vt:variant>
        <vt:i4>23</vt:i4>
      </vt:variant>
      <vt:variant>
        <vt:i4>0</vt:i4>
      </vt:variant>
      <vt:variant>
        <vt:i4>5</vt:i4>
      </vt:variant>
      <vt:variant>
        <vt:lpwstr/>
      </vt:variant>
      <vt:variant>
        <vt:lpwstr>_Toc195645849</vt:lpwstr>
      </vt:variant>
      <vt:variant>
        <vt:i4>1638456</vt:i4>
      </vt:variant>
      <vt:variant>
        <vt:i4>17</vt:i4>
      </vt:variant>
      <vt:variant>
        <vt:i4>0</vt:i4>
      </vt:variant>
      <vt:variant>
        <vt:i4>5</vt:i4>
      </vt:variant>
      <vt:variant>
        <vt:lpwstr/>
      </vt:variant>
      <vt:variant>
        <vt:lpwstr>_Toc195645848</vt:lpwstr>
      </vt:variant>
      <vt:variant>
        <vt:i4>1638456</vt:i4>
      </vt:variant>
      <vt:variant>
        <vt:i4>11</vt:i4>
      </vt:variant>
      <vt:variant>
        <vt:i4>0</vt:i4>
      </vt:variant>
      <vt:variant>
        <vt:i4>5</vt:i4>
      </vt:variant>
      <vt:variant>
        <vt:lpwstr/>
      </vt:variant>
      <vt:variant>
        <vt:lpwstr>_Toc195645847</vt:lpwstr>
      </vt:variant>
      <vt:variant>
        <vt:i4>5636148</vt:i4>
      </vt:variant>
      <vt:variant>
        <vt:i4>3</vt:i4>
      </vt:variant>
      <vt:variant>
        <vt:i4>0</vt:i4>
      </vt:variant>
      <vt:variant>
        <vt:i4>5</vt:i4>
      </vt:variant>
      <vt:variant>
        <vt:lpwstr>mailto:qilt@srcentre.com.au</vt:lpwstr>
      </vt:variant>
      <vt:variant>
        <vt:lpwstr/>
      </vt:variant>
      <vt:variant>
        <vt:i4>2555964</vt:i4>
      </vt:variant>
      <vt:variant>
        <vt:i4>0</vt:i4>
      </vt:variant>
      <vt:variant>
        <vt:i4>0</vt:i4>
      </vt:variant>
      <vt:variant>
        <vt:i4>5</vt:i4>
      </vt:variant>
      <vt:variant>
        <vt:lpwstr>http://www.qilt.edu.au/</vt:lpwstr>
      </vt:variant>
      <vt:variant>
        <vt:lpwstr/>
      </vt:variant>
      <vt:variant>
        <vt:i4>7143426</vt:i4>
      </vt:variant>
      <vt:variant>
        <vt:i4>15</vt:i4>
      </vt:variant>
      <vt:variant>
        <vt:i4>0</vt:i4>
      </vt:variant>
      <vt:variant>
        <vt:i4>5</vt:i4>
      </vt:variant>
      <vt:variant>
        <vt:lpwstr>mailto:lbolton@srcentre.com.au</vt:lpwstr>
      </vt:variant>
      <vt:variant>
        <vt:lpwstr/>
      </vt:variant>
      <vt:variant>
        <vt:i4>7143426</vt:i4>
      </vt:variant>
      <vt:variant>
        <vt:i4>12</vt:i4>
      </vt:variant>
      <vt:variant>
        <vt:i4>0</vt:i4>
      </vt:variant>
      <vt:variant>
        <vt:i4>5</vt:i4>
      </vt:variant>
      <vt:variant>
        <vt:lpwstr>mailto:lbolton@srcentre.com.au</vt:lpwstr>
      </vt:variant>
      <vt:variant>
        <vt:lpwstr/>
      </vt:variant>
      <vt:variant>
        <vt:i4>7143426</vt:i4>
      </vt:variant>
      <vt:variant>
        <vt:i4>9</vt:i4>
      </vt:variant>
      <vt:variant>
        <vt:i4>0</vt:i4>
      </vt:variant>
      <vt:variant>
        <vt:i4>5</vt:i4>
      </vt:variant>
      <vt:variant>
        <vt:lpwstr>mailto:lbolton@srcentre.com.au</vt:lpwstr>
      </vt:variant>
      <vt:variant>
        <vt:lpwstr/>
      </vt:variant>
      <vt:variant>
        <vt:i4>7143426</vt:i4>
      </vt:variant>
      <vt:variant>
        <vt:i4>6</vt:i4>
      </vt:variant>
      <vt:variant>
        <vt:i4>0</vt:i4>
      </vt:variant>
      <vt:variant>
        <vt:i4>5</vt:i4>
      </vt:variant>
      <vt:variant>
        <vt:lpwstr>mailto:lbolton@srcentre.com.au</vt:lpwstr>
      </vt:variant>
      <vt:variant>
        <vt:lpwstr/>
      </vt:variant>
      <vt:variant>
        <vt:i4>7143426</vt:i4>
      </vt:variant>
      <vt:variant>
        <vt:i4>3</vt:i4>
      </vt:variant>
      <vt:variant>
        <vt:i4>0</vt:i4>
      </vt:variant>
      <vt:variant>
        <vt:i4>5</vt:i4>
      </vt:variant>
      <vt:variant>
        <vt:lpwstr>mailto:lbolton@srcentre.com.au</vt:lpwstr>
      </vt:variant>
      <vt:variant>
        <vt:lpwstr/>
      </vt:variant>
      <vt:variant>
        <vt:i4>4259887</vt:i4>
      </vt:variant>
      <vt:variant>
        <vt:i4>0</vt:i4>
      </vt:variant>
      <vt:variant>
        <vt:i4>0</vt:i4>
      </vt:variant>
      <vt:variant>
        <vt:i4>5</vt:i4>
      </vt:variant>
      <vt:variant>
        <vt:lpwstr>mailto:ckim@srcentre.com.au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SES National Report – Accessible</dc:title>
  <dc:subject/>
  <dc:creator>gordonstreet1@optusnet.com.au</dc:creator>
  <cp:keywords/>
  <dc:description/>
  <cp:lastModifiedBy>Diana Nguyen</cp:lastModifiedBy>
  <cp:revision>4</cp:revision>
  <dcterms:created xsi:type="dcterms:W3CDTF">2025-09-03T02:58:00Z</dcterms:created>
  <dcterms:modified xsi:type="dcterms:W3CDTF">2025-09-15T05:30:00Z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0x010100BB98A18D3684994C9C52717DA600DB9E</vt:lpwstr>
  </property>
  <property fmtid="{D5CDD505-2E9C-101B-9397-08002B2CF9AE}" pid="3" name="MediaServiceImageTags">
    <vt:lpwstr/>
  </property>
  <property fmtid="{D5CDD505-2E9C-101B-9397-08002B2CF9AE}" pid="4" name="MSIP_Label_79d889eb-932f-4752-8739-64d25806ef64_Enabled">
    <vt:lpwstr>true</vt:lpwstr>
  </property>
  <property fmtid="{D5CDD505-2E9C-101B-9397-08002B2CF9AE}" pid="5" name="MSIP_Label_79d889eb-932f-4752-8739-64d25806ef64_SetDate">
    <vt:lpwstr>2024-07-15T05:57:18Z</vt:lpwstr>
  </property>
  <property fmtid="{D5CDD505-2E9C-101B-9397-08002B2CF9AE}" pid="6" name="MSIP_Label_79d889eb-932f-4752-8739-64d25806ef64_Method">
    <vt:lpwstr>Privileged</vt:lpwstr>
  </property>
  <property fmtid="{D5CDD505-2E9C-101B-9397-08002B2CF9AE}" pid="7" name="MSIP_Label_79d889eb-932f-4752-8739-64d25806ef64_Name">
    <vt:lpwstr>79d889eb-932f-4752-8739-64d25806ef64</vt:lpwstr>
  </property>
  <property fmtid="{D5CDD505-2E9C-101B-9397-08002B2CF9AE}" pid="8" name="MSIP_Label_79d889eb-932f-4752-8739-64d25806ef64_SiteId">
    <vt:lpwstr>dd0cfd15-4558-4b12-8bad-ea26984fc417</vt:lpwstr>
  </property>
  <property fmtid="{D5CDD505-2E9C-101B-9397-08002B2CF9AE}" pid="9" name="MSIP_Label_79d889eb-932f-4752-8739-64d25806ef64_ActionId">
    <vt:lpwstr>51d3473c-2b17-4088-ac6e-1f8b4b45a779</vt:lpwstr>
  </property>
  <property fmtid="{D5CDD505-2E9C-101B-9397-08002B2CF9AE}" pid="10" name="MSIP_Label_79d889eb-932f-4752-8739-64d25806ef64_ContentBits">
    <vt:lpwstr>0</vt:lpwstr>
  </property>
</Properties>
</file>